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0D94E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Edition # 8: April 16, 2024</w:t>
      </w:r>
    </w:p>
    <w:p w14:paraId="1C318E29" w14:textId="32CA8F8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Quarter 2 2024:</w:t>
      </w:r>
      <w:r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Seeking Another Next Level</w:t>
      </w:r>
    </w:p>
    <w:p w14:paraId="7B0CFA47" w14:textId="7D1B53AB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State Budget Agency expanding reach of NextLevel Grants Management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to Full Grants Lifecycle</w:t>
      </w:r>
    </w:p>
    <w:p w14:paraId="2157105F" w14:textId="1C65D0FE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NextLevel Grants Management is more than eCivis.</w:t>
      </w:r>
    </w:p>
    <w:p w14:paraId="19231946" w14:textId="090F5C25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kern w:val="24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kern w:val="24"/>
          <w:sz w:val="24"/>
          <w:szCs w:val="24"/>
          <w14:ligatures w14:val="none"/>
        </w:rPr>
        <w:t>eCivis is the centerpiece of NextLevel Grants Management, but eCivis is not the only piece.  A “Grants Management” section of the SBA website and a built-out Grants Management Team have been a part of NextLevel Grants Management over the last year.  In the coming months, additional pieces will be implemented, including:</w:t>
      </w:r>
    </w:p>
    <w:p w14:paraId="728D608A" w14:textId="2E707D83" w:rsidR="003B77AD" w:rsidRPr="003B77AD" w:rsidRDefault="003B77AD" w:rsidP="003B77AD">
      <w:pPr>
        <w:pStyle w:val="ListParagraph"/>
        <w:widowControl w:val="0"/>
        <w:numPr>
          <w:ilvl w:val="0"/>
          <w:numId w:val="1"/>
        </w:numPr>
        <w:rPr>
          <w:rFonts w:cs="Arial"/>
          <w:kern w:val="24"/>
          <w14:ligatures w14:val="none"/>
        </w:rPr>
      </w:pPr>
      <w:r w:rsidRPr="003B77AD">
        <w:rPr>
          <w:rFonts w:cs="Arial"/>
          <w:kern w:val="24"/>
          <w14:ligatures w14:val="none"/>
        </w:rPr>
        <w:t>A revised and updated template Subaward Agreement.</w:t>
      </w:r>
    </w:p>
    <w:p w14:paraId="34BD71FA" w14:textId="0C48D2D6" w:rsidR="003B77AD" w:rsidRPr="003B77AD" w:rsidRDefault="003B77AD" w:rsidP="003B77AD">
      <w:pPr>
        <w:pStyle w:val="ListParagraph"/>
        <w:widowControl w:val="0"/>
        <w:numPr>
          <w:ilvl w:val="0"/>
          <w:numId w:val="1"/>
        </w:numPr>
        <w:rPr>
          <w:rFonts w:cs="Arial"/>
          <w:kern w:val="24"/>
          <w14:ligatures w14:val="none"/>
        </w:rPr>
      </w:pPr>
      <w:r w:rsidRPr="003B77AD">
        <w:rPr>
          <w:rFonts w:cs="Arial"/>
          <w:kern w:val="24"/>
          <w14:ligatures w14:val="none"/>
        </w:rPr>
        <w:t>Training on grants management and Uniform Grants Guidance requirements, including subrecipient monitoring.</w:t>
      </w:r>
    </w:p>
    <w:p w14:paraId="62CA4BF9" w14:textId="3762F6C8" w:rsidR="003B77AD" w:rsidRPr="003B77AD" w:rsidRDefault="003B77AD" w:rsidP="003B77AD">
      <w:pPr>
        <w:pStyle w:val="ListParagraph"/>
        <w:widowControl w:val="0"/>
        <w:numPr>
          <w:ilvl w:val="0"/>
          <w:numId w:val="1"/>
        </w:numPr>
        <w:rPr>
          <w:rFonts w:cs="Arial"/>
          <w:kern w:val="24"/>
          <w14:ligatures w14:val="none"/>
        </w:rPr>
      </w:pPr>
      <w:r w:rsidRPr="003B77AD">
        <w:rPr>
          <w:rFonts w:cs="Arial"/>
          <w:kern w:val="24"/>
          <w14:ligatures w14:val="none"/>
        </w:rPr>
        <w:t>A new Grants Lifecycle Financial Management Circular (FMC) that requires state agencies to manage grants in eCivis.</w:t>
      </w:r>
    </w:p>
    <w:p w14:paraId="05D18C97" w14:textId="6A427448" w:rsidR="003B77AD" w:rsidRPr="003B77AD" w:rsidRDefault="003B77AD" w:rsidP="003B77AD">
      <w:pPr>
        <w:pStyle w:val="ListParagraph"/>
        <w:widowControl w:val="0"/>
        <w:numPr>
          <w:ilvl w:val="0"/>
          <w:numId w:val="1"/>
        </w:numPr>
        <w:rPr>
          <w:rFonts w:cs="Arial"/>
          <w:kern w:val="24"/>
          <w14:ligatures w14:val="none"/>
        </w:rPr>
      </w:pPr>
      <w:r w:rsidRPr="003B77AD">
        <w:rPr>
          <w:rFonts w:cs="Arial"/>
          <w:kern w:val="24"/>
          <w14:ligatures w14:val="none"/>
        </w:rPr>
        <w:t>Integration of federal grants into Indiana’s budget development process.</w:t>
      </w:r>
    </w:p>
    <w:p w14:paraId="530B3D5E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kern w:val="24"/>
          <w:sz w:val="24"/>
          <w:szCs w:val="24"/>
          <w14:ligatures w14:val="none"/>
        </w:rPr>
        <w:t xml:space="preserve">Federal funding supports roughly 50% of Indiana’s annual expending, and we must be disciplined, deliberate, intentional, and strategic about how we manage federal funds throughout the entire </w:t>
      </w:r>
      <w:proofErr w:type="gramStart"/>
      <w:r w:rsidRPr="003B77AD">
        <w:rPr>
          <w:rFonts w:asciiTheme="minorHAnsi" w:hAnsiTheme="minorHAnsi" w:cs="Arial"/>
          <w:color w:val="auto"/>
          <w:kern w:val="24"/>
          <w:sz w:val="24"/>
          <w:szCs w:val="24"/>
          <w14:ligatures w14:val="none"/>
        </w:rPr>
        <w:t>grants</w:t>
      </w:r>
      <w:proofErr w:type="gramEnd"/>
      <w:r w:rsidRPr="003B77AD">
        <w:rPr>
          <w:rFonts w:asciiTheme="minorHAnsi" w:hAnsiTheme="minorHAnsi" w:cs="Arial"/>
          <w:color w:val="auto"/>
          <w:kern w:val="24"/>
          <w:sz w:val="24"/>
          <w:szCs w:val="24"/>
          <w14:ligatures w14:val="none"/>
        </w:rPr>
        <w:t xml:space="preserve"> lifecycle.</w:t>
      </w:r>
    </w:p>
    <w:p w14:paraId="0F942CFB" w14:textId="1273E273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Grantee Active Award Uploads are 85% complete.</w:t>
      </w:r>
    </w:p>
    <w:p w14:paraId="208035A6" w14:textId="02C305A9" w:rsidR="003B77AD" w:rsidRPr="003B77AD" w:rsidRDefault="003B77AD" w:rsidP="003B77AD">
      <w:pPr>
        <w:widowControl w:val="0"/>
        <w:rPr>
          <w:rFonts w:asciiTheme="minorHAnsi" w:hAnsiTheme="minorHAnsi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Grantee Active Award Upload Cycles 1, 2, 3, and 4 are done! </w:t>
      </w:r>
    </w:p>
    <w:p w14:paraId="6ED140FF" w14:textId="0EBCDA7F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Planning for Cycle 5 is underway.  Here is what agencies need to know:</w:t>
      </w:r>
    </w:p>
    <w:p w14:paraId="6CB77590" w14:textId="517B3F24" w:rsidR="003B77AD" w:rsidRPr="003B77AD" w:rsidRDefault="003B77AD" w:rsidP="003B77AD">
      <w:pPr>
        <w:pStyle w:val="ListParagraph"/>
        <w:widowControl w:val="0"/>
        <w:numPr>
          <w:ilvl w:val="0"/>
          <w:numId w:val="2"/>
        </w:numPr>
        <w:rPr>
          <w:rFonts w:cs="Arial"/>
          <w14:ligatures w14:val="none"/>
        </w:rPr>
      </w:pPr>
      <w:r w:rsidRPr="003B77AD">
        <w:rPr>
          <w:rFonts w:cs="Arial"/>
          <w14:ligatures w14:val="none"/>
        </w:rPr>
        <w:t>An active award is a grant, a state match, or a substate transfer, as a grantee, that has a federal funding source and an active project period ending after October 1, 2023.</w:t>
      </w:r>
    </w:p>
    <w:p w14:paraId="55260A20" w14:textId="445213CA" w:rsidR="003B77AD" w:rsidRPr="003B77AD" w:rsidRDefault="003B77AD" w:rsidP="003B77AD">
      <w:pPr>
        <w:pStyle w:val="ListParagraph"/>
        <w:widowControl w:val="0"/>
        <w:numPr>
          <w:ilvl w:val="0"/>
          <w:numId w:val="2"/>
        </w:numPr>
        <w:rPr>
          <w:rFonts w:cs="Arial"/>
          <w14:ligatures w14:val="none"/>
        </w:rPr>
      </w:pPr>
      <w:r w:rsidRPr="003B77AD">
        <w:rPr>
          <w:rFonts w:cs="Arial"/>
          <w14:ligatures w14:val="none"/>
        </w:rPr>
        <w:t>State Budget Agency will work with agencies to collect active award information and then upload the information to eCivis.</w:t>
      </w:r>
    </w:p>
    <w:p w14:paraId="2F5F4E5C" w14:textId="6817D9A3" w:rsidR="003B77AD" w:rsidRPr="003B77AD" w:rsidRDefault="003B77AD" w:rsidP="003B77AD">
      <w:pPr>
        <w:pStyle w:val="ListParagraph"/>
        <w:widowControl w:val="0"/>
        <w:numPr>
          <w:ilvl w:val="0"/>
          <w:numId w:val="2"/>
        </w:numPr>
        <w:rPr>
          <w:rFonts w:cs="Arial"/>
          <w14:ligatures w14:val="none"/>
        </w:rPr>
      </w:pPr>
      <w:r w:rsidRPr="003B77AD">
        <w:rPr>
          <w:rFonts w:cs="Arial"/>
          <w14:ligatures w14:val="none"/>
        </w:rPr>
        <w:t xml:space="preserve">Active awards will </w:t>
      </w:r>
      <w:proofErr w:type="gramStart"/>
      <w:r w:rsidRPr="003B77AD">
        <w:rPr>
          <w:rFonts w:cs="Arial"/>
          <w14:ligatures w14:val="none"/>
        </w:rPr>
        <w:t>upload</w:t>
      </w:r>
      <w:proofErr w:type="gramEnd"/>
      <w:r w:rsidRPr="003B77AD">
        <w:rPr>
          <w:rFonts w:cs="Arial"/>
          <w14:ligatures w14:val="none"/>
        </w:rPr>
        <w:t xml:space="preserve"> to the Grant Awarded stage in eCivis.  Agencies will manage the active awards in eCivis following upload.</w:t>
      </w:r>
    </w:p>
    <w:p w14:paraId="470EF19B" w14:textId="058FCD6E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 For more information, please see the </w:t>
      </w:r>
      <w:hyperlink r:id="rId5" w:anchor="tab-718581-Grantee_Active_Award_Upload_Schedule" w:history="1">
        <w:r w:rsidRPr="003B77AD">
          <w:rPr>
            <w:rStyle w:val="Hyperlink"/>
            <w:rFonts w:asciiTheme="minorHAnsi" w:eastAsiaTheme="majorEastAsia" w:hAnsiTheme="minorHAnsi" w:cs="Arial"/>
            <w:color w:val="auto"/>
            <w:sz w:val="24"/>
            <w:szCs w:val="24"/>
            <w14:ligatures w14:val="none"/>
          </w:rPr>
          <w:t>eCivis Implementation Information</w:t>
        </w:r>
      </w:hyperlink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section of the SBA website.</w:t>
      </w:r>
    </w:p>
    <w:p w14:paraId="0191B651" w14:textId="78C8B240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Agencies will use eCivis to manage State-Funded Grants.</w:t>
      </w:r>
    </w:p>
    <w:p w14:paraId="44B5A6C9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Agencies will use eCivis to manage all grants, including state-funded grants.</w:t>
      </w:r>
    </w:p>
    <w:p w14:paraId="1E3A5C3C" w14:textId="0692B1A4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lastRenderedPageBreak/>
        <w:t>Agencies will be able to track PeopleSoft expenses against their state-funded grants.</w:t>
      </w:r>
    </w:p>
    <w:p w14:paraId="22445DDA" w14:textId="07CC4E6E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 The Managing State-Funded Grants User Guide can be found </w:t>
      </w:r>
      <w:hyperlink r:id="rId6" w:anchor="tab-706468-Training_Materials" w:history="1">
        <w:r w:rsidRPr="003B77AD">
          <w:rPr>
            <w:rStyle w:val="Hyperlink"/>
            <w:rFonts w:asciiTheme="minorHAnsi" w:eastAsiaTheme="majorEastAsia" w:hAnsiTheme="minorHAnsi" w:cs="Arial"/>
            <w:color w:val="auto"/>
            <w:sz w:val="24"/>
            <w:szCs w:val="24"/>
            <w14:ligatures w14:val="none"/>
          </w:rPr>
          <w:t>here</w:t>
        </w:r>
      </w:hyperlink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under Resources.</w:t>
      </w:r>
    </w:p>
    <w:p w14:paraId="43AAC7DB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 Definition:</w:t>
      </w:r>
    </w:p>
    <w:p w14:paraId="726C8956" w14:textId="43E98A88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 A “State-Funded Grant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“ is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a grant:  1) awarded by an Indiana  State Agency, and 2) funded by a State Fund or a  Dedicated Fund.  State-funded grants are not included in the agency’s Active Award Upload.</w:t>
      </w:r>
    </w:p>
    <w:p w14:paraId="7A4F1237" w14:textId="71746290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SBA Grants Management Team rolls out Office Hours.</w:t>
      </w:r>
    </w:p>
    <w:p w14:paraId="3608EBA6" w14:textId="18F62261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On February 15th, SBA’s Grants Management Team hosted the first session of the Grants Management Office Hours.  These 1-hour sessions are designed to give participants some “hands-on” training in eCivis.</w:t>
      </w:r>
    </w:p>
    <w:p w14:paraId="0F45042B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Office Hours will be structured around specific topics, with opportunities for questions and dialogue, for both state agencies and their subrecipients.</w:t>
      </w:r>
    </w:p>
    <w:p w14:paraId="65BD9653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More information on Grants Management Team Office Hours can be found on the </w:t>
      </w:r>
      <w:hyperlink r:id="rId7" w:history="1">
        <w:r w:rsidRPr="003B77AD">
          <w:rPr>
            <w:rStyle w:val="Hyperlink"/>
            <w:rFonts w:asciiTheme="minorHAnsi" w:eastAsiaTheme="majorEastAsia" w:hAnsiTheme="minorHAnsi" w:cs="Arial"/>
            <w:color w:val="auto"/>
            <w:sz w:val="24"/>
            <w:szCs w:val="24"/>
            <w14:ligatures w14:val="none"/>
          </w:rPr>
          <w:t>Grants Management Workshops</w:t>
        </w:r>
      </w:hyperlink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section of the SBA website.</w:t>
      </w:r>
    </w:p>
    <w:p w14:paraId="149AC85F" w14:textId="520B6AE3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Grantor implementation is underway.</w:t>
      </w:r>
    </w:p>
    <w:p w14:paraId="721DC0C3" w14:textId="1B1075BC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Cycle 3 is complete. Cycle 4 is finishing soon. Cycle 5 planning has begun.</w:t>
      </w:r>
    </w:p>
    <w:p w14:paraId="7A78E748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In the eCivis vernacular, when an agency distributes funding to subrecipients, that agency is acting as a grantor.  All agencies will use eCivis to make subawards to subrecipients. 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Family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and Social Services Administration has completed its grantor implementation, and Department of Education’s implementation is now underway.  The schedule for the remaining agencies is under development.</w:t>
      </w:r>
    </w:p>
    <w:p w14:paraId="73470841" w14:textId="61817D05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During each Grantor Upload Phase, training staff from eCivis will provide hands-on guidance as agencies learn how to build, publish, and evaluate solicitations in eCivis.  For more information, please see the </w:t>
      </w:r>
      <w:hyperlink r:id="rId8" w:anchor="tab-718581-Events_Timeline" w:history="1">
        <w:r w:rsidRPr="003B77AD">
          <w:rPr>
            <w:rStyle w:val="Hyperlink"/>
            <w:rFonts w:asciiTheme="minorHAnsi" w:eastAsiaTheme="majorEastAsia" w:hAnsiTheme="minorHAnsi" w:cs="Arial"/>
            <w:color w:val="auto"/>
            <w:sz w:val="24"/>
            <w:szCs w:val="24"/>
            <w14:ligatures w14:val="none"/>
          </w:rPr>
          <w:t>eCivis Implementation Information</w:t>
        </w:r>
      </w:hyperlink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section of the SBA website.</w:t>
      </w:r>
    </w:p>
    <w:p w14:paraId="78328D63" w14:textId="3FA60CD9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All agencies will use eCivis to manage grantor activities.</w:t>
      </w:r>
    </w:p>
    <w:p w14:paraId="488CA9DD" w14:textId="17812476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 “Grantor” refers to when Indiana agencies distribute funding to subrecipients or grantee-agencies.</w:t>
      </w:r>
    </w:p>
    <w:p w14:paraId="36094C6F" w14:textId="50607C09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 “Subrecipient” is a non-federal entity that receives a subaward from a state agency to carry out part of a federal program.  An individual that is a beneficiary of such a federal program is not a subrecipient.</w:t>
      </w:r>
    </w:p>
    <w:p w14:paraId="42178C62" w14:textId="697FDFA8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eCivis will be the platform for all agency grantor activities,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including: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creating funding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lastRenderedPageBreak/>
        <w:t>solicitations, building applications, reviewing applications, monitoring subrecipients, and closing out subawards.</w:t>
      </w:r>
    </w:p>
    <w:p w14:paraId="1345B69E" w14:textId="2A7846EF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“eCivis was a dream.”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—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Brian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Mounts, Executive Directo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r,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Alcohol &amp; Addictions Resource Center (FSSA Subrecipient)</w:t>
      </w:r>
    </w:p>
    <w:p w14:paraId="6B4CD5B3" w14:textId="01DCDE63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Quick eCivis Reminders</w:t>
      </w:r>
    </w:p>
    <w:p w14:paraId="7B9FCBCF" w14:textId="1360C11B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Reminder #1:</w:t>
      </w:r>
    </w:p>
    <w:p w14:paraId="3C5AB93D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Remember to keep track of your Pending Tasks.</w:t>
      </w:r>
    </w:p>
    <w:p w14:paraId="18089A56" w14:textId="441A6DB5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In particular, users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need to Request Approval for approval tasks so that SBA can provide the approvals needed to keep the process moving.</w:t>
      </w:r>
    </w:p>
    <w:p w14:paraId="773235B4" w14:textId="44EF8BED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Reminder #2:</w:t>
      </w:r>
    </w:p>
    <w:p w14:paraId="5C43441C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Under </w:t>
      </w:r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>IC 4-3-24-7(e)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, agencies are required to submit their federal grant application to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State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Budget Agency within 60 days of submitting the application to the federal government.</w:t>
      </w:r>
    </w:p>
    <w:p w14:paraId="20D03844" w14:textId="34D7CE6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In some cases, like a competitive award, the “application” is the actual grant application.  In other cases, the “application” may be a multi-year state plan, a cooperative agreement, or simply an email from a federal agency notifying a state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agency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</w:t>
      </w:r>
    </w:p>
    <w:p w14:paraId="7E091B08" w14:textId="56160DF3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Reminder #3:</w:t>
      </w:r>
    </w:p>
    <w:p w14:paraId="3E5F07CE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Each eCivis project should only have one grant assigned to it.</w:t>
      </w:r>
    </w:p>
    <w:p w14:paraId="32EE95BF" w14:textId="77F26CF9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This one-to-one structure is necessary to support the pull of data from PeopleSoft.</w:t>
      </w:r>
    </w:p>
    <w:p w14:paraId="78F8FCB3" w14:textId="2A4B8F35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Reminder #4:</w:t>
      </w:r>
    </w:p>
    <w:p w14:paraId="03035F9C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Timing matters!</w:t>
      </w:r>
    </w:p>
    <w:p w14:paraId="098BB42D" w14:textId="2FC1BCBF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Submit requests for SBA pursuance approval not later than 10 days before a grant is due.</w:t>
      </w:r>
    </w:p>
    <w:p w14:paraId="4F8BC7A9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>Start your grant solicitation at least 3 weeks before your publication date and review your solicitation with SBA to be sure it is ready.</w:t>
      </w:r>
    </w:p>
    <w:p w14:paraId="12549139" w14:textId="3672B2B8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For more information, please check out the </w:t>
      </w:r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 xml:space="preserve">Grant Search to Application Submission User Guide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and the </w:t>
      </w:r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 xml:space="preserve">Create an eCivis Project Quick Reference Sheet 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from the </w:t>
      </w:r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>Resources for State Agencies -Grantee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section of the SBA website.</w:t>
      </w:r>
    </w:p>
    <w:p w14:paraId="1B66BC44" w14:textId="693F13AF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 SBA wants the Grants Management section to be a “one-stop-shop” for all things grants management-related.  </w:t>
      </w:r>
    </w:p>
    <w:p w14:paraId="3717694F" w14:textId="77777777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If you are looking for something and cannot find it on the site, please </w:t>
      </w:r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 xml:space="preserve">Contact Grants Management </w:t>
      </w:r>
      <w:proofErr w:type="gramStart"/>
      <w:r w:rsidRPr="003B77AD">
        <w:rPr>
          <w:rFonts w:asciiTheme="minorHAnsi" w:hAnsiTheme="minorHAnsi" w:cs="Arial"/>
          <w:color w:val="auto"/>
          <w:sz w:val="24"/>
          <w:szCs w:val="24"/>
          <w:u w:val="single"/>
          <w14:ligatures w14:val="none"/>
        </w:rPr>
        <w:t>Team</w:t>
      </w: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 so</w:t>
      </w:r>
      <w:proofErr w:type="gramEnd"/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we can add the resources you need!</w:t>
      </w:r>
    </w:p>
    <w:p w14:paraId="67CA7DFD" w14:textId="7BBB9C59" w:rsidR="003B77AD" w:rsidRPr="003B77AD" w:rsidRDefault="003B77AD" w:rsidP="003B77AD">
      <w:pPr>
        <w:widowControl w:val="0"/>
        <w:rPr>
          <w:rFonts w:asciiTheme="minorHAnsi" w:hAnsiTheme="minorHAnsi" w:cs="Arial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lastRenderedPageBreak/>
        <w:t xml:space="preserve">Questions? Need help?  Our Grants Management Team is ready to assist.  </w:t>
      </w:r>
      <w:hyperlink r:id="rId9" w:history="1">
        <w:r w:rsidRPr="003B77AD">
          <w:rPr>
            <w:rStyle w:val="Hyperlink"/>
            <w:rFonts w:asciiTheme="minorHAnsi" w:eastAsiaTheme="majorEastAsia" w:hAnsiTheme="minorHAnsi" w:cs="Arial"/>
            <w:color w:val="auto"/>
            <w:sz w:val="24"/>
            <w:szCs w:val="24"/>
            <w14:ligatures w14:val="none"/>
          </w:rPr>
          <w:t>Contact Grants Management Team</w:t>
        </w:r>
      </w:hyperlink>
      <w:r w:rsidRPr="003B77AD">
        <w:rPr>
          <w:rFonts w:asciiTheme="minorHAnsi" w:hAnsiTheme="minorHAnsi" w:cs="Arial"/>
          <w:color w:val="auto"/>
          <w:sz w:val="24"/>
          <w:szCs w:val="24"/>
          <w14:ligatures w14:val="none"/>
        </w:rPr>
        <w:t xml:space="preserve"> </w:t>
      </w:r>
    </w:p>
    <w:p w14:paraId="5E503284" w14:textId="77777777" w:rsidR="003B77AD" w:rsidRPr="003B77AD" w:rsidRDefault="003B77AD" w:rsidP="003B77AD">
      <w:pPr>
        <w:widowControl w:val="0"/>
        <w:rPr>
          <w:rFonts w:asciiTheme="minorHAnsi" w:hAnsiTheme="minorHAnsi"/>
          <w:color w:val="auto"/>
          <w:sz w:val="24"/>
          <w:szCs w:val="24"/>
          <w14:ligatures w14:val="none"/>
        </w:rPr>
      </w:pPr>
      <w:r w:rsidRPr="003B77AD">
        <w:rPr>
          <w:rFonts w:asciiTheme="minorHAnsi" w:hAnsiTheme="minorHAnsi"/>
          <w:color w:val="auto"/>
          <w:sz w:val="24"/>
          <w:szCs w:val="24"/>
          <w14:ligatures w14:val="none"/>
        </w:rPr>
        <w:t> </w:t>
      </w:r>
    </w:p>
    <w:p w14:paraId="2E5148FD" w14:textId="74BA5178" w:rsidR="003B77AD" w:rsidRPr="003B77AD" w:rsidRDefault="003B77AD" w:rsidP="003B77AD">
      <w:pPr>
        <w:rPr>
          <w:rFonts w:asciiTheme="minorHAnsi" w:hAnsiTheme="minorHAnsi"/>
          <w:color w:val="auto"/>
          <w:sz w:val="24"/>
          <w:szCs w:val="24"/>
        </w:rPr>
      </w:pPr>
    </w:p>
    <w:sectPr w:rsidR="003B77AD" w:rsidRPr="003B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0245"/>
    <w:multiLevelType w:val="hybridMultilevel"/>
    <w:tmpl w:val="087A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A5E34"/>
    <w:multiLevelType w:val="hybridMultilevel"/>
    <w:tmpl w:val="705C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6631">
    <w:abstractNumId w:val="1"/>
  </w:num>
  <w:num w:numId="2" w16cid:durableId="137666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AD"/>
    <w:rsid w:val="003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1779D67"/>
  <w15:chartTrackingRefBased/>
  <w15:docId w15:val="{73395C66-52E9-49CD-8D05-7ADE3811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A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7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7A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3B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B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7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3B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7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3B7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77AD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sba/grants/ecivis-implementation-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.gov/sba/grants/grants-management-worksho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.gov/sba/grants/resources-for-state-agencies/grante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.gov/sba/grants/ecivis-implementation-inform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sba/grants/contact-grants-management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Mehrlich, Jessica</dc:creator>
  <cp:keywords/>
  <dc:description/>
  <cp:lastModifiedBy>Mehrlich, Jessica</cp:lastModifiedBy>
  <cp:revision>1</cp:revision>
  <dcterms:created xsi:type="dcterms:W3CDTF">2024-04-12T12:49:00Z</dcterms:created>
  <dcterms:modified xsi:type="dcterms:W3CDTF">2024-04-12T12:57:00Z</dcterms:modified>
</cp:coreProperties>
</file>