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D42" w:rsidRDefault="00C06D42" w:rsidP="00FA5FF7">
      <w:pPr>
        <w:pStyle w:val="Subtitle"/>
        <w:spacing w:after="0" w:line="240" w:lineRule="auto"/>
        <w:jc w:val="center"/>
      </w:pPr>
      <w:bookmarkStart w:id="0" w:name="_GoBack"/>
      <w:bookmarkEnd w:id="0"/>
      <w:r>
        <w:rPr>
          <w:rFonts w:ascii="Garamond" w:eastAsia="Times New Roman" w:hAnsi="Garamond"/>
          <w:noProof/>
          <w:color w:val="222222"/>
          <w:u w:val="single"/>
          <w:lang w:eastAsia="en-US"/>
        </w:rPr>
        <w:drawing>
          <wp:anchor distT="0" distB="0" distL="114300" distR="114300" simplePos="0" relativeHeight="251658240" behindDoc="0" locked="0" layoutInCell="1" allowOverlap="1">
            <wp:simplePos x="0" y="0"/>
            <wp:positionH relativeFrom="margin">
              <wp:posOffset>2257425</wp:posOffset>
            </wp:positionH>
            <wp:positionV relativeFrom="margin">
              <wp:posOffset>-819150</wp:posOffset>
            </wp:positionV>
            <wp:extent cx="1671955" cy="1133475"/>
            <wp:effectExtent l="0" t="0" r="444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DC-Logo-Color-Vertic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1955" cy="1133475"/>
                    </a:xfrm>
                    <a:prstGeom prst="rect">
                      <a:avLst/>
                    </a:prstGeom>
                  </pic:spPr>
                </pic:pic>
              </a:graphicData>
            </a:graphic>
            <wp14:sizeRelH relativeFrom="margin">
              <wp14:pctWidth>0</wp14:pctWidth>
            </wp14:sizeRelH>
            <wp14:sizeRelV relativeFrom="margin">
              <wp14:pctHeight>0</wp14:pctHeight>
            </wp14:sizeRelV>
          </wp:anchor>
        </w:drawing>
      </w:r>
    </w:p>
    <w:p w:rsidR="007E51F6" w:rsidRDefault="007E51F6" w:rsidP="00FA5FF7">
      <w:pPr>
        <w:pStyle w:val="Subtitle"/>
        <w:spacing w:after="0" w:line="240" w:lineRule="auto"/>
        <w:jc w:val="center"/>
      </w:pPr>
    </w:p>
    <w:p w:rsidR="005A0E28" w:rsidRPr="005A0E28" w:rsidRDefault="005A0E28" w:rsidP="00194711">
      <w:pPr>
        <w:pStyle w:val="Heading1"/>
        <w:spacing w:before="120"/>
        <w:rPr>
          <w:rStyle w:val="BookTitle"/>
          <w:smallCaps/>
          <w:spacing w:val="0"/>
        </w:rPr>
      </w:pPr>
      <w:r w:rsidRPr="005A0E28">
        <w:rPr>
          <w:rStyle w:val="BookTitle"/>
          <w:smallCaps/>
          <w:spacing w:val="0"/>
        </w:rPr>
        <w:t>Michigan’s Trial Level Indigent Defense System</w:t>
      </w:r>
    </w:p>
    <w:p w:rsidR="00570649" w:rsidRPr="00C06D42" w:rsidRDefault="00570649" w:rsidP="00C06D42">
      <w:pPr>
        <w:pStyle w:val="Heading2"/>
        <w:numPr>
          <w:ilvl w:val="0"/>
          <w:numId w:val="0"/>
        </w:numPr>
        <w:jc w:val="both"/>
        <w:rPr>
          <w:b w:val="0"/>
          <w:bCs w:val="0"/>
        </w:rPr>
      </w:pPr>
      <w:r w:rsidRPr="00194711">
        <w:rPr>
          <w:rStyle w:val="Strong"/>
        </w:rPr>
        <w:t xml:space="preserve">National Legal Aid and Defender Association, 2008 - </w:t>
      </w:r>
      <w:r w:rsidRPr="00194711">
        <w:rPr>
          <w:rStyle w:val="Strong"/>
          <w:i/>
        </w:rPr>
        <w:t>A Race to the Bottom</w:t>
      </w:r>
      <w:r w:rsidR="006C1111">
        <w:rPr>
          <w:rStyle w:val="Strong"/>
          <w:i/>
        </w:rPr>
        <w:t xml:space="preserve"> --</w:t>
      </w:r>
      <w:r w:rsidRPr="00194711">
        <w:rPr>
          <w:rStyle w:val="Strong"/>
          <w:i/>
        </w:rPr>
        <w:t xml:space="preserve"> Speed and Savings over Due Process: A Constitutional Crisis</w:t>
      </w:r>
      <w:r w:rsidRPr="00194711">
        <w:rPr>
          <w:rStyle w:val="Strong"/>
        </w:rPr>
        <w:t>.  </w:t>
      </w:r>
    </w:p>
    <w:p w:rsidR="00570649" w:rsidRPr="00913E96" w:rsidRDefault="000C3AA2" w:rsidP="007D286A">
      <w:pPr>
        <w:pStyle w:val="ListParagraph"/>
        <w:spacing w:after="120"/>
        <w:jc w:val="both"/>
      </w:pPr>
      <w:r>
        <w:rPr>
          <w:color w:val="000000"/>
        </w:rPr>
        <w:t>In a study requested by Senate Concurrent Resolution 39 of 2006, t</w:t>
      </w:r>
      <w:r>
        <w:t>he National Legal Aid and</w:t>
      </w:r>
      <w:r w:rsidR="00570649" w:rsidRPr="00913E96">
        <w:t xml:space="preserve"> Defender Association (NLADA) found that Michigan failed to provide competent representation to poor people in its criminal courts.</w:t>
      </w:r>
      <w:r>
        <w:t xml:space="preserve">  In the </w:t>
      </w:r>
      <w:r w:rsidR="00570649" w:rsidRPr="00913E96">
        <w:t>year-long study of ten representative counties, NLADA concluded that none are constitutionally adequate</w:t>
      </w:r>
      <w:r>
        <w:t xml:space="preserve"> and Michigan ranked 44</w:t>
      </w:r>
      <w:r w:rsidRPr="000C3AA2">
        <w:rPr>
          <w:vertAlign w:val="superscript"/>
        </w:rPr>
        <w:t>th</w:t>
      </w:r>
      <w:r>
        <w:t xml:space="preserve"> out of all 50 states in per capita indigent defense spending</w:t>
      </w:r>
      <w:r w:rsidR="00570649" w:rsidRPr="00913E96">
        <w:t>.</w:t>
      </w:r>
    </w:p>
    <w:p w:rsidR="00A17B61" w:rsidRDefault="00A17B61" w:rsidP="00A17B61">
      <w:pPr>
        <w:spacing w:after="0" w:line="240" w:lineRule="auto"/>
        <w:jc w:val="both"/>
        <w:textAlignment w:val="baseline"/>
        <w:rPr>
          <w:rStyle w:val="BookTitle"/>
          <w:rFonts w:asciiTheme="majorHAnsi" w:hAnsiTheme="majorHAnsi"/>
          <w:sz w:val="24"/>
          <w:szCs w:val="24"/>
        </w:rPr>
      </w:pPr>
    </w:p>
    <w:p w:rsidR="000171B8" w:rsidRPr="00CD014F" w:rsidRDefault="00570649" w:rsidP="00C06D42">
      <w:pPr>
        <w:spacing w:after="0" w:line="240" w:lineRule="auto"/>
        <w:jc w:val="both"/>
        <w:textAlignment w:val="baseline"/>
        <w:rPr>
          <w:rStyle w:val="BookTitle"/>
          <w:sz w:val="24"/>
          <w:szCs w:val="24"/>
        </w:rPr>
      </w:pPr>
      <w:r w:rsidRPr="00CD014F">
        <w:rPr>
          <w:rStyle w:val="BookTitle"/>
          <w:sz w:val="24"/>
          <w:szCs w:val="24"/>
        </w:rPr>
        <w:t>In October 2011, Governor Snyder created the Indigent Defense Advisory Commission to investigate problems and recommend reforms.  </w:t>
      </w:r>
      <w:r w:rsidR="0045662B">
        <w:rPr>
          <w:rStyle w:val="BookTitle"/>
          <w:sz w:val="24"/>
          <w:szCs w:val="24"/>
        </w:rPr>
        <w:t>The Commission Found:</w:t>
      </w:r>
    </w:p>
    <w:p w:rsidR="00570649" w:rsidRPr="00CD014F" w:rsidRDefault="00570649" w:rsidP="007D286A">
      <w:pPr>
        <w:numPr>
          <w:ilvl w:val="1"/>
          <w:numId w:val="16"/>
        </w:numPr>
        <w:spacing w:after="0" w:line="240" w:lineRule="auto"/>
        <w:jc w:val="both"/>
        <w:textAlignment w:val="baseline"/>
        <w:rPr>
          <w:rStyle w:val="Emphasis"/>
        </w:rPr>
      </w:pPr>
      <w:r w:rsidRPr="00CD014F">
        <w:rPr>
          <w:rStyle w:val="Emphasis"/>
        </w:rPr>
        <w:t>Michigan’s counties offer an “uncoordinated, 83-county patchwork quilt” of public defense systems.</w:t>
      </w:r>
    </w:p>
    <w:p w:rsidR="00570649" w:rsidRPr="00CD014F" w:rsidRDefault="00570649" w:rsidP="007D286A">
      <w:pPr>
        <w:numPr>
          <w:ilvl w:val="1"/>
          <w:numId w:val="16"/>
        </w:numPr>
        <w:spacing w:after="0" w:line="240" w:lineRule="auto"/>
        <w:jc w:val="both"/>
        <w:textAlignment w:val="baseline"/>
        <w:rPr>
          <w:rStyle w:val="Emphasis"/>
        </w:rPr>
      </w:pPr>
      <w:r w:rsidRPr="00CD014F">
        <w:rPr>
          <w:rStyle w:val="Emphasis"/>
        </w:rPr>
        <w:t>There is no data or transparency to show if taxpayer dollars are spent efficiently or effectively.</w:t>
      </w:r>
    </w:p>
    <w:p w:rsidR="00A42A38" w:rsidRDefault="00525E76" w:rsidP="005A0E28">
      <w:pPr>
        <w:numPr>
          <w:ilvl w:val="1"/>
          <w:numId w:val="16"/>
        </w:numPr>
        <w:spacing w:after="0" w:line="240" w:lineRule="auto"/>
        <w:jc w:val="both"/>
        <w:textAlignment w:val="baseline"/>
        <w:rPr>
          <w:rStyle w:val="Emphasis"/>
        </w:rPr>
      </w:pPr>
      <w:r>
        <w:rPr>
          <w:rStyle w:val="Emphasis"/>
        </w:rPr>
        <w:t xml:space="preserve">Called for local control with </w:t>
      </w:r>
      <w:r w:rsidR="00570649" w:rsidRPr="00CD014F">
        <w:rPr>
          <w:rStyle w:val="Emphasis"/>
        </w:rPr>
        <w:t>statewide standards to define or ensure constitutionally adequate defense counsel.</w:t>
      </w:r>
    </w:p>
    <w:p w:rsidR="00A42A38" w:rsidRDefault="00570649" w:rsidP="00A42A38">
      <w:pPr>
        <w:pStyle w:val="Heading1"/>
      </w:pPr>
      <w:r w:rsidRPr="005A0E28">
        <w:t>The Michigan Indigent Defense Commission</w:t>
      </w:r>
    </w:p>
    <w:p w:rsidR="00A42A38" w:rsidRPr="00A42A38" w:rsidRDefault="00570649" w:rsidP="00A42A38">
      <w:pPr>
        <w:pStyle w:val="Heading2"/>
        <w:numPr>
          <w:ilvl w:val="0"/>
          <w:numId w:val="0"/>
        </w:numPr>
        <w:jc w:val="both"/>
        <w:rPr>
          <w:rStyle w:val="Strong"/>
        </w:rPr>
      </w:pPr>
      <w:r w:rsidRPr="00A42A38">
        <w:rPr>
          <w:rStyle w:val="Strong"/>
        </w:rPr>
        <w:t>The Michigan Indigent Defense Commission was create</w:t>
      </w:r>
      <w:r w:rsidR="00A42A38">
        <w:rPr>
          <w:rStyle w:val="Strong"/>
        </w:rPr>
        <w:t xml:space="preserve">d by PA 93 of 2013, signed into </w:t>
      </w:r>
      <w:r w:rsidRPr="00A42A38">
        <w:rPr>
          <w:rStyle w:val="Strong"/>
        </w:rPr>
        <w:t xml:space="preserve">law by Governor Snyder in July of 2013.  The Commission is an independent agency, </w:t>
      </w:r>
      <w:r w:rsidR="00EB673D">
        <w:rPr>
          <w:rStyle w:val="Strong"/>
        </w:rPr>
        <w:t xml:space="preserve">now </w:t>
      </w:r>
      <w:r w:rsidRPr="00A42A38">
        <w:rPr>
          <w:rStyle w:val="Strong"/>
        </w:rPr>
        <w:t xml:space="preserve">housed within the </w:t>
      </w:r>
      <w:r w:rsidR="00EB673D">
        <w:rPr>
          <w:rStyle w:val="Strong"/>
        </w:rPr>
        <w:t xml:space="preserve">executive </w:t>
      </w:r>
      <w:r w:rsidRPr="00A42A38">
        <w:rPr>
          <w:rStyle w:val="Strong"/>
        </w:rPr>
        <w:t xml:space="preserve">branch of state government and comprised of 15 members appointed by the Governor with recommendation of the Legislature, Supreme Court, the State Bar, and </w:t>
      </w:r>
      <w:r w:rsidR="001D1324" w:rsidRPr="00A42A38">
        <w:rPr>
          <w:rStyle w:val="Strong"/>
        </w:rPr>
        <w:t>represent</w:t>
      </w:r>
      <w:r w:rsidR="001D1324">
        <w:rPr>
          <w:rStyle w:val="Strong"/>
        </w:rPr>
        <w:t>ative</w:t>
      </w:r>
      <w:r w:rsidR="001D1324" w:rsidRPr="00A42A38">
        <w:rPr>
          <w:rStyle w:val="Strong"/>
        </w:rPr>
        <w:t xml:space="preserve"> </w:t>
      </w:r>
      <w:r w:rsidRPr="00A42A38">
        <w:rPr>
          <w:rStyle w:val="Strong"/>
        </w:rPr>
        <w:t xml:space="preserve">interests from the criminal justice system. </w:t>
      </w:r>
    </w:p>
    <w:p w:rsidR="00A42A38" w:rsidRDefault="00A42A38" w:rsidP="00A42A38">
      <w:pPr>
        <w:spacing w:after="0" w:line="240" w:lineRule="auto"/>
        <w:jc w:val="both"/>
        <w:textAlignment w:val="baseline"/>
        <w:rPr>
          <w:shd w:val="clear" w:color="auto" w:fill="FFFFFF"/>
        </w:rPr>
      </w:pPr>
    </w:p>
    <w:p w:rsidR="00194711" w:rsidRPr="00194711" w:rsidRDefault="00570649" w:rsidP="00194711">
      <w:pPr>
        <w:spacing w:after="0" w:line="240" w:lineRule="auto"/>
        <w:jc w:val="both"/>
        <w:textAlignment w:val="baseline"/>
        <w:rPr>
          <w:rFonts w:asciiTheme="majorHAnsi" w:hAnsiTheme="majorHAnsi"/>
          <w:b/>
          <w:u w:val="single"/>
          <w:shd w:val="clear" w:color="auto" w:fill="FFFFFF"/>
        </w:rPr>
      </w:pPr>
      <w:r w:rsidRPr="00194711">
        <w:rPr>
          <w:rFonts w:asciiTheme="majorHAnsi" w:hAnsiTheme="majorHAnsi"/>
          <w:b/>
          <w:u w:val="single"/>
          <w:shd w:val="clear" w:color="auto" w:fill="FFFFFF"/>
        </w:rPr>
        <w:t xml:space="preserve">The Commission has a </w:t>
      </w:r>
      <w:r w:rsidR="00667D63">
        <w:rPr>
          <w:rFonts w:asciiTheme="majorHAnsi" w:hAnsiTheme="majorHAnsi"/>
          <w:b/>
          <w:u w:val="single"/>
          <w:shd w:val="clear" w:color="auto" w:fill="FFFFFF"/>
        </w:rPr>
        <w:t xml:space="preserve">statutory </w:t>
      </w:r>
      <w:r w:rsidRPr="00194711">
        <w:rPr>
          <w:rFonts w:asciiTheme="majorHAnsi" w:hAnsiTheme="majorHAnsi"/>
          <w:b/>
          <w:u w:val="single"/>
          <w:shd w:val="clear" w:color="auto" w:fill="FFFFFF"/>
        </w:rPr>
        <w:t>mandate to:</w:t>
      </w:r>
    </w:p>
    <w:p w:rsidR="00194711" w:rsidRPr="00194711" w:rsidRDefault="00570649" w:rsidP="00194711">
      <w:pPr>
        <w:pStyle w:val="ListParagraph"/>
        <w:numPr>
          <w:ilvl w:val="0"/>
          <w:numId w:val="30"/>
        </w:numPr>
        <w:spacing w:after="0" w:line="240" w:lineRule="auto"/>
        <w:jc w:val="both"/>
        <w:textAlignment w:val="baseline"/>
        <w:rPr>
          <w:rFonts w:asciiTheme="majorHAnsi" w:hAnsiTheme="majorHAnsi"/>
          <w:shd w:val="clear" w:color="auto" w:fill="FFFFFF"/>
        </w:rPr>
      </w:pPr>
      <w:r w:rsidRPr="00194711">
        <w:rPr>
          <w:rFonts w:asciiTheme="majorHAnsi" w:hAnsiTheme="majorHAnsi"/>
          <w:shd w:val="clear" w:color="auto" w:fill="FFFFFF"/>
        </w:rPr>
        <w:t>Collect and compile data for the review of indigent defense services in Michigan;</w:t>
      </w:r>
    </w:p>
    <w:p w:rsidR="00194711" w:rsidRPr="00194711" w:rsidRDefault="008421CF" w:rsidP="00194711">
      <w:pPr>
        <w:pStyle w:val="ListParagraph"/>
        <w:numPr>
          <w:ilvl w:val="0"/>
          <w:numId w:val="30"/>
        </w:numPr>
        <w:spacing w:after="0" w:line="240" w:lineRule="auto"/>
        <w:jc w:val="both"/>
        <w:textAlignment w:val="baseline"/>
        <w:rPr>
          <w:rFonts w:asciiTheme="majorHAnsi" w:hAnsiTheme="majorHAnsi"/>
          <w:shd w:val="clear" w:color="auto" w:fill="FFFFFF"/>
        </w:rPr>
      </w:pPr>
      <w:r w:rsidRPr="00194711">
        <w:rPr>
          <w:rFonts w:asciiTheme="majorHAnsi" w:hAnsiTheme="majorHAnsi"/>
          <w:shd w:val="clear" w:color="auto" w:fill="FFFFFF"/>
        </w:rPr>
        <w:t xml:space="preserve">Propose </w:t>
      </w:r>
      <w:r w:rsidR="00570649" w:rsidRPr="00194711">
        <w:rPr>
          <w:rFonts w:asciiTheme="majorHAnsi" w:hAnsiTheme="majorHAnsi"/>
          <w:shd w:val="clear" w:color="auto" w:fill="FFFFFF"/>
        </w:rPr>
        <w:t xml:space="preserve">minimum standards, submitted to the </w:t>
      </w:r>
      <w:r w:rsidR="00C06D42">
        <w:rPr>
          <w:rFonts w:asciiTheme="majorHAnsi" w:hAnsiTheme="majorHAnsi"/>
          <w:shd w:val="clear" w:color="auto" w:fill="FFFFFF"/>
        </w:rPr>
        <w:t>Department of Licensing and Regulatory Affairs (LARA)</w:t>
      </w:r>
      <w:r w:rsidR="00570649" w:rsidRPr="00194711">
        <w:rPr>
          <w:rFonts w:asciiTheme="majorHAnsi" w:hAnsiTheme="majorHAnsi"/>
          <w:shd w:val="clear" w:color="auto" w:fill="FFFFFF"/>
        </w:rPr>
        <w:t>, to ensure all systems providing indigent defense meet constitutional obligations for effective assistance of counsel;</w:t>
      </w:r>
    </w:p>
    <w:p w:rsidR="00194711" w:rsidRPr="00194711" w:rsidRDefault="00570649" w:rsidP="00194711">
      <w:pPr>
        <w:pStyle w:val="ListParagraph"/>
        <w:numPr>
          <w:ilvl w:val="0"/>
          <w:numId w:val="30"/>
        </w:numPr>
        <w:spacing w:after="0" w:line="240" w:lineRule="auto"/>
        <w:jc w:val="both"/>
        <w:textAlignment w:val="baseline"/>
        <w:rPr>
          <w:rFonts w:asciiTheme="majorHAnsi" w:hAnsiTheme="majorHAnsi"/>
          <w:shd w:val="clear" w:color="auto" w:fill="FFFFFF"/>
        </w:rPr>
      </w:pPr>
      <w:r w:rsidRPr="00194711">
        <w:rPr>
          <w:rFonts w:asciiTheme="majorHAnsi" w:hAnsiTheme="majorHAnsi"/>
          <w:shd w:val="clear" w:color="auto" w:fill="FFFFFF"/>
        </w:rPr>
        <w:t xml:space="preserve">Work with </w:t>
      </w:r>
      <w:r w:rsidR="00525E76">
        <w:rPr>
          <w:rFonts w:asciiTheme="majorHAnsi" w:hAnsiTheme="majorHAnsi"/>
          <w:shd w:val="clear" w:color="auto" w:fill="FFFFFF"/>
        </w:rPr>
        <w:t>local systems</w:t>
      </w:r>
      <w:r w:rsidR="00525E76" w:rsidRPr="00194711">
        <w:rPr>
          <w:rFonts w:asciiTheme="majorHAnsi" w:hAnsiTheme="majorHAnsi"/>
          <w:shd w:val="clear" w:color="auto" w:fill="FFFFFF"/>
        </w:rPr>
        <w:t xml:space="preserve"> </w:t>
      </w:r>
      <w:r w:rsidRPr="00194711">
        <w:rPr>
          <w:rFonts w:asciiTheme="majorHAnsi" w:hAnsiTheme="majorHAnsi"/>
          <w:shd w:val="clear" w:color="auto" w:fill="FFFFFF"/>
        </w:rPr>
        <w:t xml:space="preserve">to implement plans to meet the standards and measure the performance of </w:t>
      </w:r>
      <w:r w:rsidR="00525E76">
        <w:rPr>
          <w:rFonts w:asciiTheme="majorHAnsi" w:hAnsiTheme="majorHAnsi"/>
          <w:shd w:val="clear" w:color="auto" w:fill="FFFFFF"/>
        </w:rPr>
        <w:t>systems</w:t>
      </w:r>
      <w:r w:rsidR="00525E76" w:rsidRPr="00194711">
        <w:rPr>
          <w:rFonts w:asciiTheme="majorHAnsi" w:hAnsiTheme="majorHAnsi"/>
          <w:shd w:val="clear" w:color="auto" w:fill="FFFFFF"/>
        </w:rPr>
        <w:t xml:space="preserve"> </w:t>
      </w:r>
      <w:r w:rsidRPr="00194711">
        <w:rPr>
          <w:rFonts w:asciiTheme="majorHAnsi" w:hAnsiTheme="majorHAnsi"/>
          <w:shd w:val="clear" w:color="auto" w:fill="FFFFFF"/>
        </w:rPr>
        <w:t>in providing public defense services;</w:t>
      </w:r>
    </w:p>
    <w:p w:rsidR="00570649" w:rsidRPr="0045662B" w:rsidRDefault="00570649" w:rsidP="00194711">
      <w:pPr>
        <w:pStyle w:val="ListParagraph"/>
        <w:numPr>
          <w:ilvl w:val="0"/>
          <w:numId w:val="30"/>
        </w:numPr>
        <w:spacing w:after="0" w:line="240" w:lineRule="auto"/>
        <w:jc w:val="both"/>
        <w:textAlignment w:val="baseline"/>
        <w:rPr>
          <w:rFonts w:asciiTheme="majorHAnsi" w:hAnsiTheme="majorHAnsi"/>
          <w:b/>
        </w:rPr>
      </w:pPr>
      <w:r w:rsidRPr="00194711">
        <w:rPr>
          <w:rFonts w:asciiTheme="majorHAnsi" w:hAnsiTheme="majorHAnsi"/>
          <w:shd w:val="clear" w:color="auto" w:fill="FFFFFF"/>
        </w:rPr>
        <w:t xml:space="preserve">Award </w:t>
      </w:r>
      <w:r w:rsidR="000F76EE" w:rsidRPr="00194711">
        <w:rPr>
          <w:rFonts w:asciiTheme="majorHAnsi" w:hAnsiTheme="majorHAnsi"/>
          <w:shd w:val="clear" w:color="auto" w:fill="FFFFFF"/>
        </w:rPr>
        <w:t xml:space="preserve">state-funded </w:t>
      </w:r>
      <w:r w:rsidRPr="00194711">
        <w:rPr>
          <w:rFonts w:asciiTheme="majorHAnsi" w:hAnsiTheme="majorHAnsi"/>
          <w:shd w:val="clear" w:color="auto" w:fill="FFFFFF"/>
        </w:rPr>
        <w:t xml:space="preserve">grants to </w:t>
      </w:r>
      <w:r w:rsidR="00E95EFE">
        <w:rPr>
          <w:rFonts w:asciiTheme="majorHAnsi" w:hAnsiTheme="majorHAnsi"/>
          <w:shd w:val="clear" w:color="auto" w:fill="FFFFFF"/>
        </w:rPr>
        <w:t>local</w:t>
      </w:r>
      <w:r w:rsidR="00E95EFE" w:rsidRPr="00194711">
        <w:rPr>
          <w:rFonts w:asciiTheme="majorHAnsi" w:hAnsiTheme="majorHAnsi"/>
          <w:shd w:val="clear" w:color="auto" w:fill="FFFFFF"/>
        </w:rPr>
        <w:t xml:space="preserve"> </w:t>
      </w:r>
      <w:r w:rsidRPr="00194711">
        <w:rPr>
          <w:rFonts w:asciiTheme="majorHAnsi" w:hAnsiTheme="majorHAnsi"/>
          <w:shd w:val="clear" w:color="auto" w:fill="FFFFFF"/>
        </w:rPr>
        <w:t>systems to bring their system</w:t>
      </w:r>
      <w:r w:rsidR="001D5705">
        <w:rPr>
          <w:rFonts w:asciiTheme="majorHAnsi" w:hAnsiTheme="majorHAnsi"/>
          <w:shd w:val="clear" w:color="auto" w:fill="FFFFFF"/>
        </w:rPr>
        <w:t>s</w:t>
      </w:r>
      <w:r w:rsidRPr="00194711">
        <w:rPr>
          <w:rFonts w:asciiTheme="majorHAnsi" w:hAnsiTheme="majorHAnsi"/>
          <w:shd w:val="clear" w:color="auto" w:fill="FFFFFF"/>
        </w:rPr>
        <w:t xml:space="preserve"> in</w:t>
      </w:r>
      <w:r w:rsidR="000F76EE" w:rsidRPr="00194711">
        <w:rPr>
          <w:rFonts w:asciiTheme="majorHAnsi" w:hAnsiTheme="majorHAnsi"/>
          <w:shd w:val="clear" w:color="auto" w:fill="FFFFFF"/>
        </w:rPr>
        <w:t>to</w:t>
      </w:r>
      <w:r w:rsidRPr="00194711">
        <w:rPr>
          <w:rFonts w:asciiTheme="majorHAnsi" w:hAnsiTheme="majorHAnsi"/>
          <w:shd w:val="clear" w:color="auto" w:fill="FFFFFF"/>
        </w:rPr>
        <w:t xml:space="preserve"> compliance with the new minimum standards</w:t>
      </w:r>
      <w:r w:rsidR="001D5705">
        <w:rPr>
          <w:rFonts w:asciiTheme="majorHAnsi" w:hAnsiTheme="majorHAnsi"/>
          <w:shd w:val="clear" w:color="auto" w:fill="FFFFFF"/>
        </w:rPr>
        <w:t>.</w:t>
      </w:r>
    </w:p>
    <w:p w:rsidR="0045662B" w:rsidRDefault="0045662B" w:rsidP="0045662B">
      <w:pPr>
        <w:spacing w:after="0" w:line="240" w:lineRule="auto"/>
        <w:jc w:val="both"/>
        <w:textAlignment w:val="baseline"/>
        <w:rPr>
          <w:rFonts w:asciiTheme="majorHAnsi" w:hAnsiTheme="majorHAnsi"/>
          <w:b/>
        </w:rPr>
      </w:pPr>
    </w:p>
    <w:p w:rsidR="0045662B" w:rsidRPr="0045662B" w:rsidRDefault="0045662B" w:rsidP="0045662B">
      <w:pPr>
        <w:spacing w:after="0" w:line="240" w:lineRule="auto"/>
        <w:jc w:val="both"/>
        <w:textAlignment w:val="baseline"/>
        <w:rPr>
          <w:rFonts w:asciiTheme="majorHAnsi" w:hAnsiTheme="majorHAnsi"/>
        </w:rPr>
      </w:pPr>
      <w:r w:rsidRPr="0045662B">
        <w:rPr>
          <w:rFonts w:asciiTheme="majorHAnsi" w:hAnsiTheme="majorHAnsi"/>
        </w:rPr>
        <w:t xml:space="preserve">The MIDC Act makes clear that counties and municipalities will not have to pay additional funds for compliance.  </w:t>
      </w:r>
      <w:r>
        <w:rPr>
          <w:rFonts w:asciiTheme="majorHAnsi" w:hAnsiTheme="majorHAnsi"/>
        </w:rPr>
        <w:t>The duty of compliance is contingent upon receipt of state grants.  MCL 780.993, 780.997.</w:t>
      </w:r>
      <w:r w:rsidRPr="0045662B">
        <w:rPr>
          <w:rFonts w:asciiTheme="majorHAnsi" w:hAnsiTheme="majorHAnsi"/>
        </w:rPr>
        <w:t xml:space="preserve">  </w:t>
      </w:r>
    </w:p>
    <w:p w:rsidR="00570649" w:rsidRPr="000171B8" w:rsidRDefault="00A46EFD" w:rsidP="007D286A">
      <w:pPr>
        <w:pStyle w:val="Heading2"/>
        <w:numPr>
          <w:ilvl w:val="0"/>
          <w:numId w:val="0"/>
        </w:numPr>
        <w:jc w:val="both"/>
        <w:rPr>
          <w:b w:val="0"/>
        </w:rPr>
      </w:pPr>
      <w:bookmarkStart w:id="1" w:name="_Hlk510799867"/>
      <w:r>
        <w:rPr>
          <w:b w:val="0"/>
          <w:shd w:val="clear" w:color="auto" w:fill="FFFFFF"/>
        </w:rPr>
        <w:lastRenderedPageBreak/>
        <w:t>The Work of the Commission:</w:t>
      </w:r>
      <w:bookmarkEnd w:id="1"/>
    </w:p>
    <w:p w:rsidR="00A46EFD" w:rsidRDefault="00DD13ED" w:rsidP="00EB673D">
      <w:pPr>
        <w:pStyle w:val="ListParagraph"/>
        <w:numPr>
          <w:ilvl w:val="0"/>
          <w:numId w:val="22"/>
        </w:numPr>
        <w:rPr>
          <w:rFonts w:asciiTheme="majorHAnsi" w:hAnsiTheme="majorHAnsi"/>
        </w:rPr>
      </w:pPr>
      <w:r>
        <w:rPr>
          <w:rFonts w:asciiTheme="majorHAnsi" w:hAnsiTheme="majorHAnsi"/>
        </w:rPr>
        <w:t xml:space="preserve">In 2017, </w:t>
      </w:r>
      <w:r w:rsidR="005D1F31" w:rsidRPr="00C06D42">
        <w:rPr>
          <w:rFonts w:asciiTheme="majorHAnsi" w:hAnsiTheme="majorHAnsi"/>
        </w:rPr>
        <w:t xml:space="preserve">The Commission </w:t>
      </w:r>
      <w:r w:rsidR="008421CF" w:rsidRPr="00C06D42">
        <w:rPr>
          <w:rFonts w:asciiTheme="majorHAnsi" w:hAnsiTheme="majorHAnsi"/>
        </w:rPr>
        <w:t xml:space="preserve">submitted to </w:t>
      </w:r>
      <w:r w:rsidR="00C06D42" w:rsidRPr="00C06D42">
        <w:rPr>
          <w:rFonts w:asciiTheme="majorHAnsi" w:hAnsiTheme="majorHAnsi"/>
        </w:rPr>
        <w:t>LARA</w:t>
      </w:r>
      <w:r w:rsidR="00EB673D" w:rsidRPr="00C06D42">
        <w:rPr>
          <w:rFonts w:asciiTheme="majorHAnsi" w:hAnsiTheme="majorHAnsi"/>
        </w:rPr>
        <w:t xml:space="preserve"> </w:t>
      </w:r>
      <w:r w:rsidR="008421CF" w:rsidRPr="00C06D42">
        <w:rPr>
          <w:rFonts w:asciiTheme="majorHAnsi" w:hAnsiTheme="majorHAnsi"/>
        </w:rPr>
        <w:t xml:space="preserve">a first set of </w:t>
      </w:r>
      <w:r>
        <w:rPr>
          <w:rFonts w:asciiTheme="majorHAnsi" w:hAnsiTheme="majorHAnsi"/>
        </w:rPr>
        <w:t xml:space="preserve">four </w:t>
      </w:r>
      <w:r w:rsidR="00A46EFD">
        <w:rPr>
          <w:rFonts w:asciiTheme="majorHAnsi" w:hAnsiTheme="majorHAnsi"/>
        </w:rPr>
        <w:t xml:space="preserve">proposed </w:t>
      </w:r>
      <w:r w:rsidR="00146522" w:rsidRPr="00C06D42">
        <w:rPr>
          <w:rFonts w:asciiTheme="majorHAnsi" w:hAnsiTheme="majorHAnsi"/>
        </w:rPr>
        <w:t>minimum standards</w:t>
      </w:r>
      <w:r w:rsidR="008421CF" w:rsidRPr="00C06D42">
        <w:rPr>
          <w:rFonts w:asciiTheme="majorHAnsi" w:hAnsiTheme="majorHAnsi"/>
        </w:rPr>
        <w:t xml:space="preserve"> for indigent defense</w:t>
      </w:r>
      <w:r w:rsidR="00A46EFD">
        <w:rPr>
          <w:rFonts w:asciiTheme="majorHAnsi" w:hAnsiTheme="majorHAnsi"/>
        </w:rPr>
        <w:t xml:space="preserve">.  The standards addressed:  </w:t>
      </w:r>
    </w:p>
    <w:p w:rsidR="00A46EFD" w:rsidRDefault="00A46EFD" w:rsidP="00A46EFD">
      <w:pPr>
        <w:pStyle w:val="ListParagraph"/>
        <w:numPr>
          <w:ilvl w:val="1"/>
          <w:numId w:val="22"/>
        </w:numPr>
        <w:rPr>
          <w:rFonts w:asciiTheme="majorHAnsi" w:hAnsiTheme="majorHAnsi"/>
        </w:rPr>
      </w:pPr>
      <w:r>
        <w:rPr>
          <w:rFonts w:asciiTheme="majorHAnsi" w:hAnsiTheme="majorHAnsi"/>
        </w:rPr>
        <w:t>T</w:t>
      </w:r>
      <w:r w:rsidR="008421CF" w:rsidRPr="00C06D42">
        <w:rPr>
          <w:rFonts w:asciiTheme="majorHAnsi" w:hAnsiTheme="majorHAnsi"/>
        </w:rPr>
        <w:t>raining and education of defense attorneys</w:t>
      </w:r>
      <w:r>
        <w:rPr>
          <w:rFonts w:asciiTheme="majorHAnsi" w:hAnsiTheme="majorHAnsi"/>
        </w:rPr>
        <w:t>;</w:t>
      </w:r>
    </w:p>
    <w:p w:rsidR="00A46EFD" w:rsidRDefault="00A46EFD" w:rsidP="00A46EFD">
      <w:pPr>
        <w:pStyle w:val="ListParagraph"/>
        <w:numPr>
          <w:ilvl w:val="1"/>
          <w:numId w:val="22"/>
        </w:numPr>
        <w:rPr>
          <w:rFonts w:asciiTheme="majorHAnsi" w:hAnsiTheme="majorHAnsi"/>
        </w:rPr>
      </w:pPr>
      <w:r>
        <w:rPr>
          <w:rFonts w:asciiTheme="majorHAnsi" w:hAnsiTheme="majorHAnsi"/>
        </w:rPr>
        <w:t xml:space="preserve">The </w:t>
      </w:r>
      <w:r w:rsidR="008421CF" w:rsidRPr="00C06D42">
        <w:rPr>
          <w:rFonts w:asciiTheme="majorHAnsi" w:hAnsiTheme="majorHAnsi"/>
        </w:rPr>
        <w:t>initial client interview</w:t>
      </w:r>
      <w:r>
        <w:rPr>
          <w:rFonts w:asciiTheme="majorHAnsi" w:hAnsiTheme="majorHAnsi"/>
        </w:rPr>
        <w:t>;</w:t>
      </w:r>
    </w:p>
    <w:p w:rsidR="00A46EFD" w:rsidRDefault="00A46EFD" w:rsidP="00A46EFD">
      <w:pPr>
        <w:pStyle w:val="ListParagraph"/>
        <w:numPr>
          <w:ilvl w:val="1"/>
          <w:numId w:val="22"/>
        </w:numPr>
        <w:rPr>
          <w:rFonts w:asciiTheme="majorHAnsi" w:hAnsiTheme="majorHAnsi"/>
        </w:rPr>
      </w:pPr>
      <w:r>
        <w:rPr>
          <w:rFonts w:asciiTheme="majorHAnsi" w:hAnsiTheme="majorHAnsi"/>
        </w:rPr>
        <w:t xml:space="preserve">Access and use </w:t>
      </w:r>
      <w:r w:rsidR="00D6277C" w:rsidRPr="00C06D42">
        <w:rPr>
          <w:rFonts w:asciiTheme="majorHAnsi" w:hAnsiTheme="majorHAnsi"/>
        </w:rPr>
        <w:t>of experts and investigators</w:t>
      </w:r>
      <w:r>
        <w:rPr>
          <w:rFonts w:asciiTheme="majorHAnsi" w:hAnsiTheme="majorHAnsi"/>
        </w:rPr>
        <w:t xml:space="preserve">; and </w:t>
      </w:r>
    </w:p>
    <w:p w:rsidR="00A46EFD" w:rsidRDefault="00A46EFD" w:rsidP="00A46EFD">
      <w:pPr>
        <w:pStyle w:val="ListParagraph"/>
        <w:numPr>
          <w:ilvl w:val="1"/>
          <w:numId w:val="22"/>
        </w:numPr>
        <w:spacing w:after="0"/>
        <w:rPr>
          <w:rFonts w:asciiTheme="majorHAnsi" w:hAnsiTheme="majorHAnsi"/>
        </w:rPr>
      </w:pPr>
      <w:r>
        <w:rPr>
          <w:rFonts w:asciiTheme="majorHAnsi" w:hAnsiTheme="majorHAnsi"/>
        </w:rPr>
        <w:t>C</w:t>
      </w:r>
      <w:r w:rsidR="008421CF" w:rsidRPr="00C06D42">
        <w:rPr>
          <w:rFonts w:asciiTheme="majorHAnsi" w:hAnsiTheme="majorHAnsi"/>
        </w:rPr>
        <w:t>ounsel at first appearance and other critical stages.</w:t>
      </w:r>
    </w:p>
    <w:p w:rsidR="00C06D42" w:rsidRDefault="00DD13ED" w:rsidP="00A46EFD">
      <w:pPr>
        <w:spacing w:after="0"/>
        <w:ind w:left="1416"/>
        <w:rPr>
          <w:rFonts w:asciiTheme="majorHAnsi" w:hAnsiTheme="majorHAnsi"/>
        </w:rPr>
      </w:pPr>
      <w:r w:rsidRPr="00A46EFD">
        <w:rPr>
          <w:rFonts w:asciiTheme="majorHAnsi" w:hAnsiTheme="majorHAnsi"/>
        </w:rPr>
        <w:t xml:space="preserve">LARA approved the standards in May 2017, starting </w:t>
      </w:r>
      <w:r w:rsidR="00667D63">
        <w:rPr>
          <w:rFonts w:asciiTheme="majorHAnsi" w:hAnsiTheme="majorHAnsi"/>
        </w:rPr>
        <w:t>a 180-</w:t>
      </w:r>
      <w:r w:rsidR="00EB673D" w:rsidRPr="00A46EFD">
        <w:rPr>
          <w:rFonts w:asciiTheme="majorHAnsi" w:hAnsiTheme="majorHAnsi"/>
        </w:rPr>
        <w:t>day deadline for submission of compliance plans and cost estimates.</w:t>
      </w:r>
      <w:r w:rsidR="0077647C" w:rsidRPr="00A46EFD">
        <w:rPr>
          <w:rFonts w:asciiTheme="majorHAnsi" w:hAnsiTheme="majorHAnsi"/>
        </w:rPr>
        <w:t xml:space="preserve">  </w:t>
      </w:r>
    </w:p>
    <w:p w:rsidR="00DC701C" w:rsidRDefault="00DD13ED" w:rsidP="00EB673D">
      <w:pPr>
        <w:pStyle w:val="ListParagraph"/>
        <w:numPr>
          <w:ilvl w:val="0"/>
          <w:numId w:val="22"/>
        </w:numPr>
        <w:rPr>
          <w:rFonts w:asciiTheme="majorHAnsi" w:hAnsiTheme="majorHAnsi"/>
        </w:rPr>
      </w:pPr>
      <w:r>
        <w:rPr>
          <w:rFonts w:asciiTheme="majorHAnsi" w:hAnsiTheme="majorHAnsi"/>
        </w:rPr>
        <w:t xml:space="preserve">In </w:t>
      </w:r>
      <w:r w:rsidR="00DC701C">
        <w:rPr>
          <w:rFonts w:asciiTheme="majorHAnsi" w:hAnsiTheme="majorHAnsi"/>
        </w:rPr>
        <w:t xml:space="preserve">November 2017, MIDC received compliance plans from 132 local systems.  </w:t>
      </w:r>
    </w:p>
    <w:p w:rsidR="00667D63" w:rsidRDefault="00DC701C" w:rsidP="00667D63">
      <w:pPr>
        <w:pStyle w:val="ListParagraph"/>
        <w:numPr>
          <w:ilvl w:val="0"/>
          <w:numId w:val="22"/>
        </w:numPr>
        <w:spacing w:after="0"/>
        <w:rPr>
          <w:rFonts w:asciiTheme="majorHAnsi" w:hAnsiTheme="majorHAnsi"/>
        </w:rPr>
      </w:pPr>
      <w:r>
        <w:rPr>
          <w:rFonts w:asciiTheme="majorHAnsi" w:hAnsiTheme="majorHAnsi"/>
        </w:rPr>
        <w:t>The plans were subjected to a multi-level review process by Regional Managers, the Grant Manager, Senior Staff and where applicable, subcommittees of the Commission, prior to reaching the Commission for final review and approval or disapproval.</w:t>
      </w:r>
    </w:p>
    <w:p w:rsidR="00EB673D" w:rsidRDefault="00DC701C" w:rsidP="00EB673D">
      <w:pPr>
        <w:pStyle w:val="ListParagraph"/>
        <w:numPr>
          <w:ilvl w:val="0"/>
          <w:numId w:val="22"/>
        </w:numPr>
        <w:rPr>
          <w:rFonts w:asciiTheme="majorHAnsi" w:hAnsiTheme="majorHAnsi"/>
        </w:rPr>
      </w:pPr>
      <w:r>
        <w:rPr>
          <w:rFonts w:asciiTheme="majorHAnsi" w:hAnsiTheme="majorHAnsi"/>
        </w:rPr>
        <w:t xml:space="preserve">At its December 2017 and January 2018 meetings, the Commission approved 16 of the compliance plans, returning the remaining 116 plans for additional work and resubmission.  The majority of the disapprovals required local systems to reexamine the cost analysis associated with the plans.  </w:t>
      </w:r>
    </w:p>
    <w:p w:rsidR="00AA3AB2" w:rsidRDefault="00AA3AB2" w:rsidP="00EB673D">
      <w:pPr>
        <w:pStyle w:val="ListParagraph"/>
        <w:numPr>
          <w:ilvl w:val="0"/>
          <w:numId w:val="22"/>
        </w:numPr>
        <w:rPr>
          <w:rFonts w:asciiTheme="majorHAnsi" w:hAnsiTheme="majorHAnsi"/>
        </w:rPr>
      </w:pPr>
      <w:r>
        <w:rPr>
          <w:rFonts w:asciiTheme="majorHAnsi" w:hAnsiTheme="majorHAnsi"/>
        </w:rPr>
        <w:t>The Commission approved 55 resubmitted plans at its February and March 2018 meetings.</w:t>
      </w:r>
    </w:p>
    <w:p w:rsidR="00667D63" w:rsidRDefault="001D5705" w:rsidP="00667D63">
      <w:pPr>
        <w:pStyle w:val="ListParagraph"/>
        <w:numPr>
          <w:ilvl w:val="0"/>
          <w:numId w:val="22"/>
        </w:numPr>
        <w:rPr>
          <w:rFonts w:asciiTheme="majorHAnsi" w:hAnsiTheme="majorHAnsi"/>
        </w:rPr>
      </w:pPr>
      <w:r>
        <w:rPr>
          <w:rFonts w:asciiTheme="majorHAnsi" w:hAnsiTheme="majorHAnsi"/>
        </w:rPr>
        <w:t xml:space="preserve">To date, the </w:t>
      </w:r>
      <w:r w:rsidR="00AA3AB2">
        <w:rPr>
          <w:rFonts w:asciiTheme="majorHAnsi" w:hAnsiTheme="majorHAnsi"/>
        </w:rPr>
        <w:t>Commission has approved 71 local system compliance plans</w:t>
      </w:r>
      <w:r w:rsidR="00667D63">
        <w:rPr>
          <w:rFonts w:asciiTheme="majorHAnsi" w:hAnsiTheme="majorHAnsi"/>
        </w:rPr>
        <w:t>,</w:t>
      </w:r>
      <w:r w:rsidR="00AA3AB2">
        <w:rPr>
          <w:rFonts w:asciiTheme="majorHAnsi" w:hAnsiTheme="majorHAnsi"/>
        </w:rPr>
        <w:t xml:space="preserve"> which total approximately $28 million in grant requests.  </w:t>
      </w:r>
    </w:p>
    <w:p w:rsidR="00AA3AB2" w:rsidRDefault="00AA3AB2" w:rsidP="00EB673D">
      <w:pPr>
        <w:pStyle w:val="ListParagraph"/>
        <w:numPr>
          <w:ilvl w:val="0"/>
          <w:numId w:val="22"/>
        </w:numPr>
        <w:rPr>
          <w:rFonts w:asciiTheme="majorHAnsi" w:hAnsiTheme="majorHAnsi"/>
        </w:rPr>
      </w:pPr>
      <w:r>
        <w:rPr>
          <w:rFonts w:asciiTheme="majorHAnsi" w:hAnsiTheme="majorHAnsi"/>
        </w:rPr>
        <w:t xml:space="preserve">The Commission will review the remaining 56 resubmitted plans at its April meeting.  </w:t>
      </w:r>
    </w:p>
    <w:p w:rsidR="00A15037" w:rsidRDefault="00667D63" w:rsidP="00A46EFD">
      <w:pPr>
        <w:pStyle w:val="ListParagraph"/>
        <w:numPr>
          <w:ilvl w:val="0"/>
          <w:numId w:val="22"/>
        </w:numPr>
        <w:jc w:val="both"/>
        <w:rPr>
          <w:rFonts w:asciiTheme="majorHAnsi" w:hAnsiTheme="majorHAnsi"/>
        </w:rPr>
      </w:pPr>
      <w:r>
        <w:rPr>
          <w:rFonts w:asciiTheme="majorHAnsi" w:hAnsiTheme="majorHAnsi"/>
        </w:rPr>
        <w:t>Where c</w:t>
      </w:r>
      <w:r w:rsidR="00AA3AB2" w:rsidRPr="00A46EFD">
        <w:rPr>
          <w:rFonts w:asciiTheme="majorHAnsi" w:hAnsiTheme="majorHAnsi"/>
        </w:rPr>
        <w:t xml:space="preserve">ompliance plans </w:t>
      </w:r>
      <w:r>
        <w:rPr>
          <w:rFonts w:asciiTheme="majorHAnsi" w:hAnsiTheme="majorHAnsi"/>
        </w:rPr>
        <w:t>are</w:t>
      </w:r>
      <w:r w:rsidR="00AA3AB2" w:rsidRPr="00A46EFD">
        <w:rPr>
          <w:rFonts w:asciiTheme="majorHAnsi" w:hAnsiTheme="majorHAnsi"/>
        </w:rPr>
        <w:t xml:space="preserve"> not approved by the Commission at its April meeting, </w:t>
      </w:r>
      <w:r>
        <w:rPr>
          <w:rFonts w:asciiTheme="majorHAnsi" w:hAnsiTheme="majorHAnsi"/>
        </w:rPr>
        <w:t xml:space="preserve">local systems </w:t>
      </w:r>
      <w:r w:rsidR="00AA3AB2" w:rsidRPr="00A46EFD">
        <w:rPr>
          <w:rFonts w:asciiTheme="majorHAnsi" w:hAnsiTheme="majorHAnsi"/>
        </w:rPr>
        <w:t xml:space="preserve">will have the opportunity </w:t>
      </w:r>
      <w:r>
        <w:rPr>
          <w:rFonts w:asciiTheme="majorHAnsi" w:hAnsiTheme="majorHAnsi"/>
        </w:rPr>
        <w:t xml:space="preserve">to work with MIDC to submit a </w:t>
      </w:r>
      <w:r w:rsidR="00AA3AB2" w:rsidRPr="00A46EFD">
        <w:rPr>
          <w:rFonts w:asciiTheme="majorHAnsi" w:hAnsiTheme="majorHAnsi"/>
        </w:rPr>
        <w:t xml:space="preserve">third and final revised plan. </w:t>
      </w:r>
      <w:r w:rsidR="00194711" w:rsidRPr="00A46EFD">
        <w:rPr>
          <w:rFonts w:asciiTheme="majorHAnsi" w:hAnsiTheme="majorHAnsi"/>
        </w:rPr>
        <w:t xml:space="preserve">  </w:t>
      </w:r>
    </w:p>
    <w:p w:rsidR="008E6806" w:rsidRDefault="008E6806" w:rsidP="008E6806">
      <w:pPr>
        <w:jc w:val="both"/>
        <w:rPr>
          <w:rFonts w:asciiTheme="majorHAnsi" w:hAnsiTheme="majorHAnsi"/>
        </w:rPr>
      </w:pPr>
      <w:r>
        <w:rPr>
          <w:rFonts w:asciiTheme="majorHAnsi" w:hAnsiTheme="majorHAnsi"/>
        </w:rPr>
        <w:t>NEXT STEPS</w:t>
      </w:r>
      <w:r w:rsidRPr="008E6806">
        <w:rPr>
          <w:rFonts w:asciiTheme="majorHAnsi" w:hAnsiTheme="majorHAnsi"/>
        </w:rPr>
        <w:t>:</w:t>
      </w:r>
    </w:p>
    <w:p w:rsidR="00A9560A" w:rsidRDefault="008E6806" w:rsidP="008E6806">
      <w:pPr>
        <w:pStyle w:val="ListParagraph"/>
        <w:numPr>
          <w:ilvl w:val="0"/>
          <w:numId w:val="35"/>
        </w:numPr>
        <w:jc w:val="both"/>
        <w:rPr>
          <w:rFonts w:asciiTheme="majorHAnsi" w:hAnsiTheme="majorHAnsi"/>
        </w:rPr>
      </w:pPr>
      <w:r>
        <w:rPr>
          <w:rFonts w:asciiTheme="majorHAnsi" w:hAnsiTheme="majorHAnsi"/>
        </w:rPr>
        <w:t xml:space="preserve">Receiving comments and holding a public hearing on proposed standards addressing independence from the judiciary, </w:t>
      </w:r>
      <w:r w:rsidR="00A9560A">
        <w:rPr>
          <w:rFonts w:asciiTheme="majorHAnsi" w:hAnsiTheme="majorHAnsi"/>
        </w:rPr>
        <w:t xml:space="preserve">indigent defense caseloads, </w:t>
      </w:r>
      <w:r>
        <w:rPr>
          <w:rFonts w:asciiTheme="majorHAnsi" w:hAnsiTheme="majorHAnsi"/>
        </w:rPr>
        <w:t xml:space="preserve">qualification and review of attorneys appointed in indigent defense cases </w:t>
      </w:r>
      <w:r w:rsidR="00A9560A">
        <w:rPr>
          <w:rFonts w:asciiTheme="majorHAnsi" w:hAnsiTheme="majorHAnsi"/>
        </w:rPr>
        <w:t>and financial incentives and disincentives for indigent defense counsel</w:t>
      </w:r>
    </w:p>
    <w:p w:rsidR="008E6806" w:rsidRDefault="008E6806" w:rsidP="008E6806">
      <w:pPr>
        <w:pStyle w:val="ListParagraph"/>
        <w:numPr>
          <w:ilvl w:val="0"/>
          <w:numId w:val="35"/>
        </w:numPr>
        <w:jc w:val="both"/>
        <w:rPr>
          <w:rFonts w:asciiTheme="majorHAnsi" w:hAnsiTheme="majorHAnsi"/>
        </w:rPr>
      </w:pPr>
      <w:r>
        <w:rPr>
          <w:rFonts w:asciiTheme="majorHAnsi" w:hAnsiTheme="majorHAnsi"/>
        </w:rPr>
        <w:t>Developing metrics to assess the provision of indigent defense services in Michigan</w:t>
      </w:r>
      <w:r w:rsidR="00A9560A">
        <w:rPr>
          <w:rFonts w:asciiTheme="majorHAnsi" w:hAnsiTheme="majorHAnsi"/>
        </w:rPr>
        <w:t xml:space="preserve"> relevant to national standards</w:t>
      </w:r>
    </w:p>
    <w:p w:rsidR="00A9560A" w:rsidRPr="00A9560A" w:rsidRDefault="00CC0A62" w:rsidP="00A9560A">
      <w:pPr>
        <w:pStyle w:val="ListParagraph"/>
        <w:numPr>
          <w:ilvl w:val="0"/>
          <w:numId w:val="35"/>
        </w:numPr>
        <w:jc w:val="both"/>
        <w:rPr>
          <w:rFonts w:asciiTheme="majorHAnsi" w:hAnsiTheme="majorHAnsi"/>
        </w:rPr>
      </w:pPr>
      <w:r>
        <w:rPr>
          <w:rFonts w:asciiTheme="majorHAnsi" w:hAnsiTheme="majorHAnsi"/>
        </w:rPr>
        <w:t xml:space="preserve">Conducting </w:t>
      </w:r>
      <w:r w:rsidR="00A9560A">
        <w:rPr>
          <w:rFonts w:asciiTheme="majorHAnsi" w:hAnsiTheme="majorHAnsi"/>
        </w:rPr>
        <w:t xml:space="preserve">research studies to determine appropriate indigent defense caseloads and to assess the </w:t>
      </w:r>
      <w:r w:rsidR="001D5705">
        <w:rPr>
          <w:rFonts w:asciiTheme="majorHAnsi" w:hAnsiTheme="majorHAnsi"/>
        </w:rPr>
        <w:t xml:space="preserve">impact and success </w:t>
      </w:r>
      <w:r w:rsidR="00A9560A">
        <w:rPr>
          <w:rFonts w:asciiTheme="majorHAnsi" w:hAnsiTheme="majorHAnsi"/>
        </w:rPr>
        <w:t xml:space="preserve">of the initial standards </w:t>
      </w:r>
    </w:p>
    <w:p w:rsidR="00667D63" w:rsidRDefault="00667D63" w:rsidP="00667D63">
      <w:pPr>
        <w:jc w:val="both"/>
        <w:rPr>
          <w:rFonts w:asciiTheme="majorHAnsi" w:hAnsiTheme="majorHAnsi"/>
          <w:smallCaps/>
        </w:rPr>
      </w:pPr>
    </w:p>
    <w:p w:rsidR="00667D63" w:rsidRDefault="00667D63" w:rsidP="00667D63">
      <w:pPr>
        <w:jc w:val="both"/>
        <w:rPr>
          <w:rFonts w:asciiTheme="majorHAnsi" w:hAnsiTheme="majorHAnsi"/>
          <w:smallCaps/>
        </w:rPr>
      </w:pPr>
    </w:p>
    <w:p w:rsidR="00CD257C" w:rsidRPr="00A06153" w:rsidRDefault="00A06153" w:rsidP="00667D63">
      <w:pPr>
        <w:jc w:val="center"/>
        <w:rPr>
          <w:rFonts w:asciiTheme="majorHAnsi" w:eastAsia="Times New Roman" w:hAnsiTheme="majorHAnsi"/>
          <w:b/>
          <w:sz w:val="24"/>
          <w:szCs w:val="24"/>
        </w:rPr>
      </w:pPr>
      <w:r>
        <w:rPr>
          <w:rFonts w:asciiTheme="majorHAnsi" w:eastAsia="Times New Roman" w:hAnsiTheme="majorHAnsi"/>
          <w:b/>
          <w:sz w:val="24"/>
          <w:szCs w:val="24"/>
        </w:rPr>
        <w:t>------------------</w:t>
      </w:r>
      <w:r w:rsidRPr="00A06153">
        <w:rPr>
          <w:rFonts w:asciiTheme="majorHAnsi" w:eastAsia="Times New Roman" w:hAnsiTheme="majorHAnsi"/>
          <w:b/>
          <w:sz w:val="24"/>
          <w:szCs w:val="24"/>
        </w:rPr>
        <w:t>----</w:t>
      </w:r>
    </w:p>
    <w:p w:rsidR="00CD257C" w:rsidRDefault="00A46EFD" w:rsidP="00A06153">
      <w:pPr>
        <w:spacing w:after="0"/>
        <w:jc w:val="center"/>
        <w:rPr>
          <w:rStyle w:val="Hyperlink"/>
          <w:rFonts w:asciiTheme="majorHAnsi" w:eastAsia="Times New Roman" w:hAnsiTheme="majorHAnsi"/>
          <w:sz w:val="20"/>
          <w:szCs w:val="20"/>
        </w:rPr>
      </w:pPr>
      <w:r>
        <w:rPr>
          <w:rFonts w:asciiTheme="majorHAnsi" w:eastAsia="Times New Roman" w:hAnsiTheme="majorHAnsi"/>
          <w:sz w:val="20"/>
          <w:szCs w:val="20"/>
        </w:rPr>
        <w:t>Loren Khogali</w:t>
      </w:r>
      <w:r w:rsidR="00CD257C" w:rsidRPr="00E840D7">
        <w:rPr>
          <w:rFonts w:asciiTheme="majorHAnsi" w:eastAsia="Times New Roman" w:hAnsiTheme="majorHAnsi"/>
          <w:sz w:val="20"/>
          <w:szCs w:val="20"/>
        </w:rPr>
        <w:t>, Executive Director</w:t>
      </w:r>
      <w:r w:rsidR="00A06153" w:rsidRPr="00E840D7">
        <w:rPr>
          <w:rFonts w:asciiTheme="majorHAnsi" w:eastAsia="Times New Roman" w:hAnsiTheme="majorHAnsi"/>
          <w:sz w:val="20"/>
          <w:szCs w:val="20"/>
        </w:rPr>
        <w:t xml:space="preserve"> -</w:t>
      </w:r>
      <w:r w:rsidR="00A06153" w:rsidRPr="00A46EFD">
        <w:rPr>
          <w:rFonts w:asciiTheme="majorHAnsi" w:eastAsia="Times New Roman" w:hAnsiTheme="majorHAnsi"/>
          <w:color w:val="0070C0"/>
          <w:sz w:val="20"/>
          <w:szCs w:val="20"/>
        </w:rPr>
        <w:t xml:space="preserve"> </w:t>
      </w:r>
      <w:hyperlink r:id="rId10" w:history="1">
        <w:r w:rsidRPr="00A46EFD">
          <w:rPr>
            <w:rStyle w:val="Hyperlink"/>
            <w:rFonts w:asciiTheme="majorHAnsi" w:eastAsia="Times New Roman" w:hAnsiTheme="majorHAnsi"/>
            <w:color w:val="0070C0"/>
            <w:sz w:val="20"/>
            <w:szCs w:val="20"/>
          </w:rPr>
          <w:t>lkhogali@michiganidc.gov</w:t>
        </w:r>
      </w:hyperlink>
    </w:p>
    <w:p w:rsidR="00A15037" w:rsidRDefault="00A15037" w:rsidP="00EB673D">
      <w:pPr>
        <w:spacing w:after="0"/>
        <w:jc w:val="center"/>
        <w:rPr>
          <w:rStyle w:val="Hyperlink"/>
          <w:rFonts w:asciiTheme="majorHAnsi" w:eastAsia="Times New Roman" w:hAnsiTheme="majorHAnsi"/>
          <w:sz w:val="20"/>
          <w:szCs w:val="20"/>
        </w:rPr>
      </w:pPr>
      <w:r>
        <w:rPr>
          <w:rFonts w:asciiTheme="majorHAnsi" w:eastAsia="Times New Roman" w:hAnsiTheme="majorHAnsi"/>
          <w:sz w:val="20"/>
          <w:szCs w:val="20"/>
        </w:rPr>
        <w:t>Marcela Westrate</w:t>
      </w:r>
      <w:r w:rsidRPr="00E840D7">
        <w:rPr>
          <w:rFonts w:asciiTheme="majorHAnsi" w:eastAsia="Times New Roman" w:hAnsiTheme="majorHAnsi"/>
          <w:sz w:val="20"/>
          <w:szCs w:val="20"/>
        </w:rPr>
        <w:t xml:space="preserve">, </w:t>
      </w:r>
      <w:r>
        <w:rPr>
          <w:rFonts w:asciiTheme="majorHAnsi" w:eastAsia="Times New Roman" w:hAnsiTheme="majorHAnsi"/>
          <w:sz w:val="20"/>
          <w:szCs w:val="20"/>
        </w:rPr>
        <w:t xml:space="preserve">Legislative </w:t>
      </w:r>
      <w:r w:rsidRPr="00E840D7">
        <w:rPr>
          <w:rFonts w:asciiTheme="majorHAnsi" w:eastAsia="Times New Roman" w:hAnsiTheme="majorHAnsi"/>
          <w:sz w:val="20"/>
          <w:szCs w:val="20"/>
        </w:rPr>
        <w:t xml:space="preserve">Director - </w:t>
      </w:r>
      <w:hyperlink r:id="rId11" w:history="1">
        <w:r w:rsidRPr="00A15037">
          <w:rPr>
            <w:rStyle w:val="Hyperlink"/>
            <w:rFonts w:asciiTheme="majorHAnsi" w:eastAsia="Times New Roman" w:hAnsiTheme="majorHAnsi"/>
            <w:color w:val="0070C0"/>
            <w:sz w:val="20"/>
            <w:szCs w:val="20"/>
          </w:rPr>
          <w:t>mwestrate@michiganidc.gov</w:t>
        </w:r>
      </w:hyperlink>
    </w:p>
    <w:p w:rsidR="00A06153" w:rsidRPr="00EB673D" w:rsidRDefault="00A15037" w:rsidP="00EB673D">
      <w:pPr>
        <w:spacing w:after="0"/>
        <w:jc w:val="center"/>
        <w:rPr>
          <w:rFonts w:asciiTheme="majorHAnsi" w:eastAsia="Times New Roman" w:hAnsiTheme="majorHAnsi"/>
          <w:sz w:val="20"/>
          <w:szCs w:val="20"/>
        </w:rPr>
      </w:pPr>
      <w:r w:rsidRPr="00E840D7">
        <w:rPr>
          <w:rFonts w:asciiTheme="majorHAnsi" w:eastAsia="Times New Roman" w:hAnsiTheme="majorHAnsi"/>
          <w:sz w:val="20"/>
          <w:szCs w:val="20"/>
        </w:rPr>
        <w:t xml:space="preserve"> </w:t>
      </w:r>
      <w:r w:rsidR="00CD257C" w:rsidRPr="00E840D7">
        <w:rPr>
          <w:rFonts w:asciiTheme="majorHAnsi" w:eastAsia="Times New Roman" w:hAnsiTheme="majorHAnsi"/>
          <w:sz w:val="20"/>
          <w:szCs w:val="20"/>
        </w:rPr>
        <w:t>(517) 657-3066</w:t>
      </w:r>
      <w:r w:rsidR="00A06153" w:rsidRPr="00E840D7">
        <w:rPr>
          <w:rFonts w:asciiTheme="majorHAnsi" w:eastAsia="Times New Roman" w:hAnsiTheme="majorHAnsi"/>
          <w:sz w:val="20"/>
          <w:szCs w:val="20"/>
        </w:rPr>
        <w:t xml:space="preserve"> </w:t>
      </w:r>
      <w:hyperlink r:id="rId12" w:history="1">
        <w:r w:rsidR="00A06153" w:rsidRPr="00A15037">
          <w:rPr>
            <w:rStyle w:val="Hyperlink"/>
            <w:rFonts w:asciiTheme="majorHAnsi" w:eastAsia="Times New Roman" w:hAnsiTheme="majorHAnsi"/>
            <w:color w:val="0070C0"/>
            <w:sz w:val="20"/>
            <w:szCs w:val="20"/>
          </w:rPr>
          <w:t>www.michiganidc.gov</w:t>
        </w:r>
      </w:hyperlink>
    </w:p>
    <w:sectPr w:rsidR="00A06153" w:rsidRPr="00EB673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FE0" w:rsidRDefault="00433FE0" w:rsidP="00CD014F">
      <w:pPr>
        <w:spacing w:after="0" w:line="240" w:lineRule="auto"/>
      </w:pPr>
      <w:r>
        <w:separator/>
      </w:r>
    </w:p>
  </w:endnote>
  <w:endnote w:type="continuationSeparator" w:id="0">
    <w:p w:rsidR="00433FE0" w:rsidRDefault="00433FE0" w:rsidP="00CD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FE0" w:rsidRDefault="00433FE0" w:rsidP="00CD014F">
      <w:pPr>
        <w:spacing w:after="0" w:line="240" w:lineRule="auto"/>
      </w:pPr>
      <w:r>
        <w:separator/>
      </w:r>
    </w:p>
  </w:footnote>
  <w:footnote w:type="continuationSeparator" w:id="0">
    <w:p w:rsidR="00433FE0" w:rsidRDefault="00433FE0" w:rsidP="00CD0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7A92"/>
    <w:multiLevelType w:val="hybridMultilevel"/>
    <w:tmpl w:val="04988796"/>
    <w:lvl w:ilvl="0" w:tplc="BDA84CE2">
      <w:numFmt w:val="bullet"/>
      <w:lvlText w:val="•"/>
      <w:lvlJc w:val="left"/>
      <w:pPr>
        <w:ind w:left="1068" w:hanging="360"/>
      </w:pPr>
      <w:rPr>
        <w:rFonts w:ascii="Calibri Light" w:eastAsiaTheme="minorEastAsia" w:hAnsi="Calibri Ligh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8710E62"/>
    <w:multiLevelType w:val="multilevel"/>
    <w:tmpl w:val="E3E8B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F26EB"/>
    <w:multiLevelType w:val="hybridMultilevel"/>
    <w:tmpl w:val="9134E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3BFD"/>
    <w:multiLevelType w:val="hybridMultilevel"/>
    <w:tmpl w:val="FFF2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CC172A"/>
    <w:multiLevelType w:val="multilevel"/>
    <w:tmpl w:val="BC2A1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3541C"/>
    <w:multiLevelType w:val="hybridMultilevel"/>
    <w:tmpl w:val="E9FA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42E97"/>
    <w:multiLevelType w:val="hybridMultilevel"/>
    <w:tmpl w:val="060E957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28A45B73"/>
    <w:multiLevelType w:val="hybridMultilevel"/>
    <w:tmpl w:val="30AEF19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2F14462C"/>
    <w:multiLevelType w:val="hybridMultilevel"/>
    <w:tmpl w:val="8780CA6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3E243061"/>
    <w:multiLevelType w:val="multilevel"/>
    <w:tmpl w:val="827EB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04BF2"/>
    <w:multiLevelType w:val="hybridMultilevel"/>
    <w:tmpl w:val="2ADC89FA"/>
    <w:lvl w:ilvl="0" w:tplc="04090003">
      <w:start w:val="1"/>
      <w:numFmt w:val="bullet"/>
      <w:lvlText w:val="o"/>
      <w:lvlJc w:val="left"/>
      <w:pPr>
        <w:ind w:left="1428" w:hanging="360"/>
      </w:pPr>
      <w:rPr>
        <w:rFonts w:ascii="Courier New" w:hAnsi="Courier New" w:cs="Courier New"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52A3751F"/>
    <w:multiLevelType w:val="multilevel"/>
    <w:tmpl w:val="F1B42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5E3E21"/>
    <w:multiLevelType w:val="multilevel"/>
    <w:tmpl w:val="6C965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45F68"/>
    <w:multiLevelType w:val="hybridMultilevel"/>
    <w:tmpl w:val="E210FB52"/>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60CA6EEC"/>
    <w:multiLevelType w:val="hybridMultilevel"/>
    <w:tmpl w:val="67F6E288"/>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61025076"/>
    <w:multiLevelType w:val="multilevel"/>
    <w:tmpl w:val="FB5A3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3453A"/>
    <w:multiLevelType w:val="hybridMultilevel"/>
    <w:tmpl w:val="F6B64C90"/>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6C455B66"/>
    <w:multiLevelType w:val="hybridMultilevel"/>
    <w:tmpl w:val="2604D2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816BAF"/>
    <w:multiLevelType w:val="hybridMultilevel"/>
    <w:tmpl w:val="DD964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0C00B8"/>
    <w:multiLevelType w:val="hybridMultilevel"/>
    <w:tmpl w:val="8AD44F0E"/>
    <w:lvl w:ilvl="0" w:tplc="0409000D">
      <w:start w:val="1"/>
      <w:numFmt w:val="bullet"/>
      <w:lvlText w:val=""/>
      <w:lvlJc w:val="left"/>
      <w:pPr>
        <w:ind w:left="1776" w:hanging="360"/>
      </w:pPr>
      <w:rPr>
        <w:rFonts w:ascii="Wingdings" w:hAnsi="Wingdings"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1" w15:restartNumberingAfterBreak="0">
    <w:nsid w:val="72421014"/>
    <w:multiLevelType w:val="hybridMultilevel"/>
    <w:tmpl w:val="C73AAE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923008"/>
    <w:multiLevelType w:val="multilevel"/>
    <w:tmpl w:val="E394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570804"/>
    <w:multiLevelType w:val="multilevel"/>
    <w:tmpl w:val="562C3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16"/>
  </w:num>
  <w:num w:numId="14">
    <w:abstractNumId w:val="13"/>
  </w:num>
  <w:num w:numId="15">
    <w:abstractNumId w:val="12"/>
  </w:num>
  <w:num w:numId="16">
    <w:abstractNumId w:val="10"/>
  </w:num>
  <w:num w:numId="17">
    <w:abstractNumId w:val="22"/>
  </w:num>
  <w:num w:numId="18">
    <w:abstractNumId w:val="23"/>
  </w:num>
  <w:num w:numId="19">
    <w:abstractNumId w:val="5"/>
  </w:num>
  <w:num w:numId="20">
    <w:abstractNumId w:val="1"/>
  </w:num>
  <w:num w:numId="21">
    <w:abstractNumId w:val="7"/>
  </w:num>
  <w:num w:numId="22">
    <w:abstractNumId w:val="11"/>
  </w:num>
  <w:num w:numId="23">
    <w:abstractNumId w:val="9"/>
  </w:num>
  <w:num w:numId="24">
    <w:abstractNumId w:val="21"/>
  </w:num>
  <w:num w:numId="25">
    <w:abstractNumId w:val="14"/>
  </w:num>
  <w:num w:numId="26">
    <w:abstractNumId w:val="6"/>
  </w:num>
  <w:num w:numId="27">
    <w:abstractNumId w:val="15"/>
  </w:num>
  <w:num w:numId="28">
    <w:abstractNumId w:val="0"/>
  </w:num>
  <w:num w:numId="29">
    <w:abstractNumId w:val="20"/>
  </w:num>
  <w:num w:numId="30">
    <w:abstractNumId w:val="18"/>
  </w:num>
  <w:num w:numId="31">
    <w:abstractNumId w:val="19"/>
  </w:num>
  <w:num w:numId="32">
    <w:abstractNumId w:val="2"/>
  </w:num>
  <w:num w:numId="33">
    <w:abstractNumId w:val="3"/>
  </w:num>
  <w:num w:numId="34">
    <w:abstractNumId w:val="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49"/>
    <w:rsid w:val="000171B8"/>
    <w:rsid w:val="00022261"/>
    <w:rsid w:val="000639EE"/>
    <w:rsid w:val="00097973"/>
    <w:rsid w:val="000C3AA2"/>
    <w:rsid w:val="000D6703"/>
    <w:rsid w:val="000F76EE"/>
    <w:rsid w:val="00146522"/>
    <w:rsid w:val="00194711"/>
    <w:rsid w:val="001D1324"/>
    <w:rsid w:val="001D4CB3"/>
    <w:rsid w:val="001D5705"/>
    <w:rsid w:val="001D7AC7"/>
    <w:rsid w:val="002162FE"/>
    <w:rsid w:val="002246C9"/>
    <w:rsid w:val="00286D35"/>
    <w:rsid w:val="003B1AC6"/>
    <w:rsid w:val="003D3C44"/>
    <w:rsid w:val="00433FE0"/>
    <w:rsid w:val="00451969"/>
    <w:rsid w:val="0045662B"/>
    <w:rsid w:val="00480883"/>
    <w:rsid w:val="004A2618"/>
    <w:rsid w:val="004B0A84"/>
    <w:rsid w:val="004B7F39"/>
    <w:rsid w:val="00525E76"/>
    <w:rsid w:val="00570649"/>
    <w:rsid w:val="005A0E28"/>
    <w:rsid w:val="005D1F31"/>
    <w:rsid w:val="00603755"/>
    <w:rsid w:val="006630C7"/>
    <w:rsid w:val="00667D63"/>
    <w:rsid w:val="006C1111"/>
    <w:rsid w:val="00717D67"/>
    <w:rsid w:val="00730F0F"/>
    <w:rsid w:val="00767B58"/>
    <w:rsid w:val="0077647C"/>
    <w:rsid w:val="00795EA3"/>
    <w:rsid w:val="007D286A"/>
    <w:rsid w:val="007E51F6"/>
    <w:rsid w:val="008421CF"/>
    <w:rsid w:val="00864553"/>
    <w:rsid w:val="008C477B"/>
    <w:rsid w:val="008E6806"/>
    <w:rsid w:val="008F1613"/>
    <w:rsid w:val="00922763"/>
    <w:rsid w:val="009228FE"/>
    <w:rsid w:val="00923EB5"/>
    <w:rsid w:val="0094491B"/>
    <w:rsid w:val="00995471"/>
    <w:rsid w:val="009A7E68"/>
    <w:rsid w:val="009B6815"/>
    <w:rsid w:val="009D39F6"/>
    <w:rsid w:val="00A06153"/>
    <w:rsid w:val="00A12611"/>
    <w:rsid w:val="00A15037"/>
    <w:rsid w:val="00A17B61"/>
    <w:rsid w:val="00A42A38"/>
    <w:rsid w:val="00A46EFD"/>
    <w:rsid w:val="00A8659A"/>
    <w:rsid w:val="00A86AB3"/>
    <w:rsid w:val="00A9560A"/>
    <w:rsid w:val="00A9630E"/>
    <w:rsid w:val="00AA3AB2"/>
    <w:rsid w:val="00AD794F"/>
    <w:rsid w:val="00B11A47"/>
    <w:rsid w:val="00B618FD"/>
    <w:rsid w:val="00B948D7"/>
    <w:rsid w:val="00BA264E"/>
    <w:rsid w:val="00BB5559"/>
    <w:rsid w:val="00C06D42"/>
    <w:rsid w:val="00CC0A62"/>
    <w:rsid w:val="00CD014F"/>
    <w:rsid w:val="00CD257C"/>
    <w:rsid w:val="00CD68EF"/>
    <w:rsid w:val="00CE2B8F"/>
    <w:rsid w:val="00CF0D29"/>
    <w:rsid w:val="00D32DA6"/>
    <w:rsid w:val="00D37E44"/>
    <w:rsid w:val="00D51B32"/>
    <w:rsid w:val="00D5361D"/>
    <w:rsid w:val="00D6277C"/>
    <w:rsid w:val="00DC701C"/>
    <w:rsid w:val="00DD13ED"/>
    <w:rsid w:val="00DE05D6"/>
    <w:rsid w:val="00E07A8D"/>
    <w:rsid w:val="00E702FD"/>
    <w:rsid w:val="00E840D7"/>
    <w:rsid w:val="00E8427D"/>
    <w:rsid w:val="00E95EFE"/>
    <w:rsid w:val="00EB673D"/>
    <w:rsid w:val="00F35A9B"/>
    <w:rsid w:val="00FA0A5A"/>
    <w:rsid w:val="00FA5FF7"/>
    <w:rsid w:val="00FB475F"/>
    <w:rsid w:val="00FF270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EEB04-435E-4455-BBA1-E200A7D0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0E28"/>
    <w:pPr>
      <w:keepNext/>
      <w:keepLines/>
      <w:pBdr>
        <w:bottom w:val="single" w:sz="4" w:space="1" w:color="595959" w:themeColor="text1" w:themeTint="A6"/>
      </w:pBdr>
      <w:spacing w:before="360"/>
      <w:jc w:val="both"/>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sid w:val="005A0E28"/>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sid w:val="00CD01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14F"/>
    <w:rPr>
      <w:sz w:val="20"/>
      <w:szCs w:val="20"/>
    </w:rPr>
  </w:style>
  <w:style w:type="character" w:styleId="FootnoteReference">
    <w:name w:val="footnote reference"/>
    <w:basedOn w:val="DefaultParagraphFont"/>
    <w:uiPriority w:val="99"/>
    <w:semiHidden/>
    <w:unhideWhenUsed/>
    <w:rsid w:val="00CD014F"/>
    <w:rPr>
      <w:vertAlign w:val="superscript"/>
    </w:rPr>
  </w:style>
  <w:style w:type="paragraph" w:styleId="EndnoteText">
    <w:name w:val="endnote text"/>
    <w:basedOn w:val="Normal"/>
    <w:link w:val="EndnoteTextChar"/>
    <w:uiPriority w:val="99"/>
    <w:semiHidden/>
    <w:unhideWhenUsed/>
    <w:rsid w:val="00CD01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14F"/>
    <w:rPr>
      <w:sz w:val="20"/>
      <w:szCs w:val="20"/>
    </w:rPr>
  </w:style>
  <w:style w:type="character" w:styleId="EndnoteReference">
    <w:name w:val="endnote reference"/>
    <w:basedOn w:val="DefaultParagraphFont"/>
    <w:uiPriority w:val="99"/>
    <w:semiHidden/>
    <w:unhideWhenUsed/>
    <w:rsid w:val="00CD014F"/>
    <w:rPr>
      <w:vertAlign w:val="superscript"/>
    </w:rPr>
  </w:style>
  <w:style w:type="paragraph" w:styleId="BalloonText">
    <w:name w:val="Balloon Text"/>
    <w:basedOn w:val="Normal"/>
    <w:link w:val="BalloonTextChar"/>
    <w:uiPriority w:val="99"/>
    <w:semiHidden/>
    <w:unhideWhenUsed/>
    <w:rsid w:val="004B7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F39"/>
    <w:rPr>
      <w:rFonts w:ascii="Segoe UI" w:hAnsi="Segoe UI" w:cs="Segoe UI"/>
      <w:sz w:val="18"/>
      <w:szCs w:val="18"/>
    </w:rPr>
  </w:style>
  <w:style w:type="character" w:styleId="Hyperlink">
    <w:name w:val="Hyperlink"/>
    <w:basedOn w:val="DefaultParagraphFont"/>
    <w:uiPriority w:val="99"/>
    <w:unhideWhenUsed/>
    <w:rsid w:val="00A17B61"/>
    <w:rPr>
      <w:color w:val="6B9F25" w:themeColor="hyperlink"/>
      <w:u w:val="single"/>
    </w:rPr>
  </w:style>
  <w:style w:type="character" w:customStyle="1" w:styleId="UnresolvedMention1">
    <w:name w:val="Unresolved Mention1"/>
    <w:basedOn w:val="DefaultParagraphFont"/>
    <w:uiPriority w:val="99"/>
    <w:semiHidden/>
    <w:unhideWhenUsed/>
    <w:rsid w:val="00A46E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ichigani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estrate@michiganidc.gov" TargetMode="External"/><Relationship Id="rId5" Type="http://schemas.openxmlformats.org/officeDocument/2006/relationships/settings" Target="settings.xml"/><Relationship Id="rId10" Type="http://schemas.openxmlformats.org/officeDocument/2006/relationships/hyperlink" Target="mailto:lkhogali@michiganidc.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k\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F4DE4032-DCAC-480E-8DE8-0AA718EA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2</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Kim</cp:lastModifiedBy>
  <cp:revision>2</cp:revision>
  <cp:lastPrinted>2018-04-09T21:52:00Z</cp:lastPrinted>
  <dcterms:created xsi:type="dcterms:W3CDTF">2018-04-10T14:33:00Z</dcterms:created>
  <dcterms:modified xsi:type="dcterms:W3CDTF">2018-04-10T14:33:00Z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