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D497E" w14:textId="643B70EE" w:rsidR="00A46CCD" w:rsidRPr="00E45675" w:rsidRDefault="00572668" w:rsidP="00E45675">
      <w:pPr>
        <w:autoSpaceDE w:val="0"/>
        <w:autoSpaceDN w:val="0"/>
        <w:rPr>
          <w:rFonts w:ascii="Arial" w:hAnsi="Arial" w:cs="Arial"/>
          <w:b/>
          <w:color w:val="0070C0"/>
          <w:sz w:val="24"/>
        </w:rPr>
      </w:pPr>
      <w:r w:rsidRPr="00E45675">
        <w:rPr>
          <w:rFonts w:ascii="Arial" w:hAnsi="Arial" w:cs="Arial"/>
          <w:b/>
          <w:color w:val="0070C0"/>
          <w:sz w:val="24"/>
        </w:rPr>
        <w:t>Activities Reviewed under the National Environmental Preservation Act (NEPA)</w:t>
      </w:r>
      <w:r w:rsidRPr="00E45675">
        <w:rPr>
          <w:rFonts w:ascii="Arial" w:hAnsi="Arial" w:cs="Arial"/>
          <w:b/>
          <w:color w:val="0070C0"/>
          <w:sz w:val="24"/>
        </w:rPr>
        <w:br/>
      </w:r>
      <w:bookmarkStart w:id="0" w:name="_GoBack"/>
      <w:bookmarkEnd w:id="0"/>
    </w:p>
    <w:p w14:paraId="5DE9458E" w14:textId="77777777" w:rsidR="00A46CCD" w:rsidRPr="00E45675" w:rsidRDefault="00A46CCD" w:rsidP="00A46CCD">
      <w:pPr>
        <w:autoSpaceDE w:val="0"/>
        <w:autoSpaceDN w:val="0"/>
        <w:rPr>
          <w:rFonts w:ascii="Arial" w:hAnsi="Arial" w:cs="Arial"/>
        </w:rPr>
      </w:pPr>
      <w:r w:rsidRPr="00E45675">
        <w:rPr>
          <w:rFonts w:ascii="Arial" w:hAnsi="Arial" w:cs="Arial"/>
        </w:rPr>
        <w:t xml:space="preserve">The US DOE has determined the following bounded categories of activities that are funded by the State Energy Program Notice 14-01 </w:t>
      </w:r>
      <w:r w:rsidRPr="00E45675">
        <w:rPr>
          <w:rFonts w:ascii="Arial" w:hAnsi="Arial" w:cs="Arial"/>
          <w:b/>
        </w:rPr>
        <w:t>MAY be excluded from further NEPA review</w:t>
      </w:r>
      <w:r w:rsidRPr="00E45675">
        <w:rPr>
          <w:rFonts w:ascii="Arial" w:hAnsi="Arial" w:cs="Arial"/>
        </w:rPr>
        <w:t>, absent extraordinary circumstances, cumulative impacts, or connected actions that may lead to significant impacts on the environment, or any inconsistency with “integral elements” (as contained in 10 C.F.R. Part 1021, Appendix B) as they relate to a particular project:</w:t>
      </w:r>
    </w:p>
    <w:p w14:paraId="591E502C" w14:textId="77777777" w:rsidR="00A46CCD" w:rsidRPr="00E45675" w:rsidRDefault="00A46CCD" w:rsidP="00A46CCD">
      <w:pPr>
        <w:autoSpaceDE w:val="0"/>
        <w:autoSpaceDN w:val="0"/>
        <w:rPr>
          <w:rFonts w:ascii="Arial" w:hAnsi="Arial" w:cs="Arial"/>
        </w:rPr>
      </w:pPr>
    </w:p>
    <w:p w14:paraId="7AF67DED" w14:textId="495B566D" w:rsidR="00A46CCD" w:rsidRPr="00E45675" w:rsidRDefault="00A46CCD" w:rsidP="00A46CCD">
      <w:pPr>
        <w:autoSpaceDE w:val="0"/>
        <w:autoSpaceDN w:val="0"/>
        <w:rPr>
          <w:rFonts w:ascii="Arial" w:hAnsi="Arial" w:cs="Arial"/>
        </w:rPr>
      </w:pPr>
      <w:r w:rsidRPr="00E45675">
        <w:rPr>
          <w:rFonts w:ascii="Arial" w:hAnsi="Arial" w:cs="Arial"/>
        </w:rPr>
        <w:t>Bounded Categories:</w:t>
      </w:r>
    </w:p>
    <w:tbl>
      <w:tblPr>
        <w:tblStyle w:val="TableGrid"/>
        <w:tblpPr w:leftFromText="180" w:rightFromText="180" w:vertAnchor="text" w:horzAnchor="margin" w:tblpXSpec="center" w:tblpY="213"/>
        <w:tblW w:w="7645" w:type="dxa"/>
        <w:tblLayout w:type="fixed"/>
        <w:tblLook w:val="04A0" w:firstRow="1" w:lastRow="0" w:firstColumn="1" w:lastColumn="0" w:noHBand="0" w:noVBand="1"/>
      </w:tblPr>
      <w:tblGrid>
        <w:gridCol w:w="1098"/>
        <w:gridCol w:w="6547"/>
      </w:tblGrid>
      <w:tr w:rsidR="00A46CCD" w:rsidRPr="00E45675" w14:paraId="7458C060" w14:textId="77777777" w:rsidTr="002670C4">
        <w:tc>
          <w:tcPr>
            <w:tcW w:w="7645" w:type="dxa"/>
            <w:gridSpan w:val="2"/>
            <w:shd w:val="clear" w:color="auto" w:fill="auto"/>
          </w:tcPr>
          <w:p w14:paraId="5D49D40C" w14:textId="77777777" w:rsidR="00A46CCD" w:rsidRPr="00E45675" w:rsidRDefault="00A46CCD" w:rsidP="005404E9">
            <w:pPr>
              <w:pStyle w:val="NoSpacing"/>
              <w:tabs>
                <w:tab w:val="left" w:pos="432"/>
                <w:tab w:val="left" w:pos="990"/>
              </w:tabs>
              <w:rPr>
                <w:rFonts w:ascii="Arial" w:hAnsi="Arial" w:cs="Arial"/>
              </w:rPr>
            </w:pPr>
            <w:r w:rsidRPr="00E45675">
              <w:rPr>
                <w:rFonts w:ascii="Arial" w:hAnsi="Arial" w:cs="Arial"/>
              </w:rPr>
              <w:t>6.  Funding commercially available energy or energy/water efficiency or renewable energy upgrades, provided that projects adhere to the requirements of the respective state’s DOE executed Historic Preservation Programmatic Agreement, or a state interagency agreement or similar agreement for historic preservation, and are installed in existing buildings, and are limited to:</w:t>
            </w:r>
          </w:p>
        </w:tc>
      </w:tr>
      <w:tr w:rsidR="00A46CCD" w:rsidRPr="00E45675" w14:paraId="5D2BE25B" w14:textId="77777777" w:rsidTr="002670C4">
        <w:tc>
          <w:tcPr>
            <w:tcW w:w="1098" w:type="dxa"/>
          </w:tcPr>
          <w:p w14:paraId="0BD911EC" w14:textId="77777777" w:rsidR="00A46CCD" w:rsidRPr="00E45675" w:rsidRDefault="00A46CCD" w:rsidP="002670C4">
            <w:pPr>
              <w:jc w:val="center"/>
              <w:rPr>
                <w:rFonts w:ascii="Arial" w:hAnsi="Arial" w:cs="Arial"/>
              </w:rPr>
            </w:pPr>
            <w:r w:rsidRPr="00E45675">
              <w:rPr>
                <w:rFonts w:ascii="Arial" w:hAnsi="Arial" w:cs="Arial"/>
              </w:rPr>
              <w:t>6a</w:t>
            </w:r>
          </w:p>
        </w:tc>
        <w:tc>
          <w:tcPr>
            <w:tcW w:w="6547" w:type="dxa"/>
          </w:tcPr>
          <w:p w14:paraId="219145B5" w14:textId="77777777" w:rsidR="00A46CCD" w:rsidRPr="00E45675" w:rsidRDefault="00A46CCD" w:rsidP="002670C4">
            <w:pPr>
              <w:pStyle w:val="NoSpacing"/>
              <w:tabs>
                <w:tab w:val="left" w:pos="432"/>
                <w:tab w:val="left" w:pos="990"/>
              </w:tabs>
              <w:rPr>
                <w:rFonts w:ascii="Arial" w:hAnsi="Arial" w:cs="Arial"/>
              </w:rPr>
            </w:pPr>
            <w:r w:rsidRPr="00E45675">
              <w:rPr>
                <w:rFonts w:ascii="Arial" w:hAnsi="Arial" w:cs="Arial"/>
              </w:rPr>
              <w:t>installation of insulation</w:t>
            </w:r>
          </w:p>
        </w:tc>
      </w:tr>
      <w:tr w:rsidR="00A46CCD" w:rsidRPr="00E45675" w14:paraId="0083F3B0" w14:textId="77777777" w:rsidTr="002670C4">
        <w:tc>
          <w:tcPr>
            <w:tcW w:w="1098" w:type="dxa"/>
          </w:tcPr>
          <w:p w14:paraId="7797A056" w14:textId="77777777" w:rsidR="00A46CCD" w:rsidRPr="00E45675" w:rsidRDefault="00A46CCD" w:rsidP="002670C4">
            <w:pPr>
              <w:jc w:val="center"/>
              <w:rPr>
                <w:rFonts w:ascii="Arial" w:hAnsi="Arial" w:cs="Arial"/>
              </w:rPr>
            </w:pPr>
            <w:r w:rsidRPr="00E45675">
              <w:rPr>
                <w:rFonts w:ascii="Arial" w:hAnsi="Arial" w:cs="Arial"/>
              </w:rPr>
              <w:t>6b</w:t>
            </w:r>
          </w:p>
        </w:tc>
        <w:tc>
          <w:tcPr>
            <w:tcW w:w="6547" w:type="dxa"/>
          </w:tcPr>
          <w:p w14:paraId="0EEEF6EF" w14:textId="77777777" w:rsidR="00A46CCD" w:rsidRPr="00E45675" w:rsidRDefault="00A46CCD" w:rsidP="002670C4">
            <w:pPr>
              <w:pStyle w:val="NoSpacing"/>
              <w:tabs>
                <w:tab w:val="left" w:pos="432"/>
                <w:tab w:val="left" w:pos="990"/>
              </w:tabs>
              <w:rPr>
                <w:rFonts w:ascii="Arial" w:hAnsi="Arial" w:cs="Arial"/>
              </w:rPr>
            </w:pPr>
            <w:r w:rsidRPr="00E45675">
              <w:rPr>
                <w:rFonts w:ascii="Arial" w:hAnsi="Arial" w:cs="Arial"/>
              </w:rPr>
              <w:t>installation of energy efficient lighting</w:t>
            </w:r>
          </w:p>
        </w:tc>
      </w:tr>
      <w:tr w:rsidR="00A46CCD" w:rsidRPr="00E45675" w14:paraId="002C899D" w14:textId="77777777" w:rsidTr="002670C4">
        <w:tc>
          <w:tcPr>
            <w:tcW w:w="1098" w:type="dxa"/>
          </w:tcPr>
          <w:p w14:paraId="612857A4" w14:textId="77777777" w:rsidR="00A46CCD" w:rsidRPr="00E45675" w:rsidRDefault="00A46CCD" w:rsidP="002670C4">
            <w:pPr>
              <w:jc w:val="center"/>
              <w:rPr>
                <w:rFonts w:ascii="Arial" w:hAnsi="Arial" w:cs="Arial"/>
              </w:rPr>
            </w:pPr>
            <w:r w:rsidRPr="00E45675">
              <w:rPr>
                <w:rFonts w:ascii="Arial" w:hAnsi="Arial" w:cs="Arial"/>
              </w:rPr>
              <w:t>6c</w:t>
            </w:r>
          </w:p>
        </w:tc>
        <w:tc>
          <w:tcPr>
            <w:tcW w:w="6547" w:type="dxa"/>
          </w:tcPr>
          <w:p w14:paraId="63B70AF7" w14:textId="77777777" w:rsidR="00A46CCD" w:rsidRPr="00E45675" w:rsidRDefault="00A46CCD" w:rsidP="002670C4">
            <w:pPr>
              <w:pStyle w:val="NoSpacing"/>
              <w:tabs>
                <w:tab w:val="left" w:pos="432"/>
                <w:tab w:val="left" w:pos="990"/>
              </w:tabs>
              <w:rPr>
                <w:rFonts w:ascii="Arial" w:hAnsi="Arial" w:cs="Arial"/>
              </w:rPr>
            </w:pPr>
            <w:r w:rsidRPr="00E45675">
              <w:rPr>
                <w:rFonts w:ascii="Arial" w:hAnsi="Arial" w:cs="Arial"/>
              </w:rPr>
              <w:t>HVAC upgrades (to existing systems)</w:t>
            </w:r>
          </w:p>
        </w:tc>
      </w:tr>
      <w:tr w:rsidR="00A46CCD" w:rsidRPr="00E45675" w14:paraId="51FDD302" w14:textId="77777777" w:rsidTr="002670C4">
        <w:tc>
          <w:tcPr>
            <w:tcW w:w="1098" w:type="dxa"/>
          </w:tcPr>
          <w:p w14:paraId="47A80462" w14:textId="77777777" w:rsidR="00A46CCD" w:rsidRPr="00E45675" w:rsidRDefault="00A46CCD" w:rsidP="002670C4">
            <w:pPr>
              <w:jc w:val="center"/>
              <w:rPr>
                <w:rFonts w:ascii="Arial" w:hAnsi="Arial" w:cs="Arial"/>
              </w:rPr>
            </w:pPr>
            <w:r w:rsidRPr="00E45675">
              <w:rPr>
                <w:rFonts w:ascii="Arial" w:hAnsi="Arial" w:cs="Arial"/>
              </w:rPr>
              <w:t>6d</w:t>
            </w:r>
          </w:p>
        </w:tc>
        <w:tc>
          <w:tcPr>
            <w:tcW w:w="6547" w:type="dxa"/>
          </w:tcPr>
          <w:p w14:paraId="13BCEDDC" w14:textId="77777777" w:rsidR="00A46CCD" w:rsidRPr="00E45675" w:rsidRDefault="00A46CCD" w:rsidP="002670C4">
            <w:pPr>
              <w:pStyle w:val="NoSpacing"/>
              <w:tabs>
                <w:tab w:val="left" w:pos="432"/>
                <w:tab w:val="left" w:pos="990"/>
              </w:tabs>
              <w:rPr>
                <w:rFonts w:ascii="Arial" w:hAnsi="Arial" w:cs="Arial"/>
              </w:rPr>
            </w:pPr>
            <w:r w:rsidRPr="00E45675">
              <w:rPr>
                <w:rFonts w:ascii="Arial" w:hAnsi="Arial" w:cs="Arial"/>
              </w:rPr>
              <w:t>weather sealing</w:t>
            </w:r>
          </w:p>
        </w:tc>
      </w:tr>
      <w:tr w:rsidR="00A46CCD" w:rsidRPr="00E45675" w14:paraId="5CC4D921" w14:textId="77777777" w:rsidTr="002670C4">
        <w:tc>
          <w:tcPr>
            <w:tcW w:w="1098" w:type="dxa"/>
          </w:tcPr>
          <w:p w14:paraId="1194D583" w14:textId="77777777" w:rsidR="00A46CCD" w:rsidRPr="00E45675" w:rsidRDefault="00A46CCD" w:rsidP="002670C4">
            <w:pPr>
              <w:jc w:val="center"/>
              <w:rPr>
                <w:rFonts w:ascii="Arial" w:hAnsi="Arial" w:cs="Arial"/>
              </w:rPr>
            </w:pPr>
            <w:r w:rsidRPr="00E45675">
              <w:rPr>
                <w:rFonts w:ascii="Arial" w:hAnsi="Arial" w:cs="Arial"/>
              </w:rPr>
              <w:t>6e</w:t>
            </w:r>
          </w:p>
        </w:tc>
        <w:tc>
          <w:tcPr>
            <w:tcW w:w="6547" w:type="dxa"/>
          </w:tcPr>
          <w:p w14:paraId="15CFB7A4" w14:textId="77777777" w:rsidR="00A46CCD" w:rsidRPr="00E45675" w:rsidRDefault="00A46CCD" w:rsidP="002670C4">
            <w:pPr>
              <w:pStyle w:val="NoSpacing"/>
              <w:tabs>
                <w:tab w:val="left" w:pos="432"/>
                <w:tab w:val="left" w:pos="990"/>
              </w:tabs>
              <w:rPr>
                <w:rFonts w:ascii="Arial" w:hAnsi="Arial" w:cs="Arial"/>
              </w:rPr>
            </w:pPr>
            <w:r w:rsidRPr="00E45675">
              <w:rPr>
                <w:rFonts w:ascii="Arial" w:hAnsi="Arial" w:cs="Arial"/>
              </w:rPr>
              <w:t>Purchase and installation of energy efficient or energy/water efficient home appliances and equipment (including, but not limited to, energy or water monitoring and control systems, thermostats, furnaces and air conditioners)</w:t>
            </w:r>
          </w:p>
        </w:tc>
      </w:tr>
      <w:tr w:rsidR="00A46CCD" w:rsidRPr="00E45675" w14:paraId="6EFA7453" w14:textId="77777777" w:rsidTr="002670C4">
        <w:tc>
          <w:tcPr>
            <w:tcW w:w="1098" w:type="dxa"/>
          </w:tcPr>
          <w:p w14:paraId="06CABCEE" w14:textId="77777777" w:rsidR="00A46CCD" w:rsidRPr="00E45675" w:rsidRDefault="00A46CCD" w:rsidP="002670C4">
            <w:pPr>
              <w:jc w:val="center"/>
              <w:rPr>
                <w:rFonts w:ascii="Arial" w:hAnsi="Arial" w:cs="Arial"/>
              </w:rPr>
            </w:pPr>
            <w:r w:rsidRPr="00E45675">
              <w:rPr>
                <w:rFonts w:ascii="Arial" w:hAnsi="Arial" w:cs="Arial"/>
              </w:rPr>
              <w:t>6f</w:t>
            </w:r>
          </w:p>
        </w:tc>
        <w:tc>
          <w:tcPr>
            <w:tcW w:w="6547" w:type="dxa"/>
          </w:tcPr>
          <w:p w14:paraId="2ABEA631" w14:textId="77777777" w:rsidR="00A46CCD" w:rsidRPr="00E45675" w:rsidRDefault="00A46CCD" w:rsidP="002670C4">
            <w:pPr>
              <w:pStyle w:val="NoSpacing"/>
              <w:tabs>
                <w:tab w:val="left" w:pos="432"/>
                <w:tab w:val="left" w:pos="990"/>
              </w:tabs>
              <w:rPr>
                <w:rFonts w:ascii="Arial" w:hAnsi="Arial" w:cs="Arial"/>
              </w:rPr>
            </w:pPr>
            <w:r w:rsidRPr="00E45675">
              <w:rPr>
                <w:rFonts w:ascii="Arial" w:hAnsi="Arial" w:cs="Arial"/>
              </w:rPr>
              <w:t>Retrofit of energy efficient pumps and motors, for such uses as (but not limited to) waste water treatment plants, where it would not alter the capacity, use, mission or operation of an existing facility</w:t>
            </w:r>
          </w:p>
        </w:tc>
      </w:tr>
      <w:tr w:rsidR="00A46CCD" w:rsidRPr="00E45675" w14:paraId="26F56B0F" w14:textId="77777777" w:rsidTr="002670C4">
        <w:tc>
          <w:tcPr>
            <w:tcW w:w="1098" w:type="dxa"/>
          </w:tcPr>
          <w:p w14:paraId="194D7BC8" w14:textId="77777777" w:rsidR="00A46CCD" w:rsidRPr="00E45675" w:rsidRDefault="00A46CCD" w:rsidP="002670C4">
            <w:pPr>
              <w:jc w:val="center"/>
              <w:rPr>
                <w:rFonts w:ascii="Arial" w:hAnsi="Arial" w:cs="Arial"/>
              </w:rPr>
            </w:pPr>
            <w:r w:rsidRPr="00E45675">
              <w:rPr>
                <w:rFonts w:ascii="Arial" w:hAnsi="Arial" w:cs="Arial"/>
              </w:rPr>
              <w:t>6g</w:t>
            </w:r>
          </w:p>
        </w:tc>
        <w:tc>
          <w:tcPr>
            <w:tcW w:w="6547" w:type="dxa"/>
          </w:tcPr>
          <w:p w14:paraId="4C926339" w14:textId="77777777" w:rsidR="00A46CCD" w:rsidRPr="00E45675" w:rsidRDefault="00A46CCD" w:rsidP="002670C4">
            <w:pPr>
              <w:pStyle w:val="NoSpacing"/>
              <w:tabs>
                <w:tab w:val="left" w:pos="432"/>
                <w:tab w:val="left" w:pos="990"/>
              </w:tabs>
              <w:rPr>
                <w:rFonts w:ascii="Arial" w:hAnsi="Arial" w:cs="Arial"/>
              </w:rPr>
            </w:pPr>
            <w:r w:rsidRPr="00E45675">
              <w:rPr>
                <w:rFonts w:ascii="Arial" w:hAnsi="Arial" w:cs="Arial"/>
              </w:rPr>
              <w:t>Retrofit and replacement of windows and doors</w:t>
            </w:r>
          </w:p>
        </w:tc>
      </w:tr>
      <w:tr w:rsidR="00A46CCD" w:rsidRPr="00E45675" w14:paraId="77963F4E" w14:textId="77777777" w:rsidTr="002670C4">
        <w:tc>
          <w:tcPr>
            <w:tcW w:w="1098" w:type="dxa"/>
          </w:tcPr>
          <w:p w14:paraId="3018E0C3" w14:textId="77777777" w:rsidR="00A46CCD" w:rsidRPr="00E45675" w:rsidRDefault="00A46CCD" w:rsidP="002670C4">
            <w:pPr>
              <w:jc w:val="center"/>
              <w:rPr>
                <w:rFonts w:ascii="Arial" w:hAnsi="Arial" w:cs="Arial"/>
              </w:rPr>
            </w:pPr>
            <w:r w:rsidRPr="00E45675">
              <w:rPr>
                <w:rFonts w:ascii="Arial" w:hAnsi="Arial" w:cs="Arial"/>
              </w:rPr>
              <w:t>6h</w:t>
            </w:r>
          </w:p>
        </w:tc>
        <w:tc>
          <w:tcPr>
            <w:tcW w:w="6547" w:type="dxa"/>
          </w:tcPr>
          <w:p w14:paraId="4573692A" w14:textId="77777777" w:rsidR="00A46CCD" w:rsidRPr="00E45675" w:rsidRDefault="00A46CCD" w:rsidP="002670C4">
            <w:pPr>
              <w:pStyle w:val="NoSpacing"/>
              <w:tabs>
                <w:tab w:val="left" w:pos="432"/>
                <w:tab w:val="left" w:pos="990"/>
              </w:tabs>
              <w:rPr>
                <w:rFonts w:ascii="Arial" w:hAnsi="Arial" w:cs="Arial"/>
              </w:rPr>
            </w:pPr>
            <w:r w:rsidRPr="00E45675">
              <w:rPr>
                <w:rFonts w:ascii="Arial" w:hAnsi="Arial" w:cs="Arial"/>
              </w:rPr>
              <w:t>Installation of Combined Heat and Power System - systems sized appropriately for the buildings in which they are located, not to exceed peak electrical production at 300kW</w:t>
            </w:r>
          </w:p>
        </w:tc>
      </w:tr>
      <w:tr w:rsidR="00A46CCD" w:rsidRPr="00E45675" w14:paraId="6D949F65" w14:textId="77777777" w:rsidTr="002670C4">
        <w:tc>
          <w:tcPr>
            <w:tcW w:w="7645" w:type="dxa"/>
            <w:gridSpan w:val="2"/>
            <w:shd w:val="clear" w:color="auto" w:fill="auto"/>
          </w:tcPr>
          <w:p w14:paraId="5A078560" w14:textId="77777777" w:rsidR="00A46CCD" w:rsidRPr="00E45675" w:rsidRDefault="00A46CCD" w:rsidP="002670C4">
            <w:pPr>
              <w:rPr>
                <w:rFonts w:ascii="Arial" w:hAnsi="Arial" w:cs="Arial"/>
              </w:rPr>
            </w:pPr>
            <w:r w:rsidRPr="00E45675">
              <w:rPr>
                <w:rFonts w:ascii="Arial" w:hAnsi="Arial" w:cs="Arial"/>
              </w:rPr>
              <w:t>7.  Development, implementation, and installation of onsite renewable energy technology from renewable resources, provided that projects are installed in or on an existing structure or within the boundaries of a facility and limited to:</w:t>
            </w:r>
          </w:p>
        </w:tc>
      </w:tr>
      <w:tr w:rsidR="00A46CCD" w:rsidRPr="00E45675" w14:paraId="0ED6E0D7" w14:textId="77777777" w:rsidTr="002670C4">
        <w:tc>
          <w:tcPr>
            <w:tcW w:w="1098" w:type="dxa"/>
          </w:tcPr>
          <w:p w14:paraId="79B3D8A1" w14:textId="77777777" w:rsidR="00A46CCD" w:rsidRPr="00E45675" w:rsidRDefault="00A46CCD" w:rsidP="002670C4">
            <w:pPr>
              <w:jc w:val="center"/>
              <w:rPr>
                <w:rFonts w:ascii="Arial" w:hAnsi="Arial" w:cs="Arial"/>
              </w:rPr>
            </w:pPr>
            <w:r w:rsidRPr="00E45675">
              <w:rPr>
                <w:rFonts w:ascii="Arial" w:hAnsi="Arial" w:cs="Arial"/>
              </w:rPr>
              <w:t>7a</w:t>
            </w:r>
          </w:p>
          <w:p w14:paraId="038A8AE8" w14:textId="77777777" w:rsidR="00A46CCD" w:rsidRPr="00E45675" w:rsidRDefault="00A46CCD" w:rsidP="002670C4">
            <w:pPr>
              <w:rPr>
                <w:rFonts w:ascii="Arial" w:hAnsi="Arial" w:cs="Arial"/>
              </w:rPr>
            </w:pPr>
          </w:p>
        </w:tc>
        <w:tc>
          <w:tcPr>
            <w:tcW w:w="6547" w:type="dxa"/>
          </w:tcPr>
          <w:p w14:paraId="74FFA7D7" w14:textId="77777777" w:rsidR="00A46CCD" w:rsidRPr="00E45675" w:rsidRDefault="00A46CCD" w:rsidP="002670C4">
            <w:pPr>
              <w:rPr>
                <w:rFonts w:ascii="Arial" w:hAnsi="Arial" w:cs="Arial"/>
              </w:rPr>
            </w:pPr>
            <w:r w:rsidRPr="00E45675">
              <w:rPr>
                <w:rFonts w:ascii="Arial" w:hAnsi="Arial" w:cs="Arial"/>
              </w:rPr>
              <w:t xml:space="preserve">Solar Electricity/Photovoltaic - appropriately sized system or unit not to exceed 60 </w:t>
            </w:r>
            <w:proofErr w:type="spellStart"/>
            <w:r w:rsidRPr="00E45675">
              <w:rPr>
                <w:rFonts w:ascii="Arial" w:hAnsi="Arial" w:cs="Arial"/>
              </w:rPr>
              <w:t>kWs</w:t>
            </w:r>
            <w:proofErr w:type="spellEnd"/>
          </w:p>
        </w:tc>
      </w:tr>
      <w:tr w:rsidR="00A46CCD" w:rsidRPr="00E45675" w14:paraId="7FC8E13B" w14:textId="77777777" w:rsidTr="002670C4">
        <w:tc>
          <w:tcPr>
            <w:tcW w:w="1098" w:type="dxa"/>
          </w:tcPr>
          <w:p w14:paraId="647C43C9" w14:textId="77777777" w:rsidR="00A46CCD" w:rsidRPr="00E45675" w:rsidRDefault="00A46CCD" w:rsidP="002670C4">
            <w:pPr>
              <w:jc w:val="center"/>
              <w:rPr>
                <w:rFonts w:ascii="Arial" w:hAnsi="Arial" w:cs="Arial"/>
              </w:rPr>
            </w:pPr>
            <w:r w:rsidRPr="00E45675">
              <w:rPr>
                <w:rFonts w:ascii="Arial" w:hAnsi="Arial" w:cs="Arial"/>
              </w:rPr>
              <w:t>7b</w:t>
            </w:r>
          </w:p>
        </w:tc>
        <w:tc>
          <w:tcPr>
            <w:tcW w:w="6547" w:type="dxa"/>
          </w:tcPr>
          <w:p w14:paraId="0E417241" w14:textId="77777777" w:rsidR="00A46CCD" w:rsidRPr="00E45675" w:rsidRDefault="00A46CCD" w:rsidP="002670C4">
            <w:pPr>
              <w:rPr>
                <w:rFonts w:ascii="Arial" w:hAnsi="Arial" w:cs="Arial"/>
              </w:rPr>
            </w:pPr>
            <w:r w:rsidRPr="00E45675">
              <w:rPr>
                <w:rFonts w:ascii="Arial" w:hAnsi="Arial" w:cs="Arial"/>
              </w:rPr>
              <w:t>Wind Turbine - 20 kW or smaller</w:t>
            </w:r>
          </w:p>
        </w:tc>
      </w:tr>
      <w:tr w:rsidR="00A46CCD" w:rsidRPr="00E45675" w14:paraId="76AA2BAC" w14:textId="77777777" w:rsidTr="002670C4">
        <w:tc>
          <w:tcPr>
            <w:tcW w:w="1098" w:type="dxa"/>
          </w:tcPr>
          <w:p w14:paraId="5875886C" w14:textId="77777777" w:rsidR="00A46CCD" w:rsidRPr="00E45675" w:rsidRDefault="00A46CCD" w:rsidP="002670C4">
            <w:pPr>
              <w:jc w:val="center"/>
              <w:rPr>
                <w:rFonts w:ascii="Arial" w:hAnsi="Arial" w:cs="Arial"/>
              </w:rPr>
            </w:pPr>
            <w:r w:rsidRPr="00E45675">
              <w:rPr>
                <w:rFonts w:ascii="Arial" w:hAnsi="Arial" w:cs="Arial"/>
              </w:rPr>
              <w:t>7c</w:t>
            </w:r>
          </w:p>
        </w:tc>
        <w:tc>
          <w:tcPr>
            <w:tcW w:w="6547" w:type="dxa"/>
          </w:tcPr>
          <w:p w14:paraId="2FFF77F8" w14:textId="77777777" w:rsidR="00A46CCD" w:rsidRPr="00E45675" w:rsidRDefault="00A46CCD" w:rsidP="002670C4">
            <w:pPr>
              <w:rPr>
                <w:rFonts w:ascii="Arial" w:hAnsi="Arial" w:cs="Arial"/>
              </w:rPr>
            </w:pPr>
            <w:r w:rsidRPr="00E45675">
              <w:rPr>
                <w:rFonts w:ascii="Arial" w:hAnsi="Arial" w:cs="Arial"/>
              </w:rPr>
              <w:t>Solar Thermal (including solar thermal hot water) - system must be 200,000 BTU per hour or smaller</w:t>
            </w:r>
          </w:p>
        </w:tc>
      </w:tr>
      <w:tr w:rsidR="00A46CCD" w:rsidRPr="00E45675" w14:paraId="6C0E8A1A" w14:textId="77777777" w:rsidTr="002670C4">
        <w:tc>
          <w:tcPr>
            <w:tcW w:w="1098" w:type="dxa"/>
          </w:tcPr>
          <w:p w14:paraId="795A69BB" w14:textId="77777777" w:rsidR="00A46CCD" w:rsidRPr="00E45675" w:rsidRDefault="00A46CCD" w:rsidP="002670C4">
            <w:pPr>
              <w:jc w:val="center"/>
              <w:rPr>
                <w:rFonts w:ascii="Arial" w:hAnsi="Arial" w:cs="Arial"/>
              </w:rPr>
            </w:pPr>
            <w:r w:rsidRPr="00E45675">
              <w:rPr>
                <w:rFonts w:ascii="Arial" w:hAnsi="Arial" w:cs="Arial"/>
              </w:rPr>
              <w:t>7d</w:t>
            </w:r>
          </w:p>
        </w:tc>
        <w:tc>
          <w:tcPr>
            <w:tcW w:w="6547" w:type="dxa"/>
          </w:tcPr>
          <w:p w14:paraId="1C971BB4" w14:textId="77777777" w:rsidR="00A46CCD" w:rsidRPr="00E45675" w:rsidRDefault="00A46CCD" w:rsidP="002670C4">
            <w:pPr>
              <w:rPr>
                <w:rFonts w:ascii="Arial" w:hAnsi="Arial" w:cs="Arial"/>
              </w:rPr>
            </w:pPr>
            <w:r w:rsidRPr="00E45675">
              <w:rPr>
                <w:rFonts w:ascii="Arial" w:hAnsi="Arial" w:cs="Arial"/>
              </w:rPr>
              <w:t>Ground Source Heat Pump - 5.5 tons of capacity or smaller, horizontal/vertical, ground, closed-loop system</w:t>
            </w:r>
          </w:p>
        </w:tc>
      </w:tr>
      <w:tr w:rsidR="00A46CCD" w:rsidRPr="00E45675" w14:paraId="35D89D76" w14:textId="77777777" w:rsidTr="002670C4">
        <w:tc>
          <w:tcPr>
            <w:tcW w:w="1098" w:type="dxa"/>
          </w:tcPr>
          <w:p w14:paraId="04D4ECC1" w14:textId="77777777" w:rsidR="00A46CCD" w:rsidRPr="00E45675" w:rsidRDefault="00A46CCD" w:rsidP="002670C4">
            <w:pPr>
              <w:jc w:val="center"/>
              <w:rPr>
                <w:rFonts w:ascii="Arial" w:hAnsi="Arial" w:cs="Arial"/>
              </w:rPr>
            </w:pPr>
            <w:r w:rsidRPr="00E45675">
              <w:rPr>
                <w:rFonts w:ascii="Arial" w:hAnsi="Arial" w:cs="Arial"/>
              </w:rPr>
              <w:t>7e</w:t>
            </w:r>
          </w:p>
        </w:tc>
        <w:tc>
          <w:tcPr>
            <w:tcW w:w="6547" w:type="dxa"/>
          </w:tcPr>
          <w:p w14:paraId="778B4B67" w14:textId="77777777" w:rsidR="00A46CCD" w:rsidRPr="00E45675" w:rsidRDefault="00A46CCD" w:rsidP="002670C4">
            <w:pPr>
              <w:rPr>
                <w:rFonts w:ascii="Arial" w:hAnsi="Arial" w:cs="Arial"/>
              </w:rPr>
            </w:pPr>
            <w:r w:rsidRPr="00E45675">
              <w:rPr>
                <w:rFonts w:ascii="Arial" w:hAnsi="Arial" w:cs="Arial"/>
              </w:rPr>
              <w:t>Biomass Thermal - 3 MMBTUs per hour or smaller system with appropriate Best Available Control Technologies (BACT) installed and operated</w:t>
            </w:r>
          </w:p>
        </w:tc>
      </w:tr>
      <w:tr w:rsidR="00A46CCD" w:rsidRPr="00E45675" w14:paraId="762AF20D" w14:textId="77777777" w:rsidTr="002670C4">
        <w:tc>
          <w:tcPr>
            <w:tcW w:w="1098" w:type="dxa"/>
          </w:tcPr>
          <w:p w14:paraId="521D9933" w14:textId="77777777" w:rsidR="00A46CCD" w:rsidRPr="00E45675" w:rsidRDefault="00A46CCD" w:rsidP="002670C4">
            <w:pPr>
              <w:jc w:val="center"/>
              <w:rPr>
                <w:rFonts w:ascii="Arial" w:hAnsi="Arial" w:cs="Arial"/>
              </w:rPr>
            </w:pPr>
            <w:r w:rsidRPr="00E45675">
              <w:rPr>
                <w:rFonts w:ascii="Arial" w:hAnsi="Arial" w:cs="Arial"/>
              </w:rPr>
              <w:t>8</w:t>
            </w:r>
          </w:p>
        </w:tc>
        <w:tc>
          <w:tcPr>
            <w:tcW w:w="6547" w:type="dxa"/>
          </w:tcPr>
          <w:p w14:paraId="548B117E" w14:textId="77777777" w:rsidR="00A46CCD" w:rsidRPr="00E45675" w:rsidRDefault="00A46CCD" w:rsidP="002670C4">
            <w:pPr>
              <w:rPr>
                <w:rFonts w:ascii="Arial" w:hAnsi="Arial" w:cs="Arial"/>
              </w:rPr>
            </w:pPr>
            <w:r w:rsidRPr="00E45675">
              <w:rPr>
                <w:rFonts w:ascii="Arial" w:hAnsi="Arial" w:cs="Arial"/>
              </w:rPr>
              <w:t>Installation of fueling pumps and systems for fuels such as compressed natural gas, hydrogen, ethanol and other commercially available biofuels, (but not storage tanks) installed on the site of a current fueling station</w:t>
            </w:r>
          </w:p>
        </w:tc>
      </w:tr>
      <w:tr w:rsidR="00A46CCD" w:rsidRPr="00E45675" w14:paraId="5FB4E837" w14:textId="77777777" w:rsidTr="002670C4">
        <w:tc>
          <w:tcPr>
            <w:tcW w:w="1098" w:type="dxa"/>
          </w:tcPr>
          <w:p w14:paraId="6894D069" w14:textId="77777777" w:rsidR="00A46CCD" w:rsidRPr="00E45675" w:rsidRDefault="00A46CCD" w:rsidP="002670C4">
            <w:pPr>
              <w:jc w:val="center"/>
              <w:rPr>
                <w:rFonts w:ascii="Arial" w:hAnsi="Arial" w:cs="Arial"/>
              </w:rPr>
            </w:pPr>
            <w:r w:rsidRPr="00E45675">
              <w:rPr>
                <w:rFonts w:ascii="Arial" w:hAnsi="Arial" w:cs="Arial"/>
              </w:rPr>
              <w:lastRenderedPageBreak/>
              <w:t>9</w:t>
            </w:r>
          </w:p>
        </w:tc>
        <w:tc>
          <w:tcPr>
            <w:tcW w:w="6547" w:type="dxa"/>
          </w:tcPr>
          <w:p w14:paraId="300C375E" w14:textId="77777777" w:rsidR="00A46CCD" w:rsidRPr="00E45675" w:rsidRDefault="00A46CCD" w:rsidP="002670C4">
            <w:pPr>
              <w:rPr>
                <w:rFonts w:ascii="Arial" w:hAnsi="Arial" w:cs="Arial"/>
              </w:rPr>
            </w:pPr>
            <w:r w:rsidRPr="00E45675">
              <w:rPr>
                <w:rFonts w:ascii="Arial" w:hAnsi="Arial" w:cs="Arial"/>
              </w:rPr>
              <w:t>Purchase of alternative fuel vehicles</w:t>
            </w:r>
          </w:p>
        </w:tc>
      </w:tr>
      <w:tr w:rsidR="00A46CCD" w:rsidRPr="00E45675" w14:paraId="1CCAE30B" w14:textId="77777777" w:rsidTr="002670C4">
        <w:trPr>
          <w:trHeight w:val="1139"/>
        </w:trPr>
        <w:tc>
          <w:tcPr>
            <w:tcW w:w="1098" w:type="dxa"/>
          </w:tcPr>
          <w:p w14:paraId="3A3D625E" w14:textId="77777777" w:rsidR="00A46CCD" w:rsidRPr="00E45675" w:rsidRDefault="00A46CCD" w:rsidP="002670C4">
            <w:pPr>
              <w:jc w:val="center"/>
              <w:rPr>
                <w:rFonts w:ascii="Arial" w:hAnsi="Arial" w:cs="Arial"/>
              </w:rPr>
            </w:pPr>
            <w:r w:rsidRPr="00E45675">
              <w:rPr>
                <w:rFonts w:ascii="Arial" w:hAnsi="Arial" w:cs="Arial"/>
              </w:rPr>
              <w:t>10</w:t>
            </w:r>
          </w:p>
        </w:tc>
        <w:tc>
          <w:tcPr>
            <w:tcW w:w="6547" w:type="dxa"/>
          </w:tcPr>
          <w:p w14:paraId="5FF38890" w14:textId="77777777" w:rsidR="00A46CCD" w:rsidRPr="00E45675" w:rsidRDefault="00A46CCD" w:rsidP="002670C4">
            <w:pPr>
              <w:rPr>
                <w:rFonts w:ascii="Arial" w:hAnsi="Arial" w:cs="Arial"/>
              </w:rPr>
            </w:pPr>
            <w:r w:rsidRPr="00E45675">
              <w:rPr>
                <w:rFonts w:ascii="Arial" w:hAnsi="Arial" w:cs="Arial"/>
              </w:rPr>
              <w:t>Installation of electric vehicle charging stations installed on existing facilities</w:t>
            </w:r>
          </w:p>
        </w:tc>
      </w:tr>
    </w:tbl>
    <w:p w14:paraId="2E74D199" w14:textId="77777777" w:rsidR="00A46CCD" w:rsidRPr="00E45675" w:rsidRDefault="00A46CCD">
      <w:pPr>
        <w:rPr>
          <w:rFonts w:ascii="Arial" w:hAnsi="Arial" w:cs="Arial"/>
        </w:rPr>
      </w:pPr>
    </w:p>
    <w:sectPr w:rsidR="00A46CCD" w:rsidRPr="00E45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CD"/>
    <w:rsid w:val="00127330"/>
    <w:rsid w:val="005404E9"/>
    <w:rsid w:val="00572668"/>
    <w:rsid w:val="009B626A"/>
    <w:rsid w:val="00A46CCD"/>
    <w:rsid w:val="00A80357"/>
    <w:rsid w:val="00C124A8"/>
    <w:rsid w:val="00E45675"/>
    <w:rsid w:val="00F42E78"/>
    <w:rsid w:val="00FC24FC"/>
    <w:rsid w:val="00FD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9EDE6"/>
  <w15:chartTrackingRefBased/>
  <w15:docId w15:val="{16EAD7B0-1D8A-4595-B1A8-0AC26A8C3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CC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6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6CCD"/>
    <w:pPr>
      <w:spacing w:after="0" w:line="240" w:lineRule="auto"/>
    </w:pPr>
  </w:style>
  <w:style w:type="paragraph" w:styleId="BalloonText">
    <w:name w:val="Balloon Text"/>
    <w:basedOn w:val="Normal"/>
    <w:link w:val="BalloonTextChar"/>
    <w:uiPriority w:val="99"/>
    <w:semiHidden/>
    <w:unhideWhenUsed/>
    <w:rsid w:val="005404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4E9"/>
    <w:rPr>
      <w:rFonts w:ascii="Segoe UI" w:hAnsi="Segoe UI" w:cs="Segoe UI"/>
      <w:sz w:val="18"/>
      <w:szCs w:val="18"/>
    </w:rPr>
  </w:style>
  <w:style w:type="character" w:styleId="CommentReference">
    <w:name w:val="annotation reference"/>
    <w:basedOn w:val="DefaultParagraphFont"/>
    <w:uiPriority w:val="99"/>
    <w:semiHidden/>
    <w:unhideWhenUsed/>
    <w:rsid w:val="00FD67D5"/>
    <w:rPr>
      <w:sz w:val="16"/>
      <w:szCs w:val="16"/>
    </w:rPr>
  </w:style>
  <w:style w:type="paragraph" w:styleId="CommentText">
    <w:name w:val="annotation text"/>
    <w:basedOn w:val="Normal"/>
    <w:link w:val="CommentTextChar"/>
    <w:uiPriority w:val="99"/>
    <w:semiHidden/>
    <w:unhideWhenUsed/>
    <w:rsid w:val="00FD67D5"/>
    <w:rPr>
      <w:sz w:val="20"/>
      <w:szCs w:val="20"/>
    </w:rPr>
  </w:style>
  <w:style w:type="character" w:customStyle="1" w:styleId="CommentTextChar">
    <w:name w:val="Comment Text Char"/>
    <w:basedOn w:val="DefaultParagraphFont"/>
    <w:link w:val="CommentText"/>
    <w:uiPriority w:val="99"/>
    <w:semiHidden/>
    <w:rsid w:val="00FD67D5"/>
    <w:rPr>
      <w:sz w:val="20"/>
      <w:szCs w:val="20"/>
    </w:rPr>
  </w:style>
  <w:style w:type="paragraph" w:styleId="CommentSubject">
    <w:name w:val="annotation subject"/>
    <w:basedOn w:val="CommentText"/>
    <w:next w:val="CommentText"/>
    <w:link w:val="CommentSubjectChar"/>
    <w:uiPriority w:val="99"/>
    <w:semiHidden/>
    <w:unhideWhenUsed/>
    <w:rsid w:val="00FD67D5"/>
    <w:rPr>
      <w:b/>
      <w:bCs/>
    </w:rPr>
  </w:style>
  <w:style w:type="character" w:customStyle="1" w:styleId="CommentSubjectChar">
    <w:name w:val="Comment Subject Char"/>
    <w:basedOn w:val="CommentTextChar"/>
    <w:link w:val="CommentSubject"/>
    <w:uiPriority w:val="99"/>
    <w:semiHidden/>
    <w:rsid w:val="00FD67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Kempf</dc:creator>
  <cp:keywords/>
  <dc:description/>
  <cp:lastModifiedBy>Richardson, Jennifer A</cp:lastModifiedBy>
  <cp:revision>2</cp:revision>
  <dcterms:created xsi:type="dcterms:W3CDTF">2020-08-31T11:56:00Z</dcterms:created>
  <dcterms:modified xsi:type="dcterms:W3CDTF">2020-08-31T11:56:00Z</dcterms:modified>
</cp:coreProperties>
</file>