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ABB52" w14:textId="712E63A1" w:rsidR="00CA7A3F" w:rsidRDefault="00CA7A3F" w:rsidP="00CA7A3F">
      <w:pPr>
        <w:jc w:val="center"/>
        <w:rPr>
          <w:rFonts w:ascii="Calibri" w:eastAsiaTheme="minorEastAsia" w:hAnsi="Calibri" w:cs="Calibri"/>
          <w:b/>
          <w:smallCaps/>
          <w:sz w:val="36"/>
          <w:szCs w:val="36"/>
        </w:rPr>
      </w:pPr>
      <w:bookmarkStart w:id="0" w:name="_Hlk104286114"/>
      <w:bookmarkStart w:id="1" w:name="_Hlk99622984"/>
      <w:r>
        <w:rPr>
          <w:rStyle w:val="Style3"/>
        </w:rPr>
        <w:t xml:space="preserve">Bipartisan Infrastructure Law </w:t>
      </w:r>
      <w:bookmarkEnd w:id="0"/>
      <w:r>
        <w:rPr>
          <w:rStyle w:val="Style3"/>
        </w:rPr>
        <w:t xml:space="preserve">- </w:t>
      </w:r>
      <w:r>
        <w:rPr>
          <w:rFonts w:ascii="Calibri" w:eastAsiaTheme="minorEastAsia" w:hAnsi="Calibri" w:cs="Calibri"/>
          <w:b/>
          <w:smallCaps/>
          <w:sz w:val="36"/>
          <w:szCs w:val="36"/>
        </w:rPr>
        <w:t>Section</w:t>
      </w:r>
      <w:r w:rsidRPr="00681080">
        <w:rPr>
          <w:rFonts w:ascii="Calibri" w:eastAsiaTheme="minorEastAsia" w:hAnsi="Calibri" w:cs="Calibri"/>
          <w:b/>
          <w:smallCaps/>
          <w:sz w:val="36"/>
          <w:szCs w:val="36"/>
        </w:rPr>
        <w:t xml:space="preserve"> 40101</w:t>
      </w:r>
      <w:r>
        <w:rPr>
          <w:rFonts w:ascii="Calibri" w:eastAsiaTheme="minorEastAsia" w:hAnsi="Calibri" w:cs="Calibri"/>
          <w:b/>
          <w:smallCaps/>
          <w:sz w:val="36"/>
          <w:szCs w:val="36"/>
        </w:rPr>
        <w:t>(</w:t>
      </w:r>
      <w:r w:rsidRPr="00E16327">
        <w:rPr>
          <w:b/>
          <w:bCs/>
          <w:sz w:val="36"/>
          <w:szCs w:val="36"/>
        </w:rPr>
        <w:t>d</w:t>
      </w:r>
      <w:r>
        <w:rPr>
          <w:rFonts w:ascii="Calibri" w:eastAsiaTheme="minorEastAsia" w:hAnsi="Calibri" w:cs="Calibri"/>
          <w:b/>
          <w:smallCaps/>
          <w:sz w:val="36"/>
          <w:szCs w:val="36"/>
        </w:rPr>
        <w:t>)</w:t>
      </w:r>
    </w:p>
    <w:p w14:paraId="7D881923" w14:textId="4DD20626" w:rsidR="00CA7A3F" w:rsidRDefault="00CA7A3F" w:rsidP="00CA7A3F">
      <w:pPr>
        <w:jc w:val="center"/>
        <w:rPr>
          <w:rFonts w:ascii="Calibri" w:eastAsiaTheme="minorEastAsia" w:hAnsi="Calibri" w:cs="Calibri"/>
          <w:b/>
          <w:smallCaps/>
          <w:sz w:val="28"/>
          <w:szCs w:val="28"/>
        </w:rPr>
      </w:pPr>
      <w:r w:rsidRPr="00CA7A3F">
        <w:rPr>
          <w:rFonts w:ascii="Calibri" w:eastAsiaTheme="minorEastAsia" w:hAnsi="Calibri" w:cs="Calibri"/>
          <w:b/>
          <w:smallCaps/>
          <w:sz w:val="28"/>
          <w:szCs w:val="28"/>
        </w:rPr>
        <w:t>Preventing Outages and Enhancing the Resilience of the Electric Grid</w:t>
      </w:r>
    </w:p>
    <w:p w14:paraId="0D42C76F" w14:textId="77777777" w:rsidR="00CA7A3F" w:rsidRPr="00CA7A3F" w:rsidRDefault="00CA7A3F" w:rsidP="00CA7A3F">
      <w:pPr>
        <w:jc w:val="center"/>
        <w:rPr>
          <w:rFonts w:ascii="Calibri" w:eastAsiaTheme="minorEastAsia" w:hAnsi="Calibri" w:cs="Calibri"/>
          <w:b/>
          <w:smallCaps/>
          <w:sz w:val="28"/>
          <w:szCs w:val="28"/>
        </w:rPr>
      </w:pPr>
    </w:p>
    <w:p w14:paraId="0215F21C" w14:textId="5212F3D1" w:rsidR="00CA7A3F" w:rsidRPr="00CA7A3F" w:rsidRDefault="00171B3D" w:rsidP="00CA7A3F">
      <w:pPr>
        <w:jc w:val="center"/>
        <w:rPr>
          <w:rFonts w:eastAsiaTheme="minorHAnsi" w:cstheme="minorHAnsi"/>
          <w:b/>
          <w:bCs/>
          <w:sz w:val="28"/>
          <w:szCs w:val="28"/>
        </w:rPr>
      </w:pPr>
      <w:r>
        <w:rPr>
          <w:rFonts w:eastAsiaTheme="minorHAnsi" w:cstheme="minorHAnsi"/>
          <w:b/>
          <w:bCs/>
          <w:sz w:val="28"/>
          <w:szCs w:val="28"/>
        </w:rPr>
        <w:t>State of Indiana</w:t>
      </w:r>
    </w:p>
    <w:p w14:paraId="410B9668" w14:textId="3B4A6EB6" w:rsidR="00CA7A3F" w:rsidRPr="00CA7A3F" w:rsidRDefault="005C7FFC" w:rsidP="00CA7A3F">
      <w:pPr>
        <w:jc w:val="center"/>
        <w:rPr>
          <w:rFonts w:eastAsiaTheme="minorHAnsi" w:cstheme="minorHAnsi"/>
          <w:b/>
          <w:bCs/>
          <w:sz w:val="28"/>
          <w:szCs w:val="28"/>
        </w:rPr>
      </w:pPr>
      <w:r>
        <w:rPr>
          <w:rFonts w:eastAsiaTheme="minorHAnsi" w:cstheme="minorHAnsi"/>
          <w:b/>
          <w:bCs/>
          <w:sz w:val="28"/>
          <w:szCs w:val="28"/>
        </w:rPr>
        <w:t>[DATE]</w:t>
      </w:r>
    </w:p>
    <w:p w14:paraId="11A980FC" w14:textId="77777777" w:rsidR="00CA7A3F" w:rsidRDefault="00CA7A3F" w:rsidP="00732046">
      <w:pPr>
        <w:jc w:val="both"/>
        <w:rPr>
          <w:rFonts w:eastAsiaTheme="minorHAnsi" w:cstheme="minorHAnsi"/>
          <w:szCs w:val="24"/>
        </w:rPr>
      </w:pPr>
    </w:p>
    <w:p w14:paraId="51134EAA" w14:textId="1252E0D8" w:rsidR="00AF35D3" w:rsidRPr="00CA7A3F" w:rsidRDefault="00A7762D" w:rsidP="00CA7A3F">
      <w:pPr>
        <w:jc w:val="center"/>
        <w:rPr>
          <w:rFonts w:eastAsiaTheme="minorHAnsi" w:cstheme="minorHAnsi"/>
          <w:b/>
          <w:bCs/>
          <w:sz w:val="44"/>
          <w:szCs w:val="44"/>
        </w:rPr>
      </w:pPr>
      <w:r>
        <w:rPr>
          <w:rFonts w:eastAsiaTheme="minorHAnsi" w:cstheme="minorHAnsi"/>
          <w:b/>
          <w:bCs/>
          <w:color w:val="FF0000"/>
          <w:sz w:val="44"/>
          <w:szCs w:val="44"/>
        </w:rPr>
        <w:t xml:space="preserve">DRAFT </w:t>
      </w:r>
      <w:r w:rsidR="00CA7A3F" w:rsidRPr="00CA7A3F">
        <w:rPr>
          <w:rFonts w:eastAsiaTheme="minorHAnsi" w:cstheme="minorHAnsi"/>
          <w:b/>
          <w:bCs/>
          <w:sz w:val="44"/>
          <w:szCs w:val="44"/>
        </w:rPr>
        <w:t>Program Narrative</w:t>
      </w:r>
    </w:p>
    <w:p w14:paraId="6CBDB249" w14:textId="3235612F" w:rsidR="00AF35D3" w:rsidRDefault="00AF35D3" w:rsidP="00732046">
      <w:pPr>
        <w:jc w:val="both"/>
        <w:rPr>
          <w:bCs/>
          <w:sz w:val="22"/>
          <w:szCs w:val="22"/>
        </w:rPr>
      </w:pPr>
      <w:bookmarkStart w:id="2" w:name="_Hlk107391420"/>
      <w:bookmarkEnd w:id="1"/>
    </w:p>
    <w:p w14:paraId="44DE0DFB" w14:textId="77777777" w:rsidR="00A13FEE" w:rsidRDefault="00A13FEE" w:rsidP="00732046">
      <w:pPr>
        <w:jc w:val="both"/>
        <w:rPr>
          <w:bCs/>
          <w:sz w:val="22"/>
          <w:szCs w:val="22"/>
        </w:rPr>
      </w:pPr>
    </w:p>
    <w:p w14:paraId="00F8A027" w14:textId="3FCC93EB" w:rsidR="00295FAF" w:rsidRDefault="00AF623A" w:rsidP="004D48F5">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b/>
          <w:bCs/>
          <w:sz w:val="22"/>
          <w:szCs w:val="22"/>
        </w:rPr>
        <w:t>Strawman Draft Editing Guidance</w:t>
      </w:r>
    </w:p>
    <w:p w14:paraId="0056F07C" w14:textId="4459E3F3" w:rsidR="00AF623A" w:rsidRDefault="0062172A" w:rsidP="00AF623A">
      <w:pPr>
        <w:pStyle w:val="paragraph"/>
        <w:numPr>
          <w:ilvl w:val="0"/>
          <w:numId w:val="18"/>
        </w:numPr>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This Word document is considered a draft for public discussion purposes—it does not necessarily contain final informatio</w:t>
      </w:r>
      <w:r w:rsidR="009661F2">
        <w:rPr>
          <w:rStyle w:val="normaltextrun"/>
          <w:rFonts w:ascii="Calibri" w:hAnsi="Calibri" w:cs="Calibri"/>
          <w:sz w:val="22"/>
          <w:szCs w:val="22"/>
        </w:rPr>
        <w:t>n</w:t>
      </w:r>
      <w:r w:rsidR="007A7BC0">
        <w:rPr>
          <w:rStyle w:val="normaltextrun"/>
          <w:rFonts w:ascii="Calibri" w:hAnsi="Calibri" w:cs="Calibri"/>
          <w:sz w:val="22"/>
          <w:szCs w:val="22"/>
        </w:rPr>
        <w:t xml:space="preserve"> or</w:t>
      </w:r>
      <w:r w:rsidR="009661F2">
        <w:rPr>
          <w:rStyle w:val="normaltextrun"/>
          <w:rFonts w:ascii="Calibri" w:hAnsi="Calibri" w:cs="Calibri"/>
          <w:sz w:val="22"/>
          <w:szCs w:val="22"/>
        </w:rPr>
        <w:t xml:space="preserve"> content, and all information or data </w:t>
      </w:r>
      <w:r w:rsidR="00D13E55">
        <w:rPr>
          <w:rStyle w:val="normaltextrun"/>
          <w:rFonts w:ascii="Calibri" w:hAnsi="Calibri" w:cs="Calibri"/>
          <w:sz w:val="22"/>
          <w:szCs w:val="22"/>
        </w:rPr>
        <w:t xml:space="preserve">is </w:t>
      </w:r>
      <w:r w:rsidR="009661F2">
        <w:rPr>
          <w:rStyle w:val="normaltextrun"/>
          <w:rFonts w:ascii="Calibri" w:hAnsi="Calibri" w:cs="Calibri"/>
          <w:sz w:val="22"/>
          <w:szCs w:val="22"/>
        </w:rPr>
        <w:t>considered preliminary</w:t>
      </w:r>
      <w:r>
        <w:rPr>
          <w:rStyle w:val="normaltextrun"/>
          <w:rFonts w:ascii="Calibri" w:hAnsi="Calibri" w:cs="Calibri"/>
          <w:sz w:val="22"/>
          <w:szCs w:val="22"/>
        </w:rPr>
        <w:t xml:space="preserve">. </w:t>
      </w:r>
    </w:p>
    <w:p w14:paraId="17EA7A44" w14:textId="4D3F85FC" w:rsidR="009661F2" w:rsidRDefault="00107EF9" w:rsidP="00AF623A">
      <w:pPr>
        <w:pStyle w:val="paragraph"/>
        <w:numPr>
          <w:ilvl w:val="0"/>
          <w:numId w:val="18"/>
        </w:numPr>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The flow of this document comes from the U.S. Department of Energy’s Program Narrative template. The </w:t>
      </w:r>
      <w:r w:rsidR="00857C42">
        <w:rPr>
          <w:rStyle w:val="normaltextrun"/>
          <w:rFonts w:ascii="Calibri" w:hAnsi="Calibri" w:cs="Calibri"/>
          <w:sz w:val="22"/>
          <w:szCs w:val="22"/>
        </w:rPr>
        <w:t xml:space="preserve">text in </w:t>
      </w:r>
      <w:r w:rsidR="00857C42">
        <w:rPr>
          <w:rStyle w:val="normaltextrun"/>
          <w:rFonts w:ascii="Calibri" w:hAnsi="Calibri" w:cs="Calibri"/>
          <w:color w:val="FF0000"/>
          <w:sz w:val="22"/>
          <w:szCs w:val="22"/>
        </w:rPr>
        <w:t>red</w:t>
      </w:r>
      <w:r w:rsidR="00857C42">
        <w:rPr>
          <w:rStyle w:val="normaltextrun"/>
          <w:rFonts w:ascii="Calibri" w:hAnsi="Calibri" w:cs="Calibri"/>
          <w:sz w:val="22"/>
          <w:szCs w:val="22"/>
        </w:rPr>
        <w:t xml:space="preserve"> are the instructions provided by the U.S. Department of Energy for information that should be included in each section</w:t>
      </w:r>
      <w:r w:rsidR="00B80F55">
        <w:rPr>
          <w:rStyle w:val="normaltextrun"/>
          <w:rFonts w:ascii="Calibri" w:hAnsi="Calibri" w:cs="Calibri"/>
          <w:sz w:val="22"/>
          <w:szCs w:val="22"/>
        </w:rPr>
        <w:t>—please do not edit this text</w:t>
      </w:r>
      <w:r w:rsidR="00857C42">
        <w:rPr>
          <w:rStyle w:val="normaltextrun"/>
          <w:rFonts w:ascii="Calibri" w:hAnsi="Calibri" w:cs="Calibri"/>
          <w:sz w:val="22"/>
          <w:szCs w:val="22"/>
        </w:rPr>
        <w:t>.</w:t>
      </w:r>
    </w:p>
    <w:p w14:paraId="54CCD05B" w14:textId="33E9A724" w:rsidR="00107EF9" w:rsidRDefault="009661F2" w:rsidP="00AF623A">
      <w:pPr>
        <w:pStyle w:val="paragraph"/>
        <w:numPr>
          <w:ilvl w:val="0"/>
          <w:numId w:val="18"/>
        </w:numPr>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We encourage you to edit any of the black text</w:t>
      </w:r>
      <w:r w:rsidR="00857C42">
        <w:rPr>
          <w:rStyle w:val="normaltextrun"/>
          <w:rFonts w:ascii="Calibri" w:hAnsi="Calibri" w:cs="Calibri"/>
          <w:sz w:val="22"/>
          <w:szCs w:val="22"/>
        </w:rPr>
        <w:t xml:space="preserve"> </w:t>
      </w:r>
      <w:r w:rsidR="00C3410D">
        <w:rPr>
          <w:rStyle w:val="normaltextrun"/>
          <w:rFonts w:ascii="Calibri" w:hAnsi="Calibri" w:cs="Calibri"/>
          <w:sz w:val="22"/>
          <w:szCs w:val="22"/>
        </w:rPr>
        <w:t xml:space="preserve">using the “Track Changes” feature. You can find that feature in Microsoft Word under the “Review” tab and </w:t>
      </w:r>
      <w:r w:rsidR="004626ED">
        <w:rPr>
          <w:rStyle w:val="normaltextrun"/>
          <w:rFonts w:ascii="Calibri" w:hAnsi="Calibri" w:cs="Calibri"/>
          <w:sz w:val="22"/>
          <w:szCs w:val="22"/>
        </w:rPr>
        <w:t xml:space="preserve">click “Track Changes” to toggle the feature. If you do not use Tracked Changes, </w:t>
      </w:r>
      <w:r w:rsidR="00B80F55">
        <w:rPr>
          <w:rStyle w:val="normaltextrun"/>
          <w:rFonts w:ascii="Calibri" w:hAnsi="Calibri" w:cs="Calibri"/>
          <w:sz w:val="22"/>
          <w:szCs w:val="22"/>
        </w:rPr>
        <w:t>it raises the chance OED staff may miss some edits</w:t>
      </w:r>
      <w:r w:rsidR="004626ED">
        <w:rPr>
          <w:rStyle w:val="normaltextrun"/>
          <w:rFonts w:ascii="Calibri" w:hAnsi="Calibri" w:cs="Calibri"/>
          <w:sz w:val="22"/>
          <w:szCs w:val="22"/>
        </w:rPr>
        <w:t>.</w:t>
      </w:r>
    </w:p>
    <w:p w14:paraId="776780BB" w14:textId="0E25BA14" w:rsidR="009D37A9" w:rsidRDefault="009D37A9" w:rsidP="00AF623A">
      <w:pPr>
        <w:pStyle w:val="paragraph"/>
        <w:numPr>
          <w:ilvl w:val="0"/>
          <w:numId w:val="18"/>
        </w:numPr>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For any questions</w:t>
      </w:r>
      <w:r w:rsidR="00C11440">
        <w:rPr>
          <w:rStyle w:val="normaltextrun"/>
          <w:rFonts w:ascii="Calibri" w:hAnsi="Calibri" w:cs="Calibri"/>
          <w:sz w:val="22"/>
          <w:szCs w:val="22"/>
        </w:rPr>
        <w:t xml:space="preserve"> or feedback that </w:t>
      </w:r>
      <w:r w:rsidR="007A7BC0">
        <w:rPr>
          <w:rStyle w:val="normaltextrun"/>
          <w:rFonts w:ascii="Calibri" w:hAnsi="Calibri" w:cs="Calibri"/>
          <w:sz w:val="22"/>
          <w:szCs w:val="22"/>
        </w:rPr>
        <w:t>are</w:t>
      </w:r>
      <w:r w:rsidR="00C11440">
        <w:rPr>
          <w:rStyle w:val="normaltextrun"/>
          <w:rFonts w:ascii="Calibri" w:hAnsi="Calibri" w:cs="Calibri"/>
          <w:sz w:val="22"/>
          <w:szCs w:val="22"/>
        </w:rPr>
        <w:t xml:space="preserve"> not redlined, you may use the comments feature. In Microsoft Word, this is also under the “Review” tab. Please try to highlight the text associated with your comments for easier understanding by </w:t>
      </w:r>
      <w:r w:rsidR="009B2940">
        <w:rPr>
          <w:rStyle w:val="normaltextrun"/>
          <w:rFonts w:ascii="Calibri" w:hAnsi="Calibri" w:cs="Calibri"/>
          <w:sz w:val="22"/>
          <w:szCs w:val="22"/>
        </w:rPr>
        <w:t>Indiana Office of Energy Development (</w:t>
      </w:r>
      <w:r w:rsidR="00C11440">
        <w:rPr>
          <w:rStyle w:val="normaltextrun"/>
          <w:rFonts w:ascii="Calibri" w:hAnsi="Calibri" w:cs="Calibri"/>
          <w:sz w:val="22"/>
          <w:szCs w:val="22"/>
        </w:rPr>
        <w:t>OED</w:t>
      </w:r>
      <w:r w:rsidR="009B2940">
        <w:rPr>
          <w:rStyle w:val="normaltextrun"/>
          <w:rFonts w:ascii="Calibri" w:hAnsi="Calibri" w:cs="Calibri"/>
          <w:sz w:val="22"/>
          <w:szCs w:val="22"/>
        </w:rPr>
        <w:t>)</w:t>
      </w:r>
      <w:r w:rsidR="00C11440">
        <w:rPr>
          <w:rStyle w:val="normaltextrun"/>
          <w:rFonts w:ascii="Calibri" w:hAnsi="Calibri" w:cs="Calibri"/>
          <w:sz w:val="22"/>
          <w:szCs w:val="22"/>
        </w:rPr>
        <w:t xml:space="preserve"> staff.</w:t>
      </w:r>
    </w:p>
    <w:p w14:paraId="69021268" w14:textId="50113269" w:rsidR="00FE27B3" w:rsidRPr="00A0199F" w:rsidRDefault="004E2F1E" w:rsidP="004E2F1E">
      <w:pPr>
        <w:pStyle w:val="paragraph"/>
        <w:numPr>
          <w:ilvl w:val="0"/>
          <w:numId w:val="18"/>
        </w:numPr>
        <w:spacing w:before="0" w:beforeAutospacing="0" w:after="0" w:afterAutospacing="0"/>
        <w:jc w:val="both"/>
        <w:textAlignment w:val="baseline"/>
        <w:rPr>
          <w:rStyle w:val="normaltextrun"/>
          <w:rFonts w:ascii="Calibri" w:hAnsi="Calibri" w:cs="Calibri"/>
          <w:b/>
          <w:bCs/>
          <w:sz w:val="22"/>
          <w:szCs w:val="22"/>
        </w:rPr>
      </w:pPr>
      <w:r>
        <w:rPr>
          <w:rStyle w:val="normaltextrun"/>
          <w:rFonts w:ascii="Calibri" w:hAnsi="Calibri" w:cs="Calibri"/>
          <w:sz w:val="22"/>
          <w:szCs w:val="22"/>
        </w:rPr>
        <w:t xml:space="preserve">Please submit your </w:t>
      </w:r>
      <w:r w:rsidR="002149FF">
        <w:rPr>
          <w:rStyle w:val="normaltextrun"/>
          <w:rFonts w:ascii="Calibri" w:hAnsi="Calibri" w:cs="Calibri"/>
          <w:sz w:val="22"/>
          <w:szCs w:val="22"/>
        </w:rPr>
        <w:t>comments, questions, and</w:t>
      </w:r>
      <w:r w:rsidR="00D97284">
        <w:rPr>
          <w:rStyle w:val="normaltextrun"/>
          <w:rFonts w:ascii="Calibri" w:hAnsi="Calibri" w:cs="Calibri"/>
          <w:sz w:val="22"/>
          <w:szCs w:val="22"/>
        </w:rPr>
        <w:t>/or</w:t>
      </w:r>
      <w:r w:rsidR="002149FF">
        <w:rPr>
          <w:rStyle w:val="normaltextrun"/>
          <w:rFonts w:ascii="Calibri" w:hAnsi="Calibri" w:cs="Calibri"/>
          <w:sz w:val="22"/>
          <w:szCs w:val="22"/>
        </w:rPr>
        <w:t xml:space="preserve"> edited document</w:t>
      </w:r>
      <w:r>
        <w:rPr>
          <w:rStyle w:val="normaltextrun"/>
          <w:rFonts w:ascii="Calibri" w:hAnsi="Calibri" w:cs="Calibri"/>
          <w:sz w:val="22"/>
          <w:szCs w:val="22"/>
        </w:rPr>
        <w:t xml:space="preserve"> in Word format via email to </w:t>
      </w:r>
      <w:hyperlink r:id="rId8" w:history="1">
        <w:r w:rsidR="00755D39" w:rsidRPr="00755D39">
          <w:rPr>
            <w:rStyle w:val="Hyperlink"/>
            <w:rFonts w:ascii="Calibri" w:hAnsi="Calibri" w:cs="Calibri"/>
            <w:sz w:val="22"/>
            <w:szCs w:val="22"/>
          </w:rPr>
          <w:t>grants@oed.in.gov</w:t>
        </w:r>
      </w:hyperlink>
      <w:r w:rsidR="00164661">
        <w:rPr>
          <w:rStyle w:val="normaltextrun"/>
          <w:rFonts w:ascii="Calibri" w:hAnsi="Calibri" w:cs="Calibri"/>
          <w:sz w:val="22"/>
          <w:szCs w:val="22"/>
        </w:rPr>
        <w:t xml:space="preserve"> </w:t>
      </w:r>
      <w:r w:rsidR="00164661">
        <w:rPr>
          <w:rStyle w:val="normaltextrun"/>
          <w:rFonts w:ascii="Calibri" w:hAnsi="Calibri" w:cs="Calibri"/>
          <w:b/>
          <w:bCs/>
          <w:sz w:val="22"/>
          <w:szCs w:val="22"/>
        </w:rPr>
        <w:t xml:space="preserve">by </w:t>
      </w:r>
      <w:r w:rsidR="005D7733">
        <w:rPr>
          <w:rStyle w:val="normaltextrun"/>
          <w:rFonts w:ascii="Calibri" w:hAnsi="Calibri" w:cs="Calibri"/>
          <w:b/>
          <w:bCs/>
          <w:sz w:val="22"/>
          <w:szCs w:val="22"/>
        </w:rPr>
        <w:t>close of business August 23, 2022</w:t>
      </w:r>
      <w:r>
        <w:rPr>
          <w:rStyle w:val="normaltextrun"/>
          <w:rFonts w:ascii="Calibri" w:hAnsi="Calibri" w:cs="Calibri"/>
          <w:sz w:val="22"/>
          <w:szCs w:val="22"/>
        </w:rPr>
        <w:t xml:space="preserve">. </w:t>
      </w:r>
      <w:r w:rsidR="00A75E30" w:rsidRPr="00A0199F">
        <w:rPr>
          <w:rStyle w:val="normaltextrun"/>
          <w:rFonts w:ascii="Calibri" w:hAnsi="Calibri" w:cs="Calibri"/>
          <w:b/>
          <w:bCs/>
          <w:sz w:val="22"/>
          <w:szCs w:val="22"/>
        </w:rPr>
        <w:t xml:space="preserve">Please use “Grid </w:t>
      </w:r>
      <w:r w:rsidR="00261060" w:rsidRPr="00A0199F">
        <w:rPr>
          <w:rStyle w:val="normaltextrun"/>
          <w:rFonts w:ascii="Calibri" w:hAnsi="Calibri" w:cs="Calibri"/>
          <w:b/>
          <w:bCs/>
          <w:sz w:val="22"/>
          <w:szCs w:val="22"/>
        </w:rPr>
        <w:t xml:space="preserve">Resilience </w:t>
      </w:r>
      <w:r w:rsidR="00726EA3">
        <w:rPr>
          <w:rStyle w:val="normaltextrun"/>
          <w:rFonts w:ascii="Calibri" w:hAnsi="Calibri" w:cs="Calibri"/>
          <w:b/>
          <w:bCs/>
          <w:sz w:val="22"/>
          <w:szCs w:val="22"/>
        </w:rPr>
        <w:t>Program</w:t>
      </w:r>
      <w:r w:rsidR="00261060" w:rsidRPr="00A0199F">
        <w:rPr>
          <w:rStyle w:val="normaltextrun"/>
          <w:rFonts w:ascii="Calibri" w:hAnsi="Calibri" w:cs="Calibri"/>
          <w:b/>
          <w:bCs/>
          <w:sz w:val="22"/>
          <w:szCs w:val="22"/>
        </w:rPr>
        <w:t>”</w:t>
      </w:r>
      <w:r w:rsidR="009D4201" w:rsidRPr="00A0199F">
        <w:rPr>
          <w:rStyle w:val="normaltextrun"/>
          <w:rFonts w:ascii="Calibri" w:hAnsi="Calibri" w:cs="Calibri"/>
          <w:b/>
          <w:bCs/>
          <w:sz w:val="22"/>
          <w:szCs w:val="22"/>
        </w:rPr>
        <w:t xml:space="preserve"> and your entity name</w:t>
      </w:r>
      <w:r w:rsidR="00261060" w:rsidRPr="00A0199F">
        <w:rPr>
          <w:rStyle w:val="normaltextrun"/>
          <w:rFonts w:ascii="Calibri" w:hAnsi="Calibri" w:cs="Calibri"/>
          <w:b/>
          <w:bCs/>
          <w:sz w:val="22"/>
          <w:szCs w:val="22"/>
        </w:rPr>
        <w:t xml:space="preserve"> in the email subject line</w:t>
      </w:r>
      <w:r w:rsidR="009D4201" w:rsidRPr="00A0199F">
        <w:rPr>
          <w:rStyle w:val="normaltextrun"/>
          <w:rFonts w:ascii="Calibri" w:hAnsi="Calibri" w:cs="Calibri"/>
          <w:b/>
          <w:bCs/>
          <w:sz w:val="22"/>
          <w:szCs w:val="22"/>
        </w:rPr>
        <w:t>.</w:t>
      </w:r>
    </w:p>
    <w:p w14:paraId="1E914149" w14:textId="0D790DD9" w:rsidR="004E2F1E" w:rsidRPr="004E2F1E" w:rsidRDefault="008449E5" w:rsidP="004E2F1E">
      <w:pPr>
        <w:pStyle w:val="paragraph"/>
        <w:numPr>
          <w:ilvl w:val="0"/>
          <w:numId w:val="18"/>
        </w:numPr>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Please include your name</w:t>
      </w:r>
      <w:r w:rsidR="00FE27B3">
        <w:rPr>
          <w:rStyle w:val="normaltextrun"/>
          <w:rFonts w:ascii="Calibri" w:hAnsi="Calibri" w:cs="Calibri"/>
          <w:sz w:val="22"/>
          <w:szCs w:val="22"/>
        </w:rPr>
        <w:t xml:space="preserve">, </w:t>
      </w:r>
      <w:r>
        <w:rPr>
          <w:rStyle w:val="normaltextrun"/>
          <w:rFonts w:ascii="Calibri" w:hAnsi="Calibri" w:cs="Calibri"/>
          <w:sz w:val="22"/>
          <w:szCs w:val="22"/>
        </w:rPr>
        <w:t>email address</w:t>
      </w:r>
      <w:r w:rsidR="00FE27B3">
        <w:rPr>
          <w:rStyle w:val="normaltextrun"/>
          <w:rFonts w:ascii="Calibri" w:hAnsi="Calibri" w:cs="Calibri"/>
          <w:sz w:val="22"/>
          <w:szCs w:val="22"/>
        </w:rPr>
        <w:t>, and organization (if representing one)</w:t>
      </w:r>
      <w:r w:rsidR="00016366">
        <w:rPr>
          <w:rStyle w:val="normaltextrun"/>
          <w:rFonts w:ascii="Calibri" w:hAnsi="Calibri" w:cs="Calibri"/>
          <w:sz w:val="22"/>
          <w:szCs w:val="22"/>
        </w:rPr>
        <w:t xml:space="preserve"> when submitting comments or feedback</w:t>
      </w:r>
      <w:r>
        <w:rPr>
          <w:rStyle w:val="normaltextrun"/>
          <w:rFonts w:ascii="Calibri" w:hAnsi="Calibri" w:cs="Calibri"/>
          <w:sz w:val="22"/>
          <w:szCs w:val="22"/>
        </w:rPr>
        <w:t xml:space="preserve"> in the event OED staff may need to reach out regarding your edits or feedback.</w:t>
      </w:r>
    </w:p>
    <w:p w14:paraId="1FF1082A" w14:textId="5678E1B8" w:rsidR="00295FAF" w:rsidRDefault="00295FAF" w:rsidP="004D48F5">
      <w:pPr>
        <w:pStyle w:val="paragraph"/>
        <w:spacing w:before="0" w:beforeAutospacing="0" w:after="0" w:afterAutospacing="0"/>
        <w:jc w:val="both"/>
        <w:textAlignment w:val="baseline"/>
        <w:rPr>
          <w:rStyle w:val="normaltextrun"/>
          <w:rFonts w:ascii="Calibri" w:hAnsi="Calibri" w:cs="Calibri"/>
          <w:b/>
          <w:bCs/>
          <w:sz w:val="22"/>
          <w:szCs w:val="22"/>
        </w:rPr>
      </w:pPr>
    </w:p>
    <w:p w14:paraId="767844F4" w14:textId="77777777" w:rsidR="00A13FEE" w:rsidRDefault="00A13FEE" w:rsidP="004D48F5">
      <w:pPr>
        <w:pStyle w:val="paragraph"/>
        <w:spacing w:before="0" w:beforeAutospacing="0" w:after="0" w:afterAutospacing="0"/>
        <w:jc w:val="both"/>
        <w:textAlignment w:val="baseline"/>
        <w:rPr>
          <w:rStyle w:val="normaltextrun"/>
          <w:rFonts w:ascii="Calibri" w:hAnsi="Calibri" w:cs="Calibri"/>
          <w:b/>
          <w:bCs/>
          <w:sz w:val="22"/>
          <w:szCs w:val="22"/>
        </w:rPr>
      </w:pPr>
    </w:p>
    <w:p w14:paraId="6AE09813" w14:textId="4C09683F" w:rsidR="002832DB" w:rsidRPr="002832DB" w:rsidRDefault="002832DB" w:rsidP="004D48F5">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b/>
          <w:bCs/>
          <w:sz w:val="22"/>
          <w:szCs w:val="22"/>
        </w:rPr>
        <w:t>Overview</w:t>
      </w:r>
    </w:p>
    <w:p w14:paraId="68455C6B" w14:textId="77777777" w:rsidR="002832DB" w:rsidRDefault="002832DB" w:rsidP="004D48F5">
      <w:pPr>
        <w:pStyle w:val="paragraph"/>
        <w:spacing w:before="0" w:beforeAutospacing="0" w:after="0" w:afterAutospacing="0"/>
        <w:jc w:val="both"/>
        <w:textAlignment w:val="baseline"/>
        <w:rPr>
          <w:rStyle w:val="normaltextrun"/>
          <w:rFonts w:ascii="Calibri" w:hAnsi="Calibri" w:cs="Calibri"/>
          <w:sz w:val="22"/>
          <w:szCs w:val="22"/>
        </w:rPr>
      </w:pPr>
    </w:p>
    <w:p w14:paraId="3F3BF462" w14:textId="04630FF7" w:rsidR="00C71F2F" w:rsidRPr="005D2541" w:rsidRDefault="00C71F2F" w:rsidP="004D48F5">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5D2541">
        <w:rPr>
          <w:rStyle w:val="normaltextrun"/>
          <w:rFonts w:ascii="Calibri" w:hAnsi="Calibri" w:cs="Calibri"/>
          <w:sz w:val="22"/>
          <w:szCs w:val="22"/>
        </w:rPr>
        <w:t>The Grid Resilience Grant Program, funded through Section 40101</w:t>
      </w:r>
      <w:r w:rsidR="003404D4">
        <w:rPr>
          <w:rStyle w:val="normaltextrun"/>
          <w:rFonts w:ascii="Calibri" w:hAnsi="Calibri" w:cs="Calibri"/>
          <w:sz w:val="22"/>
          <w:szCs w:val="22"/>
        </w:rPr>
        <w:t>(d)</w:t>
      </w:r>
      <w:r w:rsidRPr="005D2541">
        <w:rPr>
          <w:rStyle w:val="normaltextrun"/>
          <w:rFonts w:ascii="Calibri" w:hAnsi="Calibri" w:cs="Calibri"/>
          <w:sz w:val="22"/>
          <w:szCs w:val="22"/>
        </w:rPr>
        <w:t xml:space="preserve"> of the Infrastructure Investment and Jobs Act (IIJA), will be administered through the Indiana Office of Energy Development (</w:t>
      </w:r>
      <w:r>
        <w:rPr>
          <w:rStyle w:val="normaltextrun"/>
          <w:rFonts w:ascii="Calibri" w:hAnsi="Calibri" w:cs="Calibri"/>
          <w:sz w:val="22"/>
          <w:szCs w:val="22"/>
        </w:rPr>
        <w:t xml:space="preserve">Indiana </w:t>
      </w:r>
      <w:r w:rsidRPr="005D2541">
        <w:rPr>
          <w:rStyle w:val="normaltextrun"/>
          <w:rFonts w:ascii="Calibri" w:hAnsi="Calibri" w:cs="Calibri"/>
          <w:sz w:val="22"/>
          <w:szCs w:val="22"/>
        </w:rPr>
        <w:t xml:space="preserve">OED), the Governor-designated state energy office. </w:t>
      </w:r>
      <w:r w:rsidRPr="005D2541">
        <w:rPr>
          <w:rFonts w:asciiTheme="minorHAnsi" w:hAnsiTheme="minorHAnsi" w:cstheme="minorHAnsi"/>
          <w:sz w:val="22"/>
          <w:szCs w:val="22"/>
        </w:rPr>
        <w:t>This program provides $2.5 billion in formula grants to states and tribes for the purpose of improving the all-hazards resilience</w:t>
      </w:r>
      <w:r w:rsidR="00F2676E">
        <w:rPr>
          <w:rFonts w:asciiTheme="minorHAnsi" w:hAnsiTheme="minorHAnsi" w:cstheme="minorHAnsi"/>
          <w:sz w:val="22"/>
          <w:szCs w:val="22"/>
        </w:rPr>
        <w:t xml:space="preserve"> </w:t>
      </w:r>
      <w:r w:rsidRPr="005D2541">
        <w:rPr>
          <w:rFonts w:asciiTheme="minorHAnsi" w:hAnsiTheme="minorHAnsi" w:cstheme="minorHAnsi"/>
          <w:sz w:val="22"/>
          <w:szCs w:val="22"/>
        </w:rPr>
        <w:t xml:space="preserve">of electric grids. Under this </w:t>
      </w:r>
      <w:r w:rsidR="0020350E">
        <w:rPr>
          <w:rFonts w:asciiTheme="minorHAnsi" w:hAnsiTheme="minorHAnsi" w:cstheme="minorHAnsi"/>
          <w:sz w:val="22"/>
          <w:szCs w:val="22"/>
        </w:rPr>
        <w:t xml:space="preserve">U.S. Department of Energy (DOE) </w:t>
      </w:r>
      <w:r w:rsidRPr="005D2541">
        <w:rPr>
          <w:rFonts w:asciiTheme="minorHAnsi" w:hAnsiTheme="minorHAnsi" w:cstheme="minorHAnsi"/>
          <w:sz w:val="22"/>
          <w:szCs w:val="22"/>
        </w:rPr>
        <w:t>formula program, Indiana is estimated to receive</w:t>
      </w:r>
      <w:r w:rsidR="00656522">
        <w:rPr>
          <w:rFonts w:asciiTheme="minorHAnsi" w:hAnsiTheme="minorHAnsi" w:cstheme="minorHAnsi"/>
          <w:sz w:val="22"/>
          <w:szCs w:val="22"/>
        </w:rPr>
        <w:t xml:space="preserve"> approximately</w:t>
      </w:r>
      <w:r w:rsidRPr="005D2541">
        <w:rPr>
          <w:rFonts w:asciiTheme="minorHAnsi" w:hAnsiTheme="minorHAnsi" w:cstheme="minorHAnsi"/>
          <w:sz w:val="22"/>
          <w:szCs w:val="22"/>
        </w:rPr>
        <w:t xml:space="preserve"> </w:t>
      </w:r>
      <w:r w:rsidR="00526242">
        <w:rPr>
          <w:rFonts w:asciiTheme="minorHAnsi" w:hAnsiTheme="minorHAnsi" w:cstheme="minorHAnsi"/>
          <w:sz w:val="22"/>
          <w:szCs w:val="22"/>
        </w:rPr>
        <w:t>$4</w:t>
      </w:r>
      <w:r w:rsidR="00656522">
        <w:rPr>
          <w:rFonts w:asciiTheme="minorHAnsi" w:hAnsiTheme="minorHAnsi" w:cstheme="minorHAnsi"/>
          <w:sz w:val="22"/>
          <w:szCs w:val="22"/>
        </w:rPr>
        <w:t>.6 million</w:t>
      </w:r>
      <w:r w:rsidRPr="005D2541">
        <w:rPr>
          <w:rFonts w:asciiTheme="minorHAnsi" w:hAnsiTheme="minorHAnsi" w:cstheme="minorHAnsi"/>
          <w:sz w:val="22"/>
          <w:szCs w:val="22"/>
        </w:rPr>
        <w:t xml:space="preserve"> annually for the next five years. </w:t>
      </w:r>
    </w:p>
    <w:p w14:paraId="7A1B2DBD" w14:textId="77777777" w:rsidR="00C71F2F" w:rsidRDefault="00C71F2F" w:rsidP="004D48F5">
      <w:pPr>
        <w:pStyle w:val="paragraph"/>
        <w:spacing w:before="0" w:beforeAutospacing="0" w:after="0" w:afterAutospacing="0"/>
        <w:jc w:val="both"/>
        <w:textAlignment w:val="baseline"/>
        <w:rPr>
          <w:rStyle w:val="normaltextrun"/>
          <w:rFonts w:ascii="Calibri" w:hAnsi="Calibri" w:cs="Calibri"/>
          <w:sz w:val="22"/>
          <w:szCs w:val="22"/>
        </w:rPr>
      </w:pPr>
    </w:p>
    <w:p w14:paraId="7FB69934" w14:textId="77777777" w:rsidR="00C71F2F" w:rsidRDefault="00C71F2F" w:rsidP="004D48F5">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Indiana will focus on building upon existing efforts throughout the state and supplement existing funding </w:t>
      </w:r>
      <w:proofErr w:type="gramStart"/>
      <w:r>
        <w:rPr>
          <w:rStyle w:val="normaltextrun"/>
          <w:rFonts w:ascii="Calibri" w:hAnsi="Calibri" w:cs="Calibri"/>
          <w:sz w:val="22"/>
          <w:szCs w:val="22"/>
        </w:rPr>
        <w:t>in order to</w:t>
      </w:r>
      <w:proofErr w:type="gramEnd"/>
      <w:r>
        <w:rPr>
          <w:rStyle w:val="normaltextrun"/>
          <w:rFonts w:ascii="Calibri" w:hAnsi="Calibri" w:cs="Calibri"/>
          <w:sz w:val="22"/>
          <w:szCs w:val="22"/>
        </w:rPr>
        <w:t xml:space="preserve"> improve the electric grid infrastructure, particularly as it relates to the ability to withstand and recover from potential disruptions. </w:t>
      </w:r>
    </w:p>
    <w:p w14:paraId="1B204F50" w14:textId="77777777" w:rsidR="00C71F2F" w:rsidRDefault="00C71F2F" w:rsidP="004D48F5">
      <w:pPr>
        <w:pStyle w:val="paragraph"/>
        <w:spacing w:before="0" w:beforeAutospacing="0" w:after="0" w:afterAutospacing="0"/>
        <w:jc w:val="both"/>
        <w:textAlignment w:val="baseline"/>
        <w:rPr>
          <w:rStyle w:val="normaltextrun"/>
          <w:rFonts w:ascii="Calibri" w:hAnsi="Calibri" w:cs="Calibri"/>
          <w:sz w:val="22"/>
          <w:szCs w:val="22"/>
        </w:rPr>
      </w:pPr>
    </w:p>
    <w:p w14:paraId="1AED2B9C" w14:textId="45ECF457" w:rsidR="00C71F2F" w:rsidRDefault="00C71F2F" w:rsidP="004D48F5">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This program narrative outlines Indiana’s plan to implement this program, including the objectives and intended outcomes of the program, the </w:t>
      </w:r>
      <w:proofErr w:type="gramStart"/>
      <w:r>
        <w:rPr>
          <w:rStyle w:val="normaltextrun"/>
          <w:rFonts w:ascii="Calibri" w:hAnsi="Calibri" w:cs="Calibri"/>
          <w:sz w:val="22"/>
          <w:szCs w:val="22"/>
        </w:rPr>
        <w:t>methods</w:t>
      </w:r>
      <w:proofErr w:type="gramEnd"/>
      <w:r>
        <w:rPr>
          <w:rStyle w:val="normaltextrun"/>
          <w:rFonts w:ascii="Calibri" w:hAnsi="Calibri" w:cs="Calibri"/>
          <w:sz w:val="22"/>
          <w:szCs w:val="22"/>
        </w:rPr>
        <w:t xml:space="preserve"> and criteria on sub-awarding funds to eligible entities, </w:t>
      </w:r>
      <w:r>
        <w:rPr>
          <w:rStyle w:val="normaltextrun"/>
          <w:rFonts w:ascii="Calibri" w:hAnsi="Calibri" w:cs="Calibri"/>
          <w:sz w:val="22"/>
          <w:szCs w:val="22"/>
        </w:rPr>
        <w:lastRenderedPageBreak/>
        <w:t>as well as the distribution of funding. This plan is in alignment with the program narrative requirements as provided by the U.S. Department of Energy’s (DOE) Administrative and Legal Requirements Document.</w:t>
      </w:r>
      <w:r>
        <w:rPr>
          <w:rStyle w:val="FootnoteReference"/>
          <w:rFonts w:ascii="Calibri" w:hAnsi="Calibri" w:cs="Calibri"/>
          <w:sz w:val="22"/>
          <w:szCs w:val="22"/>
        </w:rPr>
        <w:footnoteReference w:id="2"/>
      </w:r>
      <w:r>
        <w:rPr>
          <w:rStyle w:val="normaltextrun"/>
          <w:rFonts w:ascii="Calibri" w:hAnsi="Calibri" w:cs="Calibri"/>
          <w:sz w:val="22"/>
          <w:szCs w:val="22"/>
        </w:rPr>
        <w:t xml:space="preserve"> </w:t>
      </w:r>
    </w:p>
    <w:p w14:paraId="12B35AF0" w14:textId="77777777" w:rsidR="004859C2" w:rsidRDefault="004859C2" w:rsidP="004D48F5">
      <w:pPr>
        <w:pStyle w:val="paragraph"/>
        <w:spacing w:before="0" w:beforeAutospacing="0" w:after="0" w:afterAutospacing="0"/>
        <w:jc w:val="both"/>
        <w:textAlignment w:val="baseline"/>
        <w:rPr>
          <w:rStyle w:val="normaltextrun"/>
          <w:rFonts w:ascii="Calibri" w:hAnsi="Calibri" w:cs="Calibri"/>
          <w:sz w:val="22"/>
          <w:szCs w:val="22"/>
        </w:rPr>
      </w:pPr>
    </w:p>
    <w:p w14:paraId="148E80C4" w14:textId="7CCC6468" w:rsidR="00AF4DF1" w:rsidRDefault="002E5825" w:rsidP="004D48F5">
      <w:pPr>
        <w:pStyle w:val="paragraph"/>
        <w:spacing w:before="0" w:beforeAutospacing="0" w:after="0" w:afterAutospacing="0"/>
        <w:jc w:val="both"/>
        <w:textAlignment w:val="baseline"/>
        <w:rPr>
          <w:rFonts w:ascii="Calibri" w:hAnsi="Calibri" w:cs="Calibri"/>
          <w:i/>
          <w:iCs/>
          <w:sz w:val="22"/>
          <w:szCs w:val="22"/>
        </w:rPr>
      </w:pPr>
      <w:r w:rsidRPr="00656522">
        <w:rPr>
          <w:rFonts w:ascii="Calibri" w:hAnsi="Calibri" w:cs="Calibri"/>
          <w:i/>
          <w:iCs/>
          <w:sz w:val="22"/>
          <w:szCs w:val="22"/>
        </w:rPr>
        <w:t>Indiana’s electricity landscape</w:t>
      </w:r>
    </w:p>
    <w:p w14:paraId="4834D9A6" w14:textId="77777777" w:rsidR="00DD6B3B" w:rsidRPr="00656522" w:rsidRDefault="00DD6B3B" w:rsidP="004D48F5">
      <w:pPr>
        <w:pStyle w:val="paragraph"/>
        <w:spacing w:before="0" w:beforeAutospacing="0" w:after="0" w:afterAutospacing="0"/>
        <w:jc w:val="both"/>
        <w:textAlignment w:val="baseline"/>
        <w:rPr>
          <w:rFonts w:ascii="Calibri" w:hAnsi="Calibri" w:cs="Calibri"/>
          <w:i/>
          <w:iCs/>
          <w:sz w:val="22"/>
          <w:szCs w:val="22"/>
        </w:rPr>
      </w:pPr>
    </w:p>
    <w:p w14:paraId="75F4592A" w14:textId="0118AC10" w:rsidR="004859C2" w:rsidRDefault="00F538E5" w:rsidP="004D48F5">
      <w:pPr>
        <w:pStyle w:val="paragraph"/>
        <w:spacing w:before="0" w:beforeAutospacing="0" w:after="0" w:afterAutospacing="0"/>
        <w:jc w:val="both"/>
        <w:textAlignment w:val="baseline"/>
        <w:rPr>
          <w:rFonts w:ascii="Calibri" w:hAnsi="Calibri" w:cs="Calibri"/>
          <w:sz w:val="22"/>
          <w:szCs w:val="22"/>
        </w:rPr>
      </w:pPr>
      <w:r w:rsidRPr="00F538E5">
        <w:rPr>
          <w:rFonts w:ascii="Calibri" w:hAnsi="Calibri" w:cs="Calibri"/>
          <w:sz w:val="22"/>
          <w:szCs w:val="22"/>
        </w:rPr>
        <w:t>Indiana lies just west of the Appalachian Mountains and extends 270 miles south from Lake Michigan to the Ohio River.</w:t>
      </w:r>
      <w:r w:rsidR="00522C89">
        <w:rPr>
          <w:rFonts w:ascii="Calibri" w:hAnsi="Calibri" w:cs="Calibri"/>
          <w:sz w:val="22"/>
          <w:szCs w:val="22"/>
        </w:rPr>
        <w:t xml:space="preserve"> </w:t>
      </w:r>
      <w:r w:rsidR="00522C89" w:rsidRPr="00522C89">
        <w:rPr>
          <w:rFonts w:ascii="Calibri" w:hAnsi="Calibri" w:cs="Calibri"/>
          <w:sz w:val="22"/>
          <w:szCs w:val="22"/>
        </w:rPr>
        <w:t>Although Indiana is not a large state, it has a varied climate. In the north, Indiana experiences lake-effect snows and winds off Lake Michigan. In the south, the hilly terrain creates localized weather variations. The weather statewide is influenced by the interplay of polar air moving south from Canada and warm, moist air moving north from the Gulf of Mexico. Indiana's winters can be bitterly cold, spring weather often includes tornadoes, and some summer days have very high humidity and heat.</w:t>
      </w:r>
      <w:r w:rsidR="004819A8">
        <w:rPr>
          <w:rFonts w:ascii="Calibri" w:hAnsi="Calibri" w:cs="Calibri"/>
          <w:sz w:val="22"/>
          <w:szCs w:val="22"/>
        </w:rPr>
        <w:t xml:space="preserve"> </w:t>
      </w:r>
      <w:r w:rsidR="004819A8" w:rsidRPr="004819A8">
        <w:rPr>
          <w:rFonts w:ascii="Calibri" w:hAnsi="Calibri" w:cs="Calibri"/>
          <w:sz w:val="22"/>
          <w:szCs w:val="22"/>
        </w:rPr>
        <w:t>In part because of those weather extremes, Indiana ranks 12th among the states in total energy use per capita. The industrial sector is the state's largest energy-consuming sector, and it accounts for almost half of the state's total energy consumption.</w:t>
      </w:r>
      <w:r w:rsidR="002E541B">
        <w:rPr>
          <w:rFonts w:ascii="Calibri" w:hAnsi="Calibri" w:cs="Calibri"/>
          <w:sz w:val="22"/>
          <w:szCs w:val="22"/>
        </w:rPr>
        <w:t xml:space="preserve"> </w:t>
      </w:r>
      <w:r w:rsidR="002E541B" w:rsidRPr="002E541B">
        <w:rPr>
          <w:rFonts w:ascii="Calibri" w:hAnsi="Calibri" w:cs="Calibri"/>
          <w:sz w:val="22"/>
          <w:szCs w:val="22"/>
        </w:rPr>
        <w:t xml:space="preserve">In addition to motor vehicle and trailer manufacturing, Indiana's industries include energy-intensive chemical, petroleum, and primary metal manufacturing. The transportation sector is the second-largest energy consumer among Indiana's end-use sectors, followed closely by the residential sector. Those two sectors each account for about one-fifth of the state's energy use. The commercial sector uses the rest. Overall, </w:t>
      </w:r>
      <w:r w:rsidR="00F61EB1">
        <w:rPr>
          <w:rFonts w:ascii="Calibri" w:hAnsi="Calibri" w:cs="Calibri"/>
          <w:sz w:val="22"/>
          <w:szCs w:val="22"/>
        </w:rPr>
        <w:t xml:space="preserve">Indiana is an energy importer, consuming </w:t>
      </w:r>
      <w:r w:rsidR="002E541B" w:rsidRPr="002E541B">
        <w:rPr>
          <w:rFonts w:ascii="Calibri" w:hAnsi="Calibri" w:cs="Calibri"/>
          <w:sz w:val="22"/>
          <w:szCs w:val="22"/>
        </w:rPr>
        <w:t>almost three times as much energy as is produced.</w:t>
      </w:r>
      <w:r w:rsidR="00074E59">
        <w:rPr>
          <w:rStyle w:val="FootnoteReference"/>
          <w:rFonts w:ascii="Calibri" w:hAnsi="Calibri" w:cs="Calibri"/>
          <w:sz w:val="22"/>
          <w:szCs w:val="22"/>
        </w:rPr>
        <w:footnoteReference w:id="3"/>
      </w:r>
      <w:r w:rsidR="002E541B" w:rsidRPr="00C71F2F">
        <w:rPr>
          <w:rFonts w:ascii="Calibri" w:hAnsi="Calibri" w:cs="Calibri"/>
          <w:sz w:val="22"/>
          <w:szCs w:val="22"/>
        </w:rPr>
        <w:t xml:space="preserve"> </w:t>
      </w:r>
    </w:p>
    <w:p w14:paraId="015B0DC1" w14:textId="77777777" w:rsidR="004766E7" w:rsidRDefault="004766E7" w:rsidP="004D48F5">
      <w:pPr>
        <w:pStyle w:val="paragraph"/>
        <w:spacing w:before="0" w:beforeAutospacing="0" w:after="0" w:afterAutospacing="0"/>
        <w:jc w:val="both"/>
        <w:textAlignment w:val="baseline"/>
        <w:rPr>
          <w:rFonts w:ascii="Calibri" w:hAnsi="Calibri" w:cs="Calibri"/>
          <w:sz w:val="22"/>
          <w:szCs w:val="22"/>
        </w:rPr>
      </w:pPr>
    </w:p>
    <w:p w14:paraId="27C78030" w14:textId="3E05A0C2" w:rsidR="00C71F2F" w:rsidRDefault="00ED6A59" w:rsidP="004D48F5">
      <w:pPr>
        <w:jc w:val="both"/>
        <w:rPr>
          <w:rFonts w:ascii="Calibri" w:hAnsi="Calibri" w:cs="Calibri"/>
          <w:sz w:val="22"/>
          <w:szCs w:val="22"/>
        </w:rPr>
      </w:pPr>
      <w:r w:rsidRPr="00ED6A59">
        <w:rPr>
          <w:rFonts w:ascii="Calibri" w:hAnsi="Calibri" w:cs="Calibri"/>
          <w:sz w:val="22"/>
          <w:szCs w:val="22"/>
        </w:rPr>
        <w:t xml:space="preserve">Although </w:t>
      </w:r>
      <w:proofErr w:type="gramStart"/>
      <w:r w:rsidRPr="00ED6A59">
        <w:rPr>
          <w:rFonts w:ascii="Calibri" w:hAnsi="Calibri" w:cs="Calibri"/>
          <w:sz w:val="22"/>
          <w:szCs w:val="22"/>
        </w:rPr>
        <w:t>the majority of</w:t>
      </w:r>
      <w:proofErr w:type="gramEnd"/>
      <w:r w:rsidRPr="00ED6A59">
        <w:rPr>
          <w:rFonts w:ascii="Calibri" w:hAnsi="Calibri" w:cs="Calibri"/>
          <w:sz w:val="22"/>
          <w:szCs w:val="22"/>
        </w:rPr>
        <w:t xml:space="preserve"> Indiana’s </w:t>
      </w:r>
      <w:r>
        <w:rPr>
          <w:rFonts w:ascii="Calibri" w:hAnsi="Calibri" w:cs="Calibri"/>
          <w:sz w:val="22"/>
          <w:szCs w:val="22"/>
        </w:rPr>
        <w:t>electricity</w:t>
      </w:r>
      <w:r w:rsidRPr="00ED6A59">
        <w:rPr>
          <w:rFonts w:ascii="Calibri" w:hAnsi="Calibri" w:cs="Calibri"/>
          <w:sz w:val="22"/>
          <w:szCs w:val="22"/>
        </w:rPr>
        <w:t xml:space="preserve"> needs are met through coal-fired, natural gas-fired, and nuclear generation</w:t>
      </w:r>
      <w:r w:rsidR="004932F3">
        <w:rPr>
          <w:rStyle w:val="FootnoteReference"/>
          <w:rFonts w:ascii="Calibri" w:hAnsi="Calibri" w:cs="Calibri"/>
          <w:sz w:val="22"/>
          <w:szCs w:val="22"/>
        </w:rPr>
        <w:footnoteReference w:id="4"/>
      </w:r>
      <w:r w:rsidRPr="00ED6A59">
        <w:rPr>
          <w:rFonts w:ascii="Calibri" w:hAnsi="Calibri" w:cs="Calibri"/>
          <w:sz w:val="22"/>
          <w:szCs w:val="22"/>
        </w:rPr>
        <w:t xml:space="preserve"> at utility-owned facilities, wind and other renewable energy sources are increasingly contributing to the generation of electricity consumed in the state.</w:t>
      </w:r>
      <w:r w:rsidR="004C4B67">
        <w:rPr>
          <w:rFonts w:ascii="Calibri" w:hAnsi="Calibri" w:cs="Calibri"/>
          <w:sz w:val="22"/>
          <w:szCs w:val="22"/>
        </w:rPr>
        <w:t xml:space="preserve"> </w:t>
      </w:r>
      <w:r w:rsidR="00437EF4">
        <w:rPr>
          <w:rFonts w:ascii="Calibri" w:hAnsi="Calibri" w:cs="Calibri"/>
          <w:sz w:val="22"/>
          <w:szCs w:val="22"/>
        </w:rPr>
        <w:t>Indiana’s generation transition has significantly increased, leading to a more diversified generation fuel mix.</w:t>
      </w:r>
    </w:p>
    <w:p w14:paraId="3E6FA7D0" w14:textId="77777777" w:rsidR="00C22B51" w:rsidRDefault="00C22B51" w:rsidP="00D66808">
      <w:pPr>
        <w:jc w:val="center"/>
        <w:rPr>
          <w:rFonts w:ascii="Calibri" w:hAnsi="Calibri" w:cs="Calibri"/>
          <w:sz w:val="22"/>
          <w:szCs w:val="22"/>
        </w:rPr>
      </w:pPr>
    </w:p>
    <w:p w14:paraId="6094748C" w14:textId="76DFDF2F" w:rsidR="00D66808" w:rsidRPr="00656522" w:rsidRDefault="00D66808" w:rsidP="00656522">
      <w:pPr>
        <w:jc w:val="center"/>
        <w:rPr>
          <w:rFonts w:ascii="Calibri" w:hAnsi="Calibri" w:cs="Calibri"/>
          <w:i/>
          <w:iCs/>
          <w:sz w:val="22"/>
          <w:szCs w:val="22"/>
        </w:rPr>
      </w:pPr>
      <w:r>
        <w:rPr>
          <w:rFonts w:ascii="Calibri" w:hAnsi="Calibri" w:cs="Calibri"/>
          <w:i/>
          <w:iCs/>
          <w:sz w:val="22"/>
          <w:szCs w:val="22"/>
        </w:rPr>
        <w:t>Indiana’s Electric Generation Mix</w:t>
      </w:r>
      <w:r>
        <w:rPr>
          <w:rStyle w:val="FootnoteReference"/>
          <w:rFonts w:ascii="Calibri" w:hAnsi="Calibri" w:cs="Calibri"/>
          <w:i/>
          <w:iCs/>
          <w:sz w:val="22"/>
          <w:szCs w:val="22"/>
        </w:rPr>
        <w:footnoteReference w:id="5"/>
      </w:r>
    </w:p>
    <w:tbl>
      <w:tblPr>
        <w:tblStyle w:val="TableGrid"/>
        <w:tblW w:w="0" w:type="auto"/>
        <w:tblLook w:val="04A0" w:firstRow="1" w:lastRow="0" w:firstColumn="1" w:lastColumn="0" w:noHBand="0" w:noVBand="1"/>
      </w:tblPr>
      <w:tblGrid>
        <w:gridCol w:w="3116"/>
        <w:gridCol w:w="3117"/>
        <w:gridCol w:w="3117"/>
      </w:tblGrid>
      <w:tr w:rsidR="00C22B51" w14:paraId="271DAACE" w14:textId="77777777" w:rsidTr="00C22B51">
        <w:tc>
          <w:tcPr>
            <w:tcW w:w="3116" w:type="dxa"/>
          </w:tcPr>
          <w:p w14:paraId="6F5DBC40" w14:textId="0AB9A39A" w:rsidR="00C22B51" w:rsidRPr="00656522" w:rsidRDefault="00B921AF" w:rsidP="00656522">
            <w:pPr>
              <w:jc w:val="center"/>
              <w:rPr>
                <w:rFonts w:ascii="Calibri" w:hAnsi="Calibri" w:cs="Calibri"/>
                <w:b/>
                <w:bCs/>
                <w:sz w:val="22"/>
                <w:szCs w:val="22"/>
              </w:rPr>
            </w:pPr>
            <w:r>
              <w:rPr>
                <w:rFonts w:ascii="Calibri" w:hAnsi="Calibri" w:cs="Calibri"/>
                <w:b/>
                <w:bCs/>
                <w:sz w:val="22"/>
                <w:szCs w:val="22"/>
              </w:rPr>
              <w:t>Generation Source</w:t>
            </w:r>
          </w:p>
        </w:tc>
        <w:tc>
          <w:tcPr>
            <w:tcW w:w="3117" w:type="dxa"/>
          </w:tcPr>
          <w:p w14:paraId="7A0BD10E" w14:textId="2240B2D0" w:rsidR="00C22B51" w:rsidRPr="00656522" w:rsidRDefault="00B921AF" w:rsidP="00656522">
            <w:pPr>
              <w:jc w:val="center"/>
              <w:rPr>
                <w:rFonts w:ascii="Calibri" w:hAnsi="Calibri" w:cs="Calibri"/>
                <w:b/>
                <w:bCs/>
                <w:sz w:val="22"/>
                <w:szCs w:val="22"/>
              </w:rPr>
            </w:pPr>
            <w:r>
              <w:rPr>
                <w:rFonts w:ascii="Calibri" w:hAnsi="Calibri" w:cs="Calibri"/>
                <w:b/>
                <w:bCs/>
                <w:sz w:val="22"/>
                <w:szCs w:val="22"/>
              </w:rPr>
              <w:t>2011</w:t>
            </w:r>
          </w:p>
        </w:tc>
        <w:tc>
          <w:tcPr>
            <w:tcW w:w="3117" w:type="dxa"/>
          </w:tcPr>
          <w:p w14:paraId="325FFA9A" w14:textId="7C21376B" w:rsidR="00C22B51" w:rsidRPr="00656522" w:rsidRDefault="00B921AF" w:rsidP="00656522">
            <w:pPr>
              <w:jc w:val="center"/>
              <w:rPr>
                <w:rFonts w:ascii="Calibri" w:hAnsi="Calibri" w:cs="Calibri"/>
                <w:b/>
                <w:bCs/>
                <w:sz w:val="22"/>
                <w:szCs w:val="22"/>
              </w:rPr>
            </w:pPr>
            <w:r>
              <w:rPr>
                <w:rFonts w:ascii="Calibri" w:hAnsi="Calibri" w:cs="Calibri"/>
                <w:b/>
                <w:bCs/>
                <w:sz w:val="22"/>
                <w:szCs w:val="22"/>
              </w:rPr>
              <w:t>2020 (est.)</w:t>
            </w:r>
          </w:p>
        </w:tc>
      </w:tr>
      <w:tr w:rsidR="00C22B51" w14:paraId="7D7C3179" w14:textId="77777777" w:rsidTr="00C22B51">
        <w:tc>
          <w:tcPr>
            <w:tcW w:w="3116" w:type="dxa"/>
          </w:tcPr>
          <w:p w14:paraId="382E77E7" w14:textId="5CD2C513" w:rsidR="00B921AF" w:rsidRDefault="00B921AF" w:rsidP="004D48F5">
            <w:pPr>
              <w:jc w:val="both"/>
              <w:rPr>
                <w:rFonts w:ascii="Calibri" w:hAnsi="Calibri" w:cs="Calibri"/>
                <w:sz w:val="22"/>
                <w:szCs w:val="22"/>
              </w:rPr>
            </w:pPr>
            <w:r>
              <w:rPr>
                <w:rFonts w:ascii="Calibri" w:hAnsi="Calibri" w:cs="Calibri"/>
                <w:sz w:val="22"/>
                <w:szCs w:val="22"/>
              </w:rPr>
              <w:t>Coal</w:t>
            </w:r>
          </w:p>
        </w:tc>
        <w:tc>
          <w:tcPr>
            <w:tcW w:w="3117" w:type="dxa"/>
          </w:tcPr>
          <w:p w14:paraId="69BAB54D" w14:textId="20F68A42" w:rsidR="00C22B51" w:rsidRDefault="00B921AF" w:rsidP="004D48F5">
            <w:pPr>
              <w:jc w:val="both"/>
              <w:rPr>
                <w:rFonts w:ascii="Calibri" w:hAnsi="Calibri" w:cs="Calibri"/>
                <w:sz w:val="22"/>
                <w:szCs w:val="22"/>
              </w:rPr>
            </w:pPr>
            <w:r>
              <w:rPr>
                <w:rFonts w:ascii="Calibri" w:hAnsi="Calibri" w:cs="Calibri"/>
                <w:sz w:val="22"/>
                <w:szCs w:val="22"/>
              </w:rPr>
              <w:t>77.7%</w:t>
            </w:r>
          </w:p>
        </w:tc>
        <w:tc>
          <w:tcPr>
            <w:tcW w:w="3117" w:type="dxa"/>
          </w:tcPr>
          <w:p w14:paraId="3ACA49C1" w14:textId="5E876214" w:rsidR="00C22B51" w:rsidRDefault="00B921AF" w:rsidP="004D48F5">
            <w:pPr>
              <w:jc w:val="both"/>
              <w:rPr>
                <w:rFonts w:ascii="Calibri" w:hAnsi="Calibri" w:cs="Calibri"/>
                <w:sz w:val="22"/>
                <w:szCs w:val="22"/>
              </w:rPr>
            </w:pPr>
            <w:r>
              <w:rPr>
                <w:rFonts w:ascii="Calibri" w:hAnsi="Calibri" w:cs="Calibri"/>
                <w:sz w:val="22"/>
                <w:szCs w:val="22"/>
              </w:rPr>
              <w:t>47.3%</w:t>
            </w:r>
          </w:p>
        </w:tc>
      </w:tr>
      <w:tr w:rsidR="00C22B51" w14:paraId="5C647639" w14:textId="77777777" w:rsidTr="00C22B51">
        <w:tc>
          <w:tcPr>
            <w:tcW w:w="3116" w:type="dxa"/>
          </w:tcPr>
          <w:p w14:paraId="2082F049" w14:textId="35328842" w:rsidR="00C22B51" w:rsidRDefault="00B921AF" w:rsidP="004D48F5">
            <w:pPr>
              <w:jc w:val="both"/>
              <w:rPr>
                <w:rFonts w:ascii="Calibri" w:hAnsi="Calibri" w:cs="Calibri"/>
                <w:sz w:val="22"/>
                <w:szCs w:val="22"/>
              </w:rPr>
            </w:pPr>
            <w:r>
              <w:rPr>
                <w:rFonts w:ascii="Calibri" w:hAnsi="Calibri" w:cs="Calibri"/>
                <w:sz w:val="22"/>
                <w:szCs w:val="22"/>
              </w:rPr>
              <w:t>Nuclear</w:t>
            </w:r>
          </w:p>
        </w:tc>
        <w:tc>
          <w:tcPr>
            <w:tcW w:w="3117" w:type="dxa"/>
          </w:tcPr>
          <w:p w14:paraId="5A48E7C6" w14:textId="3A3B1E45" w:rsidR="00C22B51" w:rsidRDefault="00B921AF" w:rsidP="004D48F5">
            <w:pPr>
              <w:jc w:val="both"/>
              <w:rPr>
                <w:rFonts w:ascii="Calibri" w:hAnsi="Calibri" w:cs="Calibri"/>
                <w:sz w:val="22"/>
                <w:szCs w:val="22"/>
              </w:rPr>
            </w:pPr>
            <w:r>
              <w:rPr>
                <w:rFonts w:ascii="Calibri" w:hAnsi="Calibri" w:cs="Calibri"/>
                <w:sz w:val="22"/>
                <w:szCs w:val="22"/>
              </w:rPr>
              <w:t>8.9%</w:t>
            </w:r>
          </w:p>
        </w:tc>
        <w:tc>
          <w:tcPr>
            <w:tcW w:w="3117" w:type="dxa"/>
          </w:tcPr>
          <w:p w14:paraId="39F08D2B" w14:textId="0ECAADE6" w:rsidR="00C22B51" w:rsidRDefault="00B921AF" w:rsidP="004D48F5">
            <w:pPr>
              <w:jc w:val="both"/>
              <w:rPr>
                <w:rFonts w:ascii="Calibri" w:hAnsi="Calibri" w:cs="Calibri"/>
                <w:sz w:val="22"/>
                <w:szCs w:val="22"/>
              </w:rPr>
            </w:pPr>
            <w:r>
              <w:rPr>
                <w:rFonts w:ascii="Calibri" w:hAnsi="Calibri" w:cs="Calibri"/>
                <w:sz w:val="22"/>
                <w:szCs w:val="22"/>
              </w:rPr>
              <w:t>11.1%</w:t>
            </w:r>
          </w:p>
        </w:tc>
      </w:tr>
      <w:tr w:rsidR="00C22B51" w14:paraId="6E1014EC" w14:textId="77777777" w:rsidTr="00C22B51">
        <w:tc>
          <w:tcPr>
            <w:tcW w:w="3116" w:type="dxa"/>
          </w:tcPr>
          <w:p w14:paraId="15184D1D" w14:textId="644D416D" w:rsidR="00C22B51" w:rsidRDefault="00B921AF" w:rsidP="004D48F5">
            <w:pPr>
              <w:jc w:val="both"/>
              <w:rPr>
                <w:rFonts w:ascii="Calibri" w:hAnsi="Calibri" w:cs="Calibri"/>
                <w:sz w:val="22"/>
                <w:szCs w:val="22"/>
              </w:rPr>
            </w:pPr>
            <w:r>
              <w:rPr>
                <w:rFonts w:ascii="Calibri" w:hAnsi="Calibri" w:cs="Calibri"/>
                <w:sz w:val="22"/>
                <w:szCs w:val="22"/>
              </w:rPr>
              <w:t>Natural Gas</w:t>
            </w:r>
          </w:p>
        </w:tc>
        <w:tc>
          <w:tcPr>
            <w:tcW w:w="3117" w:type="dxa"/>
          </w:tcPr>
          <w:p w14:paraId="6053144B" w14:textId="0D852D94" w:rsidR="00C22B51" w:rsidRDefault="00D66808" w:rsidP="004D48F5">
            <w:pPr>
              <w:jc w:val="both"/>
              <w:rPr>
                <w:rFonts w:ascii="Calibri" w:hAnsi="Calibri" w:cs="Calibri"/>
                <w:sz w:val="22"/>
                <w:szCs w:val="22"/>
              </w:rPr>
            </w:pPr>
            <w:r>
              <w:rPr>
                <w:rFonts w:ascii="Calibri" w:hAnsi="Calibri" w:cs="Calibri"/>
                <w:sz w:val="22"/>
                <w:szCs w:val="22"/>
              </w:rPr>
              <w:t>7.5%</w:t>
            </w:r>
          </w:p>
        </w:tc>
        <w:tc>
          <w:tcPr>
            <w:tcW w:w="3117" w:type="dxa"/>
          </w:tcPr>
          <w:p w14:paraId="6E3E7B60" w14:textId="7B6967C7" w:rsidR="00C22B51" w:rsidRDefault="00D66808" w:rsidP="004D48F5">
            <w:pPr>
              <w:jc w:val="both"/>
              <w:rPr>
                <w:rFonts w:ascii="Calibri" w:hAnsi="Calibri" w:cs="Calibri"/>
                <w:sz w:val="22"/>
                <w:szCs w:val="22"/>
              </w:rPr>
            </w:pPr>
            <w:r>
              <w:rPr>
                <w:rFonts w:ascii="Calibri" w:hAnsi="Calibri" w:cs="Calibri"/>
                <w:sz w:val="22"/>
                <w:szCs w:val="22"/>
              </w:rPr>
              <w:t>31.7%</w:t>
            </w:r>
          </w:p>
        </w:tc>
      </w:tr>
      <w:tr w:rsidR="00C22B51" w14:paraId="0CAEAF04" w14:textId="77777777" w:rsidTr="00C22B51">
        <w:tc>
          <w:tcPr>
            <w:tcW w:w="3116" w:type="dxa"/>
          </w:tcPr>
          <w:p w14:paraId="79FF9618" w14:textId="46208654" w:rsidR="00C22B51" w:rsidRDefault="00D66808" w:rsidP="004D48F5">
            <w:pPr>
              <w:jc w:val="both"/>
              <w:rPr>
                <w:rFonts w:ascii="Calibri" w:hAnsi="Calibri" w:cs="Calibri"/>
                <w:sz w:val="22"/>
                <w:szCs w:val="22"/>
              </w:rPr>
            </w:pPr>
            <w:r>
              <w:rPr>
                <w:rFonts w:ascii="Calibri" w:hAnsi="Calibri" w:cs="Calibri"/>
                <w:sz w:val="22"/>
                <w:szCs w:val="22"/>
              </w:rPr>
              <w:t>Wind</w:t>
            </w:r>
          </w:p>
        </w:tc>
        <w:tc>
          <w:tcPr>
            <w:tcW w:w="3117" w:type="dxa"/>
          </w:tcPr>
          <w:p w14:paraId="5D2E1A5E" w14:textId="381DBC1A" w:rsidR="00C22B51" w:rsidRDefault="00D66808" w:rsidP="004D48F5">
            <w:pPr>
              <w:jc w:val="both"/>
              <w:rPr>
                <w:rFonts w:ascii="Calibri" w:hAnsi="Calibri" w:cs="Calibri"/>
                <w:sz w:val="22"/>
                <w:szCs w:val="22"/>
              </w:rPr>
            </w:pPr>
            <w:r>
              <w:rPr>
                <w:rFonts w:ascii="Calibri" w:hAnsi="Calibri" w:cs="Calibri"/>
                <w:sz w:val="22"/>
                <w:szCs w:val="22"/>
              </w:rPr>
              <w:t>2.5%</w:t>
            </w:r>
          </w:p>
        </w:tc>
        <w:tc>
          <w:tcPr>
            <w:tcW w:w="3117" w:type="dxa"/>
          </w:tcPr>
          <w:p w14:paraId="4CB66788" w14:textId="62C1B0BE" w:rsidR="00C22B51" w:rsidRDefault="00D66808" w:rsidP="004D48F5">
            <w:pPr>
              <w:jc w:val="both"/>
              <w:rPr>
                <w:rFonts w:ascii="Calibri" w:hAnsi="Calibri" w:cs="Calibri"/>
                <w:sz w:val="22"/>
                <w:szCs w:val="22"/>
              </w:rPr>
            </w:pPr>
            <w:r>
              <w:rPr>
                <w:rFonts w:ascii="Calibri" w:hAnsi="Calibri" w:cs="Calibri"/>
                <w:sz w:val="22"/>
                <w:szCs w:val="22"/>
              </w:rPr>
              <w:t>6.5%</w:t>
            </w:r>
          </w:p>
        </w:tc>
      </w:tr>
      <w:tr w:rsidR="000F30A0" w14:paraId="47383FFF" w14:textId="77777777" w:rsidTr="00C22B51">
        <w:tc>
          <w:tcPr>
            <w:tcW w:w="3116" w:type="dxa"/>
          </w:tcPr>
          <w:p w14:paraId="76AF32C2" w14:textId="4F706422" w:rsidR="000F30A0" w:rsidRDefault="000F30A0" w:rsidP="004D48F5">
            <w:pPr>
              <w:jc w:val="both"/>
              <w:rPr>
                <w:rFonts w:ascii="Calibri" w:hAnsi="Calibri" w:cs="Calibri"/>
                <w:sz w:val="22"/>
                <w:szCs w:val="22"/>
              </w:rPr>
            </w:pPr>
            <w:r>
              <w:rPr>
                <w:rFonts w:ascii="Calibri" w:hAnsi="Calibri" w:cs="Calibri"/>
                <w:sz w:val="22"/>
                <w:szCs w:val="22"/>
              </w:rPr>
              <w:t>S</w:t>
            </w:r>
            <w:r>
              <w:t>olar</w:t>
            </w:r>
          </w:p>
        </w:tc>
        <w:tc>
          <w:tcPr>
            <w:tcW w:w="3117" w:type="dxa"/>
          </w:tcPr>
          <w:p w14:paraId="3A3B27C6" w14:textId="6B4342FB" w:rsidR="000F30A0" w:rsidRDefault="000F30A0" w:rsidP="004D48F5">
            <w:pPr>
              <w:jc w:val="both"/>
              <w:rPr>
                <w:rFonts w:ascii="Calibri" w:hAnsi="Calibri" w:cs="Calibri"/>
                <w:sz w:val="22"/>
                <w:szCs w:val="22"/>
              </w:rPr>
            </w:pPr>
            <w:r>
              <w:rPr>
                <w:rFonts w:ascii="Calibri" w:hAnsi="Calibri" w:cs="Calibri"/>
                <w:sz w:val="22"/>
                <w:szCs w:val="22"/>
              </w:rPr>
              <w:t>0</w:t>
            </w:r>
            <w:r>
              <w:t>.0%</w:t>
            </w:r>
          </w:p>
        </w:tc>
        <w:tc>
          <w:tcPr>
            <w:tcW w:w="3117" w:type="dxa"/>
          </w:tcPr>
          <w:p w14:paraId="0A71B4F8" w14:textId="5BAAC532" w:rsidR="000F30A0" w:rsidRDefault="000F30A0" w:rsidP="004D48F5">
            <w:pPr>
              <w:jc w:val="both"/>
              <w:rPr>
                <w:rFonts w:ascii="Calibri" w:hAnsi="Calibri" w:cs="Calibri"/>
                <w:sz w:val="22"/>
                <w:szCs w:val="22"/>
              </w:rPr>
            </w:pPr>
            <w:r>
              <w:rPr>
                <w:rFonts w:ascii="Calibri" w:hAnsi="Calibri" w:cs="Calibri"/>
                <w:sz w:val="22"/>
                <w:szCs w:val="22"/>
              </w:rPr>
              <w:t>0</w:t>
            </w:r>
            <w:r>
              <w:t>.4%</w:t>
            </w:r>
          </w:p>
        </w:tc>
      </w:tr>
      <w:tr w:rsidR="00D66808" w14:paraId="3D5CD1E6" w14:textId="77777777" w:rsidTr="00C22B51">
        <w:tc>
          <w:tcPr>
            <w:tcW w:w="3116" w:type="dxa"/>
          </w:tcPr>
          <w:p w14:paraId="61D1F27E" w14:textId="33A615C7" w:rsidR="00D66808" w:rsidRDefault="00D66808" w:rsidP="004D48F5">
            <w:pPr>
              <w:jc w:val="both"/>
              <w:rPr>
                <w:rFonts w:ascii="Calibri" w:hAnsi="Calibri" w:cs="Calibri"/>
                <w:sz w:val="22"/>
                <w:szCs w:val="22"/>
              </w:rPr>
            </w:pPr>
            <w:r>
              <w:rPr>
                <w:rFonts w:ascii="Calibri" w:hAnsi="Calibri" w:cs="Calibri"/>
                <w:sz w:val="22"/>
                <w:szCs w:val="22"/>
              </w:rPr>
              <w:t>Other fuels</w:t>
            </w:r>
          </w:p>
        </w:tc>
        <w:tc>
          <w:tcPr>
            <w:tcW w:w="3117" w:type="dxa"/>
          </w:tcPr>
          <w:p w14:paraId="4E50AE01" w14:textId="76081A17" w:rsidR="00D66808" w:rsidRDefault="00D66808" w:rsidP="004D48F5">
            <w:pPr>
              <w:jc w:val="both"/>
              <w:rPr>
                <w:rFonts w:ascii="Calibri" w:hAnsi="Calibri" w:cs="Calibri"/>
                <w:sz w:val="22"/>
                <w:szCs w:val="22"/>
              </w:rPr>
            </w:pPr>
            <w:r>
              <w:rPr>
                <w:rFonts w:ascii="Calibri" w:hAnsi="Calibri" w:cs="Calibri"/>
                <w:sz w:val="22"/>
                <w:szCs w:val="22"/>
              </w:rPr>
              <w:t>3.5%</w:t>
            </w:r>
          </w:p>
        </w:tc>
        <w:tc>
          <w:tcPr>
            <w:tcW w:w="3117" w:type="dxa"/>
          </w:tcPr>
          <w:p w14:paraId="08303B3A" w14:textId="001A651D" w:rsidR="00D66808" w:rsidRDefault="00D66808" w:rsidP="004D48F5">
            <w:pPr>
              <w:jc w:val="both"/>
              <w:rPr>
                <w:rFonts w:ascii="Calibri" w:hAnsi="Calibri" w:cs="Calibri"/>
                <w:sz w:val="22"/>
                <w:szCs w:val="22"/>
              </w:rPr>
            </w:pPr>
            <w:r>
              <w:rPr>
                <w:rFonts w:ascii="Calibri" w:hAnsi="Calibri" w:cs="Calibri"/>
                <w:sz w:val="22"/>
                <w:szCs w:val="22"/>
              </w:rPr>
              <w:t>3.</w:t>
            </w:r>
            <w:r w:rsidR="000F30A0">
              <w:rPr>
                <w:rFonts w:ascii="Calibri" w:hAnsi="Calibri" w:cs="Calibri"/>
                <w:sz w:val="22"/>
                <w:szCs w:val="22"/>
              </w:rPr>
              <w:t>1</w:t>
            </w:r>
            <w:r>
              <w:rPr>
                <w:rFonts w:ascii="Calibri" w:hAnsi="Calibri" w:cs="Calibri"/>
                <w:sz w:val="22"/>
                <w:szCs w:val="22"/>
              </w:rPr>
              <w:t>%</w:t>
            </w:r>
          </w:p>
        </w:tc>
      </w:tr>
    </w:tbl>
    <w:p w14:paraId="39C34D5B" w14:textId="21BBB6BC" w:rsidR="00124368" w:rsidRDefault="00124368" w:rsidP="004D48F5">
      <w:pPr>
        <w:jc w:val="both"/>
        <w:rPr>
          <w:rFonts w:ascii="Calibri" w:hAnsi="Calibri" w:cs="Calibri"/>
          <w:sz w:val="22"/>
          <w:szCs w:val="22"/>
        </w:rPr>
      </w:pPr>
    </w:p>
    <w:p w14:paraId="7E2B471D" w14:textId="77777777" w:rsidR="00ED6A59" w:rsidRDefault="00ED6A59" w:rsidP="004D48F5">
      <w:pPr>
        <w:jc w:val="both"/>
        <w:rPr>
          <w:rFonts w:ascii="Calibri" w:hAnsi="Calibri" w:cs="Calibri"/>
          <w:sz w:val="22"/>
          <w:szCs w:val="22"/>
        </w:rPr>
      </w:pPr>
    </w:p>
    <w:p w14:paraId="014D6B94" w14:textId="77777777" w:rsidR="00ED6A59" w:rsidRDefault="00ED6A59" w:rsidP="004D48F5">
      <w:pPr>
        <w:jc w:val="both"/>
        <w:rPr>
          <w:bCs/>
          <w:sz w:val="22"/>
          <w:szCs w:val="22"/>
        </w:rPr>
      </w:pPr>
    </w:p>
    <w:p w14:paraId="2ACFD95D" w14:textId="77777777" w:rsidR="00A13FEE" w:rsidRDefault="00A13FEE">
      <w:pPr>
        <w:spacing w:after="160" w:line="259" w:lineRule="auto"/>
        <w:rPr>
          <w:b/>
          <w:bCs/>
          <w:sz w:val="22"/>
          <w:szCs w:val="22"/>
        </w:rPr>
      </w:pPr>
      <w:r>
        <w:rPr>
          <w:b/>
          <w:bCs/>
          <w:sz w:val="22"/>
          <w:szCs w:val="22"/>
        </w:rPr>
        <w:br w:type="page"/>
      </w:r>
    </w:p>
    <w:p w14:paraId="549D8ED4" w14:textId="3526C13C" w:rsidR="00732046" w:rsidRPr="009D37F0" w:rsidRDefault="004B0232" w:rsidP="004D48F5">
      <w:pPr>
        <w:numPr>
          <w:ilvl w:val="0"/>
          <w:numId w:val="1"/>
        </w:numPr>
        <w:ind w:left="360"/>
        <w:jc w:val="both"/>
        <w:rPr>
          <w:b/>
          <w:bCs/>
          <w:sz w:val="22"/>
          <w:szCs w:val="22"/>
        </w:rPr>
      </w:pPr>
      <w:r w:rsidRPr="009D37F0">
        <w:rPr>
          <w:b/>
          <w:bCs/>
          <w:sz w:val="22"/>
          <w:szCs w:val="22"/>
        </w:rPr>
        <w:lastRenderedPageBreak/>
        <w:t xml:space="preserve">Objectives and Metrics:  </w:t>
      </w:r>
    </w:p>
    <w:p w14:paraId="4C1056A8" w14:textId="77777777" w:rsidR="00732046" w:rsidRDefault="00732046" w:rsidP="004D48F5">
      <w:pPr>
        <w:ind w:left="1080"/>
        <w:jc w:val="both"/>
      </w:pPr>
    </w:p>
    <w:p w14:paraId="7BA4D0EE" w14:textId="0074505C" w:rsidR="00A60878" w:rsidRPr="00B02D75" w:rsidRDefault="00901A87" w:rsidP="004D48F5">
      <w:pPr>
        <w:spacing w:after="200" w:line="276" w:lineRule="auto"/>
        <w:ind w:left="360"/>
        <w:jc w:val="both"/>
        <w:rPr>
          <w:rFonts w:cstheme="minorHAnsi"/>
          <w:i/>
          <w:iCs/>
          <w:color w:val="FF0000"/>
          <w:sz w:val="22"/>
          <w:szCs w:val="22"/>
        </w:rPr>
      </w:pPr>
      <w:r w:rsidRPr="00B02D75">
        <w:rPr>
          <w:rFonts w:cstheme="minorHAnsi"/>
          <w:i/>
          <w:iCs/>
          <w:color w:val="FF0000"/>
          <w:sz w:val="22"/>
          <w:szCs w:val="22"/>
        </w:rPr>
        <w:t>List 3-5 objectives that the applicant intends to apply for guiding their resilience investment decisions.  The intent of this section of the Program Narrative is to ultimately develop a planning framework for resilience to address all-hazards including future climate implications.  The first year, DOE is seeking input on criteria for determining investment decisions.</w:t>
      </w:r>
      <w:r w:rsidRPr="00B02D75">
        <w:rPr>
          <w:rFonts w:cstheme="minorHAnsi"/>
          <w:color w:val="FF0000"/>
          <w:sz w:val="22"/>
          <w:szCs w:val="22"/>
        </w:rPr>
        <w:t xml:space="preserve">  </w:t>
      </w:r>
      <w:r w:rsidRPr="00B02D75">
        <w:rPr>
          <w:rFonts w:cstheme="minorHAnsi"/>
          <w:i/>
          <w:iCs/>
          <w:color w:val="FF0000"/>
          <w:sz w:val="22"/>
          <w:szCs w:val="22"/>
        </w:rPr>
        <w:t xml:space="preserve">At a minimum, the objectives and metrics should address: </w:t>
      </w:r>
      <w:r w:rsidR="00A60878" w:rsidRPr="00B02D75">
        <w:rPr>
          <w:rFonts w:cstheme="minorHAnsi"/>
          <w:i/>
          <w:iCs/>
          <w:color w:val="FF0000"/>
          <w:sz w:val="22"/>
          <w:szCs w:val="22"/>
        </w:rPr>
        <w:t xml:space="preserve"> </w:t>
      </w:r>
    </w:p>
    <w:p w14:paraId="7CF04766" w14:textId="77777777" w:rsidR="00A60878" w:rsidRPr="00B02D75" w:rsidRDefault="00A60878" w:rsidP="004D48F5">
      <w:pPr>
        <w:numPr>
          <w:ilvl w:val="1"/>
          <w:numId w:val="2"/>
        </w:numPr>
        <w:ind w:left="1080"/>
        <w:jc w:val="both"/>
        <w:rPr>
          <w:rFonts w:cstheme="minorHAnsi"/>
          <w:i/>
          <w:iCs/>
          <w:color w:val="FF0000"/>
          <w:sz w:val="22"/>
          <w:szCs w:val="22"/>
        </w:rPr>
      </w:pPr>
      <w:r w:rsidRPr="00B02D75">
        <w:rPr>
          <w:rFonts w:cstheme="minorHAnsi"/>
          <w:i/>
          <w:iCs/>
          <w:color w:val="FF0000"/>
          <w:sz w:val="22"/>
          <w:szCs w:val="22"/>
        </w:rPr>
        <w:t xml:space="preserve">resilience and energy justice concerns, including reducing the frequency and duration of outages in disadvantaged communities, </w:t>
      </w:r>
    </w:p>
    <w:p w14:paraId="28F00785" w14:textId="77777777" w:rsidR="00A60878" w:rsidRPr="00B02D75" w:rsidRDefault="00A60878" w:rsidP="004D48F5">
      <w:pPr>
        <w:numPr>
          <w:ilvl w:val="1"/>
          <w:numId w:val="2"/>
        </w:numPr>
        <w:ind w:left="1080"/>
        <w:jc w:val="both"/>
        <w:rPr>
          <w:rFonts w:cstheme="minorHAnsi"/>
          <w:i/>
          <w:iCs/>
          <w:color w:val="FF0000"/>
          <w:sz w:val="22"/>
          <w:szCs w:val="22"/>
        </w:rPr>
      </w:pPr>
      <w:r w:rsidRPr="00B02D75">
        <w:rPr>
          <w:rFonts w:cstheme="minorHAnsi"/>
          <w:i/>
          <w:iCs/>
          <w:color w:val="FF0000"/>
          <w:sz w:val="22"/>
          <w:szCs w:val="22"/>
        </w:rPr>
        <w:t xml:space="preserve">how the project will use strong labor standards and protections (including for direct employees, contractors, and sub-contractors), such as through the use of project labor agreements, local hire agreements, and outline of a plan to attract, train, and retain an appropriately skilled workforce (i.e., through registered apprenticeships and other joint labor-management training programs that serve all workers, particularly those underrepresented or historically excluded); plans to partner with a training provider (labor, community college, </w:t>
      </w:r>
      <w:proofErr w:type="spellStart"/>
      <w:r w:rsidRPr="00B02D75">
        <w:rPr>
          <w:rFonts w:cstheme="minorHAnsi"/>
          <w:i/>
          <w:iCs/>
          <w:color w:val="FF0000"/>
          <w:sz w:val="22"/>
          <w:szCs w:val="22"/>
        </w:rPr>
        <w:t>etc</w:t>
      </w:r>
      <w:proofErr w:type="spellEnd"/>
      <w:r w:rsidRPr="00B02D75">
        <w:rPr>
          <w:rFonts w:cstheme="minorHAnsi"/>
          <w:i/>
          <w:iCs/>
          <w:color w:val="FF0000"/>
          <w:sz w:val="22"/>
          <w:szCs w:val="22"/>
        </w:rPr>
        <w:t xml:space="preserve">); and the use of an appropriately credentialed workforce (i.e., requirements for appropriate and relevant professional training, certification, and licensure).  </w:t>
      </w:r>
    </w:p>
    <w:p w14:paraId="1B5D4FB6" w14:textId="77777777" w:rsidR="00A60878" w:rsidRPr="00B02D75" w:rsidRDefault="00A60878" w:rsidP="004D48F5">
      <w:pPr>
        <w:ind w:left="360"/>
        <w:jc w:val="both"/>
        <w:rPr>
          <w:rFonts w:cstheme="minorHAnsi"/>
          <w:i/>
          <w:iCs/>
          <w:color w:val="FF0000"/>
          <w:sz w:val="22"/>
          <w:szCs w:val="22"/>
        </w:rPr>
      </w:pPr>
    </w:p>
    <w:p w14:paraId="65C7BD26" w14:textId="77777777" w:rsidR="00A60878" w:rsidRPr="00B02D75" w:rsidRDefault="00A60878" w:rsidP="004D48F5">
      <w:pPr>
        <w:ind w:left="360"/>
        <w:jc w:val="both"/>
        <w:rPr>
          <w:rFonts w:cstheme="minorHAnsi"/>
          <w:i/>
          <w:iCs/>
          <w:color w:val="FF0000"/>
          <w:sz w:val="22"/>
          <w:szCs w:val="22"/>
        </w:rPr>
      </w:pPr>
      <w:r w:rsidRPr="00B02D75">
        <w:rPr>
          <w:rFonts w:cstheme="minorHAnsi"/>
          <w:i/>
          <w:iCs/>
          <w:color w:val="FF0000"/>
          <w:sz w:val="22"/>
          <w:szCs w:val="22"/>
        </w:rPr>
        <w:t xml:space="preserve">Provide the metrics that will accompany the objectives to measure outcomes associated with improving resilience, creating good-paying jobs with the free and fair choice to join a union, and advancing energy justice.  </w:t>
      </w:r>
    </w:p>
    <w:p w14:paraId="3AB0584F" w14:textId="77777777" w:rsidR="00A60878" w:rsidRPr="00B02D75" w:rsidRDefault="00A60878" w:rsidP="004D48F5">
      <w:pPr>
        <w:ind w:left="1800"/>
        <w:jc w:val="both"/>
        <w:rPr>
          <w:rFonts w:cstheme="minorHAnsi"/>
          <w:i/>
          <w:iCs/>
          <w:color w:val="FF0000"/>
          <w:sz w:val="22"/>
          <w:szCs w:val="22"/>
        </w:rPr>
      </w:pPr>
    </w:p>
    <w:p w14:paraId="7E5BBD3A" w14:textId="431B96A7" w:rsidR="004B0232" w:rsidRPr="00B02D75" w:rsidRDefault="00A60878" w:rsidP="004D48F5">
      <w:pPr>
        <w:ind w:left="360"/>
        <w:jc w:val="both"/>
        <w:rPr>
          <w:rStyle w:val="Hyperlink"/>
          <w:rFonts w:cstheme="minorHAnsi"/>
          <w:i/>
          <w:iCs/>
          <w:color w:val="FF0000"/>
          <w:sz w:val="22"/>
          <w:szCs w:val="22"/>
        </w:rPr>
      </w:pPr>
      <w:r w:rsidRPr="00B02D75">
        <w:rPr>
          <w:rFonts w:cstheme="minorHAnsi"/>
          <w:i/>
          <w:iCs/>
          <w:color w:val="FF0000"/>
          <w:sz w:val="22"/>
          <w:szCs w:val="22"/>
        </w:rPr>
        <w:t xml:space="preserve">Indicate whether the objectives and metrics are provisional pending further discussion and consideration by the State or Indian Tribe with its stakeholders.  DOE expects that recipients will establish a formal set of objectives and metrics </w:t>
      </w:r>
      <w:proofErr w:type="gramStart"/>
      <w:r w:rsidRPr="00B02D75">
        <w:rPr>
          <w:rFonts w:cstheme="minorHAnsi"/>
          <w:i/>
          <w:iCs/>
          <w:color w:val="FF0000"/>
          <w:sz w:val="22"/>
          <w:szCs w:val="22"/>
        </w:rPr>
        <w:t>in order to</w:t>
      </w:r>
      <w:proofErr w:type="gramEnd"/>
      <w:r w:rsidRPr="00B02D75">
        <w:rPr>
          <w:rFonts w:cstheme="minorHAnsi"/>
          <w:i/>
          <w:iCs/>
          <w:color w:val="FF0000"/>
          <w:sz w:val="22"/>
          <w:szCs w:val="22"/>
        </w:rPr>
        <w:t xml:space="preserve"> receive Year 2 formula funding.  Examples of objectives and metrics, in addition to reporting on any DOE required metrics, and approaches for establishing them are available at: </w:t>
      </w:r>
      <w:hyperlink r:id="rId9">
        <w:r w:rsidRPr="00B02D75">
          <w:rPr>
            <w:rStyle w:val="Hyperlink"/>
            <w:rFonts w:cstheme="minorHAnsi"/>
            <w:i/>
            <w:iCs/>
            <w:color w:val="FF0000"/>
            <w:sz w:val="22"/>
            <w:szCs w:val="22"/>
          </w:rPr>
          <w:t>Section 40101(d) Formula Grants to States &amp; Indian Tribes | netl.doe.gov</w:t>
        </w:r>
      </w:hyperlink>
    </w:p>
    <w:p w14:paraId="692C74FB" w14:textId="5D86CDF3" w:rsidR="00EE7FC0" w:rsidRDefault="00EE7FC0" w:rsidP="004D48F5">
      <w:pPr>
        <w:ind w:left="360"/>
        <w:jc w:val="both"/>
        <w:rPr>
          <w:rFonts w:cstheme="minorHAnsi"/>
          <w:sz w:val="22"/>
          <w:szCs w:val="22"/>
        </w:rPr>
      </w:pPr>
    </w:p>
    <w:p w14:paraId="01946683" w14:textId="0D2EAEEB" w:rsidR="00D85C9F" w:rsidRDefault="00443676" w:rsidP="0008492C">
      <w:pPr>
        <w:jc w:val="both"/>
        <w:rPr>
          <w:rStyle w:val="Hyperlink"/>
          <w:rFonts w:cstheme="minorHAnsi"/>
          <w:color w:val="auto"/>
          <w:sz w:val="22"/>
          <w:szCs w:val="22"/>
          <w:u w:val="none"/>
        </w:rPr>
      </w:pPr>
      <w:r>
        <w:rPr>
          <w:rStyle w:val="Hyperlink"/>
          <w:rFonts w:cstheme="minorHAnsi"/>
          <w:color w:val="auto"/>
          <w:sz w:val="22"/>
          <w:szCs w:val="22"/>
          <w:u w:val="none"/>
        </w:rPr>
        <w:t xml:space="preserve">The Indiana OED will utilize </w:t>
      </w:r>
      <w:r w:rsidR="00BD2D89">
        <w:rPr>
          <w:rStyle w:val="Hyperlink"/>
          <w:rFonts w:cstheme="minorHAnsi"/>
          <w:color w:val="auto"/>
          <w:sz w:val="22"/>
          <w:szCs w:val="22"/>
          <w:u w:val="none"/>
        </w:rPr>
        <w:t>an</w:t>
      </w:r>
      <w:r>
        <w:rPr>
          <w:rStyle w:val="Hyperlink"/>
          <w:rFonts w:cstheme="minorHAnsi"/>
          <w:color w:val="auto"/>
          <w:sz w:val="22"/>
          <w:szCs w:val="22"/>
          <w:u w:val="none"/>
        </w:rPr>
        <w:t xml:space="preserve"> all-hazards mitigation approach to </w:t>
      </w:r>
      <w:r w:rsidR="00BA0DAB">
        <w:rPr>
          <w:rStyle w:val="Hyperlink"/>
          <w:rFonts w:cstheme="minorHAnsi"/>
          <w:color w:val="auto"/>
          <w:sz w:val="22"/>
          <w:szCs w:val="22"/>
          <w:u w:val="none"/>
        </w:rPr>
        <w:t>guide its decisions in awarding funding to the eligible recipients. This all-hazards approach is informed by the State’s Energy Assurance Plan</w:t>
      </w:r>
      <w:r w:rsidR="002C79E0">
        <w:rPr>
          <w:rStyle w:val="Hyperlink"/>
          <w:rFonts w:cstheme="minorHAnsi"/>
          <w:color w:val="auto"/>
          <w:sz w:val="22"/>
          <w:szCs w:val="22"/>
          <w:u w:val="none"/>
        </w:rPr>
        <w:t xml:space="preserve"> (EAP)</w:t>
      </w:r>
      <w:r w:rsidR="00BA0DAB">
        <w:rPr>
          <w:rStyle w:val="Hyperlink"/>
          <w:rFonts w:cstheme="minorHAnsi"/>
          <w:color w:val="auto"/>
          <w:sz w:val="22"/>
          <w:szCs w:val="22"/>
          <w:u w:val="none"/>
        </w:rPr>
        <w:t xml:space="preserve">, which is an annex to the Indiana Department of Homeland Security’s </w:t>
      </w:r>
      <w:r w:rsidR="00686BA4">
        <w:rPr>
          <w:rStyle w:val="Hyperlink"/>
          <w:rFonts w:cstheme="minorHAnsi"/>
          <w:color w:val="auto"/>
          <w:sz w:val="22"/>
          <w:szCs w:val="22"/>
          <w:u w:val="none"/>
        </w:rPr>
        <w:t>State Em</w:t>
      </w:r>
      <w:r w:rsidR="002C15E9">
        <w:rPr>
          <w:rStyle w:val="Hyperlink"/>
          <w:rFonts w:cstheme="minorHAnsi"/>
          <w:color w:val="auto"/>
          <w:sz w:val="22"/>
          <w:szCs w:val="22"/>
          <w:u w:val="none"/>
        </w:rPr>
        <w:t xml:space="preserve">ergency Operations </w:t>
      </w:r>
      <w:r w:rsidR="00BA0DAB">
        <w:rPr>
          <w:rStyle w:val="Hyperlink"/>
          <w:rFonts w:cstheme="minorHAnsi"/>
          <w:color w:val="auto"/>
          <w:sz w:val="22"/>
          <w:szCs w:val="22"/>
          <w:u w:val="none"/>
        </w:rPr>
        <w:t>Plan.</w:t>
      </w:r>
      <w:r w:rsidR="002246A9">
        <w:rPr>
          <w:rStyle w:val="Hyperlink"/>
          <w:rFonts w:cstheme="minorHAnsi"/>
          <w:color w:val="auto"/>
          <w:sz w:val="22"/>
          <w:szCs w:val="22"/>
          <w:u w:val="none"/>
        </w:rPr>
        <w:t xml:space="preserve"> </w:t>
      </w:r>
      <w:r w:rsidR="00E70AC4">
        <w:rPr>
          <w:rStyle w:val="Hyperlink"/>
          <w:rFonts w:cstheme="minorHAnsi"/>
          <w:color w:val="auto"/>
          <w:sz w:val="22"/>
          <w:szCs w:val="22"/>
          <w:u w:val="none"/>
        </w:rPr>
        <w:t>In th</w:t>
      </w:r>
      <w:r w:rsidR="00A903DE">
        <w:rPr>
          <w:rStyle w:val="Hyperlink"/>
          <w:rFonts w:cstheme="minorHAnsi"/>
          <w:color w:val="auto"/>
          <w:sz w:val="22"/>
          <w:szCs w:val="22"/>
          <w:u w:val="none"/>
        </w:rPr>
        <w:t>e</w:t>
      </w:r>
      <w:r w:rsidR="00E70AC4">
        <w:rPr>
          <w:rStyle w:val="Hyperlink"/>
          <w:rFonts w:cstheme="minorHAnsi"/>
          <w:color w:val="auto"/>
          <w:sz w:val="22"/>
          <w:szCs w:val="22"/>
          <w:u w:val="none"/>
        </w:rPr>
        <w:t xml:space="preserve"> </w:t>
      </w:r>
      <w:r w:rsidR="00A903DE">
        <w:rPr>
          <w:rStyle w:val="Hyperlink"/>
          <w:rFonts w:cstheme="minorHAnsi"/>
          <w:color w:val="auto"/>
          <w:sz w:val="22"/>
          <w:szCs w:val="22"/>
          <w:u w:val="none"/>
        </w:rPr>
        <w:t>EAP</w:t>
      </w:r>
      <w:r w:rsidR="00E70AC4">
        <w:rPr>
          <w:rStyle w:val="Hyperlink"/>
          <w:rFonts w:cstheme="minorHAnsi"/>
          <w:color w:val="auto"/>
          <w:sz w:val="22"/>
          <w:szCs w:val="22"/>
          <w:u w:val="none"/>
        </w:rPr>
        <w:t xml:space="preserve">, the Indiana Department of Homeland Security utilizes the Federal Emergency Management Agency’s </w:t>
      </w:r>
      <w:r w:rsidR="00F4470C">
        <w:rPr>
          <w:rStyle w:val="Hyperlink"/>
          <w:rFonts w:cstheme="minorHAnsi"/>
          <w:color w:val="auto"/>
          <w:sz w:val="22"/>
          <w:szCs w:val="22"/>
          <w:u w:val="none"/>
        </w:rPr>
        <w:t>Threat and Hazard Identification and Risk Assessment (THIRA) guide to develop a comprehensive outlook of Indiana’s electric</w:t>
      </w:r>
      <w:r w:rsidR="00D74F0C">
        <w:rPr>
          <w:rStyle w:val="Hyperlink"/>
          <w:rFonts w:cstheme="minorHAnsi"/>
          <w:color w:val="auto"/>
          <w:sz w:val="22"/>
          <w:szCs w:val="22"/>
          <w:u w:val="none"/>
        </w:rPr>
        <w:t xml:space="preserve">ity sector risk. </w:t>
      </w:r>
      <w:r w:rsidR="002246A9">
        <w:rPr>
          <w:rStyle w:val="Hyperlink"/>
          <w:rFonts w:cstheme="minorHAnsi"/>
          <w:color w:val="auto"/>
          <w:sz w:val="22"/>
          <w:szCs w:val="22"/>
          <w:u w:val="none"/>
        </w:rPr>
        <w:t xml:space="preserve">Alignment with </w:t>
      </w:r>
      <w:r w:rsidR="00685922">
        <w:rPr>
          <w:rStyle w:val="Hyperlink"/>
          <w:rFonts w:cstheme="minorHAnsi"/>
          <w:color w:val="auto"/>
          <w:sz w:val="22"/>
          <w:szCs w:val="22"/>
          <w:u w:val="none"/>
        </w:rPr>
        <w:t xml:space="preserve">the EAP </w:t>
      </w:r>
      <w:r w:rsidR="002246A9">
        <w:rPr>
          <w:rStyle w:val="Hyperlink"/>
          <w:rFonts w:cstheme="minorHAnsi"/>
          <w:color w:val="auto"/>
          <w:sz w:val="22"/>
          <w:szCs w:val="22"/>
          <w:u w:val="none"/>
        </w:rPr>
        <w:t xml:space="preserve">will ensure critical investments are made to protect from and withstand </w:t>
      </w:r>
      <w:r w:rsidR="00F75F0F">
        <w:rPr>
          <w:rStyle w:val="Hyperlink"/>
          <w:rFonts w:cstheme="minorHAnsi"/>
          <w:color w:val="auto"/>
          <w:sz w:val="22"/>
          <w:szCs w:val="22"/>
          <w:u w:val="none"/>
        </w:rPr>
        <w:t xml:space="preserve">higher probability </w:t>
      </w:r>
      <w:r w:rsidR="00F1600D">
        <w:rPr>
          <w:rStyle w:val="Hyperlink"/>
          <w:rFonts w:cstheme="minorHAnsi"/>
          <w:color w:val="auto"/>
          <w:sz w:val="22"/>
          <w:szCs w:val="22"/>
          <w:u w:val="none"/>
        </w:rPr>
        <w:t>threats</w:t>
      </w:r>
      <w:r w:rsidR="00F75F0F">
        <w:rPr>
          <w:rStyle w:val="Hyperlink"/>
          <w:rFonts w:cstheme="minorHAnsi"/>
          <w:color w:val="auto"/>
          <w:sz w:val="22"/>
          <w:szCs w:val="22"/>
          <w:u w:val="none"/>
        </w:rPr>
        <w:t xml:space="preserve"> that are </w:t>
      </w:r>
      <w:r w:rsidR="00F1600D">
        <w:rPr>
          <w:rStyle w:val="Hyperlink"/>
          <w:rFonts w:cstheme="minorHAnsi"/>
          <w:color w:val="auto"/>
          <w:sz w:val="22"/>
          <w:szCs w:val="22"/>
          <w:u w:val="none"/>
        </w:rPr>
        <w:t xml:space="preserve">more </w:t>
      </w:r>
      <w:r w:rsidR="00F75F0F">
        <w:rPr>
          <w:rStyle w:val="Hyperlink"/>
          <w:rFonts w:cstheme="minorHAnsi"/>
          <w:color w:val="auto"/>
          <w:sz w:val="22"/>
          <w:szCs w:val="22"/>
          <w:u w:val="none"/>
        </w:rPr>
        <w:t xml:space="preserve">specific to Indiana’s </w:t>
      </w:r>
      <w:r w:rsidR="00B718FF">
        <w:rPr>
          <w:rStyle w:val="Hyperlink"/>
          <w:rFonts w:cstheme="minorHAnsi"/>
          <w:color w:val="auto"/>
          <w:sz w:val="22"/>
          <w:szCs w:val="22"/>
          <w:u w:val="none"/>
        </w:rPr>
        <w:t xml:space="preserve">environment (i.e., tornadoes and severe thunderstorms are a much higher probability to occur </w:t>
      </w:r>
      <w:r w:rsidR="00F1600D">
        <w:rPr>
          <w:rStyle w:val="Hyperlink"/>
          <w:rFonts w:cstheme="minorHAnsi"/>
          <w:color w:val="auto"/>
          <w:sz w:val="22"/>
          <w:szCs w:val="22"/>
          <w:u w:val="none"/>
        </w:rPr>
        <w:t xml:space="preserve">in Indiana </w:t>
      </w:r>
      <w:r w:rsidR="00B718FF">
        <w:rPr>
          <w:rStyle w:val="Hyperlink"/>
          <w:rFonts w:cstheme="minorHAnsi"/>
          <w:color w:val="auto"/>
          <w:sz w:val="22"/>
          <w:szCs w:val="22"/>
          <w:u w:val="none"/>
        </w:rPr>
        <w:t>than a widespread wil</w:t>
      </w:r>
      <w:r w:rsidR="0050569D">
        <w:rPr>
          <w:rStyle w:val="Hyperlink"/>
          <w:rFonts w:cstheme="minorHAnsi"/>
          <w:color w:val="auto"/>
          <w:sz w:val="22"/>
          <w:szCs w:val="22"/>
          <w:u w:val="none"/>
        </w:rPr>
        <w:t>dfire, for example</w:t>
      </w:r>
      <w:r w:rsidR="00F1600D">
        <w:rPr>
          <w:rStyle w:val="Hyperlink"/>
          <w:rFonts w:cstheme="minorHAnsi"/>
          <w:color w:val="auto"/>
          <w:sz w:val="22"/>
          <w:szCs w:val="22"/>
          <w:u w:val="none"/>
        </w:rPr>
        <w:t>).</w:t>
      </w:r>
      <w:r w:rsidR="005E4383">
        <w:rPr>
          <w:rStyle w:val="Hyperlink"/>
          <w:rFonts w:cstheme="minorHAnsi"/>
          <w:color w:val="auto"/>
          <w:sz w:val="22"/>
          <w:szCs w:val="22"/>
          <w:u w:val="none"/>
        </w:rPr>
        <w:t xml:space="preserve"> This will, in turn, ensure communities are receiving the greatest possible benefits from these investments.</w:t>
      </w:r>
      <w:r w:rsidR="00D934AD">
        <w:rPr>
          <w:rStyle w:val="Hyperlink"/>
          <w:rFonts w:cstheme="minorHAnsi"/>
          <w:color w:val="auto"/>
          <w:sz w:val="22"/>
          <w:szCs w:val="22"/>
          <w:u w:val="none"/>
        </w:rPr>
        <w:t xml:space="preserve"> The </w:t>
      </w:r>
      <w:r w:rsidR="00D2434F">
        <w:rPr>
          <w:rStyle w:val="Hyperlink"/>
          <w:rFonts w:cstheme="minorHAnsi"/>
          <w:color w:val="auto"/>
          <w:sz w:val="22"/>
          <w:szCs w:val="22"/>
          <w:u w:val="none"/>
        </w:rPr>
        <w:t>all-hazards threat assessment</w:t>
      </w:r>
      <w:r w:rsidR="00632FD7">
        <w:rPr>
          <w:rStyle w:val="Hyperlink"/>
          <w:rFonts w:cstheme="minorHAnsi"/>
          <w:color w:val="auto"/>
          <w:sz w:val="22"/>
          <w:szCs w:val="22"/>
          <w:u w:val="none"/>
        </w:rPr>
        <w:t xml:space="preserve">, as aligned with the State’s Energy Assurance Plan is broadly represented by the </w:t>
      </w:r>
      <w:r w:rsidR="00D3747F">
        <w:rPr>
          <w:rStyle w:val="Hyperlink"/>
          <w:rFonts w:cstheme="minorHAnsi"/>
          <w:color w:val="auto"/>
          <w:sz w:val="22"/>
          <w:szCs w:val="22"/>
          <w:u w:val="none"/>
        </w:rPr>
        <w:t xml:space="preserve">table </w:t>
      </w:r>
      <w:r w:rsidR="00632FD7">
        <w:rPr>
          <w:rStyle w:val="Hyperlink"/>
          <w:rFonts w:cstheme="minorHAnsi"/>
          <w:color w:val="auto"/>
          <w:sz w:val="22"/>
          <w:szCs w:val="22"/>
          <w:u w:val="none"/>
        </w:rPr>
        <w:t>below</w:t>
      </w:r>
      <w:r w:rsidR="00D3747F">
        <w:rPr>
          <w:rStyle w:val="Hyperlink"/>
          <w:rFonts w:cstheme="minorHAnsi"/>
          <w:color w:val="auto"/>
          <w:sz w:val="22"/>
          <w:szCs w:val="22"/>
          <w:u w:val="none"/>
        </w:rPr>
        <w:t>:</w:t>
      </w:r>
    </w:p>
    <w:p w14:paraId="127D33B8" w14:textId="77777777" w:rsidR="0059725B" w:rsidRDefault="0059725B">
      <w:pPr>
        <w:spacing w:after="160" w:line="259" w:lineRule="auto"/>
        <w:rPr>
          <w:rStyle w:val="Hyperlink"/>
          <w:rFonts w:cstheme="minorHAnsi"/>
          <w:i/>
          <w:iCs/>
          <w:color w:val="auto"/>
          <w:sz w:val="22"/>
          <w:szCs w:val="22"/>
          <w:u w:val="none"/>
        </w:rPr>
      </w:pPr>
      <w:r>
        <w:rPr>
          <w:rStyle w:val="Hyperlink"/>
          <w:rFonts w:cstheme="minorHAnsi"/>
          <w:i/>
          <w:iCs/>
          <w:color w:val="auto"/>
          <w:sz w:val="22"/>
          <w:szCs w:val="22"/>
          <w:u w:val="none"/>
        </w:rPr>
        <w:br w:type="page"/>
      </w:r>
    </w:p>
    <w:p w14:paraId="67B02BA7" w14:textId="5D549FA4" w:rsidR="00D3747F" w:rsidRPr="00D85C9F" w:rsidRDefault="00D85C9F" w:rsidP="00D85C9F">
      <w:pPr>
        <w:jc w:val="center"/>
        <w:rPr>
          <w:rStyle w:val="Hyperlink"/>
          <w:rFonts w:cstheme="minorHAnsi"/>
          <w:i/>
          <w:iCs/>
          <w:color w:val="auto"/>
          <w:sz w:val="22"/>
          <w:szCs w:val="22"/>
          <w:u w:val="none"/>
        </w:rPr>
      </w:pPr>
      <w:r>
        <w:rPr>
          <w:rStyle w:val="Hyperlink"/>
          <w:rFonts w:cstheme="minorHAnsi"/>
          <w:i/>
          <w:iCs/>
          <w:color w:val="auto"/>
          <w:sz w:val="22"/>
          <w:szCs w:val="22"/>
          <w:u w:val="none"/>
        </w:rPr>
        <w:lastRenderedPageBreak/>
        <w:t>Indiana’s all-hazards threat assessment</w:t>
      </w:r>
      <w:r>
        <w:rPr>
          <w:rStyle w:val="FootnoteReference"/>
          <w:rFonts w:cstheme="minorHAnsi"/>
          <w:i/>
          <w:iCs/>
          <w:sz w:val="22"/>
          <w:szCs w:val="22"/>
        </w:rPr>
        <w:footnoteReference w:id="6"/>
      </w:r>
    </w:p>
    <w:tbl>
      <w:tblPr>
        <w:tblStyle w:val="TableGrid"/>
        <w:tblW w:w="9542" w:type="dxa"/>
        <w:tblLook w:val="04A0" w:firstRow="1" w:lastRow="0" w:firstColumn="1" w:lastColumn="0" w:noHBand="0" w:noVBand="1"/>
      </w:tblPr>
      <w:tblGrid>
        <w:gridCol w:w="3180"/>
        <w:gridCol w:w="3180"/>
        <w:gridCol w:w="3182"/>
      </w:tblGrid>
      <w:tr w:rsidR="00D85C9F" w14:paraId="76139363" w14:textId="77777777" w:rsidTr="00CA5B2A">
        <w:trPr>
          <w:trHeight w:val="593"/>
        </w:trPr>
        <w:tc>
          <w:tcPr>
            <w:tcW w:w="3180" w:type="dxa"/>
          </w:tcPr>
          <w:p w14:paraId="1689AE04" w14:textId="64B47387" w:rsidR="00D85C9F" w:rsidRPr="00145635" w:rsidRDefault="00D85C9F" w:rsidP="00145635">
            <w:pPr>
              <w:jc w:val="center"/>
              <w:rPr>
                <w:rStyle w:val="Hyperlink"/>
                <w:rFonts w:cstheme="minorHAnsi"/>
                <w:b/>
                <w:bCs/>
                <w:color w:val="auto"/>
                <w:sz w:val="22"/>
                <w:szCs w:val="22"/>
                <w:u w:val="none"/>
              </w:rPr>
            </w:pPr>
            <w:r w:rsidRPr="00145635">
              <w:rPr>
                <w:rStyle w:val="Hyperlink"/>
                <w:rFonts w:cstheme="minorHAnsi"/>
                <w:b/>
                <w:bCs/>
                <w:color w:val="auto"/>
                <w:sz w:val="22"/>
                <w:szCs w:val="22"/>
                <w:u w:val="none"/>
              </w:rPr>
              <w:t>H</w:t>
            </w:r>
            <w:r w:rsidRPr="00145635">
              <w:rPr>
                <w:rStyle w:val="Hyperlink"/>
                <w:rFonts w:cstheme="minorHAnsi"/>
                <w:b/>
                <w:bCs/>
                <w:color w:val="auto"/>
                <w:u w:val="none"/>
              </w:rPr>
              <w:t>azard Type</w:t>
            </w:r>
          </w:p>
        </w:tc>
        <w:tc>
          <w:tcPr>
            <w:tcW w:w="3180" w:type="dxa"/>
          </w:tcPr>
          <w:p w14:paraId="3AE58C38" w14:textId="269094E6" w:rsidR="00D85C9F" w:rsidRPr="00145635" w:rsidRDefault="00D85C9F" w:rsidP="00145635">
            <w:pPr>
              <w:jc w:val="center"/>
              <w:rPr>
                <w:rStyle w:val="Hyperlink"/>
                <w:rFonts w:cstheme="minorHAnsi"/>
                <w:b/>
                <w:bCs/>
                <w:color w:val="auto"/>
                <w:sz w:val="22"/>
                <w:szCs w:val="22"/>
                <w:u w:val="none"/>
              </w:rPr>
            </w:pPr>
            <w:r>
              <w:rPr>
                <w:rStyle w:val="Hyperlink"/>
                <w:rFonts w:cstheme="minorHAnsi"/>
                <w:b/>
                <w:bCs/>
                <w:color w:val="auto"/>
                <w:sz w:val="22"/>
                <w:szCs w:val="22"/>
                <w:u w:val="none"/>
              </w:rPr>
              <w:t>Annual Hazard Frequency (2009-2019)</w:t>
            </w:r>
          </w:p>
        </w:tc>
        <w:tc>
          <w:tcPr>
            <w:tcW w:w="3182" w:type="dxa"/>
          </w:tcPr>
          <w:p w14:paraId="610A3D17" w14:textId="77777777" w:rsidR="00D85C9F" w:rsidRDefault="00D85C9F" w:rsidP="00D85C9F">
            <w:pPr>
              <w:jc w:val="center"/>
              <w:rPr>
                <w:rStyle w:val="Hyperlink"/>
                <w:rFonts w:cstheme="minorHAnsi"/>
                <w:b/>
                <w:bCs/>
                <w:color w:val="auto"/>
                <w:sz w:val="22"/>
                <w:szCs w:val="22"/>
                <w:u w:val="none"/>
              </w:rPr>
            </w:pPr>
            <w:r>
              <w:rPr>
                <w:rStyle w:val="Hyperlink"/>
                <w:rFonts w:cstheme="minorHAnsi"/>
                <w:b/>
                <w:bCs/>
                <w:color w:val="auto"/>
                <w:sz w:val="22"/>
                <w:szCs w:val="22"/>
                <w:u w:val="none"/>
              </w:rPr>
              <w:t>Annual Property Damage</w:t>
            </w:r>
          </w:p>
          <w:p w14:paraId="13412619" w14:textId="366BCFA8" w:rsidR="00D85C9F" w:rsidRPr="00D85C9F" w:rsidRDefault="00D85C9F" w:rsidP="00D85C9F">
            <w:pPr>
              <w:jc w:val="center"/>
              <w:rPr>
                <w:rStyle w:val="Hyperlink"/>
                <w:rFonts w:cstheme="minorHAnsi"/>
                <w:b/>
                <w:bCs/>
                <w:color w:val="auto"/>
                <w:sz w:val="22"/>
                <w:szCs w:val="22"/>
                <w:u w:val="none"/>
              </w:rPr>
            </w:pPr>
            <w:r>
              <w:rPr>
                <w:rStyle w:val="Hyperlink"/>
                <w:rFonts w:cstheme="minorHAnsi"/>
                <w:b/>
                <w:bCs/>
                <w:color w:val="auto"/>
                <w:sz w:val="22"/>
                <w:szCs w:val="22"/>
                <w:u w:val="none"/>
              </w:rPr>
              <w:t xml:space="preserve"> ($ million per year)</w:t>
            </w:r>
          </w:p>
        </w:tc>
      </w:tr>
      <w:tr w:rsidR="00D85C9F" w14:paraId="45EA4AFB" w14:textId="77777777" w:rsidTr="00D85C9F">
        <w:trPr>
          <w:trHeight w:val="395"/>
        </w:trPr>
        <w:tc>
          <w:tcPr>
            <w:tcW w:w="3180" w:type="dxa"/>
          </w:tcPr>
          <w:p w14:paraId="680A46C1" w14:textId="741729E1" w:rsidR="00D85C9F" w:rsidRDefault="00D85C9F" w:rsidP="00D85C9F">
            <w:pPr>
              <w:rPr>
                <w:rStyle w:val="Hyperlink"/>
                <w:rFonts w:cstheme="minorHAnsi"/>
                <w:color w:val="auto"/>
                <w:sz w:val="22"/>
                <w:szCs w:val="22"/>
                <w:u w:val="none"/>
              </w:rPr>
            </w:pPr>
            <w:r>
              <w:rPr>
                <w:rStyle w:val="Hyperlink"/>
                <w:rFonts w:cstheme="minorHAnsi"/>
                <w:color w:val="auto"/>
                <w:sz w:val="22"/>
                <w:szCs w:val="22"/>
                <w:u w:val="none"/>
              </w:rPr>
              <w:t>Thunderstorm &amp; Lightning</w:t>
            </w:r>
          </w:p>
        </w:tc>
        <w:tc>
          <w:tcPr>
            <w:tcW w:w="3180" w:type="dxa"/>
          </w:tcPr>
          <w:p w14:paraId="6D495BD0" w14:textId="4D5EEC74" w:rsidR="00D85C9F" w:rsidRDefault="00D85C9F" w:rsidP="00D85C9F">
            <w:pPr>
              <w:rPr>
                <w:rStyle w:val="Hyperlink"/>
                <w:rFonts w:cstheme="minorHAnsi"/>
                <w:color w:val="auto"/>
                <w:sz w:val="22"/>
                <w:szCs w:val="22"/>
                <w:u w:val="none"/>
              </w:rPr>
            </w:pPr>
            <w:r>
              <w:rPr>
                <w:rStyle w:val="Hyperlink"/>
                <w:rFonts w:cstheme="minorHAnsi"/>
                <w:color w:val="auto"/>
                <w:sz w:val="22"/>
                <w:szCs w:val="22"/>
                <w:u w:val="none"/>
              </w:rPr>
              <w:t>116</w:t>
            </w:r>
          </w:p>
        </w:tc>
        <w:tc>
          <w:tcPr>
            <w:tcW w:w="3182" w:type="dxa"/>
          </w:tcPr>
          <w:p w14:paraId="32542483" w14:textId="34B1E084" w:rsidR="00D85C9F" w:rsidRDefault="00D85C9F" w:rsidP="00D85C9F">
            <w:pPr>
              <w:rPr>
                <w:rStyle w:val="Hyperlink"/>
                <w:rFonts w:cstheme="minorHAnsi"/>
                <w:color w:val="auto"/>
                <w:sz w:val="22"/>
                <w:szCs w:val="22"/>
                <w:u w:val="none"/>
              </w:rPr>
            </w:pPr>
            <w:r>
              <w:rPr>
                <w:rStyle w:val="Hyperlink"/>
                <w:rFonts w:cstheme="minorHAnsi"/>
                <w:color w:val="auto"/>
                <w:sz w:val="22"/>
                <w:szCs w:val="22"/>
                <w:u w:val="none"/>
              </w:rPr>
              <w:t>$11</w:t>
            </w:r>
          </w:p>
        </w:tc>
      </w:tr>
      <w:tr w:rsidR="00D85C9F" w14:paraId="1FF55DA2" w14:textId="77777777" w:rsidTr="00D85C9F">
        <w:trPr>
          <w:trHeight w:val="231"/>
        </w:trPr>
        <w:tc>
          <w:tcPr>
            <w:tcW w:w="3180" w:type="dxa"/>
          </w:tcPr>
          <w:p w14:paraId="484B48FD" w14:textId="5799BA7B" w:rsidR="00D85C9F" w:rsidRDefault="00D85C9F" w:rsidP="00D85C9F">
            <w:pPr>
              <w:rPr>
                <w:rStyle w:val="Hyperlink"/>
                <w:rFonts w:cstheme="minorHAnsi"/>
                <w:color w:val="auto"/>
                <w:sz w:val="22"/>
                <w:szCs w:val="22"/>
                <w:u w:val="none"/>
              </w:rPr>
            </w:pPr>
            <w:r>
              <w:rPr>
                <w:rStyle w:val="Hyperlink"/>
                <w:rFonts w:cstheme="minorHAnsi"/>
                <w:color w:val="auto"/>
                <w:sz w:val="22"/>
                <w:szCs w:val="22"/>
                <w:u w:val="none"/>
              </w:rPr>
              <w:t>Tornado</w:t>
            </w:r>
          </w:p>
        </w:tc>
        <w:tc>
          <w:tcPr>
            <w:tcW w:w="3180" w:type="dxa"/>
          </w:tcPr>
          <w:p w14:paraId="0B3BE888" w14:textId="2F603BDB" w:rsidR="00D85C9F" w:rsidRDefault="00D85C9F" w:rsidP="00D85C9F">
            <w:pPr>
              <w:rPr>
                <w:rStyle w:val="Hyperlink"/>
                <w:rFonts w:cstheme="minorHAnsi"/>
                <w:color w:val="auto"/>
                <w:sz w:val="22"/>
                <w:szCs w:val="22"/>
                <w:u w:val="none"/>
              </w:rPr>
            </w:pPr>
            <w:r>
              <w:rPr>
                <w:rStyle w:val="Hyperlink"/>
                <w:rFonts w:cstheme="minorHAnsi"/>
                <w:color w:val="auto"/>
                <w:sz w:val="22"/>
                <w:szCs w:val="22"/>
                <w:u w:val="none"/>
              </w:rPr>
              <w:t>16</w:t>
            </w:r>
          </w:p>
        </w:tc>
        <w:tc>
          <w:tcPr>
            <w:tcW w:w="3182" w:type="dxa"/>
          </w:tcPr>
          <w:p w14:paraId="14545BFC" w14:textId="03AFB5FD" w:rsidR="00D85C9F" w:rsidRDefault="00D85C9F" w:rsidP="00D85C9F">
            <w:pPr>
              <w:rPr>
                <w:rStyle w:val="Hyperlink"/>
                <w:rFonts w:cstheme="minorHAnsi"/>
                <w:color w:val="auto"/>
                <w:sz w:val="22"/>
                <w:szCs w:val="22"/>
                <w:u w:val="none"/>
              </w:rPr>
            </w:pPr>
            <w:r>
              <w:rPr>
                <w:rStyle w:val="Hyperlink"/>
                <w:rFonts w:cstheme="minorHAnsi"/>
                <w:color w:val="auto"/>
                <w:sz w:val="22"/>
                <w:szCs w:val="22"/>
                <w:u w:val="none"/>
              </w:rPr>
              <w:t>$10</w:t>
            </w:r>
          </w:p>
        </w:tc>
      </w:tr>
      <w:tr w:rsidR="00D85C9F" w14:paraId="2BC96EDF" w14:textId="77777777" w:rsidTr="00D85C9F">
        <w:trPr>
          <w:trHeight w:val="244"/>
        </w:trPr>
        <w:tc>
          <w:tcPr>
            <w:tcW w:w="3180" w:type="dxa"/>
          </w:tcPr>
          <w:p w14:paraId="2315D995" w14:textId="47C9D0F4" w:rsidR="00D85C9F" w:rsidRDefault="00D85C9F" w:rsidP="00D85C9F">
            <w:pPr>
              <w:rPr>
                <w:rStyle w:val="Hyperlink"/>
                <w:rFonts w:cstheme="minorHAnsi"/>
                <w:color w:val="auto"/>
                <w:sz w:val="22"/>
                <w:szCs w:val="22"/>
                <w:u w:val="none"/>
              </w:rPr>
            </w:pPr>
            <w:r>
              <w:rPr>
                <w:rStyle w:val="Hyperlink"/>
                <w:rFonts w:cstheme="minorHAnsi"/>
                <w:color w:val="auto"/>
                <w:sz w:val="22"/>
                <w:szCs w:val="22"/>
                <w:u w:val="none"/>
              </w:rPr>
              <w:t>Flood</w:t>
            </w:r>
          </w:p>
        </w:tc>
        <w:tc>
          <w:tcPr>
            <w:tcW w:w="3180" w:type="dxa"/>
          </w:tcPr>
          <w:p w14:paraId="1848F8C8" w14:textId="040D59EC" w:rsidR="00D85C9F" w:rsidRDefault="00D85C9F" w:rsidP="00D85C9F">
            <w:pPr>
              <w:rPr>
                <w:rStyle w:val="Hyperlink"/>
                <w:rFonts w:cstheme="minorHAnsi"/>
                <w:color w:val="auto"/>
                <w:sz w:val="22"/>
                <w:szCs w:val="22"/>
                <w:u w:val="none"/>
              </w:rPr>
            </w:pPr>
            <w:r>
              <w:rPr>
                <w:rStyle w:val="Hyperlink"/>
                <w:rFonts w:cstheme="minorHAnsi"/>
                <w:color w:val="auto"/>
                <w:sz w:val="22"/>
                <w:szCs w:val="22"/>
                <w:u w:val="none"/>
              </w:rPr>
              <w:t>54</w:t>
            </w:r>
          </w:p>
        </w:tc>
        <w:tc>
          <w:tcPr>
            <w:tcW w:w="3182" w:type="dxa"/>
          </w:tcPr>
          <w:p w14:paraId="427CC75B" w14:textId="262C871E" w:rsidR="00D85C9F" w:rsidRDefault="00D85C9F" w:rsidP="00D85C9F">
            <w:pPr>
              <w:rPr>
                <w:rStyle w:val="Hyperlink"/>
                <w:rFonts w:cstheme="minorHAnsi"/>
                <w:color w:val="auto"/>
                <w:sz w:val="22"/>
                <w:szCs w:val="22"/>
                <w:u w:val="none"/>
              </w:rPr>
            </w:pPr>
            <w:r>
              <w:rPr>
                <w:rStyle w:val="Hyperlink"/>
                <w:rFonts w:cstheme="minorHAnsi"/>
                <w:color w:val="auto"/>
                <w:sz w:val="22"/>
                <w:szCs w:val="22"/>
                <w:u w:val="none"/>
              </w:rPr>
              <w:t>$5</w:t>
            </w:r>
          </w:p>
        </w:tc>
      </w:tr>
      <w:tr w:rsidR="00D85C9F" w14:paraId="6D57ADC2" w14:textId="77777777" w:rsidTr="00D85C9F">
        <w:trPr>
          <w:trHeight w:val="332"/>
        </w:trPr>
        <w:tc>
          <w:tcPr>
            <w:tcW w:w="3180" w:type="dxa"/>
          </w:tcPr>
          <w:p w14:paraId="69AF18FB" w14:textId="50565EE4" w:rsidR="00D85C9F" w:rsidRDefault="00D85C9F" w:rsidP="00D85C9F">
            <w:pPr>
              <w:rPr>
                <w:rStyle w:val="Hyperlink"/>
                <w:rFonts w:cstheme="minorHAnsi"/>
                <w:color w:val="auto"/>
                <w:sz w:val="22"/>
                <w:szCs w:val="22"/>
                <w:u w:val="none"/>
              </w:rPr>
            </w:pPr>
            <w:r>
              <w:rPr>
                <w:rStyle w:val="Hyperlink"/>
                <w:rFonts w:cstheme="minorHAnsi"/>
                <w:color w:val="auto"/>
                <w:sz w:val="22"/>
                <w:szCs w:val="22"/>
                <w:u w:val="none"/>
              </w:rPr>
              <w:t>Winter Storm &amp; Extreme Cold</w:t>
            </w:r>
          </w:p>
        </w:tc>
        <w:tc>
          <w:tcPr>
            <w:tcW w:w="3180" w:type="dxa"/>
          </w:tcPr>
          <w:p w14:paraId="7D5E4952" w14:textId="0DF07AEA" w:rsidR="00D85C9F" w:rsidRDefault="00D85C9F" w:rsidP="00D85C9F">
            <w:pPr>
              <w:rPr>
                <w:rStyle w:val="Hyperlink"/>
                <w:rFonts w:cstheme="minorHAnsi"/>
                <w:color w:val="auto"/>
                <w:sz w:val="22"/>
                <w:szCs w:val="22"/>
                <w:u w:val="none"/>
              </w:rPr>
            </w:pPr>
            <w:r>
              <w:rPr>
                <w:rStyle w:val="Hyperlink"/>
                <w:rFonts w:cstheme="minorHAnsi"/>
                <w:color w:val="auto"/>
                <w:sz w:val="22"/>
                <w:szCs w:val="22"/>
                <w:u w:val="none"/>
              </w:rPr>
              <w:t>35</w:t>
            </w:r>
          </w:p>
        </w:tc>
        <w:tc>
          <w:tcPr>
            <w:tcW w:w="3182" w:type="dxa"/>
          </w:tcPr>
          <w:p w14:paraId="252FBD76" w14:textId="1044B398" w:rsidR="00D85C9F" w:rsidRDefault="00D85C9F" w:rsidP="00D85C9F">
            <w:pPr>
              <w:rPr>
                <w:rStyle w:val="Hyperlink"/>
                <w:rFonts w:cstheme="minorHAnsi"/>
                <w:color w:val="auto"/>
                <w:sz w:val="22"/>
                <w:szCs w:val="22"/>
                <w:u w:val="none"/>
              </w:rPr>
            </w:pPr>
            <w:r>
              <w:rPr>
                <w:rStyle w:val="Hyperlink"/>
                <w:rFonts w:cstheme="minorHAnsi"/>
                <w:color w:val="auto"/>
                <w:sz w:val="22"/>
                <w:szCs w:val="22"/>
                <w:u w:val="none"/>
              </w:rPr>
              <w:t>$4</w:t>
            </w:r>
          </w:p>
        </w:tc>
      </w:tr>
      <w:tr w:rsidR="00D85C9F" w14:paraId="36C98AAB" w14:textId="77777777" w:rsidTr="00D85C9F">
        <w:trPr>
          <w:trHeight w:val="244"/>
        </w:trPr>
        <w:tc>
          <w:tcPr>
            <w:tcW w:w="3180" w:type="dxa"/>
          </w:tcPr>
          <w:p w14:paraId="57B1D101" w14:textId="616F318E" w:rsidR="00D85C9F" w:rsidRDefault="00D85C9F" w:rsidP="00D85C9F">
            <w:pPr>
              <w:rPr>
                <w:rStyle w:val="Hyperlink"/>
                <w:rFonts w:cstheme="minorHAnsi"/>
                <w:color w:val="auto"/>
                <w:sz w:val="22"/>
                <w:szCs w:val="22"/>
                <w:u w:val="none"/>
              </w:rPr>
            </w:pPr>
            <w:r>
              <w:rPr>
                <w:rStyle w:val="Hyperlink"/>
                <w:rFonts w:cstheme="minorHAnsi"/>
                <w:color w:val="auto"/>
                <w:sz w:val="22"/>
                <w:szCs w:val="22"/>
                <w:u w:val="none"/>
              </w:rPr>
              <w:t>Earthquake</w:t>
            </w:r>
          </w:p>
        </w:tc>
        <w:tc>
          <w:tcPr>
            <w:tcW w:w="3180" w:type="dxa"/>
          </w:tcPr>
          <w:p w14:paraId="5BABF1FF" w14:textId="146DA4FB" w:rsidR="00D85C9F" w:rsidRDefault="00D85C9F" w:rsidP="00D85C9F">
            <w:pPr>
              <w:rPr>
                <w:rStyle w:val="Hyperlink"/>
                <w:rFonts w:cstheme="minorHAnsi"/>
                <w:color w:val="auto"/>
                <w:sz w:val="22"/>
                <w:szCs w:val="22"/>
                <w:u w:val="none"/>
              </w:rPr>
            </w:pPr>
            <w:r>
              <w:rPr>
                <w:rStyle w:val="Hyperlink"/>
                <w:rFonts w:cstheme="minorHAnsi"/>
                <w:color w:val="auto"/>
                <w:sz w:val="22"/>
                <w:szCs w:val="22"/>
                <w:u w:val="none"/>
              </w:rPr>
              <w:t>&lt;1</w:t>
            </w:r>
          </w:p>
        </w:tc>
        <w:tc>
          <w:tcPr>
            <w:tcW w:w="3182" w:type="dxa"/>
          </w:tcPr>
          <w:p w14:paraId="6E6FAD48" w14:textId="449D8E17" w:rsidR="00D85C9F" w:rsidRDefault="00D85C9F" w:rsidP="00D85C9F">
            <w:pPr>
              <w:rPr>
                <w:rStyle w:val="Hyperlink"/>
                <w:rFonts w:cstheme="minorHAnsi"/>
                <w:color w:val="auto"/>
                <w:sz w:val="22"/>
                <w:szCs w:val="22"/>
                <w:u w:val="none"/>
              </w:rPr>
            </w:pPr>
            <w:r>
              <w:rPr>
                <w:rStyle w:val="Hyperlink"/>
                <w:rFonts w:cstheme="minorHAnsi"/>
                <w:color w:val="auto"/>
                <w:sz w:val="22"/>
                <w:szCs w:val="22"/>
                <w:u w:val="none"/>
              </w:rPr>
              <w:t>$0</w:t>
            </w:r>
          </w:p>
        </w:tc>
      </w:tr>
    </w:tbl>
    <w:p w14:paraId="3905C425" w14:textId="79667B6D" w:rsidR="00EA4805" w:rsidRDefault="00EA4805" w:rsidP="0008492C">
      <w:pPr>
        <w:jc w:val="both"/>
        <w:rPr>
          <w:rStyle w:val="Hyperlink"/>
          <w:rFonts w:cstheme="minorHAnsi"/>
          <w:color w:val="auto"/>
          <w:sz w:val="22"/>
          <w:szCs w:val="22"/>
          <w:u w:val="none"/>
        </w:rPr>
      </w:pPr>
    </w:p>
    <w:p w14:paraId="2FB1E5A3" w14:textId="77777777" w:rsidR="00A03528" w:rsidRDefault="00A03528" w:rsidP="00A03528">
      <w:pPr>
        <w:jc w:val="both"/>
        <w:rPr>
          <w:rStyle w:val="Hyperlink"/>
          <w:rFonts w:cstheme="minorHAnsi"/>
          <w:color w:val="auto"/>
          <w:sz w:val="22"/>
          <w:szCs w:val="22"/>
          <w:u w:val="none"/>
        </w:rPr>
      </w:pPr>
      <w:r>
        <w:rPr>
          <w:rStyle w:val="Hyperlink"/>
          <w:rFonts w:cstheme="minorHAnsi"/>
          <w:color w:val="auto"/>
          <w:sz w:val="22"/>
          <w:szCs w:val="22"/>
          <w:u w:val="none"/>
        </w:rPr>
        <w:t xml:space="preserve">In addition, Indiana OED will ensure the grant funding opportunity supports a foundation for attracting, developing, and maintaining a strong and diverse workforce that includes an opportunity for all Hoosiers, including those that have been historically underrepresented or excluded, to receive high-paying wages in a fair working environment. </w:t>
      </w:r>
    </w:p>
    <w:p w14:paraId="56C37295" w14:textId="77777777" w:rsidR="00A03528" w:rsidRDefault="00A03528" w:rsidP="00A03528">
      <w:pPr>
        <w:jc w:val="both"/>
        <w:rPr>
          <w:rStyle w:val="Hyperlink"/>
          <w:rFonts w:cstheme="minorHAnsi"/>
          <w:color w:val="auto"/>
          <w:sz w:val="22"/>
          <w:szCs w:val="22"/>
          <w:u w:val="none"/>
        </w:rPr>
      </w:pPr>
    </w:p>
    <w:p w14:paraId="230FAC33" w14:textId="0692E59B" w:rsidR="00A03528" w:rsidRDefault="0068261C" w:rsidP="00A03528">
      <w:pPr>
        <w:jc w:val="both"/>
        <w:rPr>
          <w:rStyle w:val="Hyperlink"/>
          <w:rFonts w:cstheme="minorHAnsi"/>
          <w:color w:val="auto"/>
          <w:sz w:val="22"/>
          <w:szCs w:val="22"/>
          <w:u w:val="none"/>
        </w:rPr>
      </w:pPr>
      <w:r>
        <w:rPr>
          <w:rStyle w:val="Hyperlink"/>
          <w:rFonts w:cstheme="minorHAnsi"/>
          <w:color w:val="auto"/>
          <w:sz w:val="22"/>
          <w:szCs w:val="22"/>
          <w:u w:val="none"/>
        </w:rPr>
        <w:t>Furthermore</w:t>
      </w:r>
      <w:r w:rsidR="00A03528">
        <w:rPr>
          <w:rStyle w:val="Hyperlink"/>
          <w:rFonts w:cstheme="minorHAnsi"/>
          <w:color w:val="auto"/>
          <w:sz w:val="22"/>
          <w:szCs w:val="22"/>
          <w:u w:val="none"/>
        </w:rPr>
        <w:t>, all investments under this program should be designed and implemented with the goal of reducing the frequency and duration of customer outages,</w:t>
      </w:r>
      <w:r w:rsidR="008E42EE">
        <w:rPr>
          <w:rStyle w:val="Hyperlink"/>
          <w:rFonts w:cstheme="minorHAnsi"/>
          <w:color w:val="auto"/>
          <w:sz w:val="22"/>
          <w:szCs w:val="22"/>
          <w:u w:val="none"/>
        </w:rPr>
        <w:t xml:space="preserve"> and</w:t>
      </w:r>
      <w:r w:rsidR="00A03528">
        <w:rPr>
          <w:rStyle w:val="Hyperlink"/>
          <w:rFonts w:cstheme="minorHAnsi"/>
          <w:color w:val="auto"/>
          <w:sz w:val="22"/>
          <w:szCs w:val="22"/>
          <w:u w:val="none"/>
        </w:rPr>
        <w:t xml:space="preserve"> ensuring customers have equitable access to a safe, reliable, and affordable electric system. </w:t>
      </w:r>
    </w:p>
    <w:p w14:paraId="315547D8" w14:textId="77777777" w:rsidR="00A03528" w:rsidRDefault="00A03528" w:rsidP="00117934">
      <w:pPr>
        <w:jc w:val="both"/>
        <w:rPr>
          <w:rStyle w:val="Hyperlink"/>
          <w:rFonts w:cstheme="minorHAnsi"/>
          <w:color w:val="auto"/>
          <w:sz w:val="22"/>
          <w:szCs w:val="22"/>
          <w:u w:val="none"/>
        </w:rPr>
      </w:pPr>
    </w:p>
    <w:p w14:paraId="45941A10" w14:textId="63339FE7" w:rsidR="00180C84" w:rsidRDefault="008E42EE" w:rsidP="00117934">
      <w:pPr>
        <w:jc w:val="both"/>
        <w:rPr>
          <w:rFonts w:cstheme="minorHAnsi"/>
          <w:sz w:val="22"/>
          <w:szCs w:val="22"/>
        </w:rPr>
      </w:pPr>
      <w:r w:rsidRPr="00061646">
        <w:rPr>
          <w:rFonts w:cstheme="minorHAnsi"/>
          <w:b/>
          <w:bCs/>
          <w:sz w:val="22"/>
          <w:szCs w:val="22"/>
        </w:rPr>
        <w:t xml:space="preserve">Draft </w:t>
      </w:r>
      <w:r w:rsidR="00180C84" w:rsidRPr="00061646">
        <w:rPr>
          <w:rFonts w:cstheme="minorHAnsi"/>
          <w:b/>
          <w:bCs/>
          <w:sz w:val="22"/>
          <w:szCs w:val="22"/>
        </w:rPr>
        <w:t>Objective</w:t>
      </w:r>
      <w:r w:rsidR="00726EA3" w:rsidRPr="00061646">
        <w:rPr>
          <w:rFonts w:cstheme="minorHAnsi"/>
          <w:b/>
          <w:bCs/>
          <w:sz w:val="22"/>
          <w:szCs w:val="22"/>
        </w:rPr>
        <w:t xml:space="preserve"> 1</w:t>
      </w:r>
      <w:r w:rsidR="008F5451">
        <w:rPr>
          <w:rFonts w:cstheme="minorHAnsi"/>
          <w:sz w:val="22"/>
          <w:szCs w:val="22"/>
        </w:rPr>
        <w:t>:</w:t>
      </w:r>
      <w:r w:rsidR="008F5451" w:rsidRPr="008F5451">
        <w:rPr>
          <w:rStyle w:val="Hyperlink"/>
          <w:rFonts w:cstheme="minorHAnsi"/>
          <w:color w:val="auto"/>
          <w:sz w:val="22"/>
          <w:szCs w:val="22"/>
          <w:u w:val="none"/>
        </w:rPr>
        <w:t xml:space="preserve"> </w:t>
      </w:r>
      <w:r w:rsidR="009F19EB">
        <w:rPr>
          <w:rStyle w:val="Hyperlink"/>
          <w:rFonts w:cstheme="minorHAnsi"/>
          <w:color w:val="auto"/>
          <w:sz w:val="22"/>
          <w:szCs w:val="22"/>
          <w:u w:val="none"/>
        </w:rPr>
        <w:t>Improve the reliability of Indiana’s electric grid by reducing</w:t>
      </w:r>
      <w:r w:rsidR="008F5451">
        <w:rPr>
          <w:rStyle w:val="Hyperlink"/>
          <w:rFonts w:cstheme="minorHAnsi"/>
          <w:color w:val="auto"/>
          <w:sz w:val="22"/>
          <w:szCs w:val="22"/>
          <w:u w:val="none"/>
        </w:rPr>
        <w:t xml:space="preserve"> the frequency and duration of </w:t>
      </w:r>
      <w:r w:rsidR="008F5451">
        <w:rPr>
          <w:rFonts w:cstheme="minorHAnsi"/>
          <w:sz w:val="22"/>
          <w:szCs w:val="22"/>
        </w:rPr>
        <w:t>sustained interruptions and the number of customers impacted, especially for customers that experience higher than average frequency and duration of outages</w:t>
      </w:r>
      <w:r w:rsidR="009F19EB">
        <w:rPr>
          <w:rFonts w:cstheme="minorHAnsi"/>
          <w:sz w:val="22"/>
          <w:szCs w:val="22"/>
        </w:rPr>
        <w:t>.</w:t>
      </w:r>
    </w:p>
    <w:p w14:paraId="0C3A8258" w14:textId="3BA715CD" w:rsidR="00180C84" w:rsidRDefault="00180C84" w:rsidP="00117934">
      <w:pPr>
        <w:jc w:val="both"/>
        <w:rPr>
          <w:rFonts w:cstheme="minorHAnsi"/>
          <w:sz w:val="22"/>
          <w:szCs w:val="22"/>
        </w:rPr>
      </w:pPr>
    </w:p>
    <w:p w14:paraId="3B3B403C" w14:textId="0A67B628" w:rsidR="00180C84" w:rsidRPr="00061646" w:rsidRDefault="008E42EE" w:rsidP="00180C84">
      <w:pPr>
        <w:jc w:val="both"/>
        <w:rPr>
          <w:rFonts w:cstheme="minorHAnsi"/>
          <w:b/>
          <w:bCs/>
          <w:sz w:val="22"/>
          <w:szCs w:val="22"/>
        </w:rPr>
      </w:pPr>
      <w:r w:rsidRPr="00061646">
        <w:rPr>
          <w:rFonts w:cstheme="minorHAnsi"/>
          <w:b/>
          <w:bCs/>
          <w:sz w:val="22"/>
          <w:szCs w:val="22"/>
        </w:rPr>
        <w:t xml:space="preserve">Draft </w:t>
      </w:r>
      <w:r w:rsidR="00180C84" w:rsidRPr="00061646">
        <w:rPr>
          <w:rFonts w:cstheme="minorHAnsi"/>
          <w:b/>
          <w:bCs/>
          <w:sz w:val="22"/>
          <w:szCs w:val="22"/>
        </w:rPr>
        <w:t xml:space="preserve">Metrics: </w:t>
      </w:r>
    </w:p>
    <w:p w14:paraId="6B1C04E7" w14:textId="77777777" w:rsidR="00180C84" w:rsidRDefault="00180C84" w:rsidP="00180C84">
      <w:pPr>
        <w:pStyle w:val="ListParagraph"/>
        <w:numPr>
          <w:ilvl w:val="0"/>
          <w:numId w:val="13"/>
        </w:numPr>
        <w:jc w:val="both"/>
        <w:rPr>
          <w:rFonts w:cstheme="minorHAnsi"/>
          <w:sz w:val="22"/>
          <w:szCs w:val="22"/>
        </w:rPr>
      </w:pPr>
      <w:r>
        <w:rPr>
          <w:rFonts w:cstheme="minorHAnsi"/>
          <w:sz w:val="22"/>
          <w:szCs w:val="22"/>
        </w:rPr>
        <w:t>Number of customers anticipated to be impacted by a proposed investment (both total number and as a percentage of a utility’s total customer base)</w:t>
      </w:r>
    </w:p>
    <w:p w14:paraId="2CF4FA38" w14:textId="12B3CCBD" w:rsidR="00180C84" w:rsidRDefault="009503B5" w:rsidP="00180C84">
      <w:pPr>
        <w:pStyle w:val="ListParagraph"/>
        <w:numPr>
          <w:ilvl w:val="0"/>
          <w:numId w:val="13"/>
        </w:numPr>
        <w:jc w:val="both"/>
        <w:rPr>
          <w:rFonts w:cstheme="minorHAnsi"/>
          <w:sz w:val="22"/>
          <w:szCs w:val="22"/>
        </w:rPr>
      </w:pPr>
      <w:r>
        <w:rPr>
          <w:rFonts w:cstheme="minorHAnsi"/>
          <w:sz w:val="22"/>
          <w:szCs w:val="22"/>
        </w:rPr>
        <w:t>Baseline</w:t>
      </w:r>
      <w:r w:rsidR="00730E3E">
        <w:rPr>
          <w:rFonts w:cstheme="minorHAnsi"/>
          <w:sz w:val="22"/>
          <w:szCs w:val="22"/>
        </w:rPr>
        <w:t xml:space="preserve"> (e.g., historical) and </w:t>
      </w:r>
      <w:r w:rsidR="00A224D0">
        <w:rPr>
          <w:rFonts w:cstheme="minorHAnsi"/>
          <w:sz w:val="22"/>
          <w:szCs w:val="22"/>
        </w:rPr>
        <w:t xml:space="preserve">postulated </w:t>
      </w:r>
      <w:r w:rsidR="00730E3E">
        <w:rPr>
          <w:rFonts w:cstheme="minorHAnsi"/>
          <w:sz w:val="22"/>
          <w:szCs w:val="22"/>
        </w:rPr>
        <w:t xml:space="preserve">post-investment </w:t>
      </w:r>
      <w:r w:rsidR="00CE3EFE">
        <w:rPr>
          <w:rFonts w:cstheme="minorHAnsi"/>
          <w:sz w:val="22"/>
          <w:szCs w:val="22"/>
        </w:rPr>
        <w:t xml:space="preserve">data regarding </w:t>
      </w:r>
      <w:r w:rsidR="00180C84">
        <w:rPr>
          <w:rFonts w:cstheme="minorHAnsi"/>
          <w:sz w:val="22"/>
          <w:szCs w:val="22"/>
        </w:rPr>
        <w:t>System Average Interruption Frequency Index (SAIFI)</w:t>
      </w:r>
      <w:r w:rsidR="005003DE">
        <w:rPr>
          <w:rStyle w:val="FootnoteReference"/>
          <w:rFonts w:cstheme="minorHAnsi"/>
          <w:sz w:val="22"/>
          <w:szCs w:val="22"/>
        </w:rPr>
        <w:footnoteReference w:id="7"/>
      </w:r>
      <w:r w:rsidR="00180C84">
        <w:rPr>
          <w:rFonts w:cstheme="minorHAnsi"/>
          <w:sz w:val="22"/>
          <w:szCs w:val="22"/>
        </w:rPr>
        <w:t xml:space="preserve"> for both Major Event Days (MEDs) and non-MEDs</w:t>
      </w:r>
    </w:p>
    <w:p w14:paraId="4D300A30" w14:textId="3978F6E2" w:rsidR="00180C84" w:rsidRDefault="00730E3E" w:rsidP="00180C84">
      <w:pPr>
        <w:pStyle w:val="ListParagraph"/>
        <w:numPr>
          <w:ilvl w:val="0"/>
          <w:numId w:val="13"/>
        </w:numPr>
        <w:jc w:val="both"/>
        <w:rPr>
          <w:rFonts w:cstheme="minorHAnsi"/>
          <w:sz w:val="22"/>
          <w:szCs w:val="22"/>
        </w:rPr>
      </w:pPr>
      <w:r>
        <w:rPr>
          <w:rFonts w:cstheme="minorHAnsi"/>
          <w:sz w:val="22"/>
          <w:szCs w:val="22"/>
        </w:rPr>
        <w:t xml:space="preserve">Baseline (e.g., historical) and </w:t>
      </w:r>
      <w:r w:rsidR="00A224D0">
        <w:rPr>
          <w:rFonts w:cstheme="minorHAnsi"/>
          <w:sz w:val="22"/>
          <w:szCs w:val="22"/>
        </w:rPr>
        <w:t xml:space="preserve">postulated </w:t>
      </w:r>
      <w:r>
        <w:rPr>
          <w:rFonts w:cstheme="minorHAnsi"/>
          <w:sz w:val="22"/>
          <w:szCs w:val="22"/>
        </w:rPr>
        <w:t xml:space="preserve">post-investment </w:t>
      </w:r>
      <w:r w:rsidR="00CE3EFE">
        <w:rPr>
          <w:rFonts w:cstheme="minorHAnsi"/>
          <w:sz w:val="22"/>
          <w:szCs w:val="22"/>
        </w:rPr>
        <w:t xml:space="preserve">data regarding </w:t>
      </w:r>
      <w:r w:rsidR="00180C84" w:rsidRPr="001E7DEA">
        <w:rPr>
          <w:rFonts w:cstheme="minorHAnsi"/>
          <w:sz w:val="22"/>
          <w:szCs w:val="22"/>
        </w:rPr>
        <w:t>System Average Interruption Duration Index</w:t>
      </w:r>
      <w:r w:rsidR="00180C84">
        <w:rPr>
          <w:rFonts w:cstheme="minorHAnsi"/>
          <w:sz w:val="22"/>
          <w:szCs w:val="22"/>
        </w:rPr>
        <w:t xml:space="preserve"> (SAIDI)</w:t>
      </w:r>
      <w:r w:rsidR="0007143E">
        <w:rPr>
          <w:rStyle w:val="FootnoteReference"/>
          <w:rFonts w:cstheme="minorHAnsi"/>
          <w:sz w:val="22"/>
          <w:szCs w:val="22"/>
        </w:rPr>
        <w:footnoteReference w:id="8"/>
      </w:r>
      <w:r w:rsidR="00180C84">
        <w:rPr>
          <w:rFonts w:cstheme="minorHAnsi"/>
          <w:sz w:val="22"/>
          <w:szCs w:val="22"/>
        </w:rPr>
        <w:t xml:space="preserve"> for both MEDs and non-MEDs</w:t>
      </w:r>
    </w:p>
    <w:p w14:paraId="4703B718" w14:textId="68158EC1" w:rsidR="00180C84" w:rsidRDefault="00730E3E" w:rsidP="00180C84">
      <w:pPr>
        <w:pStyle w:val="ListParagraph"/>
        <w:numPr>
          <w:ilvl w:val="0"/>
          <w:numId w:val="13"/>
        </w:numPr>
        <w:jc w:val="both"/>
        <w:rPr>
          <w:rFonts w:cstheme="minorHAnsi"/>
          <w:sz w:val="22"/>
          <w:szCs w:val="22"/>
        </w:rPr>
      </w:pPr>
      <w:r>
        <w:rPr>
          <w:rFonts w:cstheme="minorHAnsi"/>
          <w:sz w:val="22"/>
          <w:szCs w:val="22"/>
        </w:rPr>
        <w:t xml:space="preserve">Baseline (e.g., historical) and </w:t>
      </w:r>
      <w:r w:rsidR="00A224D0">
        <w:rPr>
          <w:rFonts w:cstheme="minorHAnsi"/>
          <w:sz w:val="22"/>
          <w:szCs w:val="22"/>
        </w:rPr>
        <w:t xml:space="preserve">postulated </w:t>
      </w:r>
      <w:r>
        <w:rPr>
          <w:rFonts w:cstheme="minorHAnsi"/>
          <w:sz w:val="22"/>
          <w:szCs w:val="22"/>
        </w:rPr>
        <w:t xml:space="preserve">post-investment </w:t>
      </w:r>
      <w:r w:rsidR="00CE3EFE">
        <w:rPr>
          <w:rFonts w:cstheme="minorHAnsi"/>
          <w:sz w:val="22"/>
          <w:szCs w:val="22"/>
        </w:rPr>
        <w:t xml:space="preserve">data regarding </w:t>
      </w:r>
      <w:r w:rsidR="00180C84">
        <w:rPr>
          <w:rFonts w:cstheme="minorHAnsi"/>
          <w:sz w:val="22"/>
          <w:szCs w:val="22"/>
        </w:rPr>
        <w:t>Customer Average Interruption Duration Index (CAIDI)</w:t>
      </w:r>
      <w:r w:rsidR="00225D42">
        <w:rPr>
          <w:rStyle w:val="FootnoteReference"/>
          <w:rFonts w:cstheme="minorHAnsi"/>
          <w:sz w:val="22"/>
          <w:szCs w:val="22"/>
        </w:rPr>
        <w:footnoteReference w:id="9"/>
      </w:r>
      <w:r w:rsidR="00180C84">
        <w:rPr>
          <w:rFonts w:cstheme="minorHAnsi"/>
          <w:sz w:val="22"/>
          <w:szCs w:val="22"/>
        </w:rPr>
        <w:t xml:space="preserve"> for both MEDs and non-MEDs</w:t>
      </w:r>
    </w:p>
    <w:p w14:paraId="300CA26D" w14:textId="6FBFF461" w:rsidR="004C7F87" w:rsidRDefault="004C7F87" w:rsidP="00117934">
      <w:pPr>
        <w:jc w:val="both"/>
        <w:rPr>
          <w:rFonts w:cstheme="minorHAnsi"/>
          <w:sz w:val="22"/>
          <w:szCs w:val="22"/>
        </w:rPr>
      </w:pPr>
    </w:p>
    <w:p w14:paraId="614D0B8F" w14:textId="777E81C4" w:rsidR="008D0843" w:rsidRDefault="008E42EE" w:rsidP="00117934">
      <w:pPr>
        <w:jc w:val="both"/>
        <w:rPr>
          <w:rFonts w:cstheme="minorHAnsi"/>
          <w:sz w:val="22"/>
          <w:szCs w:val="22"/>
        </w:rPr>
      </w:pPr>
      <w:r w:rsidRPr="00061646">
        <w:rPr>
          <w:rFonts w:cstheme="minorHAnsi"/>
          <w:b/>
          <w:bCs/>
          <w:sz w:val="22"/>
          <w:szCs w:val="22"/>
        </w:rPr>
        <w:t xml:space="preserve">Draft </w:t>
      </w:r>
      <w:r w:rsidR="008D0843" w:rsidRPr="00061646">
        <w:rPr>
          <w:rFonts w:cstheme="minorHAnsi"/>
          <w:b/>
          <w:bCs/>
          <w:sz w:val="22"/>
          <w:szCs w:val="22"/>
        </w:rPr>
        <w:t>Objective</w:t>
      </w:r>
      <w:r w:rsidR="00726EA3" w:rsidRPr="00061646">
        <w:rPr>
          <w:rFonts w:cstheme="minorHAnsi"/>
          <w:b/>
          <w:bCs/>
          <w:sz w:val="22"/>
          <w:szCs w:val="22"/>
        </w:rPr>
        <w:t xml:space="preserve"> 2</w:t>
      </w:r>
      <w:r w:rsidR="008D0843" w:rsidRPr="00061646">
        <w:rPr>
          <w:rFonts w:cstheme="minorHAnsi"/>
          <w:b/>
          <w:bCs/>
          <w:sz w:val="22"/>
          <w:szCs w:val="22"/>
        </w:rPr>
        <w:t>:</w:t>
      </w:r>
      <w:r w:rsidR="008D0843">
        <w:rPr>
          <w:rFonts w:cstheme="minorHAnsi"/>
          <w:sz w:val="22"/>
          <w:szCs w:val="22"/>
        </w:rPr>
        <w:t xml:space="preserve"> </w:t>
      </w:r>
      <w:r w:rsidR="00475D50">
        <w:rPr>
          <w:rFonts w:cstheme="minorHAnsi"/>
          <w:sz w:val="22"/>
          <w:szCs w:val="22"/>
        </w:rPr>
        <w:t xml:space="preserve">Improve </w:t>
      </w:r>
      <w:r w:rsidR="005D3603">
        <w:rPr>
          <w:rFonts w:cstheme="minorHAnsi"/>
          <w:sz w:val="22"/>
          <w:szCs w:val="22"/>
        </w:rPr>
        <w:t xml:space="preserve">the resilience of </w:t>
      </w:r>
      <w:r w:rsidR="00475D50">
        <w:rPr>
          <w:rFonts w:cstheme="minorHAnsi"/>
          <w:sz w:val="22"/>
          <w:szCs w:val="22"/>
        </w:rPr>
        <w:t>Indiana’s electric grid to natural disasters</w:t>
      </w:r>
      <w:r w:rsidR="00722645">
        <w:rPr>
          <w:rFonts w:cstheme="minorHAnsi"/>
          <w:sz w:val="22"/>
          <w:szCs w:val="22"/>
        </w:rPr>
        <w:t xml:space="preserve"> to ensure the availability of power to critical community</w:t>
      </w:r>
      <w:r w:rsidR="005D3603">
        <w:rPr>
          <w:rFonts w:cstheme="minorHAnsi"/>
          <w:sz w:val="22"/>
          <w:szCs w:val="22"/>
        </w:rPr>
        <w:t xml:space="preserve"> services, such as public safety, medical, and transportation systems during disasters</w:t>
      </w:r>
    </w:p>
    <w:p w14:paraId="69355718" w14:textId="3E5B1101" w:rsidR="00311B05" w:rsidRDefault="00311B05" w:rsidP="00117934">
      <w:pPr>
        <w:jc w:val="both"/>
        <w:rPr>
          <w:rFonts w:cstheme="minorHAnsi"/>
          <w:sz w:val="22"/>
          <w:szCs w:val="22"/>
        </w:rPr>
      </w:pPr>
    </w:p>
    <w:p w14:paraId="46A832AC" w14:textId="68C66998" w:rsidR="00311B05" w:rsidRPr="00DB0522" w:rsidRDefault="008E42EE" w:rsidP="00117934">
      <w:pPr>
        <w:jc w:val="both"/>
        <w:rPr>
          <w:rFonts w:cstheme="minorHAnsi"/>
          <w:b/>
          <w:bCs/>
          <w:sz w:val="22"/>
          <w:szCs w:val="22"/>
        </w:rPr>
      </w:pPr>
      <w:r w:rsidRPr="00DB0522">
        <w:rPr>
          <w:rFonts w:cstheme="minorHAnsi"/>
          <w:b/>
          <w:bCs/>
          <w:sz w:val="22"/>
          <w:szCs w:val="22"/>
        </w:rPr>
        <w:t xml:space="preserve">Draft </w:t>
      </w:r>
      <w:r w:rsidR="00311B05" w:rsidRPr="00DB0522">
        <w:rPr>
          <w:rFonts w:cstheme="minorHAnsi"/>
          <w:b/>
          <w:bCs/>
          <w:sz w:val="22"/>
          <w:szCs w:val="22"/>
        </w:rPr>
        <w:t>Metrics:</w:t>
      </w:r>
    </w:p>
    <w:p w14:paraId="1FB9977F" w14:textId="366BDE14" w:rsidR="004B3240" w:rsidRDefault="00A224D0" w:rsidP="00311B05">
      <w:pPr>
        <w:pStyle w:val="ListParagraph"/>
        <w:numPr>
          <w:ilvl w:val="0"/>
          <w:numId w:val="25"/>
        </w:numPr>
        <w:jc w:val="both"/>
        <w:rPr>
          <w:rFonts w:cstheme="minorHAnsi"/>
          <w:sz w:val="22"/>
          <w:szCs w:val="22"/>
        </w:rPr>
      </w:pPr>
      <w:r>
        <w:rPr>
          <w:rFonts w:cstheme="minorHAnsi"/>
          <w:sz w:val="22"/>
          <w:szCs w:val="22"/>
        </w:rPr>
        <w:t>Baseline (e.g., historical) and postulated post-investment data regarding c</w:t>
      </w:r>
      <w:r w:rsidR="008B31B9">
        <w:rPr>
          <w:rFonts w:cstheme="minorHAnsi"/>
          <w:sz w:val="22"/>
          <w:szCs w:val="22"/>
        </w:rPr>
        <w:t>umulative critical customer-hours of outages</w:t>
      </w:r>
      <w:r w:rsidR="008B31B9">
        <w:rPr>
          <w:rStyle w:val="FootnoteReference"/>
          <w:rFonts w:cstheme="minorHAnsi"/>
          <w:sz w:val="22"/>
          <w:szCs w:val="22"/>
        </w:rPr>
        <w:footnoteReference w:id="10"/>
      </w:r>
    </w:p>
    <w:p w14:paraId="4C71277A" w14:textId="2DC0A524" w:rsidR="00BC524A" w:rsidRDefault="00A224D0" w:rsidP="00311B05">
      <w:pPr>
        <w:pStyle w:val="ListParagraph"/>
        <w:numPr>
          <w:ilvl w:val="0"/>
          <w:numId w:val="25"/>
        </w:numPr>
        <w:jc w:val="both"/>
        <w:rPr>
          <w:rFonts w:cstheme="minorHAnsi"/>
          <w:sz w:val="22"/>
          <w:szCs w:val="22"/>
        </w:rPr>
      </w:pPr>
      <w:r>
        <w:rPr>
          <w:rFonts w:cstheme="minorHAnsi"/>
          <w:sz w:val="22"/>
          <w:szCs w:val="22"/>
        </w:rPr>
        <w:t>Baseline (e.g., historical) and postulated post-investment data regarding p</w:t>
      </w:r>
      <w:r w:rsidR="001E42DF">
        <w:rPr>
          <w:rFonts w:cstheme="minorHAnsi"/>
          <w:sz w:val="22"/>
          <w:szCs w:val="22"/>
        </w:rPr>
        <w:t>ercentage of critical customers that experience an outage</w:t>
      </w:r>
    </w:p>
    <w:p w14:paraId="75590A0A" w14:textId="47121E09" w:rsidR="00EF6434" w:rsidRDefault="00F17293" w:rsidP="00311B05">
      <w:pPr>
        <w:pStyle w:val="ListParagraph"/>
        <w:numPr>
          <w:ilvl w:val="0"/>
          <w:numId w:val="25"/>
        </w:numPr>
        <w:jc w:val="both"/>
        <w:rPr>
          <w:rFonts w:cstheme="minorHAnsi"/>
          <w:sz w:val="22"/>
          <w:szCs w:val="22"/>
        </w:rPr>
      </w:pPr>
      <w:r>
        <w:rPr>
          <w:rFonts w:cstheme="minorHAnsi"/>
          <w:sz w:val="22"/>
          <w:szCs w:val="22"/>
        </w:rPr>
        <w:t xml:space="preserve">Baseline (e.g., historical) and postulated post-investment data regarding critical services without power for more than </w:t>
      </w:r>
      <w:r>
        <w:rPr>
          <w:rFonts w:cstheme="minorHAnsi"/>
          <w:i/>
          <w:iCs/>
          <w:sz w:val="22"/>
          <w:szCs w:val="22"/>
        </w:rPr>
        <w:t>N</w:t>
      </w:r>
      <w:r>
        <w:rPr>
          <w:rFonts w:cstheme="minorHAnsi"/>
          <w:sz w:val="22"/>
          <w:szCs w:val="22"/>
        </w:rPr>
        <w:t xml:space="preserve"> hours (e.g., </w:t>
      </w:r>
      <w:r>
        <w:rPr>
          <w:rFonts w:cstheme="minorHAnsi"/>
          <w:i/>
          <w:iCs/>
          <w:sz w:val="22"/>
          <w:szCs w:val="22"/>
        </w:rPr>
        <w:t xml:space="preserve">N &gt; </w:t>
      </w:r>
      <w:r>
        <w:rPr>
          <w:rFonts w:cstheme="minorHAnsi"/>
          <w:sz w:val="22"/>
          <w:szCs w:val="22"/>
        </w:rPr>
        <w:t>hours of back-up fuel requirement)</w:t>
      </w:r>
    </w:p>
    <w:p w14:paraId="1A56C6DF" w14:textId="1360FF0E" w:rsidR="003F3A12" w:rsidRDefault="00A224D0" w:rsidP="00311B05">
      <w:pPr>
        <w:pStyle w:val="ListParagraph"/>
        <w:numPr>
          <w:ilvl w:val="0"/>
          <w:numId w:val="25"/>
        </w:numPr>
        <w:jc w:val="both"/>
        <w:rPr>
          <w:rFonts w:cstheme="minorHAnsi"/>
          <w:sz w:val="22"/>
          <w:szCs w:val="22"/>
        </w:rPr>
      </w:pPr>
      <w:r>
        <w:rPr>
          <w:rFonts w:cstheme="minorHAnsi"/>
          <w:sz w:val="22"/>
          <w:szCs w:val="22"/>
        </w:rPr>
        <w:t xml:space="preserve">Baseline (e.g., historical) and postulated post-investment data regarding </w:t>
      </w:r>
      <w:r w:rsidR="002127B3">
        <w:rPr>
          <w:rFonts w:cstheme="minorHAnsi"/>
          <w:sz w:val="22"/>
          <w:szCs w:val="22"/>
        </w:rPr>
        <w:t>t</w:t>
      </w:r>
      <w:r w:rsidR="000352C1">
        <w:rPr>
          <w:rFonts w:cstheme="minorHAnsi"/>
          <w:sz w:val="22"/>
          <w:szCs w:val="22"/>
        </w:rPr>
        <w:t>ime to recovery for critical customers</w:t>
      </w:r>
    </w:p>
    <w:p w14:paraId="480C5DD8" w14:textId="78B0C1AA" w:rsidR="000352C1" w:rsidRDefault="002127B3" w:rsidP="00311B05">
      <w:pPr>
        <w:pStyle w:val="ListParagraph"/>
        <w:numPr>
          <w:ilvl w:val="0"/>
          <w:numId w:val="25"/>
        </w:numPr>
        <w:jc w:val="both"/>
        <w:rPr>
          <w:rFonts w:cstheme="minorHAnsi"/>
          <w:sz w:val="22"/>
          <w:szCs w:val="22"/>
        </w:rPr>
      </w:pPr>
      <w:r>
        <w:rPr>
          <w:rFonts w:cstheme="minorHAnsi"/>
          <w:sz w:val="22"/>
          <w:szCs w:val="22"/>
        </w:rPr>
        <w:t>Baseline (e.g., historical) and postulated post-investment data regarding u</w:t>
      </w:r>
      <w:r w:rsidR="005A103E">
        <w:rPr>
          <w:rFonts w:cstheme="minorHAnsi"/>
          <w:sz w:val="22"/>
          <w:szCs w:val="22"/>
        </w:rPr>
        <w:t>tility’s c</w:t>
      </w:r>
      <w:r w:rsidR="000352C1">
        <w:rPr>
          <w:rFonts w:cstheme="minorHAnsi"/>
          <w:sz w:val="22"/>
          <w:szCs w:val="22"/>
        </w:rPr>
        <w:t xml:space="preserve">ost of recovery </w:t>
      </w:r>
    </w:p>
    <w:p w14:paraId="0E606695" w14:textId="77777777" w:rsidR="008D0843" w:rsidRDefault="008D0843" w:rsidP="00117934">
      <w:pPr>
        <w:jc w:val="both"/>
        <w:rPr>
          <w:rFonts w:cstheme="minorHAnsi"/>
          <w:sz w:val="22"/>
          <w:szCs w:val="22"/>
        </w:rPr>
      </w:pPr>
    </w:p>
    <w:p w14:paraId="19E78BC2" w14:textId="66A5FDE4" w:rsidR="00592414" w:rsidRDefault="008E42EE" w:rsidP="0008492C">
      <w:pPr>
        <w:jc w:val="both"/>
        <w:rPr>
          <w:rStyle w:val="Hyperlink"/>
          <w:rFonts w:cstheme="minorHAnsi"/>
          <w:color w:val="auto"/>
          <w:sz w:val="22"/>
          <w:szCs w:val="22"/>
          <w:u w:val="none"/>
        </w:rPr>
      </w:pPr>
      <w:bookmarkStart w:id="3" w:name="_Hlk110322876"/>
      <w:r w:rsidRPr="00DB0522">
        <w:rPr>
          <w:rStyle w:val="Hyperlink"/>
          <w:rFonts w:cstheme="minorHAnsi"/>
          <w:b/>
          <w:bCs/>
          <w:color w:val="auto"/>
          <w:sz w:val="22"/>
          <w:szCs w:val="22"/>
          <w:u w:val="none"/>
        </w:rPr>
        <w:t xml:space="preserve">Draft </w:t>
      </w:r>
      <w:r w:rsidR="005908DB" w:rsidRPr="00DB0522">
        <w:rPr>
          <w:rStyle w:val="Hyperlink"/>
          <w:rFonts w:cstheme="minorHAnsi"/>
          <w:b/>
          <w:bCs/>
          <w:color w:val="auto"/>
          <w:sz w:val="22"/>
          <w:szCs w:val="22"/>
          <w:u w:val="none"/>
        </w:rPr>
        <w:t>Objective</w:t>
      </w:r>
      <w:r w:rsidR="00726EA3" w:rsidRPr="00DB0522">
        <w:rPr>
          <w:rStyle w:val="Hyperlink"/>
          <w:rFonts w:cstheme="minorHAnsi"/>
          <w:b/>
          <w:bCs/>
          <w:color w:val="auto"/>
          <w:sz w:val="22"/>
          <w:szCs w:val="22"/>
          <w:u w:val="none"/>
        </w:rPr>
        <w:t xml:space="preserve"> 3</w:t>
      </w:r>
      <w:r w:rsidR="005908DB" w:rsidRPr="00DB0522">
        <w:rPr>
          <w:rStyle w:val="Hyperlink"/>
          <w:rFonts w:cstheme="minorHAnsi"/>
          <w:b/>
          <w:bCs/>
          <w:color w:val="auto"/>
          <w:sz w:val="22"/>
          <w:szCs w:val="22"/>
          <w:u w:val="none"/>
        </w:rPr>
        <w:t>:</w:t>
      </w:r>
      <w:r w:rsidR="004F7273">
        <w:rPr>
          <w:rStyle w:val="Hyperlink"/>
          <w:rFonts w:cstheme="minorHAnsi"/>
          <w:color w:val="auto"/>
          <w:sz w:val="22"/>
          <w:szCs w:val="22"/>
          <w:u w:val="none"/>
        </w:rPr>
        <w:t xml:space="preserve"> </w:t>
      </w:r>
      <w:r w:rsidR="00B8744A">
        <w:rPr>
          <w:rStyle w:val="Hyperlink"/>
          <w:rFonts w:cstheme="minorHAnsi"/>
          <w:color w:val="auto"/>
          <w:sz w:val="22"/>
          <w:szCs w:val="22"/>
          <w:u w:val="none"/>
        </w:rPr>
        <w:t>Invest in projects that demonstrate a commitment to a</w:t>
      </w:r>
      <w:r w:rsidR="00FB2F1C" w:rsidRPr="00FB2F1C">
        <w:rPr>
          <w:rFonts w:cstheme="minorHAnsi"/>
          <w:sz w:val="22"/>
          <w:szCs w:val="22"/>
        </w:rPr>
        <w:t>ttract, train, and retain a</w:t>
      </w:r>
      <w:r w:rsidR="00F279FD">
        <w:rPr>
          <w:rFonts w:cstheme="minorHAnsi"/>
          <w:sz w:val="22"/>
          <w:szCs w:val="22"/>
        </w:rPr>
        <w:t xml:space="preserve"> diverse,</w:t>
      </w:r>
      <w:r w:rsidR="00FB2F1C" w:rsidRPr="00FB2F1C">
        <w:rPr>
          <w:rFonts w:cstheme="minorHAnsi"/>
          <w:sz w:val="22"/>
          <w:szCs w:val="22"/>
        </w:rPr>
        <w:t xml:space="preserve"> </w:t>
      </w:r>
      <w:r w:rsidR="00F279FD">
        <w:rPr>
          <w:rFonts w:cstheme="minorHAnsi"/>
          <w:sz w:val="22"/>
          <w:szCs w:val="22"/>
        </w:rPr>
        <w:t>highly</w:t>
      </w:r>
      <w:r w:rsidR="00FB2F1C" w:rsidRPr="00FB2F1C">
        <w:rPr>
          <w:rFonts w:cstheme="minorHAnsi"/>
          <w:sz w:val="22"/>
          <w:szCs w:val="22"/>
        </w:rPr>
        <w:t xml:space="preserve"> skilled</w:t>
      </w:r>
      <w:r w:rsidR="00F279FD">
        <w:rPr>
          <w:rFonts w:cstheme="minorHAnsi"/>
          <w:sz w:val="22"/>
          <w:szCs w:val="22"/>
        </w:rPr>
        <w:t>,</w:t>
      </w:r>
      <w:r w:rsidR="00FB2F1C" w:rsidRPr="00FB2F1C">
        <w:rPr>
          <w:rFonts w:cstheme="minorHAnsi"/>
          <w:sz w:val="22"/>
          <w:szCs w:val="22"/>
        </w:rPr>
        <w:t xml:space="preserve"> and well-paid workforce</w:t>
      </w:r>
      <w:r w:rsidR="007C0D27">
        <w:rPr>
          <w:rFonts w:cstheme="minorHAnsi"/>
          <w:sz w:val="22"/>
          <w:szCs w:val="22"/>
        </w:rPr>
        <w:t>.</w:t>
      </w:r>
    </w:p>
    <w:p w14:paraId="57FA9FB9" w14:textId="44CE5659" w:rsidR="00180C84" w:rsidRDefault="00180C84" w:rsidP="0008492C">
      <w:pPr>
        <w:jc w:val="both"/>
        <w:rPr>
          <w:rStyle w:val="Hyperlink"/>
          <w:rFonts w:cstheme="minorHAnsi"/>
          <w:color w:val="auto"/>
          <w:sz w:val="22"/>
          <w:szCs w:val="22"/>
          <w:u w:val="none"/>
        </w:rPr>
      </w:pPr>
    </w:p>
    <w:p w14:paraId="3AD35B84" w14:textId="25FDF612" w:rsidR="00180C84" w:rsidRPr="00DB0522" w:rsidRDefault="008E42EE" w:rsidP="0008492C">
      <w:pPr>
        <w:jc w:val="both"/>
        <w:rPr>
          <w:rStyle w:val="Hyperlink"/>
          <w:rFonts w:cstheme="minorHAnsi"/>
          <w:b/>
          <w:bCs/>
          <w:color w:val="auto"/>
          <w:sz w:val="22"/>
          <w:szCs w:val="22"/>
          <w:u w:val="none"/>
        </w:rPr>
      </w:pPr>
      <w:r w:rsidRPr="00DB0522">
        <w:rPr>
          <w:rStyle w:val="Hyperlink"/>
          <w:rFonts w:cstheme="minorHAnsi"/>
          <w:b/>
          <w:bCs/>
          <w:color w:val="auto"/>
          <w:sz w:val="22"/>
          <w:szCs w:val="22"/>
          <w:u w:val="none"/>
        </w:rPr>
        <w:t xml:space="preserve">Draft </w:t>
      </w:r>
      <w:r w:rsidR="00180C84" w:rsidRPr="00DB0522">
        <w:rPr>
          <w:rStyle w:val="Hyperlink"/>
          <w:rFonts w:cstheme="minorHAnsi"/>
          <w:b/>
          <w:bCs/>
          <w:color w:val="auto"/>
          <w:sz w:val="22"/>
          <w:szCs w:val="22"/>
          <w:u w:val="none"/>
        </w:rPr>
        <w:t>Metrics</w:t>
      </w:r>
      <w:r w:rsidR="00433A21" w:rsidRPr="00DB0522">
        <w:rPr>
          <w:rStyle w:val="Hyperlink"/>
          <w:rFonts w:cstheme="minorHAnsi"/>
          <w:b/>
          <w:bCs/>
          <w:color w:val="auto"/>
          <w:sz w:val="22"/>
          <w:szCs w:val="22"/>
          <w:u w:val="none"/>
        </w:rPr>
        <w:t>:</w:t>
      </w:r>
    </w:p>
    <w:p w14:paraId="2D017D0B" w14:textId="755C319D" w:rsidR="00D264BC" w:rsidRDefault="00D264BC" w:rsidP="00614861">
      <w:pPr>
        <w:pStyle w:val="ListParagraph"/>
        <w:numPr>
          <w:ilvl w:val="0"/>
          <w:numId w:val="26"/>
        </w:numPr>
        <w:jc w:val="both"/>
        <w:rPr>
          <w:rStyle w:val="Hyperlink"/>
          <w:rFonts w:cstheme="minorHAnsi"/>
          <w:color w:val="auto"/>
          <w:sz w:val="22"/>
          <w:szCs w:val="22"/>
          <w:u w:val="none"/>
        </w:rPr>
      </w:pPr>
      <w:r>
        <w:rPr>
          <w:rStyle w:val="Hyperlink"/>
          <w:rFonts w:cstheme="minorHAnsi"/>
          <w:color w:val="auto"/>
          <w:sz w:val="22"/>
          <w:szCs w:val="22"/>
          <w:u w:val="none"/>
        </w:rPr>
        <w:t>The number of anticipated jobs or employees working on the proposed project</w:t>
      </w:r>
    </w:p>
    <w:bookmarkEnd w:id="3"/>
    <w:p w14:paraId="0786868B" w14:textId="3B184450" w:rsidR="00433A21" w:rsidRDefault="00614861" w:rsidP="00614861">
      <w:pPr>
        <w:pStyle w:val="ListParagraph"/>
        <w:numPr>
          <w:ilvl w:val="0"/>
          <w:numId w:val="26"/>
        </w:numPr>
        <w:jc w:val="both"/>
        <w:rPr>
          <w:rStyle w:val="Hyperlink"/>
          <w:rFonts w:cstheme="minorHAnsi"/>
          <w:color w:val="auto"/>
          <w:sz w:val="22"/>
          <w:szCs w:val="22"/>
          <w:u w:val="none"/>
        </w:rPr>
      </w:pPr>
      <w:r>
        <w:rPr>
          <w:rStyle w:val="Hyperlink"/>
          <w:rFonts w:cstheme="minorHAnsi"/>
          <w:color w:val="auto"/>
          <w:sz w:val="22"/>
          <w:szCs w:val="22"/>
          <w:u w:val="none"/>
        </w:rPr>
        <w:t>A description of the labor standards used for direct employees, contractors, and subcontractors (e.g., project labor agreements, local hire agreements, etc.)</w:t>
      </w:r>
    </w:p>
    <w:p w14:paraId="5278F834" w14:textId="79B7BD1A" w:rsidR="00614861" w:rsidRDefault="00F756B8" w:rsidP="00614861">
      <w:pPr>
        <w:pStyle w:val="ListParagraph"/>
        <w:numPr>
          <w:ilvl w:val="0"/>
          <w:numId w:val="26"/>
        </w:numPr>
        <w:jc w:val="both"/>
        <w:rPr>
          <w:rStyle w:val="Hyperlink"/>
          <w:rFonts w:cstheme="minorHAnsi"/>
          <w:color w:val="auto"/>
          <w:sz w:val="22"/>
          <w:szCs w:val="22"/>
          <w:u w:val="none"/>
        </w:rPr>
      </w:pPr>
      <w:r>
        <w:rPr>
          <w:rStyle w:val="Hyperlink"/>
          <w:rFonts w:cstheme="minorHAnsi"/>
          <w:color w:val="auto"/>
          <w:sz w:val="22"/>
          <w:szCs w:val="22"/>
          <w:u w:val="none"/>
        </w:rPr>
        <w:t>A</w:t>
      </w:r>
      <w:r w:rsidR="00614861">
        <w:rPr>
          <w:rStyle w:val="Hyperlink"/>
          <w:rFonts w:cstheme="minorHAnsi"/>
          <w:color w:val="auto"/>
          <w:sz w:val="22"/>
          <w:szCs w:val="22"/>
          <w:u w:val="none"/>
        </w:rPr>
        <w:t>verage hourly wage or rate by worker type employed on the proposed project</w:t>
      </w:r>
    </w:p>
    <w:p w14:paraId="50EA8DA7" w14:textId="424B6490" w:rsidR="00494D7E" w:rsidRDefault="00B75D22" w:rsidP="00C52375">
      <w:pPr>
        <w:pStyle w:val="ListParagraph"/>
        <w:numPr>
          <w:ilvl w:val="0"/>
          <w:numId w:val="26"/>
        </w:numPr>
        <w:jc w:val="both"/>
        <w:rPr>
          <w:rStyle w:val="Hyperlink"/>
          <w:rFonts w:cstheme="minorHAnsi"/>
          <w:color w:val="auto"/>
          <w:sz w:val="22"/>
          <w:szCs w:val="22"/>
          <w:u w:val="none"/>
        </w:rPr>
      </w:pPr>
      <w:r w:rsidRPr="00C52375">
        <w:rPr>
          <w:rStyle w:val="Hyperlink"/>
          <w:rFonts w:cstheme="minorHAnsi"/>
          <w:color w:val="auto"/>
          <w:sz w:val="22"/>
          <w:szCs w:val="22"/>
          <w:u w:val="none"/>
        </w:rPr>
        <w:t>A description of engagement of</w:t>
      </w:r>
      <w:r w:rsidR="00E110B0" w:rsidRPr="00C52375">
        <w:rPr>
          <w:rStyle w:val="Hyperlink"/>
          <w:rFonts w:cstheme="minorHAnsi"/>
          <w:color w:val="auto"/>
          <w:sz w:val="22"/>
          <w:szCs w:val="22"/>
          <w:u w:val="none"/>
        </w:rPr>
        <w:t xml:space="preserve"> potential training partners to support utility-related workforce development efforts</w:t>
      </w:r>
      <w:r w:rsidR="00C52375" w:rsidRPr="00C52375">
        <w:rPr>
          <w:rStyle w:val="Hyperlink"/>
          <w:rFonts w:cstheme="minorHAnsi"/>
          <w:color w:val="auto"/>
          <w:sz w:val="22"/>
          <w:szCs w:val="22"/>
          <w:u w:val="none"/>
        </w:rPr>
        <w:t xml:space="preserve">, </w:t>
      </w:r>
      <w:r w:rsidR="00494D7E">
        <w:rPr>
          <w:rStyle w:val="Hyperlink"/>
          <w:rFonts w:cstheme="minorHAnsi"/>
          <w:color w:val="auto"/>
          <w:sz w:val="22"/>
          <w:szCs w:val="22"/>
          <w:u w:val="none"/>
        </w:rPr>
        <w:t>including any efforts to include opportunities for underrepresented or historically excluded workers, and those displaced by the energy transition</w:t>
      </w:r>
    </w:p>
    <w:p w14:paraId="0FFFD568" w14:textId="77777777" w:rsidR="000A4C1C" w:rsidRPr="00B75D22" w:rsidRDefault="000A4C1C" w:rsidP="000A4C1C">
      <w:pPr>
        <w:pStyle w:val="ListParagraph"/>
        <w:jc w:val="both"/>
        <w:rPr>
          <w:rStyle w:val="Hyperlink"/>
          <w:rFonts w:cstheme="minorHAnsi"/>
          <w:color w:val="auto"/>
          <w:sz w:val="22"/>
          <w:szCs w:val="22"/>
          <w:u w:val="none"/>
        </w:rPr>
      </w:pPr>
    </w:p>
    <w:p w14:paraId="78D1C1D3" w14:textId="77A70F03" w:rsidR="00E265FF" w:rsidRDefault="00E265FF" w:rsidP="00E265FF">
      <w:pPr>
        <w:jc w:val="both"/>
        <w:rPr>
          <w:rStyle w:val="Hyperlink"/>
          <w:rFonts w:cstheme="minorHAnsi"/>
          <w:color w:val="auto"/>
          <w:sz w:val="22"/>
          <w:szCs w:val="22"/>
          <w:u w:val="none"/>
        </w:rPr>
      </w:pPr>
      <w:r w:rsidRPr="00656522">
        <w:rPr>
          <w:rStyle w:val="Hyperlink"/>
          <w:rFonts w:cstheme="minorHAnsi"/>
          <w:color w:val="auto"/>
          <w:sz w:val="22"/>
          <w:szCs w:val="22"/>
          <w:highlight w:val="yellow"/>
          <w:u w:val="none"/>
        </w:rPr>
        <w:t>[QUESTIONS FOR STAKEHOLDERS TO CONSIDER]</w:t>
      </w:r>
    </w:p>
    <w:p w14:paraId="2205B916" w14:textId="28D11F26" w:rsidR="00E265FF" w:rsidRDefault="00E265FF" w:rsidP="00E265FF">
      <w:pPr>
        <w:jc w:val="both"/>
        <w:rPr>
          <w:rStyle w:val="Hyperlink"/>
          <w:rFonts w:cstheme="minorHAnsi"/>
          <w:color w:val="auto"/>
          <w:sz w:val="22"/>
          <w:szCs w:val="22"/>
          <w:u w:val="none"/>
        </w:rPr>
      </w:pPr>
      <w:r>
        <w:rPr>
          <w:rStyle w:val="Hyperlink"/>
          <w:rFonts w:cstheme="minorHAnsi"/>
          <w:color w:val="auto"/>
          <w:sz w:val="22"/>
          <w:szCs w:val="22"/>
          <w:u w:val="none"/>
        </w:rPr>
        <w:t xml:space="preserve">1. What could be reasonable objectives and metrics that can be used to measure or track the impact of the Grid Resilience Grant Program, and how can the goals, objectives, and metrics directly address </w:t>
      </w:r>
      <w:r w:rsidR="007E465C">
        <w:rPr>
          <w:rStyle w:val="Hyperlink"/>
          <w:rFonts w:cstheme="minorHAnsi"/>
          <w:color w:val="auto"/>
          <w:sz w:val="22"/>
          <w:szCs w:val="22"/>
          <w:u w:val="none"/>
        </w:rPr>
        <w:t xml:space="preserve">reliability and </w:t>
      </w:r>
      <w:r>
        <w:rPr>
          <w:rStyle w:val="Hyperlink"/>
          <w:rFonts w:cstheme="minorHAnsi"/>
          <w:color w:val="auto"/>
          <w:sz w:val="22"/>
          <w:szCs w:val="22"/>
          <w:u w:val="none"/>
        </w:rPr>
        <w:t xml:space="preserve">resilience planning based on an all-hazards mitigation approach, which is broadly outlined above? </w:t>
      </w:r>
    </w:p>
    <w:p w14:paraId="509A372A" w14:textId="4261CF92" w:rsidR="00E265FF" w:rsidRDefault="00E265FF" w:rsidP="00E265FF">
      <w:pPr>
        <w:jc w:val="both"/>
        <w:rPr>
          <w:rFonts w:cstheme="minorHAnsi"/>
          <w:sz w:val="22"/>
          <w:szCs w:val="22"/>
        </w:rPr>
      </w:pPr>
      <w:r>
        <w:rPr>
          <w:rStyle w:val="Hyperlink"/>
          <w:rFonts w:cstheme="minorHAnsi"/>
          <w:color w:val="auto"/>
          <w:sz w:val="22"/>
          <w:szCs w:val="22"/>
          <w:u w:val="none"/>
        </w:rPr>
        <w:t xml:space="preserve">2. </w:t>
      </w:r>
      <w:r w:rsidRPr="00092EF5">
        <w:rPr>
          <w:rFonts w:cstheme="minorHAnsi"/>
          <w:sz w:val="22"/>
          <w:szCs w:val="22"/>
        </w:rPr>
        <w:t xml:space="preserve">What could be reasonable objectives and metrics that can be used to measure or track the impact of the Grid Resilience Grant Program, and how can the goals, objectives, and metrics directly address </w:t>
      </w:r>
      <w:r>
        <w:rPr>
          <w:rFonts w:cstheme="minorHAnsi"/>
          <w:sz w:val="22"/>
          <w:szCs w:val="22"/>
        </w:rPr>
        <w:t>workforce development opportunities</w:t>
      </w:r>
      <w:r w:rsidRPr="00092EF5">
        <w:rPr>
          <w:rFonts w:cstheme="minorHAnsi"/>
          <w:sz w:val="22"/>
          <w:szCs w:val="22"/>
        </w:rPr>
        <w:t>?</w:t>
      </w:r>
    </w:p>
    <w:p w14:paraId="77133B27" w14:textId="666806FE" w:rsidR="00E265FF" w:rsidRDefault="007E465C" w:rsidP="00E265FF">
      <w:pPr>
        <w:jc w:val="both"/>
        <w:rPr>
          <w:rFonts w:cstheme="minorHAnsi"/>
          <w:sz w:val="22"/>
          <w:szCs w:val="22"/>
        </w:rPr>
      </w:pPr>
      <w:r>
        <w:rPr>
          <w:rFonts w:cstheme="minorHAnsi"/>
          <w:sz w:val="22"/>
          <w:szCs w:val="22"/>
        </w:rPr>
        <w:t>3</w:t>
      </w:r>
      <w:r w:rsidR="00E265FF">
        <w:rPr>
          <w:rFonts w:cstheme="minorHAnsi"/>
          <w:sz w:val="22"/>
          <w:szCs w:val="22"/>
        </w:rPr>
        <w:t>. Are there any additional objectives and metrics that should be considered? How would those tie into and accomplish the objectives of Section 40101</w:t>
      </w:r>
      <w:r w:rsidR="00414E46">
        <w:rPr>
          <w:rFonts w:cstheme="minorHAnsi"/>
          <w:sz w:val="22"/>
          <w:szCs w:val="22"/>
        </w:rPr>
        <w:t>(d)</w:t>
      </w:r>
      <w:r w:rsidR="00E265FF">
        <w:rPr>
          <w:rFonts w:cstheme="minorHAnsi"/>
          <w:sz w:val="22"/>
          <w:szCs w:val="22"/>
        </w:rPr>
        <w:t>?</w:t>
      </w:r>
    </w:p>
    <w:p w14:paraId="37D1493F" w14:textId="718268AE" w:rsidR="00E265FF" w:rsidRDefault="007E465C" w:rsidP="00E265FF">
      <w:pPr>
        <w:jc w:val="both"/>
        <w:rPr>
          <w:rStyle w:val="Hyperlink"/>
          <w:rFonts w:cstheme="minorHAnsi"/>
          <w:color w:val="auto"/>
          <w:sz w:val="22"/>
          <w:szCs w:val="22"/>
          <w:u w:val="none"/>
        </w:rPr>
      </w:pPr>
      <w:r>
        <w:rPr>
          <w:rFonts w:cstheme="minorHAnsi"/>
          <w:sz w:val="22"/>
          <w:szCs w:val="22"/>
        </w:rPr>
        <w:t>4</w:t>
      </w:r>
      <w:r w:rsidR="00E265FF">
        <w:rPr>
          <w:rFonts w:cstheme="minorHAnsi"/>
          <w:sz w:val="22"/>
          <w:szCs w:val="22"/>
        </w:rPr>
        <w:t>. Please provide any additional recommendations that should be addressed in this section to fulfill the requirements of Section 40101</w:t>
      </w:r>
      <w:r w:rsidR="00414E46">
        <w:rPr>
          <w:rFonts w:cstheme="minorHAnsi"/>
          <w:sz w:val="22"/>
          <w:szCs w:val="22"/>
        </w:rPr>
        <w:t>(d)</w:t>
      </w:r>
      <w:r w:rsidR="00E265FF">
        <w:rPr>
          <w:rFonts w:cstheme="minorHAnsi"/>
          <w:sz w:val="22"/>
          <w:szCs w:val="22"/>
        </w:rPr>
        <w:t xml:space="preserve"> and be included in Indiana’s Program Narrative.</w:t>
      </w:r>
    </w:p>
    <w:p w14:paraId="09E03158" w14:textId="72F3B5F3" w:rsidR="00E265FF" w:rsidRDefault="00E265FF" w:rsidP="00F3581D">
      <w:pPr>
        <w:jc w:val="both"/>
        <w:rPr>
          <w:rFonts w:cstheme="minorHAnsi"/>
          <w:sz w:val="22"/>
          <w:szCs w:val="22"/>
        </w:rPr>
      </w:pPr>
    </w:p>
    <w:p w14:paraId="0A9810BC" w14:textId="77777777" w:rsidR="00E265FF" w:rsidRPr="00E265FF" w:rsidRDefault="00E265FF" w:rsidP="00F3581D">
      <w:pPr>
        <w:jc w:val="both"/>
        <w:rPr>
          <w:rFonts w:cstheme="minorHAnsi"/>
          <w:sz w:val="22"/>
          <w:szCs w:val="22"/>
        </w:rPr>
      </w:pPr>
    </w:p>
    <w:p w14:paraId="3AA313FB" w14:textId="77777777" w:rsidR="00DB0522" w:rsidRDefault="00DB0522">
      <w:pPr>
        <w:spacing w:after="160" w:line="259" w:lineRule="auto"/>
        <w:rPr>
          <w:rFonts w:cstheme="minorHAnsi"/>
          <w:b/>
          <w:bCs/>
          <w:sz w:val="22"/>
          <w:szCs w:val="22"/>
        </w:rPr>
      </w:pPr>
      <w:r>
        <w:rPr>
          <w:rFonts w:cstheme="minorHAnsi"/>
          <w:b/>
          <w:bCs/>
          <w:sz w:val="22"/>
          <w:szCs w:val="22"/>
        </w:rPr>
        <w:br w:type="page"/>
      </w:r>
    </w:p>
    <w:p w14:paraId="1158F7FC" w14:textId="3FE1205B" w:rsidR="00732046" w:rsidRPr="009D37F0" w:rsidRDefault="004B0232" w:rsidP="004D48F5">
      <w:pPr>
        <w:numPr>
          <w:ilvl w:val="0"/>
          <w:numId w:val="2"/>
        </w:numPr>
        <w:ind w:left="360"/>
        <w:jc w:val="both"/>
        <w:rPr>
          <w:rFonts w:cstheme="minorHAnsi"/>
          <w:b/>
          <w:bCs/>
          <w:sz w:val="22"/>
          <w:szCs w:val="22"/>
        </w:rPr>
      </w:pPr>
      <w:r w:rsidRPr="009D37F0">
        <w:rPr>
          <w:rFonts w:cstheme="minorHAnsi"/>
          <w:b/>
          <w:bCs/>
          <w:sz w:val="22"/>
          <w:szCs w:val="22"/>
        </w:rPr>
        <w:lastRenderedPageBreak/>
        <w:t xml:space="preserve">Criteria:  </w:t>
      </w:r>
    </w:p>
    <w:p w14:paraId="12F6A2B0" w14:textId="77777777" w:rsidR="00732046" w:rsidRPr="009D37F0" w:rsidRDefault="00732046" w:rsidP="004D48F5">
      <w:pPr>
        <w:ind w:left="360"/>
        <w:jc w:val="both"/>
        <w:rPr>
          <w:rFonts w:cstheme="minorHAnsi"/>
          <w:sz w:val="22"/>
          <w:szCs w:val="22"/>
        </w:rPr>
      </w:pPr>
    </w:p>
    <w:p w14:paraId="3B83BEA6" w14:textId="77777777" w:rsidR="00A60878" w:rsidRPr="00B02D75" w:rsidRDefault="00A60878" w:rsidP="004D48F5">
      <w:pPr>
        <w:ind w:left="360"/>
        <w:jc w:val="both"/>
        <w:rPr>
          <w:rFonts w:cstheme="minorHAnsi"/>
          <w:i/>
          <w:iCs/>
          <w:color w:val="FF0000"/>
          <w:sz w:val="22"/>
          <w:szCs w:val="22"/>
        </w:rPr>
      </w:pPr>
      <w:r w:rsidRPr="00B02D75">
        <w:rPr>
          <w:rFonts w:cstheme="minorHAnsi"/>
          <w:i/>
          <w:iCs/>
          <w:color w:val="FF0000"/>
          <w:sz w:val="22"/>
          <w:szCs w:val="22"/>
        </w:rPr>
        <w:t>Describe the criteria used for selecting and determining the awards to eligible entities. At a minimum, the criteria should address specific requirements set forth in Section 40101(d), which include that:</w:t>
      </w:r>
    </w:p>
    <w:p w14:paraId="4835C8FC" w14:textId="77777777" w:rsidR="00A60878" w:rsidRPr="00B02D75" w:rsidRDefault="00A60878" w:rsidP="004D48F5">
      <w:pPr>
        <w:ind w:left="1080"/>
        <w:jc w:val="both"/>
        <w:rPr>
          <w:rFonts w:cstheme="minorHAnsi"/>
          <w:i/>
          <w:iCs/>
          <w:color w:val="FF0000"/>
          <w:sz w:val="22"/>
          <w:szCs w:val="22"/>
        </w:rPr>
      </w:pPr>
    </w:p>
    <w:p w14:paraId="526C4DDA" w14:textId="77777777" w:rsidR="00A60878" w:rsidRPr="00B02D75" w:rsidRDefault="00A60878" w:rsidP="004D48F5">
      <w:pPr>
        <w:numPr>
          <w:ilvl w:val="1"/>
          <w:numId w:val="1"/>
        </w:numPr>
        <w:ind w:left="1080"/>
        <w:jc w:val="both"/>
        <w:rPr>
          <w:rFonts w:cstheme="minorHAnsi"/>
          <w:i/>
          <w:iCs/>
          <w:color w:val="FF0000"/>
          <w:sz w:val="22"/>
          <w:szCs w:val="22"/>
        </w:rPr>
      </w:pPr>
      <w:r w:rsidRPr="00B02D75">
        <w:rPr>
          <w:rFonts w:cstheme="minorHAnsi"/>
          <w:i/>
          <w:iCs/>
          <w:color w:val="FF0000"/>
          <w:sz w:val="22"/>
          <w:szCs w:val="22"/>
        </w:rPr>
        <w:t>Priority should be given to projects that will generate the greatest community benefit (whether rural or urban) in reducing the likelihood and consequences of disruptive events,</w:t>
      </w:r>
    </w:p>
    <w:p w14:paraId="1FF38A06" w14:textId="77777777" w:rsidR="00A60878" w:rsidRPr="00B02D75" w:rsidRDefault="00A60878" w:rsidP="004D48F5">
      <w:pPr>
        <w:ind w:left="1080"/>
        <w:jc w:val="both"/>
        <w:rPr>
          <w:rFonts w:cstheme="minorHAnsi"/>
          <w:i/>
          <w:iCs/>
          <w:color w:val="FF0000"/>
          <w:sz w:val="22"/>
          <w:szCs w:val="22"/>
        </w:rPr>
      </w:pPr>
    </w:p>
    <w:p w14:paraId="5D02DC3F" w14:textId="77777777" w:rsidR="00A60878" w:rsidRPr="00B02D75" w:rsidRDefault="00A60878" w:rsidP="004D48F5">
      <w:pPr>
        <w:numPr>
          <w:ilvl w:val="1"/>
          <w:numId w:val="1"/>
        </w:numPr>
        <w:ind w:left="1080"/>
        <w:jc w:val="both"/>
        <w:rPr>
          <w:rFonts w:cstheme="minorHAnsi"/>
          <w:i/>
          <w:iCs/>
          <w:color w:val="FF0000"/>
          <w:sz w:val="22"/>
          <w:szCs w:val="22"/>
        </w:rPr>
      </w:pPr>
      <w:r w:rsidRPr="00B02D75">
        <w:rPr>
          <w:rFonts w:cstheme="minorHAnsi"/>
          <w:i/>
          <w:iCs/>
          <w:color w:val="FF0000"/>
          <w:sz w:val="22"/>
          <w:szCs w:val="22"/>
        </w:rPr>
        <w:t>The percentage made available to eligible entities that sell not more than 4,000,000 megawatt hours of electricity per year should not be less than the percentage of all customers in the State or Indian Tribe that are served by those eligible entities, and</w:t>
      </w:r>
    </w:p>
    <w:p w14:paraId="51C85572" w14:textId="77777777" w:rsidR="00A60878" w:rsidRPr="00B02D75" w:rsidRDefault="00A60878" w:rsidP="004D48F5">
      <w:pPr>
        <w:ind w:left="1080"/>
        <w:jc w:val="both"/>
        <w:rPr>
          <w:rFonts w:cstheme="minorHAnsi"/>
          <w:i/>
          <w:iCs/>
          <w:color w:val="FF0000"/>
          <w:sz w:val="22"/>
          <w:szCs w:val="22"/>
        </w:rPr>
      </w:pPr>
    </w:p>
    <w:p w14:paraId="0D82DA39" w14:textId="77777777" w:rsidR="00A60878" w:rsidRPr="00B02D75" w:rsidRDefault="00A60878" w:rsidP="004D48F5">
      <w:pPr>
        <w:numPr>
          <w:ilvl w:val="1"/>
          <w:numId w:val="1"/>
        </w:numPr>
        <w:ind w:left="1080"/>
        <w:jc w:val="both"/>
        <w:rPr>
          <w:rFonts w:cstheme="minorHAnsi"/>
          <w:i/>
          <w:iCs/>
          <w:color w:val="FF0000"/>
          <w:sz w:val="22"/>
          <w:szCs w:val="22"/>
        </w:rPr>
      </w:pPr>
      <w:r w:rsidRPr="00B02D75">
        <w:rPr>
          <w:rFonts w:cstheme="minorHAnsi"/>
          <w:i/>
          <w:iCs/>
          <w:color w:val="FF0000"/>
          <w:sz w:val="22"/>
          <w:szCs w:val="22"/>
        </w:rPr>
        <w:t>Awards should be provided to eligible entities for projects within the State or on the land of the Indian Tribe.</w:t>
      </w:r>
    </w:p>
    <w:p w14:paraId="2FA90B1F" w14:textId="51B516EF" w:rsidR="00682B0C" w:rsidRDefault="00AC7A55" w:rsidP="004D48F5">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br/>
      </w:r>
      <w:r w:rsidR="00682B0C">
        <w:rPr>
          <w:rStyle w:val="normaltextrun"/>
          <w:rFonts w:ascii="Calibri" w:hAnsi="Calibri" w:cs="Calibri"/>
          <w:sz w:val="22"/>
          <w:szCs w:val="22"/>
        </w:rPr>
        <w:t>Under Section 40101(</w:t>
      </w:r>
      <w:r w:rsidR="006648D5">
        <w:rPr>
          <w:rStyle w:val="normaltextrun"/>
          <w:rFonts w:ascii="Calibri" w:hAnsi="Calibri" w:cs="Calibri"/>
          <w:sz w:val="22"/>
          <w:szCs w:val="22"/>
        </w:rPr>
        <w:t>e</w:t>
      </w:r>
      <w:r w:rsidR="00682B0C">
        <w:rPr>
          <w:rStyle w:val="normaltextrun"/>
          <w:rFonts w:ascii="Calibri" w:hAnsi="Calibri" w:cs="Calibri"/>
          <w:sz w:val="22"/>
          <w:szCs w:val="22"/>
        </w:rPr>
        <w:t>)</w:t>
      </w:r>
      <w:r w:rsidR="00B63F7B">
        <w:rPr>
          <w:rStyle w:val="normaltextrun"/>
          <w:rFonts w:ascii="Calibri" w:hAnsi="Calibri" w:cs="Calibri"/>
          <w:sz w:val="22"/>
          <w:szCs w:val="22"/>
        </w:rPr>
        <w:t>, the following res</w:t>
      </w:r>
      <w:r w:rsidR="00392F62">
        <w:rPr>
          <w:rStyle w:val="normaltextrun"/>
          <w:rFonts w:ascii="Calibri" w:hAnsi="Calibri" w:cs="Calibri"/>
          <w:sz w:val="22"/>
          <w:szCs w:val="22"/>
        </w:rPr>
        <w:t>ilience</w:t>
      </w:r>
      <w:r w:rsidR="0032615A">
        <w:rPr>
          <w:rStyle w:val="normaltextrun"/>
          <w:rFonts w:ascii="Calibri" w:hAnsi="Calibri" w:cs="Calibri"/>
          <w:sz w:val="22"/>
          <w:szCs w:val="22"/>
        </w:rPr>
        <w:t>-based investments are permitted:</w:t>
      </w:r>
    </w:p>
    <w:p w14:paraId="699A6400" w14:textId="6D45FD94" w:rsidR="0032615A" w:rsidRDefault="0032615A" w:rsidP="0032615A">
      <w:pPr>
        <w:pStyle w:val="paragraph"/>
        <w:numPr>
          <w:ilvl w:val="0"/>
          <w:numId w:val="19"/>
        </w:numPr>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Weatherization technologies and </w:t>
      </w:r>
      <w:proofErr w:type="gramStart"/>
      <w:r>
        <w:rPr>
          <w:rStyle w:val="normaltextrun"/>
          <w:rFonts w:ascii="Calibri" w:hAnsi="Calibri" w:cs="Calibri"/>
          <w:sz w:val="22"/>
          <w:szCs w:val="22"/>
        </w:rPr>
        <w:t>equipment;</w:t>
      </w:r>
      <w:proofErr w:type="gramEnd"/>
    </w:p>
    <w:p w14:paraId="03BA5301" w14:textId="7410100A" w:rsidR="0032615A" w:rsidRDefault="0032615A" w:rsidP="0032615A">
      <w:pPr>
        <w:pStyle w:val="paragraph"/>
        <w:numPr>
          <w:ilvl w:val="0"/>
          <w:numId w:val="19"/>
        </w:numPr>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Fire-resistant technologies and fire prevention </w:t>
      </w:r>
      <w:proofErr w:type="gramStart"/>
      <w:r>
        <w:rPr>
          <w:rStyle w:val="normaltextrun"/>
          <w:rFonts w:ascii="Calibri" w:hAnsi="Calibri" w:cs="Calibri"/>
          <w:sz w:val="22"/>
          <w:szCs w:val="22"/>
        </w:rPr>
        <w:t>systems;</w:t>
      </w:r>
      <w:proofErr w:type="gramEnd"/>
    </w:p>
    <w:p w14:paraId="2D77D5BD" w14:textId="7578E52E" w:rsidR="0032615A" w:rsidRDefault="006F74EB" w:rsidP="0032615A">
      <w:pPr>
        <w:pStyle w:val="paragraph"/>
        <w:numPr>
          <w:ilvl w:val="0"/>
          <w:numId w:val="19"/>
        </w:numPr>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Monitoring and control </w:t>
      </w:r>
      <w:proofErr w:type="gramStart"/>
      <w:r>
        <w:rPr>
          <w:rStyle w:val="normaltextrun"/>
          <w:rFonts w:ascii="Calibri" w:hAnsi="Calibri" w:cs="Calibri"/>
          <w:sz w:val="22"/>
          <w:szCs w:val="22"/>
        </w:rPr>
        <w:t>technologies;</w:t>
      </w:r>
      <w:proofErr w:type="gramEnd"/>
    </w:p>
    <w:p w14:paraId="3046226A" w14:textId="0779B2AE" w:rsidR="006F74EB" w:rsidRDefault="006F74EB" w:rsidP="0032615A">
      <w:pPr>
        <w:pStyle w:val="paragraph"/>
        <w:numPr>
          <w:ilvl w:val="0"/>
          <w:numId w:val="19"/>
        </w:numPr>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The undergrounding of electrical </w:t>
      </w:r>
      <w:proofErr w:type="gramStart"/>
      <w:r>
        <w:rPr>
          <w:rStyle w:val="normaltextrun"/>
          <w:rFonts w:ascii="Calibri" w:hAnsi="Calibri" w:cs="Calibri"/>
          <w:sz w:val="22"/>
          <w:szCs w:val="22"/>
        </w:rPr>
        <w:t>equipment;</w:t>
      </w:r>
      <w:proofErr w:type="gramEnd"/>
    </w:p>
    <w:p w14:paraId="61C770DA" w14:textId="050E1EBB" w:rsidR="006F74EB" w:rsidRDefault="006F74EB" w:rsidP="0032615A">
      <w:pPr>
        <w:pStyle w:val="paragraph"/>
        <w:numPr>
          <w:ilvl w:val="0"/>
          <w:numId w:val="19"/>
        </w:numPr>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Utility pole </w:t>
      </w:r>
      <w:proofErr w:type="gramStart"/>
      <w:r>
        <w:rPr>
          <w:rStyle w:val="normaltextrun"/>
          <w:rFonts w:ascii="Calibri" w:hAnsi="Calibri" w:cs="Calibri"/>
          <w:sz w:val="22"/>
          <w:szCs w:val="22"/>
        </w:rPr>
        <w:t>management;</w:t>
      </w:r>
      <w:proofErr w:type="gramEnd"/>
    </w:p>
    <w:p w14:paraId="6D8EEBD3" w14:textId="56239570" w:rsidR="006F74EB" w:rsidRDefault="006F74EB" w:rsidP="0032615A">
      <w:pPr>
        <w:pStyle w:val="paragraph"/>
        <w:numPr>
          <w:ilvl w:val="0"/>
          <w:numId w:val="19"/>
        </w:numPr>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The relocation of power lines or the reconductoring of power lines with low-sag</w:t>
      </w:r>
      <w:r w:rsidR="00C8235A">
        <w:rPr>
          <w:rStyle w:val="normaltextrun"/>
          <w:rFonts w:ascii="Calibri" w:hAnsi="Calibri" w:cs="Calibri"/>
          <w:sz w:val="22"/>
          <w:szCs w:val="22"/>
        </w:rPr>
        <w:t xml:space="preserve">, advanced </w:t>
      </w:r>
      <w:proofErr w:type="gramStart"/>
      <w:r w:rsidR="00C8235A">
        <w:rPr>
          <w:rStyle w:val="normaltextrun"/>
          <w:rFonts w:ascii="Calibri" w:hAnsi="Calibri" w:cs="Calibri"/>
          <w:sz w:val="22"/>
          <w:szCs w:val="22"/>
        </w:rPr>
        <w:t>conductors;</w:t>
      </w:r>
      <w:proofErr w:type="gramEnd"/>
    </w:p>
    <w:p w14:paraId="279391CF" w14:textId="30E4DDCB" w:rsidR="00C8235A" w:rsidRDefault="00C8235A" w:rsidP="0032615A">
      <w:pPr>
        <w:pStyle w:val="paragraph"/>
        <w:numPr>
          <w:ilvl w:val="0"/>
          <w:numId w:val="19"/>
        </w:numPr>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The use of construction of distributed energy resources for enhancing system adaptive capacity during disruptive events, including:</w:t>
      </w:r>
    </w:p>
    <w:p w14:paraId="727247A0" w14:textId="0B5C5A07" w:rsidR="00C8235A" w:rsidRDefault="00C8235A" w:rsidP="00C8235A">
      <w:pPr>
        <w:pStyle w:val="paragraph"/>
        <w:numPr>
          <w:ilvl w:val="1"/>
          <w:numId w:val="19"/>
        </w:numPr>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Microgrids; and</w:t>
      </w:r>
    </w:p>
    <w:p w14:paraId="4FF5F1DA" w14:textId="3D1FBF8B" w:rsidR="00C8235A" w:rsidRDefault="00C8235A" w:rsidP="00C8235A">
      <w:pPr>
        <w:pStyle w:val="paragraph"/>
        <w:numPr>
          <w:ilvl w:val="1"/>
          <w:numId w:val="19"/>
        </w:numPr>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Battery-storage </w:t>
      </w:r>
      <w:proofErr w:type="gramStart"/>
      <w:r>
        <w:rPr>
          <w:rStyle w:val="normaltextrun"/>
          <w:rFonts w:ascii="Calibri" w:hAnsi="Calibri" w:cs="Calibri"/>
          <w:sz w:val="22"/>
          <w:szCs w:val="22"/>
        </w:rPr>
        <w:t>subcomponents;</w:t>
      </w:r>
      <w:proofErr w:type="gramEnd"/>
    </w:p>
    <w:p w14:paraId="6CC4809A" w14:textId="0E5C6C27" w:rsidR="00C8235A" w:rsidRDefault="003D5152" w:rsidP="00C8235A">
      <w:pPr>
        <w:pStyle w:val="paragraph"/>
        <w:numPr>
          <w:ilvl w:val="0"/>
          <w:numId w:val="19"/>
        </w:numPr>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Adaptive protection </w:t>
      </w:r>
      <w:proofErr w:type="gramStart"/>
      <w:r>
        <w:rPr>
          <w:rStyle w:val="normaltextrun"/>
          <w:rFonts w:ascii="Calibri" w:hAnsi="Calibri" w:cs="Calibri"/>
          <w:sz w:val="22"/>
          <w:szCs w:val="22"/>
        </w:rPr>
        <w:t>technologies;</w:t>
      </w:r>
      <w:proofErr w:type="gramEnd"/>
    </w:p>
    <w:p w14:paraId="2DE98B98" w14:textId="4CA2FBED" w:rsidR="003D5152" w:rsidRDefault="003D5152" w:rsidP="00C8235A">
      <w:pPr>
        <w:pStyle w:val="paragraph"/>
        <w:numPr>
          <w:ilvl w:val="0"/>
          <w:numId w:val="19"/>
        </w:numPr>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Advanced modeling </w:t>
      </w:r>
      <w:proofErr w:type="gramStart"/>
      <w:r>
        <w:rPr>
          <w:rStyle w:val="normaltextrun"/>
          <w:rFonts w:ascii="Calibri" w:hAnsi="Calibri" w:cs="Calibri"/>
          <w:sz w:val="22"/>
          <w:szCs w:val="22"/>
        </w:rPr>
        <w:t>technologies;</w:t>
      </w:r>
      <w:proofErr w:type="gramEnd"/>
    </w:p>
    <w:p w14:paraId="70267484" w14:textId="21A5C52A" w:rsidR="003D5152" w:rsidRDefault="003D5152" w:rsidP="00C8235A">
      <w:pPr>
        <w:pStyle w:val="paragraph"/>
        <w:numPr>
          <w:ilvl w:val="0"/>
          <w:numId w:val="19"/>
        </w:numPr>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Hardening of power lines, facilities, substations, of other systems; and</w:t>
      </w:r>
    </w:p>
    <w:p w14:paraId="2EAE6B8A" w14:textId="05603749" w:rsidR="003D5152" w:rsidRDefault="003D5152" w:rsidP="00C8235A">
      <w:pPr>
        <w:pStyle w:val="paragraph"/>
        <w:numPr>
          <w:ilvl w:val="0"/>
          <w:numId w:val="19"/>
        </w:numPr>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The replacement of old overhead conductors and underground cables.</w:t>
      </w:r>
    </w:p>
    <w:p w14:paraId="47BA9F54" w14:textId="77777777" w:rsidR="00445589" w:rsidRDefault="00445589" w:rsidP="00445589">
      <w:pPr>
        <w:pStyle w:val="paragraph"/>
        <w:spacing w:before="0" w:beforeAutospacing="0" w:after="0" w:afterAutospacing="0"/>
        <w:jc w:val="both"/>
        <w:textAlignment w:val="baseline"/>
        <w:rPr>
          <w:rStyle w:val="normaltextrun"/>
          <w:rFonts w:ascii="Calibri" w:hAnsi="Calibri" w:cs="Calibri"/>
          <w:sz w:val="22"/>
          <w:szCs w:val="22"/>
        </w:rPr>
      </w:pPr>
    </w:p>
    <w:p w14:paraId="0983AC56" w14:textId="6CAA75C2" w:rsidR="00445589" w:rsidRDefault="00445589" w:rsidP="00445589">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The following activities are not permitted under this program:</w:t>
      </w:r>
    </w:p>
    <w:p w14:paraId="4C6C16EC" w14:textId="4E025764" w:rsidR="00445589" w:rsidRDefault="00445589" w:rsidP="00445589">
      <w:pPr>
        <w:pStyle w:val="paragraph"/>
        <w:numPr>
          <w:ilvl w:val="0"/>
          <w:numId w:val="21"/>
        </w:numPr>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Construction of a new:</w:t>
      </w:r>
    </w:p>
    <w:p w14:paraId="3476D08F" w14:textId="1C13661F" w:rsidR="00445589" w:rsidRDefault="00445589" w:rsidP="00445589">
      <w:pPr>
        <w:pStyle w:val="paragraph"/>
        <w:numPr>
          <w:ilvl w:val="1"/>
          <w:numId w:val="21"/>
        </w:numPr>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Electric generating facility; or</w:t>
      </w:r>
    </w:p>
    <w:p w14:paraId="5ACFBA15" w14:textId="61AFF6E4" w:rsidR="00445589" w:rsidRDefault="00445589" w:rsidP="00445589">
      <w:pPr>
        <w:pStyle w:val="paragraph"/>
        <w:numPr>
          <w:ilvl w:val="1"/>
          <w:numId w:val="21"/>
        </w:numPr>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Large-scale battery-storage facility that is not used for enhancing system adaptive capacity during disruptive events; or</w:t>
      </w:r>
    </w:p>
    <w:p w14:paraId="43805FB3" w14:textId="2C85CBFF" w:rsidR="00445589" w:rsidRDefault="006C0705" w:rsidP="00656522">
      <w:pPr>
        <w:pStyle w:val="paragraph"/>
        <w:numPr>
          <w:ilvl w:val="0"/>
          <w:numId w:val="21"/>
        </w:numPr>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Cybersecurity</w:t>
      </w:r>
      <w:r w:rsidR="00C006DA">
        <w:rPr>
          <w:rStyle w:val="normaltextrun"/>
          <w:rFonts w:ascii="Calibri" w:hAnsi="Calibri" w:cs="Calibri"/>
          <w:sz w:val="22"/>
          <w:szCs w:val="22"/>
        </w:rPr>
        <w:t>.</w:t>
      </w:r>
    </w:p>
    <w:p w14:paraId="64CBCDD3" w14:textId="77777777" w:rsidR="008C6A34" w:rsidRDefault="008C6A34" w:rsidP="004D48F5">
      <w:pPr>
        <w:pStyle w:val="paragraph"/>
        <w:spacing w:before="0" w:beforeAutospacing="0" w:after="0" w:afterAutospacing="0"/>
        <w:jc w:val="both"/>
        <w:textAlignment w:val="baseline"/>
        <w:rPr>
          <w:rStyle w:val="normaltextrun"/>
          <w:rFonts w:ascii="Calibri" w:hAnsi="Calibri" w:cs="Calibri"/>
          <w:sz w:val="22"/>
          <w:szCs w:val="22"/>
        </w:rPr>
      </w:pPr>
    </w:p>
    <w:p w14:paraId="1B818ED4" w14:textId="2FBDBE3D" w:rsidR="00B02D75" w:rsidRPr="00AC7A55" w:rsidRDefault="00AC7A55" w:rsidP="004D48F5">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Section </w:t>
      </w:r>
      <w:r>
        <w:rPr>
          <w:rStyle w:val="normaltextrun"/>
          <w:rFonts w:ascii="Calibri" w:hAnsi="Calibri" w:cs="Calibri"/>
          <w:sz w:val="22"/>
          <w:szCs w:val="22"/>
        </w:rPr>
        <w:t>40101</w:t>
      </w:r>
      <w:r w:rsidR="00290B62">
        <w:rPr>
          <w:rStyle w:val="normaltextrun"/>
          <w:rFonts w:ascii="Calibri" w:hAnsi="Calibri" w:cs="Calibri"/>
          <w:sz w:val="22"/>
          <w:szCs w:val="22"/>
        </w:rPr>
        <w:t>(d)</w:t>
      </w:r>
      <w:r w:rsidR="00B02D75" w:rsidRPr="00AC7A55">
        <w:rPr>
          <w:rStyle w:val="normaltextrun"/>
          <w:rFonts w:ascii="Calibri" w:hAnsi="Calibri" w:cs="Calibri"/>
          <w:sz w:val="22"/>
          <w:szCs w:val="22"/>
        </w:rPr>
        <w:t xml:space="preserve"> requires </w:t>
      </w:r>
      <w:r w:rsidR="00B02D75" w:rsidRPr="00AC7A55">
        <w:rPr>
          <w:rStyle w:val="normaltextrun"/>
          <w:rFonts w:ascii="Calibri" w:hAnsi="Calibri" w:cs="Calibri"/>
          <w:sz w:val="22"/>
          <w:szCs w:val="22"/>
        </w:rPr>
        <w:t xml:space="preserve">certain criteria for distributing funding and selecting awards. They include: </w:t>
      </w:r>
    </w:p>
    <w:p w14:paraId="545116CF" w14:textId="77777777" w:rsidR="00B02D75" w:rsidRPr="0084770F" w:rsidRDefault="00B02D75" w:rsidP="004D48F5">
      <w:pPr>
        <w:pStyle w:val="paragraph"/>
        <w:spacing w:before="0" w:beforeAutospacing="0" w:after="0" w:afterAutospacing="0"/>
        <w:jc w:val="both"/>
        <w:textAlignment w:val="baseline"/>
        <w:rPr>
          <w:rStyle w:val="normaltextrun"/>
          <w:rFonts w:ascii="Calibri" w:hAnsi="Calibri" w:cs="Calibri"/>
          <w:sz w:val="22"/>
          <w:szCs w:val="22"/>
        </w:rPr>
      </w:pPr>
    </w:p>
    <w:p w14:paraId="45E4DB17" w14:textId="77777777" w:rsidR="00B02D75" w:rsidRDefault="00B02D75" w:rsidP="004D48F5">
      <w:pPr>
        <w:pStyle w:val="paragraph"/>
        <w:spacing w:before="0" w:beforeAutospacing="0" w:after="0" w:afterAutospacing="0"/>
        <w:jc w:val="both"/>
        <w:textAlignment w:val="baseline"/>
        <w:rPr>
          <w:rStyle w:val="normaltextrun"/>
          <w:rFonts w:ascii="Calibri" w:hAnsi="Calibri" w:cs="Calibri"/>
          <w:sz w:val="22"/>
          <w:szCs w:val="22"/>
          <w:u w:val="single"/>
        </w:rPr>
      </w:pPr>
      <w:r>
        <w:rPr>
          <w:rStyle w:val="normaltextrun"/>
          <w:rFonts w:ascii="Calibri" w:hAnsi="Calibri" w:cs="Calibri"/>
          <w:sz w:val="22"/>
          <w:szCs w:val="22"/>
          <w:u w:val="single"/>
        </w:rPr>
        <w:t>Greatest community benefit</w:t>
      </w:r>
    </w:p>
    <w:p w14:paraId="346E740D" w14:textId="0103F5C6" w:rsidR="00F11799" w:rsidRDefault="00B02D75" w:rsidP="00F11799">
      <w:pPr>
        <w:jc w:val="both"/>
        <w:rPr>
          <w:rStyle w:val="normaltextrun"/>
          <w:rFonts w:ascii="Calibri" w:hAnsi="Calibri" w:cs="Calibri"/>
          <w:sz w:val="22"/>
          <w:szCs w:val="22"/>
        </w:rPr>
      </w:pPr>
      <w:r>
        <w:rPr>
          <w:rStyle w:val="normaltextrun"/>
          <w:rFonts w:ascii="Calibri" w:hAnsi="Calibri" w:cs="Calibri"/>
          <w:sz w:val="22"/>
          <w:szCs w:val="22"/>
        </w:rPr>
        <w:t xml:space="preserve">Priority </w:t>
      </w:r>
      <w:r w:rsidR="008E42EE">
        <w:rPr>
          <w:rStyle w:val="normaltextrun"/>
          <w:rFonts w:ascii="Calibri" w:hAnsi="Calibri" w:cs="Calibri"/>
          <w:sz w:val="22"/>
          <w:szCs w:val="22"/>
        </w:rPr>
        <w:t xml:space="preserve">shall </w:t>
      </w:r>
      <w:r>
        <w:rPr>
          <w:rStyle w:val="normaltextrun"/>
          <w:rFonts w:ascii="Calibri" w:hAnsi="Calibri" w:cs="Calibri"/>
          <w:sz w:val="22"/>
          <w:szCs w:val="22"/>
        </w:rPr>
        <w:t>be given to projects that will generate the greatest community benefit (whether rural or urban) in reducing the likelihood and consequences of disruptive events.</w:t>
      </w:r>
      <w:r w:rsidR="008E42EE">
        <w:rPr>
          <w:rStyle w:val="normaltextrun"/>
          <w:rFonts w:ascii="Calibri" w:hAnsi="Calibri" w:cs="Calibri"/>
          <w:sz w:val="22"/>
          <w:szCs w:val="22"/>
        </w:rPr>
        <w:t xml:space="preserve"> </w:t>
      </w:r>
      <w:r w:rsidR="008E42EE">
        <w:rPr>
          <w:rStyle w:val="normaltextrun"/>
          <w:rFonts w:ascii="Calibri" w:hAnsi="Calibri" w:cs="Calibri"/>
          <w:sz w:val="22"/>
          <w:szCs w:val="22"/>
        </w:rPr>
        <w:t xml:space="preserve">Eligible entities </w:t>
      </w:r>
      <w:r w:rsidR="00B47335">
        <w:rPr>
          <w:rStyle w:val="normaltextrun"/>
          <w:rFonts w:ascii="Calibri" w:hAnsi="Calibri" w:cs="Calibri"/>
          <w:sz w:val="22"/>
          <w:szCs w:val="22"/>
        </w:rPr>
        <w:t>should describe</w:t>
      </w:r>
      <w:r w:rsidR="00DC0274">
        <w:rPr>
          <w:rStyle w:val="normaltextrun"/>
          <w:rFonts w:ascii="Calibri" w:hAnsi="Calibri" w:cs="Calibri"/>
          <w:sz w:val="22"/>
          <w:szCs w:val="22"/>
        </w:rPr>
        <w:t>,</w:t>
      </w:r>
      <w:r w:rsidR="00B47335">
        <w:rPr>
          <w:rStyle w:val="normaltextrun"/>
          <w:rFonts w:ascii="Calibri" w:hAnsi="Calibri" w:cs="Calibri"/>
          <w:sz w:val="22"/>
          <w:szCs w:val="22"/>
        </w:rPr>
        <w:t xml:space="preserve"> to the greatest extent possible</w:t>
      </w:r>
      <w:r w:rsidR="00DC0274">
        <w:rPr>
          <w:rStyle w:val="normaltextrun"/>
          <w:rFonts w:ascii="Calibri" w:hAnsi="Calibri" w:cs="Calibri"/>
          <w:sz w:val="22"/>
          <w:szCs w:val="22"/>
        </w:rPr>
        <w:t>,</w:t>
      </w:r>
      <w:r w:rsidR="00B47335">
        <w:rPr>
          <w:rStyle w:val="normaltextrun"/>
          <w:rFonts w:ascii="Calibri" w:hAnsi="Calibri" w:cs="Calibri"/>
          <w:sz w:val="22"/>
          <w:szCs w:val="22"/>
        </w:rPr>
        <w:t xml:space="preserve"> how their</w:t>
      </w:r>
      <w:r w:rsidR="00DC0274">
        <w:rPr>
          <w:rStyle w:val="normaltextrun"/>
          <w:rFonts w:ascii="Calibri" w:hAnsi="Calibri" w:cs="Calibri"/>
          <w:sz w:val="22"/>
          <w:szCs w:val="22"/>
        </w:rPr>
        <w:t xml:space="preserve"> project, if awarded, would generate the greatest community benefit</w:t>
      </w:r>
      <w:r w:rsidR="00783422">
        <w:rPr>
          <w:rStyle w:val="normaltextrun"/>
          <w:rFonts w:ascii="Calibri" w:hAnsi="Calibri" w:cs="Calibri"/>
          <w:sz w:val="22"/>
          <w:szCs w:val="22"/>
        </w:rPr>
        <w:t xml:space="preserve"> in reducing the likelihood and consequences of disruptive events</w:t>
      </w:r>
      <w:r w:rsidR="00DC0274">
        <w:rPr>
          <w:rStyle w:val="normaltextrun"/>
          <w:rFonts w:ascii="Calibri" w:hAnsi="Calibri" w:cs="Calibri"/>
          <w:sz w:val="22"/>
          <w:szCs w:val="22"/>
        </w:rPr>
        <w:t xml:space="preserve">. </w:t>
      </w:r>
      <w:r w:rsidR="00765C58">
        <w:rPr>
          <w:rStyle w:val="normaltextrun"/>
          <w:rFonts w:ascii="Calibri" w:hAnsi="Calibri" w:cs="Calibri"/>
          <w:sz w:val="22"/>
          <w:szCs w:val="22"/>
        </w:rPr>
        <w:t>To</w:t>
      </w:r>
      <w:r w:rsidR="00F11799">
        <w:rPr>
          <w:rStyle w:val="normaltextrun"/>
          <w:rFonts w:ascii="Calibri" w:hAnsi="Calibri" w:cs="Calibri"/>
          <w:sz w:val="22"/>
          <w:szCs w:val="22"/>
        </w:rPr>
        <w:t xml:space="preserve"> achieve this goal, the Indiana </w:t>
      </w:r>
      <w:r w:rsidR="00F11799">
        <w:rPr>
          <w:rStyle w:val="normaltextrun"/>
          <w:rFonts w:ascii="Calibri" w:hAnsi="Calibri" w:cs="Calibri"/>
          <w:sz w:val="22"/>
          <w:szCs w:val="22"/>
        </w:rPr>
        <w:lastRenderedPageBreak/>
        <w:t xml:space="preserve">OED will require </w:t>
      </w:r>
      <w:r w:rsidR="008E42EE">
        <w:rPr>
          <w:rStyle w:val="normaltextrun"/>
          <w:rFonts w:ascii="Calibri" w:hAnsi="Calibri" w:cs="Calibri"/>
          <w:sz w:val="22"/>
          <w:szCs w:val="22"/>
        </w:rPr>
        <w:t xml:space="preserve">eligible entities </w:t>
      </w:r>
      <w:r w:rsidR="006C5441">
        <w:rPr>
          <w:rStyle w:val="normaltextrun"/>
          <w:rFonts w:ascii="Calibri" w:hAnsi="Calibri" w:cs="Calibri"/>
          <w:sz w:val="22"/>
          <w:szCs w:val="22"/>
        </w:rPr>
        <w:t>to submit</w:t>
      </w:r>
      <w:r w:rsidR="00F11799">
        <w:rPr>
          <w:rStyle w:val="normaltextrun"/>
          <w:rFonts w:ascii="Calibri" w:hAnsi="Calibri" w:cs="Calibri"/>
          <w:sz w:val="22"/>
          <w:szCs w:val="22"/>
        </w:rPr>
        <w:t xml:space="preserve"> the following information and data </w:t>
      </w:r>
      <w:r w:rsidR="00765C58">
        <w:rPr>
          <w:rStyle w:val="normaltextrun"/>
          <w:rFonts w:ascii="Calibri" w:hAnsi="Calibri" w:cs="Calibri"/>
          <w:sz w:val="22"/>
          <w:szCs w:val="22"/>
        </w:rPr>
        <w:t>for</w:t>
      </w:r>
      <w:r w:rsidR="00F11799">
        <w:rPr>
          <w:rStyle w:val="normaltextrun"/>
          <w:rFonts w:ascii="Calibri" w:hAnsi="Calibri" w:cs="Calibri"/>
          <w:sz w:val="22"/>
          <w:szCs w:val="22"/>
        </w:rPr>
        <w:t xml:space="preserve"> informed investment </w:t>
      </w:r>
      <w:r w:rsidR="00765C58">
        <w:rPr>
          <w:rStyle w:val="normaltextrun"/>
          <w:rFonts w:ascii="Calibri" w:hAnsi="Calibri" w:cs="Calibri"/>
          <w:sz w:val="22"/>
          <w:szCs w:val="22"/>
        </w:rPr>
        <w:t>decision making</w:t>
      </w:r>
      <w:r w:rsidR="00F11799">
        <w:rPr>
          <w:rStyle w:val="normaltextrun"/>
          <w:rFonts w:ascii="Calibri" w:hAnsi="Calibri" w:cs="Calibri"/>
          <w:sz w:val="22"/>
          <w:szCs w:val="22"/>
        </w:rPr>
        <w:t>:</w:t>
      </w:r>
    </w:p>
    <w:p w14:paraId="0C66E94C" w14:textId="77777777" w:rsidR="00F11799" w:rsidRDefault="00F11799" w:rsidP="00F11799">
      <w:pPr>
        <w:pStyle w:val="ListParagraph"/>
        <w:numPr>
          <w:ilvl w:val="0"/>
          <w:numId w:val="17"/>
        </w:numPr>
        <w:ind w:left="775"/>
        <w:jc w:val="both"/>
        <w:rPr>
          <w:rFonts w:ascii="Calibri" w:hAnsi="Calibri" w:cs="Calibri"/>
          <w:sz w:val="22"/>
          <w:szCs w:val="22"/>
        </w:rPr>
      </w:pPr>
      <w:r>
        <w:rPr>
          <w:rFonts w:ascii="Calibri" w:hAnsi="Calibri" w:cs="Calibri"/>
          <w:sz w:val="22"/>
          <w:szCs w:val="22"/>
        </w:rPr>
        <w:t xml:space="preserve">The number of customers by customer class that a proposed project will directly impact. In addition, the eligible entity should also provide the number of customers directly impacted by a proposed project as a percentage of total customers served by the entity. </w:t>
      </w:r>
    </w:p>
    <w:p w14:paraId="6310C287" w14:textId="04E24820" w:rsidR="00F11799" w:rsidRDefault="00F11799" w:rsidP="00F11799">
      <w:pPr>
        <w:pStyle w:val="ListParagraph"/>
        <w:numPr>
          <w:ilvl w:val="0"/>
          <w:numId w:val="17"/>
        </w:numPr>
        <w:ind w:left="775"/>
        <w:jc w:val="both"/>
        <w:rPr>
          <w:rFonts w:ascii="Calibri" w:hAnsi="Calibri" w:cs="Calibri"/>
          <w:sz w:val="22"/>
          <w:szCs w:val="22"/>
        </w:rPr>
      </w:pPr>
      <w:r>
        <w:rPr>
          <w:rFonts w:ascii="Calibri" w:hAnsi="Calibri" w:cs="Calibri"/>
          <w:sz w:val="22"/>
          <w:szCs w:val="22"/>
        </w:rPr>
        <w:t>Historical SAIFI, SAIDI, and CAIDI data for the proposed investment area as compared to the historical</w:t>
      </w:r>
      <w:r w:rsidR="00F45FBC">
        <w:rPr>
          <w:rFonts w:ascii="Calibri" w:hAnsi="Calibri" w:cs="Calibri"/>
          <w:sz w:val="22"/>
          <w:szCs w:val="22"/>
        </w:rPr>
        <w:t>,</w:t>
      </w:r>
      <w:r>
        <w:rPr>
          <w:rFonts w:ascii="Calibri" w:hAnsi="Calibri" w:cs="Calibri"/>
          <w:sz w:val="22"/>
          <w:szCs w:val="22"/>
        </w:rPr>
        <w:t xml:space="preserve"> system-wide average of SAIFI, SAIDI, and CAIDI to determine whether a proposed investment is in an area that may have more frequent and/or longer duration outages than average.</w:t>
      </w:r>
    </w:p>
    <w:p w14:paraId="77B5DDAA" w14:textId="46F9CF92" w:rsidR="00B02D75" w:rsidRDefault="00F11799" w:rsidP="00D63A2A">
      <w:pPr>
        <w:pStyle w:val="ListParagraph"/>
        <w:numPr>
          <w:ilvl w:val="0"/>
          <w:numId w:val="17"/>
        </w:numPr>
        <w:ind w:left="775"/>
        <w:jc w:val="both"/>
        <w:textAlignment w:val="baseline"/>
        <w:rPr>
          <w:rStyle w:val="normaltextrun"/>
          <w:rFonts w:ascii="Calibri" w:hAnsi="Calibri" w:cs="Calibri"/>
          <w:sz w:val="22"/>
          <w:szCs w:val="22"/>
        </w:rPr>
      </w:pPr>
      <w:r w:rsidRPr="00F11799">
        <w:rPr>
          <w:rFonts w:ascii="Calibri" w:hAnsi="Calibri" w:cs="Calibri"/>
          <w:sz w:val="22"/>
          <w:szCs w:val="22"/>
        </w:rPr>
        <w:t xml:space="preserve">A description of the eligible entity’s asset management plan for the area and/or infrastructure related to the proposed project, including information on whether the proposed project is part of the eligible entity’s operations and maintenance proposal, and </w:t>
      </w:r>
      <w:r w:rsidR="00652BDD">
        <w:rPr>
          <w:rFonts w:ascii="Calibri" w:hAnsi="Calibri" w:cs="Calibri"/>
          <w:sz w:val="22"/>
          <w:szCs w:val="22"/>
        </w:rPr>
        <w:t>a description how</w:t>
      </w:r>
      <w:r w:rsidRPr="00F11799">
        <w:rPr>
          <w:rFonts w:ascii="Calibri" w:hAnsi="Calibri" w:cs="Calibri"/>
          <w:sz w:val="22"/>
          <w:szCs w:val="22"/>
        </w:rPr>
        <w:t xml:space="preserve"> the proposed project will exceed or provide greater benefits than a normal asset replacement.</w:t>
      </w:r>
    </w:p>
    <w:p w14:paraId="0DB4B7AD" w14:textId="1F70DB67" w:rsidR="008A3770" w:rsidRDefault="005F7BE7" w:rsidP="008A3770">
      <w:pPr>
        <w:pStyle w:val="ListParagraph"/>
        <w:numPr>
          <w:ilvl w:val="0"/>
          <w:numId w:val="17"/>
        </w:numPr>
        <w:ind w:left="775"/>
        <w:jc w:val="both"/>
        <w:rPr>
          <w:rFonts w:ascii="Calibri" w:hAnsi="Calibri" w:cs="Calibri"/>
          <w:sz w:val="22"/>
          <w:szCs w:val="22"/>
        </w:rPr>
      </w:pPr>
      <w:r>
        <w:rPr>
          <w:rFonts w:ascii="Calibri" w:hAnsi="Calibri" w:cs="Calibri"/>
          <w:sz w:val="22"/>
          <w:szCs w:val="22"/>
        </w:rPr>
        <w:t xml:space="preserve">A description of the connection to </w:t>
      </w:r>
      <w:r w:rsidR="008A3770">
        <w:rPr>
          <w:rFonts w:ascii="Calibri" w:hAnsi="Calibri" w:cs="Calibri"/>
          <w:sz w:val="22"/>
          <w:szCs w:val="22"/>
        </w:rPr>
        <w:t xml:space="preserve">critical </w:t>
      </w:r>
      <w:r w:rsidR="00930B41">
        <w:rPr>
          <w:rFonts w:ascii="Calibri" w:hAnsi="Calibri" w:cs="Calibri"/>
          <w:sz w:val="22"/>
          <w:szCs w:val="22"/>
        </w:rPr>
        <w:t>infrastructure</w:t>
      </w:r>
      <w:r>
        <w:rPr>
          <w:rFonts w:ascii="Calibri" w:hAnsi="Calibri" w:cs="Calibri"/>
          <w:sz w:val="22"/>
          <w:szCs w:val="22"/>
        </w:rPr>
        <w:t xml:space="preserve">, including the number of </w:t>
      </w:r>
      <w:r w:rsidR="003A659E">
        <w:rPr>
          <w:rFonts w:ascii="Calibri" w:hAnsi="Calibri" w:cs="Calibri"/>
          <w:sz w:val="22"/>
          <w:szCs w:val="22"/>
        </w:rPr>
        <w:t>facilities and customers</w:t>
      </w:r>
      <w:r w:rsidR="00E27544">
        <w:rPr>
          <w:rFonts w:ascii="Calibri" w:hAnsi="Calibri" w:cs="Calibri"/>
          <w:sz w:val="22"/>
          <w:szCs w:val="22"/>
        </w:rPr>
        <w:t xml:space="preserve"> supported</w:t>
      </w:r>
      <w:r w:rsidR="003A659E">
        <w:rPr>
          <w:rFonts w:ascii="Calibri" w:hAnsi="Calibri" w:cs="Calibri"/>
          <w:sz w:val="22"/>
          <w:szCs w:val="22"/>
        </w:rPr>
        <w:t>,</w:t>
      </w:r>
      <w:r w:rsidR="00930B41">
        <w:rPr>
          <w:rFonts w:ascii="Calibri" w:hAnsi="Calibri" w:cs="Calibri"/>
          <w:sz w:val="22"/>
          <w:szCs w:val="22"/>
        </w:rPr>
        <w:t xml:space="preserve"> </w:t>
      </w:r>
      <w:r w:rsidR="008A3770">
        <w:rPr>
          <w:rFonts w:ascii="Calibri" w:hAnsi="Calibri" w:cs="Calibri"/>
          <w:sz w:val="22"/>
          <w:szCs w:val="22"/>
        </w:rPr>
        <w:t xml:space="preserve">that a proposed project will directly impact. </w:t>
      </w:r>
      <w:r w:rsidR="003A659E">
        <w:rPr>
          <w:rFonts w:ascii="Calibri" w:hAnsi="Calibri" w:cs="Calibri"/>
          <w:sz w:val="22"/>
          <w:szCs w:val="22"/>
        </w:rPr>
        <w:t xml:space="preserve">Critical infrastructure is defined as those that provide a critical or life-sustaining good or service accessible to others. </w:t>
      </w:r>
    </w:p>
    <w:p w14:paraId="22D71C14" w14:textId="77777777" w:rsidR="008A3770" w:rsidRDefault="008A3770" w:rsidP="00656522">
      <w:pPr>
        <w:pStyle w:val="ListParagraph"/>
        <w:ind w:left="775"/>
        <w:jc w:val="both"/>
        <w:textAlignment w:val="baseline"/>
        <w:rPr>
          <w:rFonts w:ascii="Calibri" w:hAnsi="Calibri" w:cs="Calibri"/>
          <w:sz w:val="22"/>
          <w:szCs w:val="22"/>
        </w:rPr>
      </w:pPr>
    </w:p>
    <w:p w14:paraId="432870DE" w14:textId="4D591CE6" w:rsidR="00BC6148" w:rsidRDefault="00BC6148" w:rsidP="00BC6148">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In addition to the criteria above, </w:t>
      </w:r>
      <w:r w:rsidR="00443D18">
        <w:rPr>
          <w:rStyle w:val="normaltextrun"/>
          <w:rFonts w:ascii="Calibri" w:hAnsi="Calibri" w:cs="Calibri"/>
          <w:sz w:val="22"/>
          <w:szCs w:val="22"/>
        </w:rPr>
        <w:t xml:space="preserve">Indiana </w:t>
      </w:r>
      <w:r>
        <w:rPr>
          <w:rStyle w:val="normaltextrun"/>
          <w:rFonts w:ascii="Calibri" w:hAnsi="Calibri" w:cs="Calibri"/>
          <w:sz w:val="22"/>
          <w:szCs w:val="22"/>
        </w:rPr>
        <w:t xml:space="preserve">OED will expect </w:t>
      </w:r>
      <w:r w:rsidR="008E42EE">
        <w:rPr>
          <w:rStyle w:val="normaltextrun"/>
          <w:rFonts w:ascii="Calibri" w:hAnsi="Calibri" w:cs="Calibri"/>
          <w:sz w:val="22"/>
          <w:szCs w:val="22"/>
        </w:rPr>
        <w:t xml:space="preserve">eligible entities </w:t>
      </w:r>
      <w:r>
        <w:rPr>
          <w:rStyle w:val="normaltextrun"/>
          <w:rFonts w:ascii="Calibri" w:hAnsi="Calibri" w:cs="Calibri"/>
          <w:sz w:val="22"/>
          <w:szCs w:val="22"/>
        </w:rPr>
        <w:t xml:space="preserve">to submit, at minimum, the following information concerning one or more proposed projects: </w:t>
      </w:r>
    </w:p>
    <w:p w14:paraId="017EBD55" w14:textId="088009E3" w:rsidR="00BC6148" w:rsidRPr="0039026E" w:rsidRDefault="00BC6148" w:rsidP="00BC6148">
      <w:pPr>
        <w:pStyle w:val="paragraph"/>
        <w:numPr>
          <w:ilvl w:val="0"/>
          <w:numId w:val="7"/>
        </w:numPr>
        <w:spacing w:before="0" w:beforeAutospacing="0" w:after="0" w:afterAutospacing="0"/>
        <w:jc w:val="both"/>
        <w:textAlignment w:val="baseline"/>
        <w:rPr>
          <w:rFonts w:ascii="Calibri" w:hAnsi="Calibri" w:cs="Calibri"/>
          <w:sz w:val="22"/>
          <w:szCs w:val="22"/>
        </w:rPr>
      </w:pPr>
      <w:r w:rsidRPr="0039026E">
        <w:rPr>
          <w:rStyle w:val="normaltextrun"/>
          <w:rFonts w:ascii="Calibri" w:hAnsi="Calibri" w:cs="Calibri"/>
          <w:sz w:val="22"/>
          <w:szCs w:val="22"/>
        </w:rPr>
        <w:t>A detailed description of the proposed project(s), including the need</w:t>
      </w:r>
      <w:r>
        <w:rPr>
          <w:rStyle w:val="normaltextrun"/>
          <w:rFonts w:ascii="Calibri" w:hAnsi="Calibri" w:cs="Calibri"/>
          <w:sz w:val="22"/>
          <w:szCs w:val="22"/>
        </w:rPr>
        <w:t xml:space="preserve"> of the project</w:t>
      </w:r>
      <w:r w:rsidRPr="0039026E">
        <w:rPr>
          <w:rStyle w:val="normaltextrun"/>
          <w:rFonts w:ascii="Calibri" w:hAnsi="Calibri" w:cs="Calibri"/>
          <w:sz w:val="22"/>
          <w:szCs w:val="22"/>
        </w:rPr>
        <w:t xml:space="preserve">, </w:t>
      </w:r>
      <w:r>
        <w:rPr>
          <w:rStyle w:val="normaltextrun"/>
          <w:rFonts w:ascii="Calibri" w:hAnsi="Calibri" w:cs="Calibri"/>
          <w:sz w:val="22"/>
          <w:szCs w:val="22"/>
        </w:rPr>
        <w:t>how the project will achieve one or more of the</w:t>
      </w:r>
      <w:r w:rsidR="009C4443">
        <w:rPr>
          <w:rStyle w:val="normaltextrun"/>
          <w:rFonts w:ascii="Calibri" w:hAnsi="Calibri" w:cs="Calibri"/>
          <w:sz w:val="22"/>
          <w:szCs w:val="22"/>
        </w:rPr>
        <w:t xml:space="preserve"> </w:t>
      </w:r>
      <w:r>
        <w:rPr>
          <w:rStyle w:val="normaltextrun"/>
          <w:rFonts w:ascii="Calibri" w:hAnsi="Calibri" w:cs="Calibri"/>
          <w:sz w:val="22"/>
          <w:szCs w:val="22"/>
        </w:rPr>
        <w:t>objectives and metrics in Section 1</w:t>
      </w:r>
      <w:r w:rsidRPr="0039026E">
        <w:rPr>
          <w:rStyle w:val="normaltextrun"/>
          <w:rFonts w:ascii="Calibri" w:hAnsi="Calibri" w:cs="Calibri"/>
          <w:sz w:val="22"/>
          <w:szCs w:val="22"/>
        </w:rPr>
        <w:t xml:space="preserve">, </w:t>
      </w:r>
      <w:r>
        <w:rPr>
          <w:rStyle w:val="normaltextrun"/>
          <w:rFonts w:ascii="Calibri" w:hAnsi="Calibri" w:cs="Calibri"/>
          <w:sz w:val="22"/>
          <w:szCs w:val="22"/>
        </w:rPr>
        <w:t>a description of</w:t>
      </w:r>
      <w:r w:rsidRPr="0039026E">
        <w:rPr>
          <w:rStyle w:val="normaltextrun"/>
          <w:rFonts w:ascii="Calibri" w:hAnsi="Calibri" w:cs="Calibri"/>
          <w:sz w:val="22"/>
          <w:szCs w:val="22"/>
        </w:rPr>
        <w:t xml:space="preserve"> the associated equipment and infrastructure </w:t>
      </w:r>
      <w:r w:rsidRPr="0039026E">
        <w:rPr>
          <w:rStyle w:val="normaltextrun"/>
          <w:rFonts w:ascii="Calibri" w:hAnsi="Calibri" w:cs="Calibri"/>
          <w:sz w:val="22"/>
          <w:szCs w:val="22"/>
        </w:rPr>
        <w:t>and installation thereof, and</w:t>
      </w:r>
      <w:r>
        <w:rPr>
          <w:rStyle w:val="normaltextrun"/>
          <w:rFonts w:ascii="Calibri" w:hAnsi="Calibri" w:cs="Calibri"/>
          <w:sz w:val="22"/>
          <w:szCs w:val="22"/>
        </w:rPr>
        <w:t xml:space="preserve"> a description of</w:t>
      </w:r>
      <w:r w:rsidRPr="0039026E">
        <w:rPr>
          <w:rStyle w:val="normaltextrun"/>
          <w:rFonts w:ascii="Calibri" w:hAnsi="Calibri" w:cs="Calibri"/>
          <w:sz w:val="22"/>
          <w:szCs w:val="22"/>
        </w:rPr>
        <w:t xml:space="preserve"> how the use of the equipment shall enhance and improve the resilience of the electric grid from disruptive events.</w:t>
      </w:r>
      <w:r>
        <w:rPr>
          <w:rStyle w:val="FootnoteReference"/>
          <w:rFonts w:ascii="Calibri" w:hAnsi="Calibri" w:cs="Calibri"/>
          <w:sz w:val="22"/>
          <w:szCs w:val="22"/>
        </w:rPr>
        <w:footnoteReference w:id="11"/>
      </w:r>
      <w:r w:rsidRPr="0039026E">
        <w:rPr>
          <w:rStyle w:val="eop"/>
          <w:rFonts w:ascii="Calibri" w:hAnsi="Calibri" w:cs="Calibri"/>
          <w:sz w:val="22"/>
          <w:szCs w:val="22"/>
        </w:rPr>
        <w:t> </w:t>
      </w:r>
    </w:p>
    <w:p w14:paraId="763220B2" w14:textId="3307F97F" w:rsidR="00BC6148" w:rsidRDefault="00BC6148" w:rsidP="00BC6148">
      <w:pPr>
        <w:pStyle w:val="paragraph"/>
        <w:numPr>
          <w:ilvl w:val="0"/>
          <w:numId w:val="6"/>
        </w:numPr>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 xml:space="preserve">A detailed description of the area in which the project(s) will be located, including a summary of the community, population and demographic characteristics, total number of customer meters, and total number of customers broken down by general customer class (e.g., residential, commercial, and/or industrial) the project(s) are anticipated to directly affect. </w:t>
      </w:r>
      <w:r w:rsidR="008E42EE">
        <w:rPr>
          <w:rStyle w:val="normaltextrun"/>
          <w:rFonts w:ascii="Calibri" w:hAnsi="Calibri" w:cs="Calibri"/>
          <w:sz w:val="22"/>
          <w:szCs w:val="22"/>
        </w:rPr>
        <w:t xml:space="preserve">Eligible entities </w:t>
      </w:r>
      <w:r>
        <w:rPr>
          <w:rStyle w:val="normaltextrun"/>
          <w:rFonts w:ascii="Calibri" w:hAnsi="Calibri" w:cs="Calibri"/>
          <w:sz w:val="22"/>
          <w:szCs w:val="22"/>
        </w:rPr>
        <w:t>shall identify whether the community or area is classified as a disadvantaged community</w:t>
      </w:r>
      <w:r>
        <w:rPr>
          <w:rStyle w:val="FootnoteReference"/>
          <w:rFonts w:ascii="Calibri" w:hAnsi="Calibri" w:cs="Calibri"/>
          <w:sz w:val="22"/>
          <w:szCs w:val="22"/>
        </w:rPr>
        <w:footnoteReference w:id="12"/>
      </w:r>
      <w:r>
        <w:rPr>
          <w:rStyle w:val="normaltextrun"/>
          <w:rFonts w:ascii="Calibri" w:hAnsi="Calibri" w:cs="Calibri"/>
          <w:sz w:val="22"/>
          <w:szCs w:val="22"/>
        </w:rPr>
        <w:t xml:space="preserve"> </w:t>
      </w:r>
      <w:r>
        <w:rPr>
          <w:rStyle w:val="eop"/>
          <w:rFonts w:ascii="Calibri" w:hAnsi="Calibri" w:cs="Calibri"/>
          <w:sz w:val="22"/>
          <w:szCs w:val="22"/>
        </w:rPr>
        <w:t>and a description of how they included consideration of disadvantaged communities in their decision-making process.</w:t>
      </w:r>
    </w:p>
    <w:p w14:paraId="7C1D3D0E" w14:textId="77777777" w:rsidR="00BC6148" w:rsidRDefault="00BC6148" w:rsidP="00BC6148">
      <w:pPr>
        <w:pStyle w:val="paragraph"/>
        <w:numPr>
          <w:ilvl w:val="0"/>
          <w:numId w:val="6"/>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A detailed description of the current infrastructure in place in the proposed project area(s) that may be upgraded, replaced, or otherwise modified, and how the upgrades, replacement, or modifications will enhance grid resilience.</w:t>
      </w:r>
      <w:r>
        <w:rPr>
          <w:rStyle w:val="eop"/>
          <w:rFonts w:ascii="Calibri" w:hAnsi="Calibri" w:cs="Calibri"/>
          <w:sz w:val="22"/>
          <w:szCs w:val="22"/>
        </w:rPr>
        <w:t> </w:t>
      </w:r>
    </w:p>
    <w:p w14:paraId="08BC3927" w14:textId="77777777" w:rsidR="00BC6148" w:rsidRDefault="00BC6148" w:rsidP="00BC6148">
      <w:pPr>
        <w:pStyle w:val="paragraph"/>
        <w:numPr>
          <w:ilvl w:val="0"/>
          <w:numId w:val="6"/>
        </w:numPr>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A detailed budget and estimated timeline for completion of proposed project(s). </w:t>
      </w:r>
    </w:p>
    <w:p w14:paraId="37E93268" w14:textId="3C79B687" w:rsidR="00BC6148" w:rsidRPr="00516E60" w:rsidRDefault="00BC6148" w:rsidP="00BC6148">
      <w:pPr>
        <w:pStyle w:val="paragraph"/>
        <w:numPr>
          <w:ilvl w:val="0"/>
          <w:numId w:val="6"/>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Submission of reliability metrics, including, but not limited to, SAIDI, SAIFI, and CAIDI over the last three years in the proposed project area(s), and the goals or estimates of how the proposed project(s) may improve the reliability metrics in the area.</w:t>
      </w:r>
      <w:r>
        <w:rPr>
          <w:rStyle w:val="eop"/>
          <w:rFonts w:ascii="Calibri" w:hAnsi="Calibri" w:cs="Calibri"/>
          <w:sz w:val="22"/>
          <w:szCs w:val="22"/>
        </w:rPr>
        <w:t> </w:t>
      </w:r>
    </w:p>
    <w:p w14:paraId="1705BA92" w14:textId="77777777" w:rsidR="00B02D75" w:rsidRPr="007A15B1" w:rsidRDefault="00B02D75" w:rsidP="004D48F5">
      <w:pPr>
        <w:pStyle w:val="paragraph"/>
        <w:spacing w:before="0" w:beforeAutospacing="0" w:after="0" w:afterAutospacing="0"/>
        <w:jc w:val="both"/>
        <w:textAlignment w:val="baseline"/>
        <w:rPr>
          <w:rStyle w:val="normaltextrun"/>
          <w:rFonts w:ascii="Calibri" w:hAnsi="Calibri" w:cs="Calibri"/>
          <w:sz w:val="22"/>
          <w:szCs w:val="22"/>
        </w:rPr>
      </w:pPr>
    </w:p>
    <w:p w14:paraId="072D14F2" w14:textId="77777777" w:rsidR="0090380E" w:rsidRDefault="0090380E" w:rsidP="004D48F5">
      <w:pPr>
        <w:pStyle w:val="paragraph"/>
        <w:spacing w:before="0" w:beforeAutospacing="0" w:after="0" w:afterAutospacing="0"/>
        <w:jc w:val="both"/>
        <w:textAlignment w:val="baseline"/>
        <w:rPr>
          <w:rStyle w:val="normaltextrun"/>
          <w:rFonts w:ascii="Calibri" w:hAnsi="Calibri" w:cs="Calibri"/>
          <w:sz w:val="22"/>
          <w:szCs w:val="22"/>
          <w:u w:val="single"/>
        </w:rPr>
      </w:pPr>
    </w:p>
    <w:p w14:paraId="51D33799" w14:textId="42991E52" w:rsidR="00B02D75" w:rsidRPr="00FC7AC3" w:rsidRDefault="00B02D75" w:rsidP="004D48F5">
      <w:pPr>
        <w:pStyle w:val="paragraph"/>
        <w:spacing w:before="0" w:beforeAutospacing="0" w:after="0" w:afterAutospacing="0"/>
        <w:jc w:val="both"/>
        <w:textAlignment w:val="baseline"/>
        <w:rPr>
          <w:rStyle w:val="normaltextrun"/>
          <w:rFonts w:ascii="Calibri" w:hAnsi="Calibri" w:cs="Calibri"/>
          <w:sz w:val="22"/>
          <w:szCs w:val="22"/>
          <w:u w:val="single"/>
        </w:rPr>
      </w:pPr>
      <w:r w:rsidRPr="00FC7AC3">
        <w:rPr>
          <w:rStyle w:val="normaltextrun"/>
          <w:rFonts w:ascii="Calibri" w:hAnsi="Calibri" w:cs="Calibri"/>
          <w:sz w:val="22"/>
          <w:szCs w:val="22"/>
          <w:u w:val="single"/>
        </w:rPr>
        <w:lastRenderedPageBreak/>
        <w:t>Set aside for small utilities</w:t>
      </w:r>
    </w:p>
    <w:p w14:paraId="2F08CA24" w14:textId="6D5DDB11" w:rsidR="00B02D75" w:rsidRDefault="002901F4" w:rsidP="004D48F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Indiana is set to receive $4,602,976 for Year 1</w:t>
      </w:r>
      <w:r w:rsidR="00B37C9C">
        <w:rPr>
          <w:rStyle w:val="normaltextrun"/>
          <w:rFonts w:ascii="Calibri" w:hAnsi="Calibri" w:cs="Calibri"/>
          <w:sz w:val="22"/>
          <w:szCs w:val="22"/>
        </w:rPr>
        <w:t xml:space="preserve"> in total funding allocation from the Grid Resilience Grant Program. </w:t>
      </w:r>
      <w:r w:rsidR="00B02D75">
        <w:rPr>
          <w:rStyle w:val="normaltextrun"/>
          <w:rFonts w:ascii="Calibri" w:hAnsi="Calibri" w:cs="Calibri"/>
          <w:sz w:val="22"/>
          <w:szCs w:val="22"/>
        </w:rPr>
        <w:t xml:space="preserve">Pursuant to </w:t>
      </w:r>
      <w:r w:rsidR="003637E2">
        <w:rPr>
          <w:rStyle w:val="normaltextrun"/>
          <w:rFonts w:ascii="Calibri" w:hAnsi="Calibri" w:cs="Calibri"/>
          <w:sz w:val="22"/>
          <w:szCs w:val="22"/>
        </w:rPr>
        <w:t>Section 40101</w:t>
      </w:r>
      <w:r w:rsidR="00B02D75">
        <w:rPr>
          <w:rStyle w:val="normaltextrun"/>
          <w:rFonts w:ascii="Calibri" w:hAnsi="Calibri" w:cs="Calibri"/>
          <w:sz w:val="22"/>
          <w:szCs w:val="22"/>
        </w:rPr>
        <w:t>(d)(6), the Indiana OED will ensure that the percentage of funding made available to small utilities defined by not selling more than 4,000,000 megawatt-hours of electricity per year shall not be less than the percentage of all customers in the State that are served by those eligible entities.</w:t>
      </w:r>
      <w:r w:rsidR="00B02D75">
        <w:rPr>
          <w:rStyle w:val="eop"/>
          <w:rFonts w:ascii="Calibri" w:hAnsi="Calibri" w:cs="Calibri"/>
          <w:sz w:val="22"/>
          <w:szCs w:val="22"/>
        </w:rPr>
        <w:t> </w:t>
      </w:r>
    </w:p>
    <w:p w14:paraId="7F3F8D95" w14:textId="08E1C33D" w:rsidR="00B02D75" w:rsidRDefault="00B02D75" w:rsidP="004D48F5">
      <w:pPr>
        <w:pStyle w:val="paragraph"/>
        <w:numPr>
          <w:ilvl w:val="0"/>
          <w:numId w:val="5"/>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All of Indiana’s rural electric distribution cooperatives and municipally owned distribution electric utilities are classified as small utilities that sell under 4,000,000 megawatt-hours of electricity per year. Collectively, these small utilities serve </w:t>
      </w:r>
      <w:r w:rsidR="00DE1B27" w:rsidRPr="000A734C">
        <w:rPr>
          <w:rStyle w:val="normaltextrun"/>
          <w:rFonts w:ascii="Calibri" w:hAnsi="Calibri" w:cs="Calibri"/>
          <w:sz w:val="22"/>
          <w:szCs w:val="22"/>
          <w:highlight w:val="yellow"/>
        </w:rPr>
        <w:t>XX</w:t>
      </w:r>
      <w:r>
        <w:rPr>
          <w:rStyle w:val="normaltextrun"/>
          <w:rFonts w:ascii="Calibri" w:hAnsi="Calibri" w:cs="Calibri"/>
          <w:sz w:val="22"/>
          <w:szCs w:val="22"/>
        </w:rPr>
        <w:t>% of Indiana’s electric customers (</w:t>
      </w:r>
      <w:r>
        <w:rPr>
          <w:rStyle w:val="normaltextrun"/>
          <w:rFonts w:ascii="Calibri" w:hAnsi="Calibri" w:cs="Calibri"/>
          <w:sz w:val="22"/>
          <w:szCs w:val="22"/>
          <w:shd w:val="clear" w:color="auto" w:fill="FFFF00"/>
        </w:rPr>
        <w:t>NEEDS TO BE VERIFIED</w:t>
      </w:r>
      <w:r>
        <w:rPr>
          <w:rStyle w:val="normaltextrun"/>
          <w:rFonts w:ascii="Calibri" w:hAnsi="Calibri" w:cs="Calibri"/>
          <w:sz w:val="22"/>
          <w:szCs w:val="22"/>
        </w:rPr>
        <w:t>).</w:t>
      </w:r>
    </w:p>
    <w:p w14:paraId="44278A69" w14:textId="564B1173" w:rsidR="00B02D75" w:rsidRDefault="00B02D75" w:rsidP="004D48F5">
      <w:pPr>
        <w:pStyle w:val="paragraph"/>
        <w:numPr>
          <w:ilvl w:val="0"/>
          <w:numId w:val="5"/>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Each funding year, the Indiana OED will set aside not less than </w:t>
      </w:r>
      <w:r w:rsidR="00DE1B27" w:rsidRPr="000A734C">
        <w:rPr>
          <w:rStyle w:val="normaltextrun"/>
          <w:rFonts w:ascii="Calibri" w:hAnsi="Calibri" w:cs="Calibri"/>
          <w:sz w:val="22"/>
          <w:szCs w:val="22"/>
          <w:highlight w:val="yellow"/>
        </w:rPr>
        <w:t>XX</w:t>
      </w:r>
      <w:r>
        <w:rPr>
          <w:rStyle w:val="normaltextrun"/>
          <w:rFonts w:ascii="Calibri" w:hAnsi="Calibri" w:cs="Calibri"/>
          <w:sz w:val="22"/>
          <w:szCs w:val="22"/>
        </w:rPr>
        <w:t>% of the total funding award specifically for awards to small utilities. For Year 1, this is approximately $</w:t>
      </w:r>
      <w:r w:rsidR="00CB0751">
        <w:rPr>
          <w:rStyle w:val="normaltextrun"/>
          <w:rFonts w:ascii="Calibri" w:hAnsi="Calibri" w:cs="Calibri"/>
          <w:sz w:val="22"/>
          <w:szCs w:val="22"/>
        </w:rPr>
        <w:t>[</w:t>
      </w:r>
      <w:r w:rsidR="00CB0751" w:rsidRPr="00F12919">
        <w:rPr>
          <w:rStyle w:val="normaltextrun"/>
          <w:rFonts w:ascii="Calibri" w:hAnsi="Calibri" w:cs="Calibri"/>
          <w:sz w:val="22"/>
          <w:szCs w:val="22"/>
          <w:highlight w:val="yellow"/>
        </w:rPr>
        <w:t>NUMBER</w:t>
      </w:r>
      <w:r w:rsidR="00CB0751">
        <w:rPr>
          <w:rStyle w:val="normaltextrun"/>
          <w:rFonts w:ascii="Calibri" w:hAnsi="Calibri" w:cs="Calibri"/>
          <w:sz w:val="22"/>
          <w:szCs w:val="22"/>
        </w:rPr>
        <w:t>]</w:t>
      </w:r>
      <w:r w:rsidR="00697CC3">
        <w:rPr>
          <w:rStyle w:val="normaltextrun"/>
          <w:rFonts w:ascii="Calibri" w:hAnsi="Calibri" w:cs="Calibri"/>
          <w:sz w:val="22"/>
          <w:szCs w:val="22"/>
        </w:rPr>
        <w:t xml:space="preserve"> (</w:t>
      </w:r>
      <w:r w:rsidR="00697CC3" w:rsidRPr="000A734C">
        <w:rPr>
          <w:rStyle w:val="normaltextrun"/>
          <w:rFonts w:ascii="Calibri" w:hAnsi="Calibri" w:cs="Calibri"/>
          <w:sz w:val="22"/>
          <w:szCs w:val="22"/>
          <w:highlight w:val="yellow"/>
        </w:rPr>
        <w:t>TBD BASED ON PERCENTAGE VERIFICATION</w:t>
      </w:r>
      <w:r w:rsidR="00B37577">
        <w:rPr>
          <w:rStyle w:val="normaltextrun"/>
          <w:rFonts w:ascii="Calibri" w:hAnsi="Calibri" w:cs="Calibri"/>
          <w:sz w:val="22"/>
          <w:szCs w:val="22"/>
        </w:rPr>
        <w:t>)</w:t>
      </w:r>
      <w:r>
        <w:rPr>
          <w:rStyle w:val="normaltextrun"/>
          <w:rFonts w:ascii="Calibri" w:hAnsi="Calibri" w:cs="Calibri"/>
          <w:sz w:val="22"/>
          <w:szCs w:val="22"/>
        </w:rPr>
        <w:t>.</w:t>
      </w:r>
    </w:p>
    <w:p w14:paraId="3BF5AC98" w14:textId="428D2B68" w:rsidR="00B02D75" w:rsidRDefault="00B02D75" w:rsidP="004D48F5">
      <w:pPr>
        <w:pStyle w:val="paragraph"/>
        <w:numPr>
          <w:ilvl w:val="0"/>
          <w:numId w:val="5"/>
        </w:numPr>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Small utilities</w:t>
      </w:r>
      <w:r w:rsidR="00792ACA">
        <w:rPr>
          <w:rStyle w:val="normaltextrun"/>
          <w:rFonts w:ascii="Calibri" w:hAnsi="Calibri" w:cs="Calibri"/>
          <w:sz w:val="22"/>
          <w:szCs w:val="22"/>
        </w:rPr>
        <w:t xml:space="preserve"> that apply for an award under this program</w:t>
      </w:r>
      <w:r>
        <w:rPr>
          <w:rStyle w:val="normaltextrun"/>
          <w:rFonts w:ascii="Calibri" w:hAnsi="Calibri" w:cs="Calibri"/>
          <w:sz w:val="22"/>
          <w:szCs w:val="22"/>
        </w:rPr>
        <w:t xml:space="preserve"> shall certify they sell not more than 4,000,000 megawatt-hours of electricity and submit all appropriate documentation for Indiana OED to verify compliance. </w:t>
      </w:r>
      <w:r w:rsidR="003804DF">
        <w:rPr>
          <w:rStyle w:val="normaltextrun"/>
          <w:rFonts w:ascii="Calibri" w:hAnsi="Calibri" w:cs="Calibri"/>
          <w:sz w:val="22"/>
          <w:szCs w:val="22"/>
        </w:rPr>
        <w:t>This requirement will be in effect for all small utilities each year</w:t>
      </w:r>
      <w:r w:rsidR="00792ACA">
        <w:rPr>
          <w:rStyle w:val="normaltextrun"/>
          <w:rFonts w:ascii="Calibri" w:hAnsi="Calibri" w:cs="Calibri"/>
          <w:sz w:val="22"/>
          <w:szCs w:val="22"/>
        </w:rPr>
        <w:t xml:space="preserve"> in which a grant application is submitted</w:t>
      </w:r>
      <w:r w:rsidR="003804DF">
        <w:rPr>
          <w:rStyle w:val="normaltextrun"/>
          <w:rFonts w:ascii="Calibri" w:hAnsi="Calibri" w:cs="Calibri"/>
          <w:sz w:val="22"/>
          <w:szCs w:val="22"/>
        </w:rPr>
        <w:t xml:space="preserve">, regardless of whether they </w:t>
      </w:r>
      <w:proofErr w:type="gramStart"/>
      <w:r w:rsidR="00EE4346">
        <w:rPr>
          <w:rStyle w:val="normaltextrun"/>
          <w:rFonts w:ascii="Calibri" w:hAnsi="Calibri" w:cs="Calibri"/>
          <w:sz w:val="22"/>
          <w:szCs w:val="22"/>
        </w:rPr>
        <w:t>submitted an application</w:t>
      </w:r>
      <w:proofErr w:type="gramEnd"/>
      <w:r w:rsidR="00EE4346">
        <w:rPr>
          <w:rStyle w:val="normaltextrun"/>
          <w:rFonts w:ascii="Calibri" w:hAnsi="Calibri" w:cs="Calibri"/>
          <w:sz w:val="22"/>
          <w:szCs w:val="22"/>
        </w:rPr>
        <w:t xml:space="preserve"> or </w:t>
      </w:r>
      <w:r w:rsidR="003804DF">
        <w:rPr>
          <w:rStyle w:val="normaltextrun"/>
          <w:rFonts w:ascii="Calibri" w:hAnsi="Calibri" w:cs="Calibri"/>
          <w:sz w:val="22"/>
          <w:szCs w:val="22"/>
        </w:rPr>
        <w:t>have received an award in a prior year</w:t>
      </w:r>
      <w:r>
        <w:rPr>
          <w:rStyle w:val="normaltextrun"/>
          <w:rFonts w:ascii="Calibri" w:hAnsi="Calibri" w:cs="Calibri"/>
          <w:sz w:val="22"/>
          <w:szCs w:val="22"/>
        </w:rPr>
        <w:t>.</w:t>
      </w:r>
      <w:r>
        <w:rPr>
          <w:rStyle w:val="eop"/>
          <w:rFonts w:ascii="Calibri" w:hAnsi="Calibri" w:cs="Calibri"/>
          <w:sz w:val="22"/>
          <w:szCs w:val="22"/>
        </w:rPr>
        <w:t> </w:t>
      </w:r>
    </w:p>
    <w:p w14:paraId="50400B91" w14:textId="77777777" w:rsidR="00D33568" w:rsidRDefault="00D33568" w:rsidP="00D33568">
      <w:pPr>
        <w:pStyle w:val="paragraph"/>
        <w:spacing w:before="0" w:beforeAutospacing="0" w:after="0" w:afterAutospacing="0"/>
        <w:jc w:val="both"/>
        <w:textAlignment w:val="baseline"/>
        <w:rPr>
          <w:rStyle w:val="eop"/>
          <w:rFonts w:ascii="Calibri" w:hAnsi="Calibri" w:cs="Calibri"/>
          <w:sz w:val="22"/>
          <w:szCs w:val="22"/>
        </w:rPr>
      </w:pPr>
    </w:p>
    <w:p w14:paraId="32FF2AA4" w14:textId="60168C55" w:rsidR="00D33568" w:rsidRPr="001B54F1" w:rsidRDefault="00D33568" w:rsidP="000A734C">
      <w:pPr>
        <w:pStyle w:val="paragraph"/>
        <w:spacing w:before="0" w:beforeAutospacing="0" w:after="0" w:afterAutospacing="0"/>
        <w:jc w:val="both"/>
        <w:textAlignment w:val="baseline"/>
        <w:rPr>
          <w:rStyle w:val="normaltextrun"/>
          <w:rFonts w:ascii="Calibri" w:hAnsi="Calibri" w:cs="Calibri"/>
          <w:sz w:val="22"/>
          <w:szCs w:val="22"/>
        </w:rPr>
      </w:pPr>
      <w:r>
        <w:rPr>
          <w:rStyle w:val="eop"/>
          <w:rFonts w:ascii="Calibri" w:hAnsi="Calibri" w:cs="Calibri"/>
          <w:sz w:val="22"/>
          <w:szCs w:val="22"/>
        </w:rPr>
        <w:t xml:space="preserve">Although this set aside is made exclusively for eligible entities that are classified as small utilities, small utilities </w:t>
      </w:r>
      <w:r w:rsidR="00526026">
        <w:rPr>
          <w:rStyle w:val="eop"/>
          <w:rFonts w:ascii="Calibri" w:hAnsi="Calibri" w:cs="Calibri"/>
          <w:sz w:val="22"/>
          <w:szCs w:val="22"/>
        </w:rPr>
        <w:t>may still receive awards beyond the set aside amount.</w:t>
      </w:r>
    </w:p>
    <w:p w14:paraId="12D9C861" w14:textId="77777777" w:rsidR="004B0232" w:rsidRDefault="004B0232" w:rsidP="004D48F5">
      <w:pPr>
        <w:jc w:val="both"/>
        <w:rPr>
          <w:rFonts w:cstheme="minorHAnsi"/>
          <w:sz w:val="22"/>
          <w:szCs w:val="22"/>
        </w:rPr>
      </w:pPr>
    </w:p>
    <w:p w14:paraId="0A91CB18" w14:textId="3CC70D20" w:rsidR="00C37D89" w:rsidRPr="007A15B1" w:rsidRDefault="00C37D89" w:rsidP="004D48F5">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u w:val="single"/>
        </w:rPr>
        <w:t>Projects must be in Indiana</w:t>
      </w:r>
    </w:p>
    <w:p w14:paraId="16291876" w14:textId="5A5B18F2" w:rsidR="00C37D89" w:rsidRDefault="00C37D89" w:rsidP="004D48F5">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The Indiana OED will ensure that all projects that receive a funding award shall be located within the State of Indiana. Eligible entities must identify the location of the project and the community for which the project benefits</w:t>
      </w:r>
      <w:r w:rsidR="00302277">
        <w:rPr>
          <w:rStyle w:val="normaltextrun"/>
          <w:rFonts w:ascii="Calibri" w:hAnsi="Calibri" w:cs="Calibri"/>
          <w:sz w:val="22"/>
          <w:szCs w:val="22"/>
        </w:rPr>
        <w:t xml:space="preserve"> and confirm that the project and its award will be invested solely in Indiana</w:t>
      </w:r>
      <w:r>
        <w:rPr>
          <w:rStyle w:val="normaltextrun"/>
          <w:rFonts w:ascii="Calibri" w:hAnsi="Calibri" w:cs="Calibri"/>
          <w:sz w:val="22"/>
          <w:szCs w:val="22"/>
        </w:rPr>
        <w:t>. The Indiana OED shall verify the selected project(s) and communities benefited are located within the State of Indiana’s boundaries.</w:t>
      </w:r>
      <w:r>
        <w:rPr>
          <w:rStyle w:val="eop"/>
          <w:rFonts w:ascii="Calibri" w:hAnsi="Calibri" w:cs="Calibri"/>
          <w:sz w:val="22"/>
          <w:szCs w:val="22"/>
        </w:rPr>
        <w:t> </w:t>
      </w:r>
    </w:p>
    <w:p w14:paraId="167E9156" w14:textId="77777777" w:rsidR="00C37D89" w:rsidRDefault="00C37D89" w:rsidP="004D48F5">
      <w:pPr>
        <w:jc w:val="both"/>
        <w:rPr>
          <w:rFonts w:cstheme="minorHAnsi"/>
          <w:sz w:val="22"/>
          <w:szCs w:val="22"/>
        </w:rPr>
      </w:pPr>
    </w:p>
    <w:p w14:paraId="4DB0A972" w14:textId="77777777" w:rsidR="00AF259F" w:rsidRDefault="00AF259F" w:rsidP="00AF259F">
      <w:pPr>
        <w:jc w:val="both"/>
        <w:rPr>
          <w:rStyle w:val="Hyperlink"/>
          <w:rFonts w:cstheme="minorHAnsi"/>
          <w:color w:val="auto"/>
          <w:sz w:val="22"/>
          <w:szCs w:val="22"/>
          <w:u w:val="none"/>
        </w:rPr>
      </w:pPr>
      <w:r w:rsidRPr="00A645D3">
        <w:rPr>
          <w:rStyle w:val="Hyperlink"/>
          <w:rFonts w:cstheme="minorHAnsi"/>
          <w:color w:val="auto"/>
          <w:sz w:val="22"/>
          <w:szCs w:val="22"/>
          <w:highlight w:val="yellow"/>
          <w:u w:val="none"/>
        </w:rPr>
        <w:t>[QUESTIONS FOR STAKEHOLDERS TO CONSIDER]</w:t>
      </w:r>
    </w:p>
    <w:p w14:paraId="275FFF58" w14:textId="4FBE2F9B" w:rsidR="00AF259F" w:rsidRDefault="007860BB" w:rsidP="004D48F5">
      <w:pPr>
        <w:jc w:val="both"/>
        <w:rPr>
          <w:rFonts w:cstheme="minorHAnsi"/>
          <w:sz w:val="22"/>
          <w:szCs w:val="22"/>
        </w:rPr>
      </w:pPr>
      <w:r>
        <w:rPr>
          <w:rFonts w:cstheme="minorHAnsi"/>
          <w:sz w:val="22"/>
          <w:szCs w:val="22"/>
        </w:rPr>
        <w:t xml:space="preserve">1. </w:t>
      </w:r>
      <w:r w:rsidR="00E72845">
        <w:rPr>
          <w:rFonts w:cstheme="minorHAnsi"/>
          <w:sz w:val="22"/>
          <w:szCs w:val="22"/>
        </w:rPr>
        <w:t xml:space="preserve">There may be some subjectivity to what can be construed as “projects that </w:t>
      </w:r>
      <w:r w:rsidR="00701B8D" w:rsidRPr="00701B8D">
        <w:rPr>
          <w:rFonts w:cstheme="minorHAnsi"/>
          <w:sz w:val="22"/>
          <w:szCs w:val="22"/>
        </w:rPr>
        <w:t>will generate the greatest community benefit (whether rural or urban) in reducing the likelihood and consequences of disruptive events.</w:t>
      </w:r>
      <w:r w:rsidR="00701B8D">
        <w:rPr>
          <w:rFonts w:cstheme="minorHAnsi"/>
          <w:sz w:val="22"/>
          <w:szCs w:val="22"/>
        </w:rPr>
        <w:t xml:space="preserve">” What other types of information or data may support </w:t>
      </w:r>
      <w:r w:rsidR="00212B6D">
        <w:rPr>
          <w:rFonts w:cstheme="minorHAnsi"/>
          <w:sz w:val="22"/>
          <w:szCs w:val="22"/>
        </w:rPr>
        <w:t xml:space="preserve">Indiana </w:t>
      </w:r>
      <w:r w:rsidR="00701B8D">
        <w:rPr>
          <w:rFonts w:cstheme="minorHAnsi"/>
          <w:sz w:val="22"/>
          <w:szCs w:val="22"/>
        </w:rPr>
        <w:t>OED in its decision-making to determine whether projects meet that requirement?</w:t>
      </w:r>
    </w:p>
    <w:p w14:paraId="0B9CCDBA" w14:textId="6729B7A3" w:rsidR="002B604C" w:rsidRDefault="002B604C" w:rsidP="004D48F5">
      <w:pPr>
        <w:jc w:val="both"/>
        <w:rPr>
          <w:rFonts w:cstheme="minorHAnsi"/>
          <w:sz w:val="22"/>
          <w:szCs w:val="22"/>
        </w:rPr>
      </w:pPr>
      <w:r>
        <w:rPr>
          <w:rFonts w:cstheme="minorHAnsi"/>
          <w:sz w:val="22"/>
          <w:szCs w:val="22"/>
        </w:rPr>
        <w:t xml:space="preserve">2. The purpose of this section of the Program Narrative is to </w:t>
      </w:r>
      <w:r w:rsidR="006D549C">
        <w:rPr>
          <w:rFonts w:cstheme="minorHAnsi"/>
          <w:sz w:val="22"/>
          <w:szCs w:val="22"/>
        </w:rPr>
        <w:t xml:space="preserve">lay out the overarching criteria that meets federal requirements and which </w:t>
      </w:r>
      <w:r w:rsidR="009D050D">
        <w:rPr>
          <w:rFonts w:cstheme="minorHAnsi"/>
          <w:sz w:val="22"/>
          <w:szCs w:val="22"/>
        </w:rPr>
        <w:t xml:space="preserve">Indiana </w:t>
      </w:r>
      <w:r w:rsidR="006D549C">
        <w:rPr>
          <w:rFonts w:cstheme="minorHAnsi"/>
          <w:sz w:val="22"/>
          <w:szCs w:val="22"/>
        </w:rPr>
        <w:t xml:space="preserve">OED will use to </w:t>
      </w:r>
      <w:r w:rsidR="00A45B9A">
        <w:rPr>
          <w:rFonts w:cstheme="minorHAnsi"/>
          <w:sz w:val="22"/>
          <w:szCs w:val="22"/>
        </w:rPr>
        <w:t>guide decisions for these grid investments</w:t>
      </w:r>
      <w:r w:rsidR="00CF6843">
        <w:rPr>
          <w:rFonts w:cstheme="minorHAnsi"/>
          <w:sz w:val="22"/>
          <w:szCs w:val="22"/>
        </w:rPr>
        <w:t xml:space="preserve">. What additional information </w:t>
      </w:r>
      <w:r w:rsidR="0009329A">
        <w:rPr>
          <w:rFonts w:cstheme="minorHAnsi"/>
          <w:sz w:val="22"/>
          <w:szCs w:val="22"/>
        </w:rPr>
        <w:t xml:space="preserve">or criteria should be utilized </w:t>
      </w:r>
      <w:r w:rsidR="007C2D1E">
        <w:rPr>
          <w:rFonts w:cstheme="minorHAnsi"/>
          <w:sz w:val="22"/>
          <w:szCs w:val="22"/>
        </w:rPr>
        <w:t xml:space="preserve">to help </w:t>
      </w:r>
      <w:r w:rsidR="00F02FAB">
        <w:rPr>
          <w:rFonts w:cstheme="minorHAnsi"/>
          <w:sz w:val="22"/>
          <w:szCs w:val="22"/>
        </w:rPr>
        <w:t xml:space="preserve">Indiana </w:t>
      </w:r>
      <w:r w:rsidR="007C2D1E">
        <w:rPr>
          <w:rFonts w:cstheme="minorHAnsi"/>
          <w:sz w:val="22"/>
          <w:szCs w:val="22"/>
        </w:rPr>
        <w:t>OED achieve its goals?</w:t>
      </w:r>
    </w:p>
    <w:p w14:paraId="43CE2BF6" w14:textId="0C934F8C" w:rsidR="008E42EE" w:rsidRDefault="008E42EE" w:rsidP="008E42EE">
      <w:pPr>
        <w:jc w:val="both"/>
        <w:rPr>
          <w:rStyle w:val="Hyperlink"/>
          <w:rFonts w:cstheme="minorHAnsi"/>
          <w:color w:val="auto"/>
          <w:sz w:val="22"/>
          <w:szCs w:val="22"/>
          <w:u w:val="none"/>
        </w:rPr>
      </w:pPr>
      <w:r>
        <w:rPr>
          <w:rFonts w:cstheme="minorHAnsi"/>
          <w:sz w:val="22"/>
          <w:szCs w:val="22"/>
        </w:rPr>
        <w:t>3. Please provide any additional recommendations that should be addressed in this section to fulfill the requirements of Section 40101(d) and be included in Indiana’s Program Narrative.</w:t>
      </w:r>
    </w:p>
    <w:p w14:paraId="6DB9D6EA" w14:textId="2B96E99D" w:rsidR="00A16E86" w:rsidRDefault="00A16E86" w:rsidP="004D48F5">
      <w:pPr>
        <w:jc w:val="both"/>
        <w:rPr>
          <w:rFonts w:cstheme="minorHAnsi"/>
          <w:sz w:val="22"/>
          <w:szCs w:val="22"/>
        </w:rPr>
      </w:pPr>
    </w:p>
    <w:p w14:paraId="791B14B3" w14:textId="77777777" w:rsidR="00B02D75" w:rsidRPr="009D37F0" w:rsidRDefault="00B02D75" w:rsidP="004D48F5">
      <w:pPr>
        <w:ind w:left="360"/>
        <w:jc w:val="both"/>
        <w:rPr>
          <w:rFonts w:cstheme="minorHAnsi"/>
          <w:sz w:val="22"/>
          <w:szCs w:val="22"/>
        </w:rPr>
      </w:pPr>
    </w:p>
    <w:p w14:paraId="54A37DE8" w14:textId="77777777" w:rsidR="00EF033F" w:rsidRDefault="00EF033F">
      <w:pPr>
        <w:spacing w:after="160" w:line="259" w:lineRule="auto"/>
        <w:rPr>
          <w:rFonts w:cstheme="minorHAnsi"/>
          <w:b/>
          <w:bCs/>
          <w:sz w:val="22"/>
          <w:szCs w:val="22"/>
        </w:rPr>
      </w:pPr>
      <w:r>
        <w:rPr>
          <w:rFonts w:cstheme="minorHAnsi"/>
          <w:b/>
          <w:bCs/>
          <w:sz w:val="22"/>
          <w:szCs w:val="22"/>
        </w:rPr>
        <w:br w:type="page"/>
      </w:r>
    </w:p>
    <w:p w14:paraId="59934471" w14:textId="0343A1D1" w:rsidR="00732046" w:rsidRPr="009D37F0" w:rsidRDefault="004B0232" w:rsidP="004D48F5">
      <w:pPr>
        <w:numPr>
          <w:ilvl w:val="0"/>
          <w:numId w:val="2"/>
        </w:numPr>
        <w:ind w:left="360"/>
        <w:jc w:val="both"/>
        <w:rPr>
          <w:rFonts w:cstheme="minorHAnsi"/>
          <w:b/>
          <w:bCs/>
          <w:sz w:val="22"/>
          <w:szCs w:val="22"/>
        </w:rPr>
      </w:pPr>
      <w:r w:rsidRPr="009D37F0">
        <w:rPr>
          <w:rFonts w:cstheme="minorHAnsi"/>
          <w:b/>
          <w:bCs/>
          <w:sz w:val="22"/>
          <w:szCs w:val="22"/>
        </w:rPr>
        <w:lastRenderedPageBreak/>
        <w:t xml:space="preserve">Methods:  </w:t>
      </w:r>
    </w:p>
    <w:p w14:paraId="2E5EFC25" w14:textId="77777777" w:rsidR="00732046" w:rsidRPr="009D37F0" w:rsidRDefault="00732046" w:rsidP="004D48F5">
      <w:pPr>
        <w:ind w:left="360"/>
        <w:jc w:val="both"/>
        <w:rPr>
          <w:rFonts w:cstheme="minorHAnsi"/>
          <w:sz w:val="22"/>
          <w:szCs w:val="22"/>
        </w:rPr>
      </w:pPr>
    </w:p>
    <w:p w14:paraId="3F4AA8D8" w14:textId="01B59698" w:rsidR="00AF35D3" w:rsidRPr="00B02D75" w:rsidRDefault="00AF35D3" w:rsidP="004D48F5">
      <w:pPr>
        <w:ind w:left="360"/>
        <w:jc w:val="both"/>
        <w:rPr>
          <w:rFonts w:cstheme="minorHAnsi"/>
          <w:i/>
          <w:iCs/>
          <w:color w:val="FF0000"/>
          <w:sz w:val="22"/>
          <w:szCs w:val="22"/>
        </w:rPr>
      </w:pPr>
      <w:r w:rsidRPr="00B02D75">
        <w:rPr>
          <w:rFonts w:cstheme="minorHAnsi"/>
          <w:i/>
          <w:iCs/>
          <w:color w:val="FF0000"/>
          <w:sz w:val="22"/>
          <w:szCs w:val="22"/>
        </w:rPr>
        <w:t>Provide a description of the methods the applicant anticipates using for soliciting, awarding, and distributing funds.  These might include several options, including the use of competitive solicitations, direct awards, and the use of financial instruments, such as Green Banks, to leverage the funds through 40101(d).</w:t>
      </w:r>
    </w:p>
    <w:p w14:paraId="4BFCF944" w14:textId="2F3677CF" w:rsidR="004B0232" w:rsidRPr="00B02D75" w:rsidRDefault="004B0232" w:rsidP="004D48F5">
      <w:pPr>
        <w:ind w:left="360"/>
        <w:jc w:val="both"/>
        <w:rPr>
          <w:rFonts w:cstheme="minorHAnsi"/>
          <w:color w:val="FF0000"/>
          <w:sz w:val="22"/>
          <w:szCs w:val="22"/>
        </w:rPr>
      </w:pPr>
    </w:p>
    <w:p w14:paraId="09AED1BC" w14:textId="77777777" w:rsidR="009D37F0" w:rsidRPr="00B02D75" w:rsidRDefault="009D37F0" w:rsidP="004D48F5">
      <w:pPr>
        <w:spacing w:after="200" w:line="276" w:lineRule="auto"/>
        <w:ind w:left="360"/>
        <w:jc w:val="both"/>
        <w:rPr>
          <w:rFonts w:cstheme="minorHAnsi"/>
          <w:i/>
          <w:iCs/>
          <w:color w:val="FF0000"/>
          <w:sz w:val="22"/>
          <w:szCs w:val="22"/>
        </w:rPr>
      </w:pPr>
      <w:proofErr w:type="gramStart"/>
      <w:r w:rsidRPr="00B02D75">
        <w:rPr>
          <w:rFonts w:cstheme="minorHAnsi"/>
          <w:i/>
          <w:iCs/>
          <w:color w:val="FF0000"/>
          <w:sz w:val="22"/>
          <w:szCs w:val="22"/>
        </w:rPr>
        <w:t>Provide also</w:t>
      </w:r>
      <w:proofErr w:type="gramEnd"/>
      <w:r w:rsidRPr="00B02D75">
        <w:rPr>
          <w:rFonts w:cstheme="minorHAnsi"/>
          <w:i/>
          <w:iCs/>
          <w:color w:val="FF0000"/>
          <w:sz w:val="22"/>
          <w:szCs w:val="22"/>
        </w:rPr>
        <w:t xml:space="preserve"> a description of the methods the applicant anticipates using to track and make public the metrics achieved by awardee uses of program funds to improve resilience by reducing the likelihood and consequences of disruptive events, to generate quality jobs, and to improve equity and community benefits.</w:t>
      </w:r>
    </w:p>
    <w:p w14:paraId="0DDF9271" w14:textId="5D84B2AE" w:rsidR="003C439A" w:rsidRDefault="003C439A" w:rsidP="008B3331">
      <w:pPr>
        <w:jc w:val="both"/>
        <w:rPr>
          <w:rFonts w:cstheme="minorHAnsi"/>
          <w:sz w:val="22"/>
          <w:szCs w:val="22"/>
        </w:rPr>
      </w:pPr>
      <w:r w:rsidRPr="003C439A">
        <w:rPr>
          <w:rFonts w:cstheme="minorHAnsi"/>
          <w:sz w:val="22"/>
          <w:szCs w:val="22"/>
        </w:rPr>
        <w:t xml:space="preserve">The Indiana OED will follow all applicable federal and state procurement procedures to solicit, award, and distribute </w:t>
      </w:r>
      <w:r w:rsidR="001F59D6">
        <w:rPr>
          <w:rFonts w:cstheme="minorHAnsi"/>
          <w:sz w:val="22"/>
          <w:szCs w:val="22"/>
        </w:rPr>
        <w:t xml:space="preserve">grant </w:t>
      </w:r>
      <w:r w:rsidRPr="003C439A">
        <w:rPr>
          <w:rFonts w:cstheme="minorHAnsi"/>
          <w:sz w:val="22"/>
          <w:szCs w:val="22"/>
        </w:rPr>
        <w:t>awards. Eligible entities that want to be considered must also be registered with the State and follow all applicable rules to be able to conduct business with the State</w:t>
      </w:r>
      <w:r w:rsidRPr="003C439A">
        <w:rPr>
          <w:rFonts w:cstheme="minorHAnsi"/>
          <w:sz w:val="22"/>
          <w:szCs w:val="22"/>
          <w:vertAlign w:val="superscript"/>
        </w:rPr>
        <w:footnoteReference w:id="13"/>
      </w:r>
      <w:r w:rsidRPr="003C439A">
        <w:rPr>
          <w:rFonts w:cstheme="minorHAnsi"/>
          <w:sz w:val="22"/>
          <w:szCs w:val="22"/>
        </w:rPr>
        <w:t xml:space="preserve"> and with the federal government as a sub-recipient. </w:t>
      </w:r>
    </w:p>
    <w:p w14:paraId="10278883" w14:textId="77777777" w:rsidR="00D90B6B" w:rsidRDefault="00D90B6B" w:rsidP="008B3331">
      <w:pPr>
        <w:jc w:val="both"/>
        <w:rPr>
          <w:rFonts w:cstheme="minorHAnsi"/>
          <w:sz w:val="22"/>
          <w:szCs w:val="22"/>
        </w:rPr>
      </w:pPr>
    </w:p>
    <w:p w14:paraId="7B735ADF" w14:textId="637737EF" w:rsidR="00D90B6B" w:rsidRDefault="00D90B6B" w:rsidP="008B3331">
      <w:pPr>
        <w:jc w:val="both"/>
        <w:rPr>
          <w:rFonts w:cstheme="minorHAnsi"/>
          <w:sz w:val="22"/>
          <w:szCs w:val="22"/>
        </w:rPr>
      </w:pPr>
      <w:r>
        <w:rPr>
          <w:rFonts w:cstheme="minorHAnsi"/>
          <w:sz w:val="22"/>
          <w:szCs w:val="22"/>
        </w:rPr>
        <w:t>As defined in Section 40101(d)(a)</w:t>
      </w:r>
      <w:r w:rsidR="000F633D">
        <w:rPr>
          <w:rFonts w:cstheme="minorHAnsi"/>
          <w:sz w:val="22"/>
          <w:szCs w:val="22"/>
        </w:rPr>
        <w:t>(2), an “eligible entity” means:</w:t>
      </w:r>
    </w:p>
    <w:p w14:paraId="474894DF" w14:textId="1019E4FD" w:rsidR="000F633D" w:rsidRDefault="000F633D" w:rsidP="000F633D">
      <w:pPr>
        <w:pStyle w:val="ListParagraph"/>
        <w:numPr>
          <w:ilvl w:val="0"/>
          <w:numId w:val="20"/>
        </w:numPr>
        <w:jc w:val="both"/>
        <w:rPr>
          <w:rFonts w:cstheme="minorHAnsi"/>
          <w:sz w:val="22"/>
          <w:szCs w:val="22"/>
        </w:rPr>
      </w:pPr>
      <w:r>
        <w:rPr>
          <w:rFonts w:cstheme="minorHAnsi"/>
          <w:sz w:val="22"/>
          <w:szCs w:val="22"/>
        </w:rPr>
        <w:t xml:space="preserve">An electric grid </w:t>
      </w:r>
      <w:proofErr w:type="gramStart"/>
      <w:r>
        <w:rPr>
          <w:rFonts w:cstheme="minorHAnsi"/>
          <w:sz w:val="22"/>
          <w:szCs w:val="22"/>
        </w:rPr>
        <w:t>operator;</w:t>
      </w:r>
      <w:proofErr w:type="gramEnd"/>
    </w:p>
    <w:p w14:paraId="605E71F7" w14:textId="43CAEF6B" w:rsidR="000F633D" w:rsidRDefault="000F633D" w:rsidP="000F633D">
      <w:pPr>
        <w:pStyle w:val="ListParagraph"/>
        <w:numPr>
          <w:ilvl w:val="0"/>
          <w:numId w:val="20"/>
        </w:numPr>
        <w:jc w:val="both"/>
        <w:rPr>
          <w:rFonts w:cstheme="minorHAnsi"/>
          <w:sz w:val="22"/>
          <w:szCs w:val="22"/>
        </w:rPr>
      </w:pPr>
      <w:r>
        <w:rPr>
          <w:rFonts w:cstheme="minorHAnsi"/>
          <w:sz w:val="22"/>
          <w:szCs w:val="22"/>
        </w:rPr>
        <w:t xml:space="preserve">An electricity storage </w:t>
      </w:r>
      <w:proofErr w:type="gramStart"/>
      <w:r>
        <w:rPr>
          <w:rFonts w:cstheme="minorHAnsi"/>
          <w:sz w:val="22"/>
          <w:szCs w:val="22"/>
        </w:rPr>
        <w:t>operator;</w:t>
      </w:r>
      <w:proofErr w:type="gramEnd"/>
    </w:p>
    <w:p w14:paraId="644F93AE" w14:textId="7E511E30" w:rsidR="000F633D" w:rsidRDefault="000F633D" w:rsidP="000F633D">
      <w:pPr>
        <w:pStyle w:val="ListParagraph"/>
        <w:numPr>
          <w:ilvl w:val="0"/>
          <w:numId w:val="20"/>
        </w:numPr>
        <w:jc w:val="both"/>
        <w:rPr>
          <w:rFonts w:cstheme="minorHAnsi"/>
          <w:sz w:val="22"/>
          <w:szCs w:val="22"/>
        </w:rPr>
      </w:pPr>
      <w:r>
        <w:rPr>
          <w:rFonts w:cstheme="minorHAnsi"/>
          <w:sz w:val="22"/>
          <w:szCs w:val="22"/>
        </w:rPr>
        <w:t xml:space="preserve">An electricity </w:t>
      </w:r>
      <w:proofErr w:type="gramStart"/>
      <w:r>
        <w:rPr>
          <w:rFonts w:cstheme="minorHAnsi"/>
          <w:sz w:val="22"/>
          <w:szCs w:val="22"/>
        </w:rPr>
        <w:t>generator;</w:t>
      </w:r>
      <w:proofErr w:type="gramEnd"/>
    </w:p>
    <w:p w14:paraId="7CB5B6A5" w14:textId="1782C633" w:rsidR="000F633D" w:rsidRDefault="000F633D" w:rsidP="000F633D">
      <w:pPr>
        <w:pStyle w:val="ListParagraph"/>
        <w:numPr>
          <w:ilvl w:val="0"/>
          <w:numId w:val="20"/>
        </w:numPr>
        <w:jc w:val="both"/>
        <w:rPr>
          <w:rFonts w:cstheme="minorHAnsi"/>
          <w:sz w:val="22"/>
          <w:szCs w:val="22"/>
        </w:rPr>
      </w:pPr>
      <w:r>
        <w:rPr>
          <w:rFonts w:cstheme="minorHAnsi"/>
          <w:sz w:val="22"/>
          <w:szCs w:val="22"/>
        </w:rPr>
        <w:t xml:space="preserve">A transmission owner or </w:t>
      </w:r>
      <w:proofErr w:type="gramStart"/>
      <w:r>
        <w:rPr>
          <w:rFonts w:cstheme="minorHAnsi"/>
          <w:sz w:val="22"/>
          <w:szCs w:val="22"/>
        </w:rPr>
        <w:t>operator;</w:t>
      </w:r>
      <w:proofErr w:type="gramEnd"/>
    </w:p>
    <w:p w14:paraId="08C9181E" w14:textId="122F63A2" w:rsidR="000F633D" w:rsidRDefault="000F633D" w:rsidP="000F633D">
      <w:pPr>
        <w:pStyle w:val="ListParagraph"/>
        <w:numPr>
          <w:ilvl w:val="0"/>
          <w:numId w:val="20"/>
        </w:numPr>
        <w:jc w:val="both"/>
        <w:rPr>
          <w:rFonts w:cstheme="minorHAnsi"/>
          <w:sz w:val="22"/>
          <w:szCs w:val="22"/>
        </w:rPr>
      </w:pPr>
      <w:r>
        <w:rPr>
          <w:rFonts w:cstheme="minorHAnsi"/>
          <w:sz w:val="22"/>
          <w:szCs w:val="22"/>
        </w:rPr>
        <w:t xml:space="preserve">A distribution </w:t>
      </w:r>
      <w:proofErr w:type="gramStart"/>
      <w:r>
        <w:rPr>
          <w:rFonts w:cstheme="minorHAnsi"/>
          <w:sz w:val="22"/>
          <w:szCs w:val="22"/>
        </w:rPr>
        <w:t>provider;</w:t>
      </w:r>
      <w:proofErr w:type="gramEnd"/>
    </w:p>
    <w:p w14:paraId="5575923D" w14:textId="544C0348" w:rsidR="000F633D" w:rsidRDefault="000F633D" w:rsidP="000F633D">
      <w:pPr>
        <w:pStyle w:val="ListParagraph"/>
        <w:numPr>
          <w:ilvl w:val="0"/>
          <w:numId w:val="20"/>
        </w:numPr>
        <w:jc w:val="both"/>
        <w:rPr>
          <w:rFonts w:cstheme="minorHAnsi"/>
          <w:sz w:val="22"/>
          <w:szCs w:val="22"/>
        </w:rPr>
      </w:pPr>
      <w:r>
        <w:rPr>
          <w:rFonts w:cstheme="minorHAnsi"/>
          <w:sz w:val="22"/>
          <w:szCs w:val="22"/>
        </w:rPr>
        <w:t>A fuel supplier; and</w:t>
      </w:r>
    </w:p>
    <w:p w14:paraId="55F2D737" w14:textId="7D6B9D47" w:rsidR="000F633D" w:rsidRPr="000A734C" w:rsidRDefault="000F633D" w:rsidP="000A734C">
      <w:pPr>
        <w:pStyle w:val="ListParagraph"/>
        <w:numPr>
          <w:ilvl w:val="0"/>
          <w:numId w:val="20"/>
        </w:numPr>
        <w:jc w:val="both"/>
        <w:rPr>
          <w:rFonts w:cstheme="minorHAnsi"/>
          <w:sz w:val="22"/>
          <w:szCs w:val="22"/>
        </w:rPr>
      </w:pPr>
      <w:r>
        <w:rPr>
          <w:rFonts w:cstheme="minorHAnsi"/>
          <w:sz w:val="22"/>
          <w:szCs w:val="22"/>
        </w:rPr>
        <w:t xml:space="preserve">Any other relevant entity, as determined by the </w:t>
      </w:r>
      <w:r w:rsidR="00F811F9">
        <w:rPr>
          <w:rFonts w:cstheme="minorHAnsi"/>
          <w:sz w:val="22"/>
          <w:szCs w:val="22"/>
        </w:rPr>
        <w:t>(</w:t>
      </w:r>
      <w:r>
        <w:rPr>
          <w:rFonts w:cstheme="minorHAnsi"/>
          <w:sz w:val="22"/>
          <w:szCs w:val="22"/>
        </w:rPr>
        <w:t>U.S. Department of Energy</w:t>
      </w:r>
      <w:r w:rsidR="00F811F9">
        <w:rPr>
          <w:rFonts w:cstheme="minorHAnsi"/>
          <w:sz w:val="22"/>
          <w:szCs w:val="22"/>
        </w:rPr>
        <w:t>) Secretary</w:t>
      </w:r>
      <w:r w:rsidR="00C006DA">
        <w:rPr>
          <w:rFonts w:cstheme="minorHAnsi"/>
          <w:sz w:val="22"/>
          <w:szCs w:val="22"/>
        </w:rPr>
        <w:t>.</w:t>
      </w:r>
    </w:p>
    <w:p w14:paraId="5501B48B" w14:textId="77777777" w:rsidR="003C439A" w:rsidRPr="003C439A" w:rsidRDefault="003C439A" w:rsidP="008B3331">
      <w:pPr>
        <w:jc w:val="both"/>
        <w:rPr>
          <w:rFonts w:cstheme="minorHAnsi"/>
          <w:sz w:val="22"/>
          <w:szCs w:val="22"/>
        </w:rPr>
      </w:pPr>
    </w:p>
    <w:p w14:paraId="3D781AE1" w14:textId="1F2202DB" w:rsidR="003C439A" w:rsidRPr="003C439A" w:rsidRDefault="003C439A" w:rsidP="008B3331">
      <w:pPr>
        <w:jc w:val="both"/>
        <w:rPr>
          <w:rFonts w:cstheme="minorHAnsi"/>
          <w:sz w:val="22"/>
          <w:szCs w:val="22"/>
        </w:rPr>
      </w:pPr>
      <w:r w:rsidRPr="003C439A">
        <w:rPr>
          <w:rFonts w:cstheme="minorHAnsi"/>
          <w:sz w:val="22"/>
          <w:szCs w:val="22"/>
        </w:rPr>
        <w:t xml:space="preserve">The solicitation of funds will be released publicly through an announcement including a press release, posting of information on the Indiana OED’s website, and a listserv that any member of the public or stakeholder can sign up for on the Indiana OED’s website. The Indiana OED will develop a comprehensive competitive grant application process that meets federal and state requirements and aligns with this Program Narrative. This process will </w:t>
      </w:r>
      <w:r w:rsidR="00A52F05">
        <w:rPr>
          <w:rFonts w:cstheme="minorHAnsi"/>
          <w:sz w:val="22"/>
          <w:szCs w:val="22"/>
        </w:rPr>
        <w:t>enable Indiana OED to see</w:t>
      </w:r>
      <w:r w:rsidRPr="003C439A">
        <w:rPr>
          <w:rFonts w:cstheme="minorHAnsi"/>
          <w:sz w:val="22"/>
          <w:szCs w:val="22"/>
        </w:rPr>
        <w:t xml:space="preserve"> a complete picture of the proposed projects and their impacts to </w:t>
      </w:r>
      <w:r w:rsidR="00A52F05">
        <w:rPr>
          <w:rFonts w:cstheme="minorHAnsi"/>
          <w:sz w:val="22"/>
          <w:szCs w:val="22"/>
        </w:rPr>
        <w:t>make determinations to award projects in alignment with the objectives of this Program Narrative</w:t>
      </w:r>
      <w:r w:rsidRPr="003C439A">
        <w:rPr>
          <w:rFonts w:cstheme="minorHAnsi"/>
          <w:sz w:val="22"/>
          <w:szCs w:val="22"/>
        </w:rPr>
        <w:t xml:space="preserve">. </w:t>
      </w:r>
    </w:p>
    <w:p w14:paraId="43ABF02C" w14:textId="77777777" w:rsidR="003C439A" w:rsidRPr="003C439A" w:rsidRDefault="003C439A" w:rsidP="008B3331">
      <w:pPr>
        <w:jc w:val="both"/>
        <w:rPr>
          <w:rFonts w:cstheme="minorHAnsi"/>
          <w:sz w:val="22"/>
          <w:szCs w:val="22"/>
        </w:rPr>
      </w:pPr>
    </w:p>
    <w:p w14:paraId="362997EF" w14:textId="209810C8" w:rsidR="003C439A" w:rsidRPr="003C439A" w:rsidRDefault="003C439A" w:rsidP="008B3331">
      <w:pPr>
        <w:jc w:val="both"/>
        <w:rPr>
          <w:rFonts w:cstheme="minorHAnsi"/>
          <w:sz w:val="22"/>
          <w:szCs w:val="22"/>
        </w:rPr>
      </w:pPr>
      <w:r w:rsidRPr="003C439A">
        <w:rPr>
          <w:rFonts w:cstheme="minorHAnsi"/>
          <w:sz w:val="22"/>
          <w:szCs w:val="22"/>
        </w:rPr>
        <w:t xml:space="preserve">Upon </w:t>
      </w:r>
      <w:r w:rsidR="00D317AA">
        <w:rPr>
          <w:rFonts w:cstheme="minorHAnsi"/>
          <w:sz w:val="22"/>
          <w:szCs w:val="22"/>
        </w:rPr>
        <w:t>verification of federal compliance</w:t>
      </w:r>
      <w:r w:rsidR="00D317AA">
        <w:rPr>
          <w:rStyle w:val="FootnoteReference"/>
          <w:rFonts w:cstheme="minorHAnsi"/>
          <w:sz w:val="22"/>
          <w:szCs w:val="22"/>
        </w:rPr>
        <w:footnoteReference w:id="14"/>
      </w:r>
      <w:r w:rsidR="00D317AA">
        <w:rPr>
          <w:rFonts w:cstheme="minorHAnsi"/>
          <w:sz w:val="22"/>
          <w:szCs w:val="22"/>
        </w:rPr>
        <w:t xml:space="preserve"> and </w:t>
      </w:r>
      <w:r w:rsidRPr="003C439A">
        <w:rPr>
          <w:rFonts w:cstheme="minorHAnsi"/>
          <w:sz w:val="22"/>
          <w:szCs w:val="22"/>
        </w:rPr>
        <w:t xml:space="preserve">approval from the </w:t>
      </w:r>
      <w:r w:rsidR="004D48F5">
        <w:rPr>
          <w:rFonts w:cstheme="minorHAnsi"/>
          <w:sz w:val="22"/>
          <w:szCs w:val="22"/>
        </w:rPr>
        <w:t>DOE</w:t>
      </w:r>
      <w:r w:rsidRPr="003C439A">
        <w:rPr>
          <w:rFonts w:cstheme="minorHAnsi"/>
          <w:sz w:val="22"/>
          <w:szCs w:val="22"/>
        </w:rPr>
        <w:t xml:space="preserve">, selected </w:t>
      </w:r>
      <w:r w:rsidR="003E35FC">
        <w:rPr>
          <w:rFonts w:cstheme="minorHAnsi"/>
          <w:sz w:val="22"/>
          <w:szCs w:val="22"/>
        </w:rPr>
        <w:t xml:space="preserve">eligible </w:t>
      </w:r>
      <w:r w:rsidRPr="003C439A">
        <w:rPr>
          <w:rFonts w:cstheme="minorHAnsi"/>
          <w:sz w:val="22"/>
          <w:szCs w:val="22"/>
        </w:rPr>
        <w:t xml:space="preserve">entities to receive awards will be notified, and a public announcement of selected awards will be announced via a press release, posting of information on the Indiana OED’s website, and </w:t>
      </w:r>
      <w:r w:rsidR="00CE160C">
        <w:rPr>
          <w:rFonts w:cstheme="minorHAnsi"/>
          <w:sz w:val="22"/>
          <w:szCs w:val="22"/>
        </w:rPr>
        <w:t xml:space="preserve">through </w:t>
      </w:r>
      <w:r w:rsidRPr="003C439A">
        <w:rPr>
          <w:rFonts w:cstheme="minorHAnsi"/>
          <w:sz w:val="22"/>
          <w:szCs w:val="22"/>
        </w:rPr>
        <w:t xml:space="preserve">a listserv that any member of the public or stakeholder can sign up for on the Indiana OED’s website. </w:t>
      </w:r>
    </w:p>
    <w:p w14:paraId="74B67E64" w14:textId="77777777" w:rsidR="003C439A" w:rsidRPr="003C439A" w:rsidRDefault="003C439A" w:rsidP="008B3331">
      <w:pPr>
        <w:jc w:val="both"/>
        <w:rPr>
          <w:rFonts w:cstheme="minorHAnsi"/>
          <w:sz w:val="22"/>
          <w:szCs w:val="22"/>
        </w:rPr>
      </w:pPr>
    </w:p>
    <w:p w14:paraId="013B40CC" w14:textId="14049DD3" w:rsidR="00B30D39" w:rsidRDefault="003D1648" w:rsidP="004870A4">
      <w:pPr>
        <w:jc w:val="both"/>
        <w:rPr>
          <w:rFonts w:cstheme="minorHAnsi"/>
          <w:sz w:val="22"/>
          <w:szCs w:val="22"/>
        </w:rPr>
      </w:pPr>
      <w:r>
        <w:rPr>
          <w:rFonts w:cstheme="minorHAnsi"/>
          <w:sz w:val="22"/>
          <w:szCs w:val="22"/>
        </w:rPr>
        <w:t xml:space="preserve">Awarded </w:t>
      </w:r>
      <w:r w:rsidR="003E35FC">
        <w:rPr>
          <w:rFonts w:cstheme="minorHAnsi"/>
          <w:sz w:val="22"/>
          <w:szCs w:val="22"/>
        </w:rPr>
        <w:t>eligible entities</w:t>
      </w:r>
      <w:r w:rsidR="003E35FC" w:rsidRPr="003C439A">
        <w:rPr>
          <w:rFonts w:cstheme="minorHAnsi"/>
          <w:sz w:val="22"/>
          <w:szCs w:val="22"/>
        </w:rPr>
        <w:t xml:space="preserve"> </w:t>
      </w:r>
      <w:r w:rsidR="003C439A" w:rsidRPr="003C439A">
        <w:rPr>
          <w:rFonts w:cstheme="minorHAnsi"/>
          <w:sz w:val="22"/>
          <w:szCs w:val="22"/>
        </w:rPr>
        <w:t>will enter into a sub-grant agreement with the Indiana OED. Projects will be monitored and reported upon quarterly.</w:t>
      </w:r>
      <w:r w:rsidR="00C5085A">
        <w:rPr>
          <w:rFonts w:cstheme="minorHAnsi"/>
          <w:sz w:val="22"/>
          <w:szCs w:val="22"/>
        </w:rPr>
        <w:t xml:space="preserve"> Subrecipients will be required to provided </w:t>
      </w:r>
      <w:r w:rsidR="00EF1BDF">
        <w:rPr>
          <w:rFonts w:cstheme="minorHAnsi"/>
          <w:sz w:val="22"/>
          <w:szCs w:val="22"/>
        </w:rPr>
        <w:t xml:space="preserve">quarterly performance and financial reports describing activities </w:t>
      </w:r>
      <w:r w:rsidR="00CC22EC">
        <w:rPr>
          <w:rFonts w:cstheme="minorHAnsi"/>
          <w:sz w:val="22"/>
          <w:szCs w:val="22"/>
        </w:rPr>
        <w:t xml:space="preserve">completed to date </w:t>
      </w:r>
      <w:r w:rsidR="00EF1BDF">
        <w:rPr>
          <w:rFonts w:cstheme="minorHAnsi"/>
          <w:sz w:val="22"/>
          <w:szCs w:val="22"/>
        </w:rPr>
        <w:t xml:space="preserve">and </w:t>
      </w:r>
      <w:r w:rsidR="00AB0BD9">
        <w:rPr>
          <w:rFonts w:cstheme="minorHAnsi"/>
          <w:sz w:val="22"/>
          <w:szCs w:val="22"/>
        </w:rPr>
        <w:t xml:space="preserve">progress toward </w:t>
      </w:r>
      <w:r w:rsidR="00EF1BDF">
        <w:rPr>
          <w:rFonts w:cstheme="minorHAnsi"/>
          <w:sz w:val="22"/>
          <w:szCs w:val="22"/>
        </w:rPr>
        <w:t>objectives</w:t>
      </w:r>
      <w:r w:rsidR="004870A4">
        <w:rPr>
          <w:rFonts w:cstheme="minorHAnsi"/>
          <w:sz w:val="22"/>
          <w:szCs w:val="22"/>
        </w:rPr>
        <w:t xml:space="preserve"> and </w:t>
      </w:r>
      <w:r w:rsidR="0036493E">
        <w:rPr>
          <w:rFonts w:cstheme="minorHAnsi"/>
          <w:sz w:val="22"/>
          <w:szCs w:val="22"/>
        </w:rPr>
        <w:t>metrics</w:t>
      </w:r>
      <w:r w:rsidR="00EF1BDF">
        <w:rPr>
          <w:rFonts w:cstheme="minorHAnsi"/>
          <w:sz w:val="22"/>
          <w:szCs w:val="22"/>
        </w:rPr>
        <w:t>.</w:t>
      </w:r>
      <w:r w:rsidR="003C439A" w:rsidRPr="003C439A">
        <w:rPr>
          <w:rFonts w:cstheme="minorHAnsi"/>
          <w:sz w:val="22"/>
          <w:szCs w:val="22"/>
        </w:rPr>
        <w:t xml:space="preserve"> </w:t>
      </w:r>
      <w:r w:rsidR="00CC22EC">
        <w:rPr>
          <w:rFonts w:cstheme="minorHAnsi"/>
          <w:sz w:val="22"/>
          <w:szCs w:val="22"/>
        </w:rPr>
        <w:t>Awarded f</w:t>
      </w:r>
      <w:r w:rsidR="003C439A" w:rsidRPr="003C439A">
        <w:rPr>
          <w:rFonts w:cstheme="minorHAnsi"/>
          <w:sz w:val="22"/>
          <w:szCs w:val="22"/>
        </w:rPr>
        <w:t xml:space="preserve">unds </w:t>
      </w:r>
      <w:r w:rsidR="00852723">
        <w:rPr>
          <w:rFonts w:cstheme="minorHAnsi"/>
          <w:sz w:val="22"/>
          <w:szCs w:val="22"/>
        </w:rPr>
        <w:t xml:space="preserve">will </w:t>
      </w:r>
      <w:r w:rsidR="003C439A" w:rsidRPr="003C439A">
        <w:rPr>
          <w:rFonts w:cstheme="minorHAnsi"/>
          <w:sz w:val="22"/>
          <w:szCs w:val="22"/>
        </w:rPr>
        <w:t>be distributed on a</w:t>
      </w:r>
      <w:r w:rsidR="007024F4">
        <w:rPr>
          <w:rFonts w:cstheme="minorHAnsi"/>
          <w:sz w:val="22"/>
          <w:szCs w:val="22"/>
        </w:rPr>
        <w:t xml:space="preserve"> </w:t>
      </w:r>
      <w:r w:rsidR="003C439A" w:rsidRPr="003C439A">
        <w:rPr>
          <w:rFonts w:cstheme="minorHAnsi"/>
          <w:sz w:val="22"/>
          <w:szCs w:val="22"/>
        </w:rPr>
        <w:t xml:space="preserve">reimbursement basis to the subrecipients, upon proof of </w:t>
      </w:r>
      <w:r w:rsidR="003C439A" w:rsidRPr="003C439A">
        <w:rPr>
          <w:rFonts w:cstheme="minorHAnsi"/>
          <w:sz w:val="22"/>
          <w:szCs w:val="22"/>
        </w:rPr>
        <w:lastRenderedPageBreak/>
        <w:t xml:space="preserve">completion of work and a satisfactorily sufficient invoice detailing the work performed. Indiana OED will reserve the right to perform </w:t>
      </w:r>
      <w:r w:rsidR="00720352">
        <w:rPr>
          <w:rFonts w:cstheme="minorHAnsi"/>
          <w:sz w:val="22"/>
          <w:szCs w:val="22"/>
        </w:rPr>
        <w:t>subrecipient oversight activities, including those as required or as may be determine</w:t>
      </w:r>
      <w:r w:rsidR="007406DB">
        <w:rPr>
          <w:rFonts w:cstheme="minorHAnsi"/>
          <w:sz w:val="22"/>
          <w:szCs w:val="22"/>
        </w:rPr>
        <w:t>d</w:t>
      </w:r>
      <w:r w:rsidR="003C439A" w:rsidRPr="003C439A">
        <w:rPr>
          <w:rFonts w:cstheme="minorHAnsi"/>
          <w:sz w:val="22"/>
          <w:szCs w:val="22"/>
        </w:rPr>
        <w:t>. </w:t>
      </w:r>
      <w:r w:rsidR="00966CE1">
        <w:rPr>
          <w:rFonts w:cstheme="minorHAnsi"/>
          <w:sz w:val="22"/>
          <w:szCs w:val="22"/>
        </w:rPr>
        <w:t xml:space="preserve">The Indiana OED </w:t>
      </w:r>
      <w:r w:rsidR="007024F4">
        <w:rPr>
          <w:rFonts w:cstheme="minorHAnsi"/>
          <w:sz w:val="22"/>
          <w:szCs w:val="22"/>
        </w:rPr>
        <w:t>anticipates</w:t>
      </w:r>
      <w:r w:rsidR="00966CE1">
        <w:rPr>
          <w:rFonts w:cstheme="minorHAnsi"/>
          <w:sz w:val="22"/>
          <w:szCs w:val="22"/>
        </w:rPr>
        <w:t xml:space="preserve"> </w:t>
      </w:r>
      <w:r w:rsidR="007024F4">
        <w:rPr>
          <w:rFonts w:cstheme="minorHAnsi"/>
          <w:sz w:val="22"/>
          <w:szCs w:val="22"/>
        </w:rPr>
        <w:t xml:space="preserve">providing </w:t>
      </w:r>
      <w:r w:rsidR="00F96593">
        <w:rPr>
          <w:rFonts w:cstheme="minorHAnsi"/>
          <w:sz w:val="22"/>
          <w:szCs w:val="22"/>
        </w:rPr>
        <w:t>summaries of the awarded projects</w:t>
      </w:r>
      <w:r w:rsidR="00E42E94">
        <w:rPr>
          <w:rFonts w:cstheme="minorHAnsi"/>
          <w:sz w:val="22"/>
          <w:szCs w:val="22"/>
        </w:rPr>
        <w:t xml:space="preserve"> on its public</w:t>
      </w:r>
      <w:r w:rsidR="00480189">
        <w:rPr>
          <w:rFonts w:cstheme="minorHAnsi"/>
          <w:sz w:val="22"/>
          <w:szCs w:val="22"/>
        </w:rPr>
        <w:t xml:space="preserve"> </w:t>
      </w:r>
      <w:r w:rsidR="00E42E94">
        <w:rPr>
          <w:rFonts w:cstheme="minorHAnsi"/>
          <w:sz w:val="22"/>
          <w:szCs w:val="22"/>
        </w:rPr>
        <w:t>website</w:t>
      </w:r>
      <w:r w:rsidR="00B30D39">
        <w:rPr>
          <w:rFonts w:cstheme="minorHAnsi"/>
          <w:sz w:val="22"/>
          <w:szCs w:val="22"/>
        </w:rPr>
        <w:t xml:space="preserve">. </w:t>
      </w:r>
    </w:p>
    <w:p w14:paraId="6F70AD78" w14:textId="77777777" w:rsidR="0073708A" w:rsidRDefault="0073708A" w:rsidP="0073708A">
      <w:pPr>
        <w:jc w:val="both"/>
        <w:rPr>
          <w:rFonts w:cstheme="minorHAnsi"/>
          <w:sz w:val="22"/>
          <w:szCs w:val="22"/>
        </w:rPr>
      </w:pPr>
    </w:p>
    <w:p w14:paraId="0BAD9102" w14:textId="77777777" w:rsidR="0073708A" w:rsidRDefault="0073708A" w:rsidP="0073708A">
      <w:pPr>
        <w:jc w:val="both"/>
        <w:rPr>
          <w:rStyle w:val="Hyperlink"/>
          <w:rFonts w:cstheme="minorHAnsi"/>
          <w:color w:val="auto"/>
          <w:sz w:val="22"/>
          <w:szCs w:val="22"/>
          <w:u w:val="none"/>
        </w:rPr>
      </w:pPr>
      <w:r w:rsidRPr="00A645D3">
        <w:rPr>
          <w:rStyle w:val="Hyperlink"/>
          <w:rFonts w:cstheme="minorHAnsi"/>
          <w:color w:val="auto"/>
          <w:sz w:val="22"/>
          <w:szCs w:val="22"/>
          <w:highlight w:val="yellow"/>
          <w:u w:val="none"/>
        </w:rPr>
        <w:t>[QUESTIONS FOR STAKEHOLDERS TO CONSIDER]</w:t>
      </w:r>
    </w:p>
    <w:p w14:paraId="0FF8EA66" w14:textId="43224342" w:rsidR="0073708A" w:rsidRDefault="00343D46" w:rsidP="001314A1">
      <w:pPr>
        <w:jc w:val="both"/>
        <w:rPr>
          <w:rFonts w:cstheme="minorHAnsi"/>
          <w:sz w:val="22"/>
          <w:szCs w:val="22"/>
        </w:rPr>
      </w:pPr>
      <w:r>
        <w:rPr>
          <w:rFonts w:cstheme="minorHAnsi"/>
          <w:sz w:val="22"/>
          <w:szCs w:val="22"/>
        </w:rPr>
        <w:t xml:space="preserve">1. What other information would be helpful to understand Indiana OED’s intended method for </w:t>
      </w:r>
      <w:r w:rsidR="007B3BBF">
        <w:rPr>
          <w:rFonts w:cstheme="minorHAnsi"/>
          <w:sz w:val="22"/>
          <w:szCs w:val="22"/>
        </w:rPr>
        <w:t>soliciting, awarding, and distributing funds?</w:t>
      </w:r>
    </w:p>
    <w:p w14:paraId="70C174EC" w14:textId="18C6389A" w:rsidR="007B3BBF" w:rsidRDefault="007B3BBF" w:rsidP="001314A1">
      <w:pPr>
        <w:jc w:val="both"/>
        <w:rPr>
          <w:rFonts w:cstheme="minorHAnsi"/>
          <w:sz w:val="22"/>
          <w:szCs w:val="22"/>
        </w:rPr>
      </w:pPr>
      <w:r>
        <w:rPr>
          <w:rFonts w:cstheme="minorHAnsi"/>
          <w:sz w:val="22"/>
          <w:szCs w:val="22"/>
        </w:rPr>
        <w:t xml:space="preserve">2. What other information may be helpful </w:t>
      </w:r>
      <w:r w:rsidR="006E7C9F">
        <w:rPr>
          <w:rFonts w:cstheme="minorHAnsi"/>
          <w:sz w:val="22"/>
          <w:szCs w:val="22"/>
        </w:rPr>
        <w:t>and in what medium</w:t>
      </w:r>
      <w:r w:rsidR="00622DC5">
        <w:rPr>
          <w:rFonts w:cstheme="minorHAnsi"/>
          <w:sz w:val="22"/>
          <w:szCs w:val="22"/>
        </w:rPr>
        <w:t xml:space="preserve"> and frequency</w:t>
      </w:r>
      <w:r w:rsidR="006E7C9F">
        <w:rPr>
          <w:rFonts w:cstheme="minorHAnsi"/>
          <w:sz w:val="22"/>
          <w:szCs w:val="22"/>
        </w:rPr>
        <w:t xml:space="preserve"> to share </w:t>
      </w:r>
      <w:r w:rsidR="005013BF">
        <w:rPr>
          <w:rFonts w:cstheme="minorHAnsi"/>
          <w:sz w:val="22"/>
          <w:szCs w:val="22"/>
        </w:rPr>
        <w:t>about the awarded investments as they awarded over the life of the program?</w:t>
      </w:r>
    </w:p>
    <w:p w14:paraId="68F1F3E4" w14:textId="6E56F372" w:rsidR="00E447B4" w:rsidRDefault="00E447B4" w:rsidP="001314A1">
      <w:pPr>
        <w:jc w:val="both"/>
        <w:rPr>
          <w:rFonts w:cstheme="minorHAnsi"/>
          <w:sz w:val="22"/>
          <w:szCs w:val="22"/>
        </w:rPr>
      </w:pPr>
      <w:r>
        <w:rPr>
          <w:rFonts w:cstheme="minorHAnsi"/>
          <w:sz w:val="22"/>
          <w:szCs w:val="22"/>
        </w:rPr>
        <w:t>3. Are there any other communication mediums the Indiana OED should consider utilizing to share information/updates?</w:t>
      </w:r>
    </w:p>
    <w:p w14:paraId="6313BD37" w14:textId="77777777" w:rsidR="003E35FC" w:rsidRDefault="003E35FC" w:rsidP="003E35FC">
      <w:pPr>
        <w:jc w:val="both"/>
        <w:rPr>
          <w:rStyle w:val="Hyperlink"/>
          <w:rFonts w:cstheme="minorHAnsi"/>
          <w:color w:val="auto"/>
          <w:sz w:val="22"/>
          <w:szCs w:val="22"/>
          <w:u w:val="none"/>
        </w:rPr>
      </w:pPr>
      <w:r>
        <w:rPr>
          <w:rFonts w:cstheme="minorHAnsi"/>
          <w:sz w:val="22"/>
          <w:szCs w:val="22"/>
        </w:rPr>
        <w:t>4. Please provide any additional recommendations that should be addressed in this section to fulfill the requirements of Section 40101(d) and be included in Indiana’s Program Narrative.</w:t>
      </w:r>
    </w:p>
    <w:p w14:paraId="16AB384F" w14:textId="77777777" w:rsidR="003E35FC" w:rsidRPr="000A734C" w:rsidRDefault="003E35FC" w:rsidP="001314A1">
      <w:pPr>
        <w:jc w:val="both"/>
        <w:rPr>
          <w:rFonts w:cstheme="minorHAnsi"/>
          <w:sz w:val="22"/>
          <w:szCs w:val="22"/>
        </w:rPr>
      </w:pPr>
    </w:p>
    <w:p w14:paraId="7BF85A4E" w14:textId="77777777" w:rsidR="00E27DFA" w:rsidRPr="009D37F0" w:rsidRDefault="00E27DFA" w:rsidP="004D48F5">
      <w:pPr>
        <w:ind w:left="360"/>
        <w:jc w:val="both"/>
        <w:rPr>
          <w:rFonts w:cstheme="minorHAnsi"/>
          <w:sz w:val="22"/>
          <w:szCs w:val="22"/>
        </w:rPr>
      </w:pPr>
    </w:p>
    <w:p w14:paraId="3376589B" w14:textId="057D8D78" w:rsidR="00732046" w:rsidRPr="009D37F0" w:rsidRDefault="004B0232" w:rsidP="004D48F5">
      <w:pPr>
        <w:numPr>
          <w:ilvl w:val="0"/>
          <w:numId w:val="2"/>
        </w:numPr>
        <w:ind w:left="360"/>
        <w:jc w:val="both"/>
        <w:rPr>
          <w:rFonts w:cstheme="minorHAnsi"/>
          <w:b/>
          <w:bCs/>
          <w:sz w:val="22"/>
          <w:szCs w:val="22"/>
        </w:rPr>
      </w:pPr>
      <w:r w:rsidRPr="009D37F0">
        <w:rPr>
          <w:rFonts w:cstheme="minorHAnsi"/>
          <w:b/>
          <w:bCs/>
          <w:sz w:val="22"/>
          <w:szCs w:val="22"/>
        </w:rPr>
        <w:t xml:space="preserve">Funding Distribution:  </w:t>
      </w:r>
    </w:p>
    <w:p w14:paraId="38111690" w14:textId="77777777" w:rsidR="00CA7A3F" w:rsidRPr="009D37F0" w:rsidRDefault="00CA7A3F" w:rsidP="004D48F5">
      <w:pPr>
        <w:ind w:left="360"/>
        <w:jc w:val="both"/>
        <w:rPr>
          <w:rFonts w:cstheme="minorHAnsi"/>
          <w:sz w:val="22"/>
          <w:szCs w:val="22"/>
        </w:rPr>
      </w:pPr>
    </w:p>
    <w:p w14:paraId="0D29892B" w14:textId="20ECD0C0" w:rsidR="004B0232" w:rsidRPr="00B02D75" w:rsidRDefault="004B0232" w:rsidP="004D48F5">
      <w:pPr>
        <w:ind w:left="360"/>
        <w:jc w:val="both"/>
        <w:rPr>
          <w:rFonts w:cstheme="minorHAnsi"/>
          <w:i/>
          <w:iCs/>
          <w:color w:val="FF0000"/>
          <w:sz w:val="22"/>
          <w:szCs w:val="22"/>
        </w:rPr>
      </w:pPr>
      <w:r w:rsidRPr="00B02D75">
        <w:rPr>
          <w:rFonts w:cstheme="minorHAnsi"/>
          <w:i/>
          <w:iCs/>
          <w:color w:val="FF0000"/>
          <w:sz w:val="22"/>
          <w:szCs w:val="22"/>
        </w:rPr>
        <w:t xml:space="preserve">Provide a description of the proposed funding distributions and </w:t>
      </w:r>
      <w:r w:rsidR="00470DF2" w:rsidRPr="00B02D75">
        <w:rPr>
          <w:rFonts w:cstheme="minorHAnsi"/>
          <w:i/>
          <w:iCs/>
          <w:color w:val="FF0000"/>
          <w:sz w:val="22"/>
          <w:szCs w:val="22"/>
        </w:rPr>
        <w:t xml:space="preserve">categories of </w:t>
      </w:r>
      <w:r w:rsidRPr="00B02D75">
        <w:rPr>
          <w:rFonts w:cstheme="minorHAnsi"/>
          <w:i/>
          <w:iCs/>
          <w:color w:val="FF0000"/>
          <w:sz w:val="22"/>
          <w:szCs w:val="22"/>
        </w:rPr>
        <w:t xml:space="preserve">recipients of the </w:t>
      </w:r>
      <w:r w:rsidR="00470DF2" w:rsidRPr="00B02D75">
        <w:rPr>
          <w:rFonts w:cstheme="minorHAnsi"/>
          <w:i/>
          <w:iCs/>
          <w:color w:val="FF0000"/>
          <w:sz w:val="22"/>
          <w:szCs w:val="22"/>
        </w:rPr>
        <w:t>sub</w:t>
      </w:r>
      <w:r w:rsidRPr="00B02D75">
        <w:rPr>
          <w:rFonts w:cstheme="minorHAnsi"/>
          <w:i/>
          <w:iCs/>
          <w:color w:val="FF0000"/>
          <w:sz w:val="22"/>
          <w:szCs w:val="22"/>
        </w:rPr>
        <w:t xml:space="preserve">grants to be provided to eligible entities.  Also, indicate preferences for eligible entities if they do not explicitly appear on the list </w:t>
      </w:r>
      <w:r w:rsidR="00470DF2" w:rsidRPr="00B02D75">
        <w:rPr>
          <w:rFonts w:cstheme="minorHAnsi"/>
          <w:i/>
          <w:iCs/>
          <w:color w:val="FF0000"/>
          <w:sz w:val="22"/>
          <w:szCs w:val="22"/>
        </w:rPr>
        <w:t xml:space="preserve">of eligible entities </w:t>
      </w:r>
      <w:r w:rsidRPr="00B02D75">
        <w:rPr>
          <w:rFonts w:cstheme="minorHAnsi"/>
          <w:i/>
          <w:iCs/>
          <w:color w:val="FF0000"/>
          <w:sz w:val="22"/>
          <w:szCs w:val="22"/>
        </w:rPr>
        <w:t>provided in Section 40101.</w:t>
      </w:r>
    </w:p>
    <w:p w14:paraId="64DF06E7" w14:textId="77777777" w:rsidR="00550FFE" w:rsidRDefault="00550FFE" w:rsidP="004D48F5">
      <w:pPr>
        <w:ind w:left="360"/>
        <w:jc w:val="both"/>
        <w:rPr>
          <w:rFonts w:cstheme="minorHAnsi"/>
          <w:i/>
          <w:iCs/>
          <w:sz w:val="22"/>
          <w:szCs w:val="22"/>
        </w:rPr>
      </w:pPr>
    </w:p>
    <w:p w14:paraId="5C200F33" w14:textId="2FC097E7" w:rsidR="00550FFE" w:rsidRDefault="00550FFE" w:rsidP="004D48F5">
      <w:pPr>
        <w:pStyle w:val="paragraph"/>
        <w:spacing w:before="0" w:beforeAutospacing="0" w:after="0" w:afterAutospacing="0"/>
        <w:jc w:val="both"/>
        <w:textAlignment w:val="baseline"/>
        <w:rPr>
          <w:rFonts w:asciiTheme="minorHAnsi" w:hAnsiTheme="minorHAnsi" w:cstheme="minorHAnsi"/>
          <w:sz w:val="22"/>
          <w:szCs w:val="22"/>
        </w:rPr>
      </w:pPr>
      <w:r w:rsidRPr="00374D08">
        <w:rPr>
          <w:rStyle w:val="normaltextrun"/>
          <w:rFonts w:ascii="Calibri" w:hAnsi="Calibri" w:cs="Calibri"/>
          <w:sz w:val="22"/>
          <w:szCs w:val="22"/>
        </w:rPr>
        <w:t xml:space="preserve">Entities eligible for grid resilience funding follows the federal requirements to </w:t>
      </w:r>
      <w:proofErr w:type="gramStart"/>
      <w:r w:rsidRPr="00374D08">
        <w:rPr>
          <w:rStyle w:val="normaltextrun"/>
          <w:rFonts w:ascii="Calibri" w:hAnsi="Calibri" w:cs="Calibri"/>
          <w:sz w:val="22"/>
          <w:szCs w:val="22"/>
        </w:rPr>
        <w:t>include:</w:t>
      </w:r>
      <w:proofErr w:type="gramEnd"/>
      <w:r w:rsidRPr="00374D08">
        <w:rPr>
          <w:rStyle w:val="normaltextrun"/>
          <w:rFonts w:ascii="Calibri" w:hAnsi="Calibri" w:cs="Calibri"/>
          <w:sz w:val="22"/>
          <w:szCs w:val="22"/>
        </w:rPr>
        <w:t xml:space="preserve"> </w:t>
      </w:r>
      <w:r w:rsidRPr="00374D08">
        <w:rPr>
          <w:rFonts w:asciiTheme="minorHAnsi" w:hAnsiTheme="minorHAnsi" w:cstheme="minorHAnsi"/>
          <w:sz w:val="22"/>
          <w:szCs w:val="22"/>
        </w:rPr>
        <w:t>electric grid operators, electricity storage operators, electricity generators, transmission owners or operators, distribution providers, fuel suppliers, or other entity determined by DOE Secretary.</w:t>
      </w:r>
      <w:r w:rsidR="00EB06EE">
        <w:rPr>
          <w:rFonts w:asciiTheme="minorHAnsi" w:hAnsiTheme="minorHAnsi" w:cstheme="minorHAnsi"/>
          <w:sz w:val="22"/>
          <w:szCs w:val="22"/>
        </w:rPr>
        <w:t xml:space="preserve"> </w:t>
      </w:r>
      <w:r w:rsidR="004500F4">
        <w:rPr>
          <w:rFonts w:asciiTheme="minorHAnsi" w:hAnsiTheme="minorHAnsi" w:cstheme="minorHAnsi"/>
          <w:sz w:val="22"/>
          <w:szCs w:val="22"/>
        </w:rPr>
        <w:t>While all who may be eligible</w:t>
      </w:r>
      <w:r w:rsidR="007E3809">
        <w:rPr>
          <w:rFonts w:asciiTheme="minorHAnsi" w:hAnsiTheme="minorHAnsi" w:cstheme="minorHAnsi"/>
          <w:sz w:val="22"/>
          <w:szCs w:val="22"/>
        </w:rPr>
        <w:t xml:space="preserve"> under Section 40101</w:t>
      </w:r>
      <w:r w:rsidR="004500F4">
        <w:rPr>
          <w:rFonts w:asciiTheme="minorHAnsi" w:hAnsiTheme="minorHAnsi" w:cstheme="minorHAnsi"/>
          <w:sz w:val="22"/>
          <w:szCs w:val="22"/>
        </w:rPr>
        <w:t xml:space="preserve"> </w:t>
      </w:r>
      <w:r w:rsidR="004254FC">
        <w:rPr>
          <w:rFonts w:asciiTheme="minorHAnsi" w:hAnsiTheme="minorHAnsi" w:cstheme="minorHAnsi"/>
          <w:sz w:val="22"/>
          <w:szCs w:val="22"/>
        </w:rPr>
        <w:t>can apply, t</w:t>
      </w:r>
      <w:r w:rsidR="00CF5679">
        <w:rPr>
          <w:rFonts w:asciiTheme="minorHAnsi" w:hAnsiTheme="minorHAnsi" w:cstheme="minorHAnsi"/>
          <w:sz w:val="22"/>
          <w:szCs w:val="22"/>
        </w:rPr>
        <w:t>he Indiana OED will give preference to the eligible entities that directly provide electricity to the public</w:t>
      </w:r>
      <w:r w:rsidR="00076E09">
        <w:rPr>
          <w:rFonts w:asciiTheme="minorHAnsi" w:hAnsiTheme="minorHAnsi" w:cstheme="minorHAnsi"/>
          <w:sz w:val="22"/>
          <w:szCs w:val="22"/>
        </w:rPr>
        <w:t xml:space="preserve"> and are considered a public utility under Indiana Code </w:t>
      </w:r>
      <w:r w:rsidR="00F55904">
        <w:rPr>
          <w:rFonts w:asciiTheme="minorHAnsi" w:hAnsiTheme="minorHAnsi" w:cstheme="minorHAnsi"/>
          <w:sz w:val="22"/>
          <w:szCs w:val="22"/>
        </w:rPr>
        <w:t>§ 8-1-2-1</w:t>
      </w:r>
      <w:r w:rsidR="0056176F">
        <w:rPr>
          <w:rFonts w:asciiTheme="minorHAnsi" w:hAnsiTheme="minorHAnsi" w:cstheme="minorHAnsi"/>
          <w:sz w:val="22"/>
          <w:szCs w:val="22"/>
        </w:rPr>
        <w:t xml:space="preserve">. </w:t>
      </w:r>
    </w:p>
    <w:p w14:paraId="6BA418B4" w14:textId="77777777" w:rsidR="006E2278" w:rsidRDefault="006E2278" w:rsidP="004D48F5">
      <w:pPr>
        <w:pStyle w:val="paragraph"/>
        <w:spacing w:before="0" w:beforeAutospacing="0" w:after="0" w:afterAutospacing="0"/>
        <w:jc w:val="both"/>
        <w:textAlignment w:val="baseline"/>
        <w:rPr>
          <w:rFonts w:asciiTheme="minorHAnsi" w:hAnsiTheme="minorHAnsi" w:cstheme="minorHAnsi"/>
          <w:sz w:val="22"/>
          <w:szCs w:val="22"/>
        </w:rPr>
      </w:pPr>
    </w:p>
    <w:p w14:paraId="57368768" w14:textId="28976159" w:rsidR="00ED7972" w:rsidRDefault="00BC35AC" w:rsidP="004D48F5">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Not less than </w:t>
      </w:r>
      <w:r w:rsidR="008E3C76">
        <w:rPr>
          <w:rStyle w:val="normaltextrun"/>
          <w:rFonts w:ascii="Calibri" w:hAnsi="Calibri" w:cs="Calibri"/>
          <w:sz w:val="22"/>
          <w:szCs w:val="22"/>
          <w:highlight w:val="yellow"/>
        </w:rPr>
        <w:t>XX</w:t>
      </w:r>
      <w:r w:rsidRPr="00226836">
        <w:rPr>
          <w:rStyle w:val="normaltextrun"/>
          <w:rFonts w:ascii="Calibri" w:hAnsi="Calibri" w:cs="Calibri"/>
          <w:sz w:val="22"/>
          <w:szCs w:val="22"/>
          <w:highlight w:val="yellow"/>
        </w:rPr>
        <w:t>%</w:t>
      </w:r>
      <w:r>
        <w:rPr>
          <w:rStyle w:val="normaltextrun"/>
          <w:rFonts w:ascii="Calibri" w:hAnsi="Calibri" w:cs="Calibri"/>
          <w:sz w:val="22"/>
          <w:szCs w:val="22"/>
        </w:rPr>
        <w:t xml:space="preserve"> of the total federal formula funds to the state each year shall be allocated to small utilities. Small utilities are defined in Section 2. For the small utilities’ </w:t>
      </w:r>
      <w:r w:rsidR="0019020E">
        <w:rPr>
          <w:rStyle w:val="normaltextrun"/>
          <w:rFonts w:ascii="Calibri" w:hAnsi="Calibri" w:cs="Calibri"/>
          <w:sz w:val="22"/>
          <w:szCs w:val="22"/>
        </w:rPr>
        <w:t>set aside ($[</w:t>
      </w:r>
      <w:r w:rsidR="0019020E" w:rsidRPr="000A734C">
        <w:rPr>
          <w:rStyle w:val="normaltextrun"/>
          <w:rFonts w:ascii="Calibri" w:hAnsi="Calibri" w:cs="Calibri"/>
          <w:sz w:val="22"/>
          <w:szCs w:val="22"/>
          <w:highlight w:val="yellow"/>
        </w:rPr>
        <w:t>INSERT NUMBER</w:t>
      </w:r>
      <w:r w:rsidR="0019020E">
        <w:rPr>
          <w:rStyle w:val="normaltextrun"/>
          <w:rFonts w:ascii="Calibri" w:hAnsi="Calibri" w:cs="Calibri"/>
          <w:sz w:val="22"/>
          <w:szCs w:val="22"/>
        </w:rPr>
        <w:t>])</w:t>
      </w:r>
      <w:r>
        <w:rPr>
          <w:rStyle w:val="normaltextrun"/>
          <w:rFonts w:ascii="Calibri" w:hAnsi="Calibri" w:cs="Calibri"/>
          <w:sz w:val="22"/>
          <w:szCs w:val="22"/>
        </w:rPr>
        <w:t xml:space="preserve">, </w:t>
      </w:r>
      <w:r w:rsidR="0019020E">
        <w:rPr>
          <w:rStyle w:val="normaltextrun"/>
          <w:rFonts w:ascii="Calibri" w:hAnsi="Calibri" w:cs="Calibri"/>
          <w:sz w:val="22"/>
          <w:szCs w:val="22"/>
        </w:rPr>
        <w:t xml:space="preserve">the Indiana </w:t>
      </w:r>
      <w:r>
        <w:rPr>
          <w:rStyle w:val="normaltextrun"/>
          <w:rFonts w:ascii="Calibri" w:hAnsi="Calibri" w:cs="Calibri"/>
          <w:sz w:val="22"/>
          <w:szCs w:val="22"/>
        </w:rPr>
        <w:t xml:space="preserve">OED shall award projects to small utilities until the federal grant dollars available are fully allocated under the set-aside and not to exceed </w:t>
      </w:r>
      <w:r w:rsidR="00B21A14">
        <w:rPr>
          <w:rStyle w:val="normaltextrun"/>
          <w:rFonts w:ascii="Calibri" w:hAnsi="Calibri" w:cs="Calibri"/>
          <w:sz w:val="22"/>
          <w:szCs w:val="22"/>
        </w:rPr>
        <w:t>$750,000</w:t>
      </w:r>
      <w:r>
        <w:rPr>
          <w:rStyle w:val="normaltextrun"/>
          <w:rFonts w:ascii="Calibri" w:hAnsi="Calibri" w:cs="Calibri"/>
          <w:sz w:val="22"/>
          <w:szCs w:val="22"/>
        </w:rPr>
        <w:t xml:space="preserve"> for any one project. </w:t>
      </w:r>
      <w:r w:rsidR="00ED7972">
        <w:rPr>
          <w:rStyle w:val="normaltextrun"/>
          <w:rFonts w:ascii="Calibri" w:hAnsi="Calibri" w:cs="Calibri"/>
          <w:sz w:val="22"/>
          <w:szCs w:val="22"/>
        </w:rPr>
        <w:t xml:space="preserve">Under Section 40101(d)(8), small utilities are required to provide </w:t>
      </w:r>
      <w:r w:rsidR="000F716E">
        <w:rPr>
          <w:rStyle w:val="normaltextrun"/>
          <w:rFonts w:ascii="Calibri" w:hAnsi="Calibri" w:cs="Calibri"/>
          <w:sz w:val="22"/>
          <w:szCs w:val="22"/>
        </w:rPr>
        <w:t xml:space="preserve">cost match of </w:t>
      </w:r>
      <w:r w:rsidR="00BA2D22">
        <w:rPr>
          <w:rStyle w:val="normaltextrun"/>
          <w:rFonts w:ascii="Calibri" w:hAnsi="Calibri" w:cs="Calibri"/>
          <w:sz w:val="22"/>
          <w:szCs w:val="22"/>
        </w:rPr>
        <w:t xml:space="preserve">at least </w:t>
      </w:r>
      <w:r w:rsidR="00ED7972">
        <w:rPr>
          <w:rStyle w:val="normaltextrun"/>
          <w:rFonts w:ascii="Calibri" w:hAnsi="Calibri" w:cs="Calibri"/>
          <w:sz w:val="22"/>
          <w:szCs w:val="22"/>
        </w:rPr>
        <w:t xml:space="preserve">one-third the amount of federal </w:t>
      </w:r>
      <w:r w:rsidR="000A17A5">
        <w:rPr>
          <w:rStyle w:val="normaltextrun"/>
          <w:rFonts w:ascii="Calibri" w:hAnsi="Calibri" w:cs="Calibri"/>
          <w:sz w:val="22"/>
          <w:szCs w:val="22"/>
        </w:rPr>
        <w:t xml:space="preserve">funding. For example, a small utility receiving </w:t>
      </w:r>
      <w:r w:rsidR="00B72FF2">
        <w:rPr>
          <w:rStyle w:val="normaltextrun"/>
          <w:rFonts w:ascii="Calibri" w:hAnsi="Calibri" w:cs="Calibri"/>
          <w:sz w:val="22"/>
          <w:szCs w:val="22"/>
        </w:rPr>
        <w:t xml:space="preserve">a </w:t>
      </w:r>
      <w:r w:rsidR="000A17A5">
        <w:rPr>
          <w:rStyle w:val="normaltextrun"/>
          <w:rFonts w:ascii="Calibri" w:hAnsi="Calibri" w:cs="Calibri"/>
          <w:sz w:val="22"/>
          <w:szCs w:val="22"/>
        </w:rPr>
        <w:t xml:space="preserve">$750,000 federal award shall provide $250,000 in </w:t>
      </w:r>
      <w:r w:rsidR="000F716E">
        <w:rPr>
          <w:rStyle w:val="normaltextrun"/>
          <w:rFonts w:ascii="Calibri" w:hAnsi="Calibri" w:cs="Calibri"/>
          <w:sz w:val="22"/>
          <w:szCs w:val="22"/>
        </w:rPr>
        <w:t xml:space="preserve">cost match. </w:t>
      </w:r>
    </w:p>
    <w:p w14:paraId="4E3EA8A3" w14:textId="77777777" w:rsidR="00ED7972" w:rsidRDefault="00ED7972" w:rsidP="004D48F5">
      <w:pPr>
        <w:pStyle w:val="paragraph"/>
        <w:spacing w:before="0" w:beforeAutospacing="0" w:after="0" w:afterAutospacing="0"/>
        <w:jc w:val="both"/>
        <w:textAlignment w:val="baseline"/>
        <w:rPr>
          <w:rStyle w:val="normaltextrun"/>
          <w:rFonts w:ascii="Calibri" w:hAnsi="Calibri" w:cs="Calibri"/>
          <w:sz w:val="22"/>
          <w:szCs w:val="22"/>
        </w:rPr>
      </w:pPr>
    </w:p>
    <w:p w14:paraId="3E18BB84" w14:textId="527E6C45" w:rsidR="00BC35AC" w:rsidRDefault="00EC65EF" w:rsidP="004D48F5">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Although small utilities are the only eligible entities to receive awards under the small utility set aside, </w:t>
      </w:r>
      <w:r w:rsidR="006B496D">
        <w:rPr>
          <w:rStyle w:val="normaltextrun"/>
          <w:rFonts w:ascii="Calibri" w:hAnsi="Calibri" w:cs="Calibri"/>
          <w:sz w:val="22"/>
          <w:szCs w:val="22"/>
        </w:rPr>
        <w:t>small utilities are not excluded from receiving awards outside of the set-aside. In other words, s</w:t>
      </w:r>
      <w:r w:rsidR="00CB78D0">
        <w:rPr>
          <w:rStyle w:val="normaltextrun"/>
          <w:rFonts w:ascii="Calibri" w:hAnsi="Calibri" w:cs="Calibri"/>
          <w:sz w:val="22"/>
          <w:szCs w:val="22"/>
        </w:rPr>
        <w:t xml:space="preserve">mall utilities may still be eligible for awards even after the small utility set-aside has been exhausted. </w:t>
      </w:r>
      <w:r w:rsidR="00EE0B38">
        <w:rPr>
          <w:rStyle w:val="normaltextrun"/>
          <w:rFonts w:ascii="Calibri" w:hAnsi="Calibri" w:cs="Calibri"/>
          <w:sz w:val="22"/>
          <w:szCs w:val="22"/>
        </w:rPr>
        <w:t xml:space="preserve"> </w:t>
      </w:r>
    </w:p>
    <w:p w14:paraId="55DE7BA9" w14:textId="77777777" w:rsidR="00BC35AC" w:rsidRDefault="00BC35AC" w:rsidP="004D48F5">
      <w:pPr>
        <w:pStyle w:val="paragraph"/>
        <w:spacing w:before="0" w:beforeAutospacing="0" w:after="0" w:afterAutospacing="0"/>
        <w:jc w:val="both"/>
        <w:textAlignment w:val="baseline"/>
        <w:rPr>
          <w:rStyle w:val="normaltextrun"/>
          <w:rFonts w:ascii="Calibri" w:hAnsi="Calibri" w:cs="Calibri"/>
          <w:sz w:val="22"/>
          <w:szCs w:val="22"/>
        </w:rPr>
      </w:pPr>
    </w:p>
    <w:p w14:paraId="78D1F5A4" w14:textId="5AAD31B6" w:rsidR="006E2278" w:rsidRDefault="00BC35AC" w:rsidP="004D48F5">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For the portion of formula funds not set aside for small utilities each year, </w:t>
      </w:r>
      <w:r w:rsidR="0039154C">
        <w:rPr>
          <w:rStyle w:val="normaltextrun"/>
          <w:rFonts w:ascii="Calibri" w:hAnsi="Calibri" w:cs="Calibri"/>
          <w:sz w:val="22"/>
          <w:szCs w:val="22"/>
        </w:rPr>
        <w:t xml:space="preserve">Indiana </w:t>
      </w:r>
      <w:r>
        <w:rPr>
          <w:rStyle w:val="normaltextrun"/>
          <w:rFonts w:ascii="Calibri" w:hAnsi="Calibri" w:cs="Calibri"/>
          <w:sz w:val="22"/>
          <w:szCs w:val="22"/>
        </w:rPr>
        <w:t>OED shall award projects until the federal grant dollars available are fully allocated, not to exceed $2,</w:t>
      </w:r>
      <w:r w:rsidR="00F260AD">
        <w:rPr>
          <w:rStyle w:val="normaltextrun"/>
          <w:rFonts w:ascii="Calibri" w:hAnsi="Calibri" w:cs="Calibri"/>
          <w:sz w:val="22"/>
          <w:szCs w:val="22"/>
        </w:rPr>
        <w:t>0</w:t>
      </w:r>
      <w:r>
        <w:rPr>
          <w:rStyle w:val="normaltextrun"/>
          <w:rFonts w:ascii="Calibri" w:hAnsi="Calibri" w:cs="Calibri"/>
          <w:sz w:val="22"/>
          <w:szCs w:val="22"/>
        </w:rPr>
        <w:t>00,000 for any one project. </w:t>
      </w:r>
      <w:r w:rsidR="003A5F9D">
        <w:rPr>
          <w:rStyle w:val="normaltextrun"/>
          <w:rFonts w:ascii="Calibri" w:hAnsi="Calibri" w:cs="Calibri"/>
          <w:sz w:val="22"/>
          <w:szCs w:val="22"/>
        </w:rPr>
        <w:t xml:space="preserve">Under Section 40101(d)(8), </w:t>
      </w:r>
      <w:r w:rsidR="003E35FC">
        <w:rPr>
          <w:rStyle w:val="normaltextrun"/>
          <w:rFonts w:ascii="Calibri" w:hAnsi="Calibri" w:cs="Calibri"/>
          <w:sz w:val="22"/>
          <w:szCs w:val="22"/>
        </w:rPr>
        <w:t xml:space="preserve">eligible entities </w:t>
      </w:r>
      <w:r w:rsidR="00F82B3A">
        <w:rPr>
          <w:rStyle w:val="normaltextrun"/>
          <w:rFonts w:ascii="Calibri" w:hAnsi="Calibri" w:cs="Calibri"/>
          <w:sz w:val="22"/>
          <w:szCs w:val="22"/>
        </w:rPr>
        <w:t>(</w:t>
      </w:r>
      <w:r w:rsidR="00FD73F8">
        <w:rPr>
          <w:rStyle w:val="normaltextrun"/>
          <w:rFonts w:ascii="Calibri" w:hAnsi="Calibri" w:cs="Calibri"/>
          <w:sz w:val="22"/>
          <w:szCs w:val="22"/>
        </w:rPr>
        <w:t>except for</w:t>
      </w:r>
      <w:r w:rsidR="00F82B3A">
        <w:rPr>
          <w:rStyle w:val="normaltextrun"/>
          <w:rFonts w:ascii="Calibri" w:hAnsi="Calibri" w:cs="Calibri"/>
          <w:sz w:val="22"/>
          <w:szCs w:val="22"/>
        </w:rPr>
        <w:t xml:space="preserve"> small utilities) </w:t>
      </w:r>
      <w:r w:rsidR="00FB4CCE">
        <w:rPr>
          <w:rStyle w:val="normaltextrun"/>
          <w:rFonts w:ascii="Calibri" w:hAnsi="Calibri" w:cs="Calibri"/>
          <w:sz w:val="22"/>
          <w:szCs w:val="22"/>
        </w:rPr>
        <w:t>are required to provide cost match of</w:t>
      </w:r>
      <w:r w:rsidR="00BA2D22">
        <w:rPr>
          <w:rStyle w:val="normaltextrun"/>
          <w:rFonts w:ascii="Calibri" w:hAnsi="Calibri" w:cs="Calibri"/>
          <w:sz w:val="22"/>
          <w:szCs w:val="22"/>
        </w:rPr>
        <w:t xml:space="preserve"> at least</w:t>
      </w:r>
      <w:r w:rsidR="00FB4CCE">
        <w:rPr>
          <w:rStyle w:val="normaltextrun"/>
          <w:rFonts w:ascii="Calibri" w:hAnsi="Calibri" w:cs="Calibri"/>
          <w:sz w:val="22"/>
          <w:szCs w:val="22"/>
        </w:rPr>
        <w:t xml:space="preserve"> 100% of the amount of federal funding. For example, a utility receiving </w:t>
      </w:r>
      <w:r w:rsidR="00B72FF2">
        <w:rPr>
          <w:rStyle w:val="normaltextrun"/>
          <w:rFonts w:ascii="Calibri" w:hAnsi="Calibri" w:cs="Calibri"/>
          <w:sz w:val="22"/>
          <w:szCs w:val="22"/>
        </w:rPr>
        <w:t xml:space="preserve">a </w:t>
      </w:r>
      <w:r w:rsidR="00FB4CCE">
        <w:rPr>
          <w:rStyle w:val="normaltextrun"/>
          <w:rFonts w:ascii="Calibri" w:hAnsi="Calibri" w:cs="Calibri"/>
          <w:sz w:val="22"/>
          <w:szCs w:val="22"/>
        </w:rPr>
        <w:t>$</w:t>
      </w:r>
      <w:r w:rsidR="007904CD">
        <w:rPr>
          <w:rStyle w:val="normaltextrun"/>
          <w:rFonts w:ascii="Calibri" w:hAnsi="Calibri" w:cs="Calibri"/>
          <w:sz w:val="22"/>
          <w:szCs w:val="22"/>
        </w:rPr>
        <w:t>1</w:t>
      </w:r>
      <w:r w:rsidR="00FB4CCE">
        <w:rPr>
          <w:rStyle w:val="normaltextrun"/>
          <w:rFonts w:ascii="Calibri" w:hAnsi="Calibri" w:cs="Calibri"/>
          <w:sz w:val="22"/>
          <w:szCs w:val="22"/>
        </w:rPr>
        <w:t xml:space="preserve">,000,000 </w:t>
      </w:r>
      <w:r w:rsidR="00B72FF2">
        <w:rPr>
          <w:rStyle w:val="normaltextrun"/>
          <w:rFonts w:ascii="Calibri" w:hAnsi="Calibri" w:cs="Calibri"/>
          <w:sz w:val="22"/>
          <w:szCs w:val="22"/>
        </w:rPr>
        <w:t>federal award shall provide $</w:t>
      </w:r>
      <w:r w:rsidR="007904CD">
        <w:rPr>
          <w:rStyle w:val="normaltextrun"/>
          <w:rFonts w:ascii="Calibri" w:hAnsi="Calibri" w:cs="Calibri"/>
          <w:sz w:val="22"/>
          <w:szCs w:val="22"/>
        </w:rPr>
        <w:t>1</w:t>
      </w:r>
      <w:r w:rsidR="00B72FF2">
        <w:rPr>
          <w:rStyle w:val="normaltextrun"/>
          <w:rFonts w:ascii="Calibri" w:hAnsi="Calibri" w:cs="Calibri"/>
          <w:sz w:val="22"/>
          <w:szCs w:val="22"/>
        </w:rPr>
        <w:t xml:space="preserve">,000,000 in cost match. </w:t>
      </w:r>
    </w:p>
    <w:p w14:paraId="6919C241" w14:textId="77777777" w:rsidR="00FA6852" w:rsidRDefault="00FA6852" w:rsidP="004D48F5">
      <w:pPr>
        <w:pStyle w:val="paragraph"/>
        <w:spacing w:before="0" w:beforeAutospacing="0" w:after="0" w:afterAutospacing="0"/>
        <w:jc w:val="both"/>
        <w:textAlignment w:val="baseline"/>
        <w:rPr>
          <w:rStyle w:val="normaltextrun"/>
          <w:rFonts w:ascii="Calibri" w:hAnsi="Calibri" w:cs="Calibri"/>
          <w:sz w:val="22"/>
          <w:szCs w:val="22"/>
        </w:rPr>
      </w:pPr>
    </w:p>
    <w:p w14:paraId="7B545C5D" w14:textId="39407A5C" w:rsidR="0024685C" w:rsidRDefault="0024685C" w:rsidP="0024685C">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Pursuant to Section 40101(e)(2)(B), an eligible entity may not seek cost recovery for the portion of the cost of any system, technology, or equipment that is funded through a grant awarded under the program. However, an eligible entity is not prohibited from recovering through traditional or incentive-based </w:t>
      </w:r>
      <w:r>
        <w:rPr>
          <w:rStyle w:val="normaltextrun"/>
          <w:rFonts w:ascii="Calibri" w:hAnsi="Calibri" w:cs="Calibri"/>
          <w:sz w:val="22"/>
          <w:szCs w:val="22"/>
        </w:rPr>
        <w:lastRenderedPageBreak/>
        <w:t>ratemaking any portion of an investment in a system, technology, or equipment that is not funded by a grant award under this program. For example, if Utility A is a utility that sells more than 4 million MWh receives a $1,000,000 award and provides $1,</w:t>
      </w:r>
      <w:r w:rsidR="003E35FC">
        <w:rPr>
          <w:rStyle w:val="normaltextrun"/>
          <w:rFonts w:ascii="Calibri" w:hAnsi="Calibri" w:cs="Calibri"/>
          <w:sz w:val="22"/>
          <w:szCs w:val="22"/>
        </w:rPr>
        <w:t>000</w:t>
      </w:r>
      <w:r>
        <w:rPr>
          <w:rStyle w:val="normaltextrun"/>
          <w:rFonts w:ascii="Calibri" w:hAnsi="Calibri" w:cs="Calibri"/>
          <w:sz w:val="22"/>
          <w:szCs w:val="22"/>
        </w:rPr>
        <w:t>,000 in matching funds for a total project amount of $2,</w:t>
      </w:r>
      <w:r w:rsidR="003E35FC">
        <w:rPr>
          <w:rStyle w:val="normaltextrun"/>
          <w:rFonts w:ascii="Calibri" w:hAnsi="Calibri" w:cs="Calibri"/>
          <w:sz w:val="22"/>
          <w:szCs w:val="22"/>
        </w:rPr>
        <w:t>000</w:t>
      </w:r>
      <w:r>
        <w:rPr>
          <w:rStyle w:val="normaltextrun"/>
          <w:rFonts w:ascii="Calibri" w:hAnsi="Calibri" w:cs="Calibri"/>
          <w:sz w:val="22"/>
          <w:szCs w:val="22"/>
        </w:rPr>
        <w:t>,000, then Utility A may not recover the $1,000,000 federal award but may ask for cost recovery of the $1,</w:t>
      </w:r>
      <w:r w:rsidR="003E35FC">
        <w:rPr>
          <w:rStyle w:val="normaltextrun"/>
          <w:rFonts w:ascii="Calibri" w:hAnsi="Calibri" w:cs="Calibri"/>
          <w:sz w:val="22"/>
          <w:szCs w:val="22"/>
        </w:rPr>
        <w:t>000</w:t>
      </w:r>
      <w:r>
        <w:rPr>
          <w:rStyle w:val="normaltextrun"/>
          <w:rFonts w:ascii="Calibri" w:hAnsi="Calibri" w:cs="Calibri"/>
          <w:sz w:val="22"/>
          <w:szCs w:val="22"/>
        </w:rPr>
        <w:t xml:space="preserve">,000 match. </w:t>
      </w:r>
    </w:p>
    <w:p w14:paraId="3CA926F6" w14:textId="404888BA" w:rsidR="00A97427" w:rsidRDefault="00A97427" w:rsidP="0024685C">
      <w:pPr>
        <w:pStyle w:val="paragraph"/>
        <w:spacing w:before="0" w:beforeAutospacing="0" w:after="0" w:afterAutospacing="0"/>
        <w:jc w:val="both"/>
        <w:textAlignment w:val="baseline"/>
        <w:rPr>
          <w:rStyle w:val="normaltextrun"/>
          <w:rFonts w:ascii="Calibri" w:hAnsi="Calibri" w:cs="Calibri"/>
          <w:sz w:val="22"/>
          <w:szCs w:val="22"/>
        </w:rPr>
      </w:pPr>
    </w:p>
    <w:p w14:paraId="39B22DD9" w14:textId="0F243C14" w:rsidR="00A97427" w:rsidRDefault="00A97427" w:rsidP="0024685C">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w:t>
      </w:r>
      <w:r w:rsidRPr="00A97427">
        <w:rPr>
          <w:rStyle w:val="normaltextrun"/>
          <w:rFonts w:ascii="Calibri" w:hAnsi="Calibri" w:cs="Calibri"/>
          <w:sz w:val="22"/>
          <w:szCs w:val="22"/>
          <w:highlight w:val="yellow"/>
        </w:rPr>
        <w:t>THE FOLLOWING COST MATCH OPTIONS ARE UNDER CONSIDERATION FOR STATE MATCH. WE ANTICIPATE SELECTING ONE OF THE FOLLOWING OPTIONS.</w:t>
      </w:r>
      <w:r>
        <w:rPr>
          <w:rStyle w:val="normaltextrun"/>
          <w:rFonts w:ascii="Calibri" w:hAnsi="Calibri" w:cs="Calibri"/>
          <w:sz w:val="22"/>
          <w:szCs w:val="22"/>
        </w:rPr>
        <w:t>]</w:t>
      </w:r>
    </w:p>
    <w:p w14:paraId="31595038" w14:textId="77777777" w:rsidR="0024685C" w:rsidRDefault="0024685C" w:rsidP="0024685C">
      <w:pPr>
        <w:pStyle w:val="paragraph"/>
        <w:spacing w:before="0" w:beforeAutospacing="0" w:after="0" w:afterAutospacing="0"/>
        <w:jc w:val="both"/>
        <w:textAlignment w:val="baseline"/>
        <w:rPr>
          <w:rStyle w:val="normaltextrun"/>
          <w:rFonts w:ascii="Calibri" w:hAnsi="Calibri" w:cs="Calibri"/>
          <w:sz w:val="22"/>
          <w:szCs w:val="22"/>
        </w:rPr>
      </w:pPr>
    </w:p>
    <w:p w14:paraId="54A21847" w14:textId="0634C875" w:rsidR="009439F3" w:rsidRDefault="009439F3" w:rsidP="004D48F5">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w:t>
      </w:r>
      <w:r w:rsidRPr="009439F3">
        <w:rPr>
          <w:rStyle w:val="normaltextrun"/>
          <w:rFonts w:ascii="Calibri" w:hAnsi="Calibri" w:cs="Calibri"/>
          <w:sz w:val="22"/>
          <w:szCs w:val="22"/>
          <w:highlight w:val="yellow"/>
        </w:rPr>
        <w:t>COST MATCH OPTION 1</w:t>
      </w:r>
      <w:r>
        <w:rPr>
          <w:rStyle w:val="normaltextrun"/>
          <w:rFonts w:ascii="Calibri" w:hAnsi="Calibri" w:cs="Calibri"/>
          <w:sz w:val="22"/>
          <w:szCs w:val="22"/>
        </w:rPr>
        <w:t>]</w:t>
      </w:r>
    </w:p>
    <w:p w14:paraId="342BA7F2" w14:textId="591EEDC0" w:rsidR="00F56D73" w:rsidRDefault="00553D13" w:rsidP="004D48F5">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Under </w:t>
      </w:r>
      <w:r w:rsidR="005C0610">
        <w:rPr>
          <w:rStyle w:val="normaltextrun"/>
          <w:rFonts w:ascii="Calibri" w:hAnsi="Calibri" w:cs="Calibri"/>
          <w:sz w:val="22"/>
          <w:szCs w:val="22"/>
        </w:rPr>
        <w:t>Section 40101</w:t>
      </w:r>
      <w:r>
        <w:rPr>
          <w:rStyle w:val="normaltextrun"/>
          <w:rFonts w:ascii="Calibri" w:hAnsi="Calibri" w:cs="Calibri"/>
          <w:sz w:val="22"/>
          <w:szCs w:val="22"/>
        </w:rPr>
        <w:t>(d)(8), each State and Indian Tribe is required to match 15</w:t>
      </w:r>
      <w:r w:rsidR="00685E52">
        <w:rPr>
          <w:rStyle w:val="normaltextrun"/>
          <w:rFonts w:ascii="Calibri" w:hAnsi="Calibri" w:cs="Calibri"/>
          <w:sz w:val="22"/>
          <w:szCs w:val="22"/>
        </w:rPr>
        <w:t xml:space="preserve"> percent</w:t>
      </w:r>
      <w:r w:rsidR="004A1CDB">
        <w:rPr>
          <w:rStyle w:val="normaltextrun"/>
          <w:rFonts w:ascii="Calibri" w:hAnsi="Calibri" w:cs="Calibri"/>
          <w:sz w:val="22"/>
          <w:szCs w:val="22"/>
        </w:rPr>
        <w:t xml:space="preserve"> </w:t>
      </w:r>
      <w:r>
        <w:rPr>
          <w:rStyle w:val="normaltextrun"/>
          <w:rFonts w:ascii="Calibri" w:hAnsi="Calibri" w:cs="Calibri"/>
          <w:sz w:val="22"/>
          <w:szCs w:val="22"/>
        </w:rPr>
        <w:t xml:space="preserve">of the </w:t>
      </w:r>
      <w:r w:rsidR="00B474BB">
        <w:rPr>
          <w:rStyle w:val="normaltextrun"/>
          <w:rFonts w:ascii="Calibri" w:hAnsi="Calibri" w:cs="Calibri"/>
          <w:sz w:val="22"/>
          <w:szCs w:val="22"/>
        </w:rPr>
        <w:t>total Federal grant allocation</w:t>
      </w:r>
      <w:r>
        <w:rPr>
          <w:rStyle w:val="normaltextrun"/>
          <w:rFonts w:ascii="Calibri" w:hAnsi="Calibri" w:cs="Calibri"/>
          <w:sz w:val="22"/>
          <w:szCs w:val="22"/>
        </w:rPr>
        <w:t xml:space="preserve"> provided to the State or Indian Tribe under the Program. </w:t>
      </w:r>
      <w:r w:rsidR="00C45E05">
        <w:rPr>
          <w:rStyle w:val="normaltextrun"/>
          <w:rFonts w:ascii="Calibri" w:hAnsi="Calibri" w:cs="Calibri"/>
          <w:sz w:val="22"/>
          <w:szCs w:val="22"/>
        </w:rPr>
        <w:t>For Year 1, Indiana’s 15</w:t>
      </w:r>
      <w:r w:rsidR="00685E52">
        <w:rPr>
          <w:rStyle w:val="normaltextrun"/>
          <w:rFonts w:ascii="Calibri" w:hAnsi="Calibri" w:cs="Calibri"/>
          <w:sz w:val="22"/>
          <w:szCs w:val="22"/>
        </w:rPr>
        <w:t xml:space="preserve"> percent</w:t>
      </w:r>
      <w:r w:rsidR="00C45E05">
        <w:rPr>
          <w:rStyle w:val="normaltextrun"/>
          <w:rFonts w:ascii="Calibri" w:hAnsi="Calibri" w:cs="Calibri"/>
          <w:sz w:val="22"/>
          <w:szCs w:val="22"/>
        </w:rPr>
        <w:t xml:space="preserve"> match </w:t>
      </w:r>
      <w:r w:rsidR="003B2419">
        <w:rPr>
          <w:rStyle w:val="normaltextrun"/>
          <w:rFonts w:ascii="Calibri" w:hAnsi="Calibri" w:cs="Calibri"/>
          <w:sz w:val="22"/>
          <w:szCs w:val="22"/>
        </w:rPr>
        <w:t xml:space="preserve">is </w:t>
      </w:r>
      <w:r w:rsidR="00F82AC0">
        <w:rPr>
          <w:rStyle w:val="normaltextrun"/>
          <w:rFonts w:ascii="Calibri" w:hAnsi="Calibri" w:cs="Calibri"/>
          <w:sz w:val="22"/>
          <w:szCs w:val="22"/>
        </w:rPr>
        <w:t xml:space="preserve">$690,446.40. </w:t>
      </w:r>
      <w:r w:rsidR="004C0FF6">
        <w:rPr>
          <w:rStyle w:val="normaltextrun"/>
          <w:rFonts w:ascii="Calibri" w:hAnsi="Calibri" w:cs="Calibri"/>
          <w:sz w:val="22"/>
          <w:szCs w:val="22"/>
        </w:rPr>
        <w:t xml:space="preserve">However, </w:t>
      </w:r>
      <w:r w:rsidR="0057489C">
        <w:rPr>
          <w:rStyle w:val="normaltextrun"/>
          <w:rFonts w:ascii="Calibri" w:hAnsi="Calibri" w:cs="Calibri"/>
          <w:sz w:val="22"/>
          <w:szCs w:val="22"/>
        </w:rPr>
        <w:t xml:space="preserve">States and Indian Tribes may </w:t>
      </w:r>
      <w:r w:rsidR="00C82553">
        <w:rPr>
          <w:rStyle w:val="normaltextrun"/>
          <w:rFonts w:ascii="Calibri" w:hAnsi="Calibri" w:cs="Calibri"/>
          <w:sz w:val="22"/>
          <w:szCs w:val="22"/>
        </w:rPr>
        <w:t xml:space="preserve">utilize </w:t>
      </w:r>
      <w:r w:rsidR="00523861">
        <w:rPr>
          <w:rStyle w:val="normaltextrun"/>
          <w:rFonts w:ascii="Calibri" w:hAnsi="Calibri" w:cs="Calibri"/>
          <w:sz w:val="22"/>
          <w:szCs w:val="22"/>
        </w:rPr>
        <w:t>excess</w:t>
      </w:r>
      <w:r w:rsidR="00C82553">
        <w:rPr>
          <w:rStyle w:val="normaltextrun"/>
          <w:rFonts w:ascii="Calibri" w:hAnsi="Calibri" w:cs="Calibri"/>
          <w:sz w:val="22"/>
          <w:szCs w:val="22"/>
        </w:rPr>
        <w:t xml:space="preserve"> cost match of eligible entities to cover the state’s portion. Therefore, e</w:t>
      </w:r>
      <w:r w:rsidR="00FA6852">
        <w:rPr>
          <w:rStyle w:val="normaltextrun"/>
          <w:rFonts w:ascii="Calibri" w:hAnsi="Calibri" w:cs="Calibri"/>
          <w:sz w:val="22"/>
          <w:szCs w:val="22"/>
        </w:rPr>
        <w:t xml:space="preserve">ligible entities </w:t>
      </w:r>
      <w:r w:rsidR="009F12CA">
        <w:rPr>
          <w:rStyle w:val="normaltextrun"/>
          <w:rFonts w:ascii="Calibri" w:hAnsi="Calibri" w:cs="Calibri"/>
          <w:sz w:val="22"/>
          <w:szCs w:val="22"/>
        </w:rPr>
        <w:t xml:space="preserve">that are not classified as small utilities </w:t>
      </w:r>
      <w:r w:rsidR="002538B4">
        <w:rPr>
          <w:rStyle w:val="normaltextrun"/>
          <w:rFonts w:ascii="Calibri" w:hAnsi="Calibri" w:cs="Calibri"/>
          <w:sz w:val="22"/>
          <w:szCs w:val="22"/>
        </w:rPr>
        <w:t xml:space="preserve">shall </w:t>
      </w:r>
      <w:r w:rsidR="009F12CA">
        <w:rPr>
          <w:rStyle w:val="normaltextrun"/>
          <w:rFonts w:ascii="Calibri" w:hAnsi="Calibri" w:cs="Calibri"/>
          <w:sz w:val="22"/>
          <w:szCs w:val="22"/>
        </w:rPr>
        <w:t xml:space="preserve">provide </w:t>
      </w:r>
      <w:r w:rsidR="007B1410">
        <w:rPr>
          <w:rStyle w:val="normaltextrun"/>
          <w:rFonts w:ascii="Calibri" w:hAnsi="Calibri" w:cs="Calibri"/>
          <w:sz w:val="22"/>
          <w:szCs w:val="22"/>
        </w:rPr>
        <w:t>a</w:t>
      </w:r>
      <w:r w:rsidR="00A25474">
        <w:rPr>
          <w:rStyle w:val="normaltextrun"/>
          <w:rFonts w:ascii="Calibri" w:hAnsi="Calibri" w:cs="Calibri"/>
          <w:sz w:val="22"/>
          <w:szCs w:val="22"/>
        </w:rPr>
        <w:t>t least</w:t>
      </w:r>
      <w:r w:rsidR="002F729A">
        <w:rPr>
          <w:rStyle w:val="normaltextrun"/>
          <w:rFonts w:ascii="Calibri" w:hAnsi="Calibri" w:cs="Calibri"/>
          <w:sz w:val="22"/>
          <w:szCs w:val="22"/>
        </w:rPr>
        <w:t xml:space="preserve"> </w:t>
      </w:r>
      <w:r w:rsidR="007B1410">
        <w:rPr>
          <w:rStyle w:val="normaltextrun"/>
          <w:rFonts w:ascii="Calibri" w:hAnsi="Calibri" w:cs="Calibri"/>
          <w:sz w:val="22"/>
          <w:szCs w:val="22"/>
        </w:rPr>
        <w:t xml:space="preserve">115% </w:t>
      </w:r>
      <w:r w:rsidR="00A25474">
        <w:rPr>
          <w:rStyle w:val="normaltextrun"/>
          <w:rFonts w:ascii="Calibri" w:hAnsi="Calibri" w:cs="Calibri"/>
          <w:sz w:val="22"/>
          <w:szCs w:val="22"/>
        </w:rPr>
        <w:t xml:space="preserve">in </w:t>
      </w:r>
      <w:r w:rsidR="002F729A">
        <w:rPr>
          <w:rStyle w:val="normaltextrun"/>
          <w:rFonts w:ascii="Calibri" w:hAnsi="Calibri" w:cs="Calibri"/>
          <w:sz w:val="22"/>
          <w:szCs w:val="22"/>
        </w:rPr>
        <w:t xml:space="preserve">cost match </w:t>
      </w:r>
      <w:r w:rsidR="005A25E4">
        <w:rPr>
          <w:rStyle w:val="normaltextrun"/>
          <w:rFonts w:ascii="Calibri" w:hAnsi="Calibri" w:cs="Calibri"/>
          <w:sz w:val="22"/>
          <w:szCs w:val="22"/>
        </w:rPr>
        <w:t xml:space="preserve">of </w:t>
      </w:r>
      <w:r w:rsidR="002538B4">
        <w:rPr>
          <w:rStyle w:val="normaltextrun"/>
          <w:rFonts w:ascii="Calibri" w:hAnsi="Calibri" w:cs="Calibri"/>
          <w:sz w:val="22"/>
          <w:szCs w:val="22"/>
        </w:rPr>
        <w:t xml:space="preserve">the amount of the federal award they receive. </w:t>
      </w:r>
      <w:r w:rsidR="0073447F">
        <w:rPr>
          <w:rStyle w:val="normaltextrun"/>
          <w:rFonts w:ascii="Calibri" w:hAnsi="Calibri" w:cs="Calibri"/>
          <w:sz w:val="22"/>
          <w:szCs w:val="22"/>
        </w:rPr>
        <w:t>For example, if a utility receives a $1 million award</w:t>
      </w:r>
      <w:r w:rsidR="00855E46">
        <w:rPr>
          <w:rStyle w:val="normaltextrun"/>
          <w:rFonts w:ascii="Calibri" w:hAnsi="Calibri" w:cs="Calibri"/>
          <w:sz w:val="22"/>
          <w:szCs w:val="22"/>
        </w:rPr>
        <w:t xml:space="preserve"> </w:t>
      </w:r>
      <w:r w:rsidR="0041255D">
        <w:rPr>
          <w:rStyle w:val="normaltextrun"/>
          <w:rFonts w:ascii="Calibri" w:hAnsi="Calibri" w:cs="Calibri"/>
          <w:sz w:val="22"/>
          <w:szCs w:val="22"/>
        </w:rPr>
        <w:t xml:space="preserve">for a project </w:t>
      </w:r>
      <w:r w:rsidR="00855E46">
        <w:rPr>
          <w:rStyle w:val="normaltextrun"/>
          <w:rFonts w:ascii="Calibri" w:hAnsi="Calibri" w:cs="Calibri"/>
          <w:sz w:val="22"/>
          <w:szCs w:val="22"/>
        </w:rPr>
        <w:t xml:space="preserve">under this program, the </w:t>
      </w:r>
      <w:r w:rsidR="00FC0A40">
        <w:rPr>
          <w:rStyle w:val="normaltextrun"/>
          <w:rFonts w:ascii="Calibri" w:hAnsi="Calibri" w:cs="Calibri"/>
          <w:sz w:val="22"/>
          <w:szCs w:val="22"/>
        </w:rPr>
        <w:t>eligible entity</w:t>
      </w:r>
      <w:r w:rsidR="00855E46">
        <w:rPr>
          <w:rStyle w:val="normaltextrun"/>
          <w:rFonts w:ascii="Calibri" w:hAnsi="Calibri" w:cs="Calibri"/>
          <w:sz w:val="22"/>
          <w:szCs w:val="22"/>
        </w:rPr>
        <w:t xml:space="preserve"> will be required to provide a</w:t>
      </w:r>
      <w:r w:rsidR="0041255D">
        <w:rPr>
          <w:rStyle w:val="normaltextrun"/>
          <w:rFonts w:ascii="Calibri" w:hAnsi="Calibri" w:cs="Calibri"/>
          <w:sz w:val="22"/>
          <w:szCs w:val="22"/>
        </w:rPr>
        <w:t>t least</w:t>
      </w:r>
      <w:r w:rsidR="00855E46">
        <w:rPr>
          <w:rStyle w:val="normaltextrun"/>
          <w:rFonts w:ascii="Calibri" w:hAnsi="Calibri" w:cs="Calibri"/>
          <w:sz w:val="22"/>
          <w:szCs w:val="22"/>
        </w:rPr>
        <w:t xml:space="preserve"> $1,150,000 cost match.</w:t>
      </w:r>
      <w:r w:rsidR="00A036D9">
        <w:rPr>
          <w:rStyle w:val="normaltextrun"/>
          <w:rFonts w:ascii="Calibri" w:hAnsi="Calibri" w:cs="Calibri"/>
          <w:sz w:val="22"/>
          <w:szCs w:val="22"/>
        </w:rPr>
        <w:t xml:space="preserve"> In this case, the total subaward value would be $2,150,000.</w:t>
      </w:r>
      <w:r w:rsidR="00855E46">
        <w:rPr>
          <w:rStyle w:val="normaltextrun"/>
          <w:rFonts w:ascii="Calibri" w:hAnsi="Calibri" w:cs="Calibri"/>
          <w:sz w:val="22"/>
          <w:szCs w:val="22"/>
        </w:rPr>
        <w:t xml:space="preserve"> </w:t>
      </w:r>
      <w:r w:rsidR="0004078C">
        <w:rPr>
          <w:rStyle w:val="normaltextrun"/>
          <w:rFonts w:ascii="Calibri" w:hAnsi="Calibri" w:cs="Calibri"/>
          <w:sz w:val="22"/>
          <w:szCs w:val="22"/>
        </w:rPr>
        <w:t xml:space="preserve">Eligible entities that are considered small utilities will be required to </w:t>
      </w:r>
      <w:r w:rsidR="00762214">
        <w:rPr>
          <w:rStyle w:val="normaltextrun"/>
          <w:rFonts w:ascii="Calibri" w:hAnsi="Calibri" w:cs="Calibri"/>
          <w:sz w:val="22"/>
          <w:szCs w:val="22"/>
        </w:rPr>
        <w:t>match</w:t>
      </w:r>
      <w:r w:rsidR="00A25474">
        <w:rPr>
          <w:rStyle w:val="normaltextrun"/>
          <w:rFonts w:ascii="Calibri" w:hAnsi="Calibri" w:cs="Calibri"/>
          <w:sz w:val="22"/>
          <w:szCs w:val="22"/>
        </w:rPr>
        <w:t xml:space="preserve"> at least 4</w:t>
      </w:r>
      <w:r w:rsidR="00465C73">
        <w:rPr>
          <w:rStyle w:val="normaltextrun"/>
          <w:rFonts w:ascii="Calibri" w:hAnsi="Calibri" w:cs="Calibri"/>
          <w:sz w:val="22"/>
          <w:szCs w:val="22"/>
        </w:rPr>
        <w:t>8.</w:t>
      </w:r>
      <w:r w:rsidR="001131B5">
        <w:rPr>
          <w:rStyle w:val="normaltextrun"/>
          <w:rFonts w:ascii="Calibri" w:hAnsi="Calibri" w:cs="Calibri"/>
          <w:sz w:val="22"/>
          <w:szCs w:val="22"/>
        </w:rPr>
        <w:t>33</w:t>
      </w:r>
      <w:r w:rsidR="00A25474">
        <w:rPr>
          <w:rStyle w:val="normaltextrun"/>
          <w:rFonts w:ascii="Calibri" w:hAnsi="Calibri" w:cs="Calibri"/>
          <w:sz w:val="22"/>
          <w:szCs w:val="22"/>
        </w:rPr>
        <w:t>%</w:t>
      </w:r>
      <w:r>
        <w:rPr>
          <w:rStyle w:val="normaltextrun"/>
          <w:rFonts w:ascii="Calibri" w:hAnsi="Calibri" w:cs="Calibri"/>
          <w:sz w:val="22"/>
          <w:szCs w:val="22"/>
        </w:rPr>
        <w:t xml:space="preserve"> of the amount of the federal award they receive.</w:t>
      </w:r>
      <w:r w:rsidR="00C82553">
        <w:rPr>
          <w:rStyle w:val="normaltextrun"/>
          <w:rFonts w:ascii="Calibri" w:hAnsi="Calibri" w:cs="Calibri"/>
          <w:sz w:val="22"/>
          <w:szCs w:val="22"/>
        </w:rPr>
        <w:t xml:space="preserve"> For example, if a small utility receives</w:t>
      </w:r>
      <w:r w:rsidR="00FC0A40">
        <w:rPr>
          <w:rStyle w:val="normaltextrun"/>
          <w:rFonts w:ascii="Calibri" w:hAnsi="Calibri" w:cs="Calibri"/>
          <w:sz w:val="22"/>
          <w:szCs w:val="22"/>
        </w:rPr>
        <w:t xml:space="preserve"> a $</w:t>
      </w:r>
      <w:r w:rsidR="001131B5">
        <w:rPr>
          <w:rStyle w:val="normaltextrun"/>
          <w:rFonts w:ascii="Calibri" w:hAnsi="Calibri" w:cs="Calibri"/>
          <w:sz w:val="22"/>
          <w:szCs w:val="22"/>
        </w:rPr>
        <w:t>750,000</w:t>
      </w:r>
      <w:r w:rsidR="00FC0A40">
        <w:rPr>
          <w:rStyle w:val="normaltextrun"/>
          <w:rFonts w:ascii="Calibri" w:hAnsi="Calibri" w:cs="Calibri"/>
          <w:sz w:val="22"/>
          <w:szCs w:val="22"/>
        </w:rPr>
        <w:t xml:space="preserve"> award for a project under this program, the small utility will be required </w:t>
      </w:r>
      <w:r w:rsidR="00D30246">
        <w:rPr>
          <w:rStyle w:val="normaltextrun"/>
          <w:rFonts w:ascii="Calibri" w:hAnsi="Calibri" w:cs="Calibri"/>
          <w:sz w:val="22"/>
          <w:szCs w:val="22"/>
        </w:rPr>
        <w:t>to provide at least $</w:t>
      </w:r>
      <w:r w:rsidR="0014292D">
        <w:rPr>
          <w:rStyle w:val="normaltextrun"/>
          <w:rFonts w:ascii="Calibri" w:hAnsi="Calibri" w:cs="Calibri"/>
          <w:sz w:val="22"/>
          <w:szCs w:val="22"/>
        </w:rPr>
        <w:t>362</w:t>
      </w:r>
      <w:r w:rsidR="00D30246">
        <w:rPr>
          <w:rStyle w:val="normaltextrun"/>
          <w:rFonts w:ascii="Calibri" w:hAnsi="Calibri" w:cs="Calibri"/>
          <w:sz w:val="22"/>
          <w:szCs w:val="22"/>
        </w:rPr>
        <w:t>,</w:t>
      </w:r>
      <w:r w:rsidR="0014292D">
        <w:rPr>
          <w:rStyle w:val="normaltextrun"/>
          <w:rFonts w:ascii="Calibri" w:hAnsi="Calibri" w:cs="Calibri"/>
          <w:sz w:val="22"/>
          <w:szCs w:val="22"/>
        </w:rPr>
        <w:t>5</w:t>
      </w:r>
      <w:r w:rsidR="00D30246">
        <w:rPr>
          <w:rStyle w:val="normaltextrun"/>
          <w:rFonts w:ascii="Calibri" w:hAnsi="Calibri" w:cs="Calibri"/>
          <w:sz w:val="22"/>
          <w:szCs w:val="22"/>
        </w:rPr>
        <w:t>00</w:t>
      </w:r>
      <w:r w:rsidR="00A036D9">
        <w:rPr>
          <w:rStyle w:val="normaltextrun"/>
          <w:rFonts w:ascii="Calibri" w:hAnsi="Calibri" w:cs="Calibri"/>
          <w:sz w:val="22"/>
          <w:szCs w:val="22"/>
        </w:rPr>
        <w:t xml:space="preserve">. In this case, the total subaward value would be </w:t>
      </w:r>
      <w:r w:rsidR="00523861">
        <w:rPr>
          <w:rStyle w:val="normaltextrun"/>
          <w:rFonts w:ascii="Calibri" w:hAnsi="Calibri" w:cs="Calibri"/>
          <w:sz w:val="22"/>
          <w:szCs w:val="22"/>
        </w:rPr>
        <w:t>$1,</w:t>
      </w:r>
      <w:r w:rsidR="0082544A">
        <w:rPr>
          <w:rStyle w:val="normaltextrun"/>
          <w:rFonts w:ascii="Calibri" w:hAnsi="Calibri" w:cs="Calibri"/>
          <w:sz w:val="22"/>
          <w:szCs w:val="22"/>
        </w:rPr>
        <w:t>112</w:t>
      </w:r>
      <w:r w:rsidR="00523861">
        <w:rPr>
          <w:rStyle w:val="normaltextrun"/>
          <w:rFonts w:ascii="Calibri" w:hAnsi="Calibri" w:cs="Calibri"/>
          <w:sz w:val="22"/>
          <w:szCs w:val="22"/>
        </w:rPr>
        <w:t>,</w:t>
      </w:r>
      <w:r w:rsidR="00494288">
        <w:rPr>
          <w:rStyle w:val="normaltextrun"/>
          <w:rFonts w:ascii="Calibri" w:hAnsi="Calibri" w:cs="Calibri"/>
          <w:sz w:val="22"/>
          <w:szCs w:val="22"/>
        </w:rPr>
        <w:t>5</w:t>
      </w:r>
      <w:r w:rsidR="00523861">
        <w:rPr>
          <w:rStyle w:val="normaltextrun"/>
          <w:rFonts w:ascii="Calibri" w:hAnsi="Calibri" w:cs="Calibri"/>
          <w:sz w:val="22"/>
          <w:szCs w:val="22"/>
        </w:rPr>
        <w:t>00.</w:t>
      </w:r>
    </w:p>
    <w:p w14:paraId="0F7BCA51" w14:textId="77777777" w:rsidR="00F56D73" w:rsidRDefault="00F56D73" w:rsidP="004D48F5">
      <w:pPr>
        <w:pStyle w:val="paragraph"/>
        <w:spacing w:before="0" w:beforeAutospacing="0" w:after="0" w:afterAutospacing="0"/>
        <w:jc w:val="both"/>
        <w:textAlignment w:val="baseline"/>
        <w:rPr>
          <w:rStyle w:val="normaltextrun"/>
          <w:rFonts w:ascii="Calibri" w:hAnsi="Calibri" w:cs="Calibri"/>
          <w:sz w:val="22"/>
          <w:szCs w:val="22"/>
        </w:rPr>
      </w:pPr>
    </w:p>
    <w:p w14:paraId="151EF615" w14:textId="6C4F38E1" w:rsidR="00FA6852" w:rsidRDefault="00F56D73" w:rsidP="004D48F5">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w:t>
      </w:r>
      <w:r w:rsidRPr="00DE326A">
        <w:rPr>
          <w:rStyle w:val="normaltextrun"/>
          <w:rFonts w:ascii="Calibri" w:hAnsi="Calibri" w:cs="Calibri"/>
          <w:sz w:val="22"/>
          <w:szCs w:val="22"/>
          <w:highlight w:val="yellow"/>
        </w:rPr>
        <w:t>COST MATCH OPTION 2</w:t>
      </w:r>
      <w:r>
        <w:rPr>
          <w:rStyle w:val="normaltextrun"/>
          <w:rFonts w:ascii="Calibri" w:hAnsi="Calibri" w:cs="Calibri"/>
          <w:sz w:val="22"/>
          <w:szCs w:val="22"/>
        </w:rPr>
        <w:t>]</w:t>
      </w:r>
    </w:p>
    <w:p w14:paraId="36460F58" w14:textId="3E5A0C31" w:rsidR="00F56D73" w:rsidRDefault="00B474BB" w:rsidP="004D48F5">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Under Section 40101(d)(8), each State and Indian Tribe is required to match 15 percent of the total Federal grant allocation provided to the State or Indian Tribe under the Program. For Year 1, Indiana’s 15 percent match is $690,446.40. </w:t>
      </w:r>
      <w:r w:rsidR="002844A1">
        <w:rPr>
          <w:rStyle w:val="normaltextrun"/>
          <w:rFonts w:ascii="Calibri" w:hAnsi="Calibri" w:cs="Calibri"/>
          <w:sz w:val="22"/>
          <w:szCs w:val="22"/>
        </w:rPr>
        <w:t xml:space="preserve">The State intends to utilize </w:t>
      </w:r>
      <w:r w:rsidR="00685E52">
        <w:rPr>
          <w:rStyle w:val="normaltextrun"/>
          <w:rFonts w:ascii="Calibri" w:hAnsi="Calibri" w:cs="Calibri"/>
          <w:sz w:val="22"/>
          <w:szCs w:val="22"/>
        </w:rPr>
        <w:t xml:space="preserve">American Rescue Plan Act (ARPA) funding to meet the </w:t>
      </w:r>
      <w:r w:rsidR="00894686">
        <w:rPr>
          <w:rStyle w:val="normaltextrun"/>
          <w:rFonts w:ascii="Calibri" w:hAnsi="Calibri" w:cs="Calibri"/>
          <w:sz w:val="22"/>
          <w:szCs w:val="22"/>
        </w:rPr>
        <w:t>State’s 15 percent match obligation for the Grid Resilience Grant Program.</w:t>
      </w:r>
    </w:p>
    <w:p w14:paraId="4D85AB9A" w14:textId="1C1519D3" w:rsidR="004B67DE" w:rsidRDefault="004B67DE" w:rsidP="004D48F5">
      <w:pPr>
        <w:pStyle w:val="paragraph"/>
        <w:spacing w:before="0" w:beforeAutospacing="0" w:after="0" w:afterAutospacing="0"/>
        <w:jc w:val="both"/>
        <w:textAlignment w:val="baseline"/>
        <w:rPr>
          <w:rStyle w:val="normaltextrun"/>
          <w:rFonts w:ascii="Calibri" w:hAnsi="Calibri" w:cs="Calibri"/>
          <w:sz w:val="22"/>
          <w:szCs w:val="22"/>
        </w:rPr>
      </w:pPr>
    </w:p>
    <w:p w14:paraId="708C7630" w14:textId="6384530C" w:rsidR="004B67DE" w:rsidRDefault="004B67DE" w:rsidP="004D48F5">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w:t>
      </w:r>
      <w:r w:rsidRPr="004B67DE">
        <w:rPr>
          <w:rStyle w:val="normaltextrun"/>
          <w:rFonts w:ascii="Calibri" w:hAnsi="Calibri" w:cs="Calibri"/>
          <w:sz w:val="22"/>
          <w:szCs w:val="22"/>
          <w:highlight w:val="yellow"/>
        </w:rPr>
        <w:t>COST MATCH OPTION 3</w:t>
      </w:r>
      <w:r>
        <w:rPr>
          <w:rStyle w:val="normaltextrun"/>
          <w:rFonts w:ascii="Calibri" w:hAnsi="Calibri" w:cs="Calibri"/>
          <w:sz w:val="22"/>
          <w:szCs w:val="22"/>
        </w:rPr>
        <w:t>]</w:t>
      </w:r>
    </w:p>
    <w:p w14:paraId="6672EE3D" w14:textId="1B07BA0F" w:rsidR="000240A9" w:rsidRDefault="00115266" w:rsidP="004D48F5">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Under Section 40101(d)(8), each State and Indian Tribe is required to match 15 percent of the total Federal grant allocation provided to the State or Indian Tribe under the Program. For Year 1, Indiana’s 15 percent match is $690,446.40. The State intends to utilize funds from the General Fund or other State source of funding</w:t>
      </w:r>
      <w:r w:rsidR="00075FA3">
        <w:rPr>
          <w:rStyle w:val="normaltextrun"/>
          <w:rFonts w:ascii="Calibri" w:hAnsi="Calibri" w:cs="Calibri"/>
          <w:sz w:val="22"/>
          <w:szCs w:val="22"/>
        </w:rPr>
        <w:t xml:space="preserve"> to fulfill the State’s match requirements.</w:t>
      </w:r>
    </w:p>
    <w:p w14:paraId="5FD3CDC2" w14:textId="77777777" w:rsidR="00A87BA0" w:rsidRDefault="00A87BA0" w:rsidP="004D48F5">
      <w:pPr>
        <w:pStyle w:val="paragraph"/>
        <w:spacing w:before="0" w:beforeAutospacing="0" w:after="0" w:afterAutospacing="0"/>
        <w:jc w:val="both"/>
        <w:textAlignment w:val="baseline"/>
        <w:rPr>
          <w:rStyle w:val="normaltextrun"/>
          <w:rFonts w:ascii="Calibri" w:hAnsi="Calibri" w:cs="Calibri"/>
          <w:sz w:val="22"/>
          <w:szCs w:val="22"/>
        </w:rPr>
      </w:pPr>
    </w:p>
    <w:p w14:paraId="6F427F03" w14:textId="20DD2799" w:rsidR="007E3809" w:rsidRDefault="007E3809" w:rsidP="007E3809">
      <w:pPr>
        <w:jc w:val="both"/>
        <w:rPr>
          <w:rStyle w:val="Hyperlink"/>
          <w:rFonts w:cstheme="minorHAnsi"/>
          <w:color w:val="auto"/>
          <w:sz w:val="22"/>
          <w:szCs w:val="22"/>
          <w:u w:val="none"/>
        </w:rPr>
      </w:pPr>
      <w:r w:rsidRPr="00A645D3">
        <w:rPr>
          <w:rStyle w:val="Hyperlink"/>
          <w:rFonts w:cstheme="minorHAnsi"/>
          <w:color w:val="auto"/>
          <w:sz w:val="22"/>
          <w:szCs w:val="22"/>
          <w:highlight w:val="yellow"/>
          <w:u w:val="none"/>
        </w:rPr>
        <w:t>[QUESTIONS FOR STAKEHOLDERS TO CONSIDER]</w:t>
      </w:r>
    </w:p>
    <w:p w14:paraId="11C99BE4" w14:textId="55A8CF57" w:rsidR="007E3809" w:rsidRDefault="007E3809" w:rsidP="004D48F5">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1. </w:t>
      </w:r>
      <w:r w:rsidR="00CA6208">
        <w:rPr>
          <w:rStyle w:val="normaltextrun"/>
          <w:rFonts w:ascii="Calibri" w:hAnsi="Calibri" w:cs="Calibri"/>
          <w:sz w:val="22"/>
          <w:szCs w:val="22"/>
        </w:rPr>
        <w:t>For eligible entities considered small utilities, is</w:t>
      </w:r>
      <w:r w:rsidR="003108C7">
        <w:rPr>
          <w:rStyle w:val="normaltextrun"/>
          <w:rFonts w:ascii="Calibri" w:hAnsi="Calibri" w:cs="Calibri"/>
          <w:sz w:val="22"/>
          <w:szCs w:val="22"/>
        </w:rPr>
        <w:t xml:space="preserve"> a </w:t>
      </w:r>
      <w:r w:rsidR="00DD4963">
        <w:rPr>
          <w:rStyle w:val="normaltextrun"/>
          <w:rFonts w:ascii="Calibri" w:hAnsi="Calibri" w:cs="Calibri"/>
          <w:sz w:val="22"/>
          <w:szCs w:val="22"/>
        </w:rPr>
        <w:t>$750,000</w:t>
      </w:r>
      <w:r w:rsidR="003108C7">
        <w:rPr>
          <w:rStyle w:val="normaltextrun"/>
          <w:rFonts w:ascii="Calibri" w:hAnsi="Calibri" w:cs="Calibri"/>
          <w:sz w:val="22"/>
          <w:szCs w:val="22"/>
        </w:rPr>
        <w:t xml:space="preserve"> limi</w:t>
      </w:r>
      <w:r w:rsidR="00DD4963">
        <w:rPr>
          <w:rStyle w:val="normaltextrun"/>
          <w:rFonts w:ascii="Calibri" w:hAnsi="Calibri" w:cs="Calibri"/>
          <w:sz w:val="22"/>
          <w:szCs w:val="22"/>
        </w:rPr>
        <w:t>t</w:t>
      </w:r>
      <w:r w:rsidR="002D1312">
        <w:rPr>
          <w:rStyle w:val="normaltextrun"/>
          <w:rFonts w:ascii="Calibri" w:hAnsi="Calibri" w:cs="Calibri"/>
          <w:sz w:val="22"/>
          <w:szCs w:val="22"/>
        </w:rPr>
        <w:t xml:space="preserve"> for any one project award under the small utility set-aside</w:t>
      </w:r>
      <w:r w:rsidR="00DD4963">
        <w:rPr>
          <w:rStyle w:val="normaltextrun"/>
          <w:rFonts w:ascii="Calibri" w:hAnsi="Calibri" w:cs="Calibri"/>
          <w:sz w:val="22"/>
          <w:szCs w:val="22"/>
        </w:rPr>
        <w:t xml:space="preserve"> reasonable</w:t>
      </w:r>
      <w:r w:rsidR="003108C7">
        <w:rPr>
          <w:rStyle w:val="normaltextrun"/>
          <w:rFonts w:ascii="Calibri" w:hAnsi="Calibri" w:cs="Calibri"/>
          <w:sz w:val="22"/>
          <w:szCs w:val="22"/>
        </w:rPr>
        <w:t xml:space="preserve">? While the </w:t>
      </w:r>
      <w:r w:rsidR="00243E5E">
        <w:rPr>
          <w:rStyle w:val="normaltextrun"/>
          <w:rFonts w:ascii="Calibri" w:hAnsi="Calibri" w:cs="Calibri"/>
          <w:sz w:val="22"/>
          <w:szCs w:val="22"/>
        </w:rPr>
        <w:t>actual dollar amount for the small utility set-aside is to be determined, we anticipate it will be somewhere around $1.1 million.</w:t>
      </w:r>
      <w:r w:rsidR="00DD4963">
        <w:rPr>
          <w:rStyle w:val="normaltextrun"/>
          <w:rFonts w:ascii="Calibri" w:hAnsi="Calibri" w:cs="Calibri"/>
          <w:sz w:val="22"/>
          <w:szCs w:val="22"/>
        </w:rPr>
        <w:t xml:space="preserve"> Please </w:t>
      </w:r>
      <w:r w:rsidR="004E4CF0">
        <w:rPr>
          <w:rStyle w:val="normaltextrun"/>
          <w:rFonts w:ascii="Calibri" w:hAnsi="Calibri" w:cs="Calibri"/>
          <w:sz w:val="22"/>
          <w:szCs w:val="22"/>
        </w:rPr>
        <w:t>provide feedback in this area</w:t>
      </w:r>
      <w:r w:rsidR="00DD4963">
        <w:rPr>
          <w:rStyle w:val="normaltextrun"/>
          <w:rFonts w:ascii="Calibri" w:hAnsi="Calibri" w:cs="Calibri"/>
          <w:sz w:val="22"/>
          <w:szCs w:val="22"/>
        </w:rPr>
        <w:t>.</w:t>
      </w:r>
    </w:p>
    <w:p w14:paraId="5E7A22E6" w14:textId="4827232F" w:rsidR="00DD4963" w:rsidRDefault="00DD4963" w:rsidP="004D48F5">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2. For eligible entities that are </w:t>
      </w:r>
      <w:r w:rsidRPr="00115266">
        <w:rPr>
          <w:rStyle w:val="normaltextrun"/>
          <w:rFonts w:ascii="Calibri" w:hAnsi="Calibri" w:cs="Calibri"/>
          <w:sz w:val="22"/>
          <w:szCs w:val="22"/>
          <w:u w:val="single"/>
        </w:rPr>
        <w:t>not</w:t>
      </w:r>
      <w:r>
        <w:rPr>
          <w:rStyle w:val="normaltextrun"/>
          <w:rFonts w:ascii="Calibri" w:hAnsi="Calibri" w:cs="Calibri"/>
          <w:sz w:val="22"/>
          <w:szCs w:val="22"/>
        </w:rPr>
        <w:t xml:space="preserve"> considered small utilities, </w:t>
      </w:r>
      <w:r w:rsidR="002D1312">
        <w:rPr>
          <w:rStyle w:val="normaltextrun"/>
          <w:rFonts w:ascii="Calibri" w:hAnsi="Calibri" w:cs="Calibri"/>
          <w:sz w:val="22"/>
          <w:szCs w:val="22"/>
        </w:rPr>
        <w:t xml:space="preserve">is a $2 million limit for any one project reasonable? </w:t>
      </w:r>
      <w:r w:rsidR="004E4CF0">
        <w:rPr>
          <w:rStyle w:val="normaltextrun"/>
          <w:rFonts w:ascii="Calibri" w:hAnsi="Calibri" w:cs="Calibri"/>
          <w:sz w:val="22"/>
          <w:szCs w:val="22"/>
        </w:rPr>
        <w:t>Please provide feedback in this area.</w:t>
      </w:r>
    </w:p>
    <w:p w14:paraId="1EB7C5BF" w14:textId="7C1E34D4" w:rsidR="004E4CF0" w:rsidRDefault="004E4CF0" w:rsidP="004D48F5">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3. </w:t>
      </w:r>
      <w:r w:rsidR="00D13589">
        <w:rPr>
          <w:rStyle w:val="normaltextrun"/>
          <w:rFonts w:ascii="Calibri" w:hAnsi="Calibri" w:cs="Calibri"/>
          <w:sz w:val="22"/>
          <w:szCs w:val="22"/>
        </w:rPr>
        <w:t xml:space="preserve">The cost match options shall be finalized in consultation with the relevant fiscal agencies. </w:t>
      </w:r>
      <w:r w:rsidR="00DC357E">
        <w:rPr>
          <w:rStyle w:val="normaltextrun"/>
          <w:rFonts w:ascii="Calibri" w:hAnsi="Calibri" w:cs="Calibri"/>
          <w:sz w:val="22"/>
          <w:szCs w:val="22"/>
        </w:rPr>
        <w:t xml:space="preserve">However, pursuant to DOE guidance, these three options are available to States for consideration. </w:t>
      </w:r>
      <w:r w:rsidR="00075FA3">
        <w:rPr>
          <w:rStyle w:val="normaltextrun"/>
          <w:rFonts w:ascii="Calibri" w:hAnsi="Calibri" w:cs="Calibri"/>
          <w:sz w:val="22"/>
          <w:szCs w:val="22"/>
        </w:rPr>
        <w:t>P</w:t>
      </w:r>
      <w:r>
        <w:rPr>
          <w:rStyle w:val="normaltextrun"/>
          <w:rFonts w:ascii="Calibri" w:hAnsi="Calibri" w:cs="Calibri"/>
          <w:sz w:val="22"/>
          <w:szCs w:val="22"/>
        </w:rPr>
        <w:t xml:space="preserve">lease provide feedback on the </w:t>
      </w:r>
      <w:r w:rsidR="00075FA3">
        <w:rPr>
          <w:rStyle w:val="normaltextrun"/>
          <w:rFonts w:ascii="Calibri" w:hAnsi="Calibri" w:cs="Calibri"/>
          <w:sz w:val="22"/>
          <w:szCs w:val="22"/>
        </w:rPr>
        <w:t xml:space="preserve">three potential cost match </w:t>
      </w:r>
      <w:r w:rsidR="00DC357E">
        <w:rPr>
          <w:rStyle w:val="normaltextrun"/>
          <w:rFonts w:ascii="Calibri" w:hAnsi="Calibri" w:cs="Calibri"/>
          <w:sz w:val="22"/>
          <w:szCs w:val="22"/>
        </w:rPr>
        <w:t xml:space="preserve">options. </w:t>
      </w:r>
      <w:r w:rsidR="00C14F18">
        <w:rPr>
          <w:rStyle w:val="normaltextrun"/>
          <w:rFonts w:ascii="Calibri" w:hAnsi="Calibri" w:cs="Calibri"/>
          <w:sz w:val="22"/>
          <w:szCs w:val="22"/>
        </w:rPr>
        <w:t xml:space="preserve">For eligible entities, especially small </w:t>
      </w:r>
      <w:r w:rsidR="00172E6A">
        <w:rPr>
          <w:rStyle w:val="normaltextrun"/>
          <w:rFonts w:ascii="Calibri" w:hAnsi="Calibri" w:cs="Calibri"/>
          <w:sz w:val="22"/>
          <w:szCs w:val="22"/>
        </w:rPr>
        <w:t>utilities</w:t>
      </w:r>
      <w:r w:rsidR="00C14F18">
        <w:rPr>
          <w:rStyle w:val="normaltextrun"/>
          <w:rFonts w:ascii="Calibri" w:hAnsi="Calibri" w:cs="Calibri"/>
          <w:sz w:val="22"/>
          <w:szCs w:val="22"/>
        </w:rPr>
        <w:t xml:space="preserve">, please provide feedback on whether and to what extent this </w:t>
      </w:r>
      <w:r w:rsidR="00E104B2">
        <w:rPr>
          <w:rStyle w:val="normaltextrun"/>
          <w:rFonts w:ascii="Calibri" w:hAnsi="Calibri" w:cs="Calibri"/>
          <w:sz w:val="22"/>
          <w:szCs w:val="22"/>
        </w:rPr>
        <w:t>Cost Match Option 1</w:t>
      </w:r>
      <w:r w:rsidR="00C14F18">
        <w:rPr>
          <w:rStyle w:val="normaltextrun"/>
          <w:rFonts w:ascii="Calibri" w:hAnsi="Calibri" w:cs="Calibri"/>
          <w:sz w:val="22"/>
          <w:szCs w:val="22"/>
        </w:rPr>
        <w:t xml:space="preserve"> may impact your </w:t>
      </w:r>
      <w:r w:rsidR="00172E6A">
        <w:rPr>
          <w:rStyle w:val="normaltextrun"/>
          <w:rFonts w:ascii="Calibri" w:hAnsi="Calibri" w:cs="Calibri"/>
          <w:sz w:val="22"/>
          <w:szCs w:val="22"/>
        </w:rPr>
        <w:t>ability to apply for this funding opportunity.</w:t>
      </w:r>
    </w:p>
    <w:p w14:paraId="4B70822D" w14:textId="77777777" w:rsidR="003E35FC" w:rsidRDefault="003E35FC" w:rsidP="003E35FC">
      <w:pPr>
        <w:jc w:val="both"/>
        <w:rPr>
          <w:rStyle w:val="Hyperlink"/>
          <w:rFonts w:cstheme="minorHAnsi"/>
          <w:color w:val="auto"/>
          <w:sz w:val="22"/>
          <w:szCs w:val="22"/>
          <w:u w:val="none"/>
        </w:rPr>
      </w:pPr>
      <w:r>
        <w:rPr>
          <w:rFonts w:cstheme="minorHAnsi"/>
          <w:sz w:val="22"/>
          <w:szCs w:val="22"/>
        </w:rPr>
        <w:t>4. Please provide any additional recommendations that should be addressed in this section to fulfill the requirements of Section 40101(d) and be included in Indiana’s Program Narrative.</w:t>
      </w:r>
    </w:p>
    <w:p w14:paraId="11D87006" w14:textId="77777777" w:rsidR="004B0232" w:rsidRPr="009D37F0" w:rsidRDefault="004B0232" w:rsidP="004D48F5">
      <w:pPr>
        <w:pStyle w:val="ListParagraph"/>
        <w:ind w:left="360"/>
        <w:jc w:val="both"/>
        <w:rPr>
          <w:rFonts w:cstheme="minorHAnsi"/>
          <w:sz w:val="22"/>
          <w:szCs w:val="22"/>
        </w:rPr>
      </w:pPr>
    </w:p>
    <w:p w14:paraId="20403DF4" w14:textId="4580EF28" w:rsidR="00CA7A3F" w:rsidRPr="009D37F0" w:rsidRDefault="00BF4BE1" w:rsidP="004D48F5">
      <w:pPr>
        <w:numPr>
          <w:ilvl w:val="0"/>
          <w:numId w:val="2"/>
        </w:numPr>
        <w:ind w:left="360"/>
        <w:jc w:val="both"/>
        <w:rPr>
          <w:rFonts w:cstheme="minorHAnsi"/>
          <w:b/>
          <w:bCs/>
          <w:sz w:val="22"/>
          <w:szCs w:val="22"/>
        </w:rPr>
      </w:pPr>
      <w:r w:rsidRPr="009D37F0">
        <w:rPr>
          <w:rFonts w:cstheme="minorHAnsi"/>
          <w:b/>
          <w:bCs/>
          <w:sz w:val="22"/>
          <w:szCs w:val="22"/>
        </w:rPr>
        <w:lastRenderedPageBreak/>
        <w:t xml:space="preserve">Equity </w:t>
      </w:r>
      <w:r w:rsidR="00A60878" w:rsidRPr="009D37F0">
        <w:rPr>
          <w:rFonts w:cstheme="minorHAnsi"/>
          <w:b/>
          <w:bCs/>
          <w:sz w:val="22"/>
          <w:szCs w:val="22"/>
        </w:rPr>
        <w:t>Approach</w:t>
      </w:r>
      <w:r w:rsidRPr="009D37F0">
        <w:rPr>
          <w:rFonts w:cstheme="minorHAnsi"/>
          <w:b/>
          <w:bCs/>
          <w:sz w:val="22"/>
          <w:szCs w:val="22"/>
        </w:rPr>
        <w:t xml:space="preserve">:  </w:t>
      </w:r>
    </w:p>
    <w:p w14:paraId="36CC4553" w14:textId="77777777" w:rsidR="00CA7A3F" w:rsidRPr="009D37F0" w:rsidRDefault="00CA7A3F" w:rsidP="004D48F5">
      <w:pPr>
        <w:ind w:left="360"/>
        <w:jc w:val="both"/>
        <w:rPr>
          <w:rFonts w:cstheme="minorHAnsi"/>
          <w:sz w:val="22"/>
          <w:szCs w:val="22"/>
        </w:rPr>
      </w:pPr>
    </w:p>
    <w:p w14:paraId="3CEE4A2D" w14:textId="710137D0" w:rsidR="00A60878" w:rsidRPr="00B02D75" w:rsidRDefault="00A60878" w:rsidP="004D48F5">
      <w:pPr>
        <w:ind w:left="360"/>
        <w:jc w:val="both"/>
        <w:rPr>
          <w:rFonts w:cstheme="minorHAnsi"/>
          <w:i/>
          <w:iCs/>
          <w:color w:val="FF0000"/>
          <w:sz w:val="22"/>
          <w:szCs w:val="22"/>
        </w:rPr>
      </w:pPr>
      <w:r w:rsidRPr="00B02D75">
        <w:rPr>
          <w:rFonts w:cstheme="minorHAnsi"/>
          <w:i/>
          <w:iCs/>
          <w:color w:val="FF0000"/>
          <w:sz w:val="22"/>
          <w:szCs w:val="22"/>
        </w:rPr>
        <w:t>To achieve the greatest impact for all Americans with this once-in-a-generation investment in infrastructure, it is critical that the BIL-funded projects not only contribute to the country’s energy technology and climate goals, but also (1) support the BIL objectives to invest in America’s workforce by including specific elements to accelerate job growth and job quality, including approaches to give workers a free and fair choice to join or form a union; and (2) advance DOE’s equity, environmental and energy justice priorities, including DOE’s commitment to the Justice40 Initiative.  Accordingly, the Program Narrative must describe how the State or Indian Tribe will ensure their proposed project will incorporate:</w:t>
      </w:r>
    </w:p>
    <w:p w14:paraId="1CA0808F" w14:textId="77777777" w:rsidR="00A60878" w:rsidRPr="00B02D75" w:rsidRDefault="00A60878" w:rsidP="004D48F5">
      <w:pPr>
        <w:ind w:left="1080"/>
        <w:jc w:val="both"/>
        <w:rPr>
          <w:rFonts w:cstheme="minorHAnsi"/>
          <w:i/>
          <w:iCs/>
          <w:color w:val="FF0000"/>
          <w:sz w:val="22"/>
          <w:szCs w:val="22"/>
        </w:rPr>
      </w:pPr>
    </w:p>
    <w:p w14:paraId="5470AA1E" w14:textId="77777777" w:rsidR="00A60878" w:rsidRPr="00B02D75" w:rsidRDefault="00A60878" w:rsidP="004D48F5">
      <w:pPr>
        <w:numPr>
          <w:ilvl w:val="1"/>
          <w:numId w:val="3"/>
        </w:numPr>
        <w:ind w:left="1080"/>
        <w:jc w:val="both"/>
        <w:rPr>
          <w:rFonts w:cstheme="minorHAnsi"/>
          <w:i/>
          <w:iCs/>
          <w:color w:val="FF0000"/>
          <w:sz w:val="22"/>
          <w:szCs w:val="22"/>
        </w:rPr>
      </w:pPr>
      <w:r w:rsidRPr="00B02D75">
        <w:rPr>
          <w:rFonts w:cstheme="minorHAnsi"/>
          <w:i/>
          <w:iCs/>
          <w:color w:val="FF0000"/>
          <w:sz w:val="22"/>
          <w:szCs w:val="22"/>
        </w:rPr>
        <w:t xml:space="preserve">Quality Jobs: Strengthening prosperity by expanding good-paying, safe jobs accessible to all workers and supporting job growth through investments in domestic supply chains is a key goal set by President Biden, discussed in depth in his Executive Orders on Ensuring the Future Is Made in All of America by All of America's Workers (EO 14005), Tackling the Climate Crisis at Home and Abroad (EO 14008), Worker Organizing and Empowerment (EO 14025), Boosting Quality of Federal Construction Contracts (EO 14063), Promoting Competition in the American Economy (EO 14036), and Implementing the Infrastructure Investment and Jobs Act (EO 14052). Accordingly, this section of the Program Narrative should address efforts to achieve these goals, including </w:t>
      </w:r>
    </w:p>
    <w:p w14:paraId="013B1546" w14:textId="77777777" w:rsidR="00A60878" w:rsidRPr="00B02D75" w:rsidRDefault="00A60878" w:rsidP="004D48F5">
      <w:pPr>
        <w:numPr>
          <w:ilvl w:val="2"/>
          <w:numId w:val="3"/>
        </w:numPr>
        <w:ind w:left="1800"/>
        <w:jc w:val="both"/>
        <w:rPr>
          <w:rFonts w:cstheme="minorHAnsi"/>
          <w:i/>
          <w:iCs/>
          <w:color w:val="FF0000"/>
          <w:sz w:val="22"/>
          <w:szCs w:val="22"/>
        </w:rPr>
      </w:pPr>
      <w:r w:rsidRPr="00B02D75">
        <w:rPr>
          <w:rFonts w:cstheme="minorHAnsi"/>
          <w:i/>
          <w:iCs/>
          <w:color w:val="FF0000"/>
          <w:sz w:val="22"/>
          <w:szCs w:val="22"/>
        </w:rPr>
        <w:t>efforts to attract, train, and retain a skilled workforce and</w:t>
      </w:r>
    </w:p>
    <w:p w14:paraId="52ABBFC6" w14:textId="77777777" w:rsidR="00A60878" w:rsidRPr="00B02D75" w:rsidRDefault="00A60878" w:rsidP="004D48F5">
      <w:pPr>
        <w:numPr>
          <w:ilvl w:val="2"/>
          <w:numId w:val="3"/>
        </w:numPr>
        <w:ind w:left="1800"/>
        <w:jc w:val="both"/>
        <w:rPr>
          <w:rFonts w:cstheme="minorHAnsi"/>
          <w:i/>
          <w:iCs/>
          <w:color w:val="FF0000"/>
          <w:sz w:val="22"/>
          <w:szCs w:val="22"/>
        </w:rPr>
      </w:pPr>
      <w:r w:rsidRPr="00B02D75">
        <w:rPr>
          <w:rFonts w:cstheme="minorHAnsi"/>
          <w:i/>
          <w:iCs/>
          <w:color w:val="FF0000"/>
          <w:sz w:val="22"/>
          <w:szCs w:val="22"/>
        </w:rPr>
        <w:t xml:space="preserve">workforce opportunities in communities that have lost jobs due to the displacements of fossil energy jobs; and </w:t>
      </w:r>
    </w:p>
    <w:p w14:paraId="21E8E241" w14:textId="77777777" w:rsidR="00A60878" w:rsidRPr="00B02D75" w:rsidRDefault="00A60878" w:rsidP="004D48F5">
      <w:pPr>
        <w:ind w:left="1080"/>
        <w:jc w:val="both"/>
        <w:rPr>
          <w:rFonts w:cstheme="minorHAnsi"/>
          <w:i/>
          <w:iCs/>
          <w:color w:val="FF0000"/>
          <w:sz w:val="22"/>
          <w:szCs w:val="22"/>
        </w:rPr>
      </w:pPr>
    </w:p>
    <w:p w14:paraId="7E3C95F3" w14:textId="77777777" w:rsidR="00A60878" w:rsidRPr="00B02D75" w:rsidRDefault="00A60878" w:rsidP="004D48F5">
      <w:pPr>
        <w:pStyle w:val="ListParagraph"/>
        <w:numPr>
          <w:ilvl w:val="1"/>
          <w:numId w:val="3"/>
        </w:numPr>
        <w:ind w:left="1080"/>
        <w:jc w:val="both"/>
        <w:rPr>
          <w:rFonts w:cstheme="minorHAnsi"/>
          <w:i/>
          <w:iCs/>
          <w:color w:val="FF0000"/>
          <w:sz w:val="22"/>
          <w:szCs w:val="22"/>
        </w:rPr>
      </w:pPr>
      <w:r w:rsidRPr="00B02D75">
        <w:rPr>
          <w:rFonts w:cstheme="minorHAnsi"/>
          <w:i/>
          <w:iCs/>
          <w:color w:val="FF0000"/>
          <w:sz w:val="22"/>
          <w:szCs w:val="22"/>
        </w:rPr>
        <w:t xml:space="preserve">Community Benefits:  Section 40101(d)(5) requires a State or Indian Tribe to give priority to projects that would generate the greatest community benefit (whether rural or urban) in reducing the likelihood and consequences of disruptive events.  The Program Narrative should include an explanation of how the State or Indian Tribe will make such a determination for the projects that will be receiving funding and should include information on how the projects go beyond measures that are already being undertaken through current resilience planning by the State or Indian Tribe. </w:t>
      </w:r>
    </w:p>
    <w:p w14:paraId="75519046" w14:textId="77777777" w:rsidR="00A60878" w:rsidRPr="00B02D75" w:rsidRDefault="00A60878" w:rsidP="004D48F5">
      <w:pPr>
        <w:pStyle w:val="ListParagraph"/>
        <w:ind w:left="1080"/>
        <w:jc w:val="both"/>
        <w:rPr>
          <w:rFonts w:cstheme="minorHAnsi"/>
          <w:i/>
          <w:iCs/>
          <w:color w:val="FF0000"/>
          <w:sz w:val="22"/>
          <w:szCs w:val="22"/>
        </w:rPr>
      </w:pPr>
    </w:p>
    <w:p w14:paraId="5518B727" w14:textId="77777777" w:rsidR="00A60878" w:rsidRPr="00B02D75" w:rsidRDefault="00A60878" w:rsidP="004D48F5">
      <w:pPr>
        <w:pStyle w:val="ListParagraph"/>
        <w:numPr>
          <w:ilvl w:val="1"/>
          <w:numId w:val="3"/>
        </w:numPr>
        <w:ind w:left="1080"/>
        <w:jc w:val="both"/>
        <w:rPr>
          <w:rFonts w:cstheme="minorHAnsi"/>
          <w:i/>
          <w:iCs/>
          <w:color w:val="FF0000"/>
          <w:sz w:val="22"/>
          <w:szCs w:val="22"/>
        </w:rPr>
      </w:pPr>
      <w:r w:rsidRPr="00B02D75">
        <w:rPr>
          <w:rFonts w:cstheme="minorHAnsi"/>
          <w:i/>
          <w:iCs/>
          <w:color w:val="FF0000"/>
          <w:sz w:val="22"/>
          <w:szCs w:val="22"/>
        </w:rPr>
        <w:t>Diversity, Equity, Inclusion and Accessibility:  DOE strongly encourages efforts to reach historically underserved populations, racial minorities, and women. These strategies should create the connectivity and conditions for growth where they may not exist, such as in rural and underserved communities. The Program Narrative should articulate the strategy the State or Indian Tribe will use for sharing and maximizing the project’s benefits across disadvantaged communities and include a discussion of how resident, worker, and community leadership will be engaged throughout the project’s duration.</w:t>
      </w:r>
    </w:p>
    <w:p w14:paraId="30373866" w14:textId="77777777" w:rsidR="00A60878" w:rsidRPr="00B02D75" w:rsidRDefault="00A60878" w:rsidP="004D48F5">
      <w:pPr>
        <w:ind w:left="360"/>
        <w:jc w:val="both"/>
        <w:rPr>
          <w:rFonts w:cstheme="minorHAnsi"/>
          <w:i/>
          <w:iCs/>
          <w:color w:val="FF0000"/>
          <w:sz w:val="22"/>
          <w:szCs w:val="22"/>
        </w:rPr>
      </w:pPr>
    </w:p>
    <w:p w14:paraId="517B63BD" w14:textId="77777777" w:rsidR="00A60878" w:rsidRDefault="00A60878" w:rsidP="004D48F5">
      <w:pPr>
        <w:ind w:left="360"/>
        <w:jc w:val="both"/>
        <w:rPr>
          <w:rFonts w:cstheme="minorHAnsi"/>
          <w:i/>
          <w:iCs/>
          <w:color w:val="FF0000"/>
          <w:sz w:val="22"/>
          <w:szCs w:val="22"/>
        </w:rPr>
      </w:pPr>
      <w:r w:rsidRPr="00B02D75">
        <w:rPr>
          <w:rFonts w:cstheme="minorHAnsi"/>
          <w:i/>
          <w:iCs/>
          <w:color w:val="FF0000"/>
          <w:sz w:val="22"/>
          <w:szCs w:val="22"/>
        </w:rPr>
        <w:t xml:space="preserve">Provide an explanation of how the State or Indian Tribe will make such a determination for the projects that will be receiving funding and should include information on how the projects go beyond measures that are already being undertaken through current resilience planning by the State or Indian Tribe. </w:t>
      </w:r>
    </w:p>
    <w:p w14:paraId="019E14E3" w14:textId="77777777" w:rsidR="002A59AB" w:rsidRDefault="002A59AB" w:rsidP="004D48F5">
      <w:pPr>
        <w:ind w:left="360"/>
        <w:jc w:val="both"/>
        <w:rPr>
          <w:rFonts w:cstheme="minorHAnsi"/>
          <w:i/>
          <w:iCs/>
          <w:color w:val="FF0000"/>
          <w:sz w:val="22"/>
          <w:szCs w:val="22"/>
        </w:rPr>
      </w:pPr>
    </w:p>
    <w:p w14:paraId="6ECA87CE" w14:textId="4AEEB4C7" w:rsidR="002A59AB" w:rsidRDefault="001044B9" w:rsidP="003A7B3C">
      <w:pPr>
        <w:jc w:val="both"/>
        <w:rPr>
          <w:rFonts w:cstheme="minorHAnsi"/>
          <w:sz w:val="22"/>
          <w:szCs w:val="22"/>
        </w:rPr>
      </w:pPr>
      <w:r>
        <w:rPr>
          <w:rFonts w:cstheme="minorHAnsi"/>
          <w:sz w:val="22"/>
          <w:szCs w:val="22"/>
        </w:rPr>
        <w:t xml:space="preserve">Consistent with federal </w:t>
      </w:r>
      <w:r w:rsidR="009B2225">
        <w:rPr>
          <w:rFonts w:cstheme="minorHAnsi"/>
          <w:sz w:val="22"/>
          <w:szCs w:val="22"/>
        </w:rPr>
        <w:t>and state law</w:t>
      </w:r>
      <w:r w:rsidR="00E86712">
        <w:rPr>
          <w:rFonts w:cstheme="minorHAnsi"/>
          <w:sz w:val="22"/>
          <w:szCs w:val="22"/>
        </w:rPr>
        <w:t xml:space="preserve">, and associated federal guidelines, the Indiana OED will make every reasonable effort to ensure </w:t>
      </w:r>
      <w:r w:rsidR="00F9523F">
        <w:rPr>
          <w:rFonts w:cstheme="minorHAnsi"/>
          <w:sz w:val="22"/>
          <w:szCs w:val="22"/>
        </w:rPr>
        <w:t>these funds are utilized to generate the greatest community benefits in reducing likelihood and consequences of disruptive events</w:t>
      </w:r>
      <w:r w:rsidR="00AB5599">
        <w:rPr>
          <w:rFonts w:cstheme="minorHAnsi"/>
          <w:sz w:val="22"/>
          <w:szCs w:val="22"/>
        </w:rPr>
        <w:t xml:space="preserve"> while contributing to the development of a strong Indiana workforce</w:t>
      </w:r>
      <w:r w:rsidR="001800CF">
        <w:rPr>
          <w:rFonts w:cstheme="minorHAnsi"/>
          <w:sz w:val="22"/>
          <w:szCs w:val="22"/>
        </w:rPr>
        <w:t xml:space="preserve"> through an equitable approach</w:t>
      </w:r>
      <w:r w:rsidR="00AB5599">
        <w:rPr>
          <w:rFonts w:cstheme="minorHAnsi"/>
          <w:sz w:val="22"/>
          <w:szCs w:val="22"/>
        </w:rPr>
        <w:t xml:space="preserve">. </w:t>
      </w:r>
    </w:p>
    <w:p w14:paraId="47AF22B0" w14:textId="77777777" w:rsidR="00F369A8" w:rsidRDefault="00F369A8" w:rsidP="003A7B3C">
      <w:pPr>
        <w:jc w:val="both"/>
        <w:rPr>
          <w:rFonts w:cstheme="minorHAnsi"/>
          <w:sz w:val="22"/>
          <w:szCs w:val="22"/>
        </w:rPr>
      </w:pPr>
    </w:p>
    <w:p w14:paraId="3AD2C99E" w14:textId="0F9BD589" w:rsidR="00F369A8" w:rsidRDefault="00AD0356" w:rsidP="003A7B3C">
      <w:pPr>
        <w:jc w:val="both"/>
        <w:rPr>
          <w:rFonts w:cstheme="minorHAnsi"/>
          <w:sz w:val="22"/>
          <w:szCs w:val="22"/>
        </w:rPr>
      </w:pPr>
      <w:r>
        <w:rPr>
          <w:rFonts w:cstheme="minorHAnsi"/>
          <w:i/>
          <w:iCs/>
          <w:sz w:val="22"/>
          <w:szCs w:val="22"/>
        </w:rPr>
        <w:t>Community Benefits</w:t>
      </w:r>
    </w:p>
    <w:p w14:paraId="1CDF3610" w14:textId="77777777" w:rsidR="00AD0356" w:rsidRDefault="00AD0356" w:rsidP="003A7B3C">
      <w:pPr>
        <w:jc w:val="both"/>
        <w:rPr>
          <w:rFonts w:cstheme="minorHAnsi"/>
          <w:sz w:val="22"/>
          <w:szCs w:val="22"/>
        </w:rPr>
      </w:pPr>
    </w:p>
    <w:p w14:paraId="665F7020" w14:textId="24A2B10F" w:rsidR="00584BDB" w:rsidRDefault="00AD0356" w:rsidP="000A734C">
      <w:pPr>
        <w:jc w:val="both"/>
        <w:rPr>
          <w:rFonts w:ascii="Calibri" w:hAnsi="Calibri" w:cs="Calibri"/>
          <w:sz w:val="22"/>
          <w:szCs w:val="22"/>
        </w:rPr>
      </w:pPr>
      <w:r>
        <w:rPr>
          <w:rStyle w:val="normaltextrun"/>
          <w:rFonts w:ascii="Calibri" w:hAnsi="Calibri" w:cs="Calibri"/>
          <w:sz w:val="22"/>
          <w:szCs w:val="22"/>
        </w:rPr>
        <w:t xml:space="preserve">Priority </w:t>
      </w:r>
      <w:r w:rsidR="003E35FC">
        <w:rPr>
          <w:rStyle w:val="normaltextrun"/>
          <w:rFonts w:ascii="Calibri" w:hAnsi="Calibri" w:cs="Calibri"/>
          <w:sz w:val="22"/>
          <w:szCs w:val="22"/>
        </w:rPr>
        <w:t xml:space="preserve">shall </w:t>
      </w:r>
      <w:r>
        <w:rPr>
          <w:rStyle w:val="normaltextrun"/>
          <w:rFonts w:ascii="Calibri" w:hAnsi="Calibri" w:cs="Calibri"/>
          <w:sz w:val="22"/>
          <w:szCs w:val="22"/>
        </w:rPr>
        <w:t>be given to projects that will generate the greatest community benefit (whether rural or urban) in reducing the likelihood and consequences of disruptive events.</w:t>
      </w:r>
      <w:r>
        <w:rPr>
          <w:rStyle w:val="FootnoteReference"/>
          <w:rFonts w:ascii="Calibri" w:hAnsi="Calibri" w:cs="Calibri"/>
          <w:sz w:val="22"/>
          <w:szCs w:val="22"/>
        </w:rPr>
        <w:footnoteReference w:id="15"/>
      </w:r>
      <w:r>
        <w:rPr>
          <w:rStyle w:val="normaltextrun"/>
          <w:rFonts w:ascii="Calibri" w:hAnsi="Calibri" w:cs="Calibri"/>
          <w:sz w:val="22"/>
          <w:szCs w:val="22"/>
        </w:rPr>
        <w:t xml:space="preserve"> Applicants should describe, to the greatest extent possible, how their project, if awarded, would generate the greatest community benefit in reducing the likelihood and consequences of disruptive events</w:t>
      </w:r>
      <w:r w:rsidR="0081387F">
        <w:rPr>
          <w:rStyle w:val="normaltextrun"/>
          <w:rFonts w:ascii="Calibri" w:hAnsi="Calibri" w:cs="Calibri"/>
          <w:sz w:val="22"/>
          <w:szCs w:val="22"/>
        </w:rPr>
        <w:t xml:space="preserve">. </w:t>
      </w:r>
      <w:r w:rsidR="002F67F9">
        <w:rPr>
          <w:rStyle w:val="normaltextrun"/>
          <w:rFonts w:ascii="Calibri" w:hAnsi="Calibri" w:cs="Calibri"/>
          <w:sz w:val="22"/>
          <w:szCs w:val="22"/>
        </w:rPr>
        <w:t xml:space="preserve">As described in Section 2 of the Program Narrative, </w:t>
      </w:r>
      <w:r w:rsidR="004565C2">
        <w:rPr>
          <w:rStyle w:val="normaltextrun"/>
          <w:rFonts w:ascii="Calibri" w:hAnsi="Calibri" w:cs="Calibri"/>
          <w:sz w:val="22"/>
          <w:szCs w:val="22"/>
        </w:rPr>
        <w:t xml:space="preserve">Indiana </w:t>
      </w:r>
      <w:r w:rsidR="002F67F9">
        <w:rPr>
          <w:rStyle w:val="normaltextrun"/>
          <w:rFonts w:ascii="Calibri" w:hAnsi="Calibri" w:cs="Calibri"/>
          <w:sz w:val="22"/>
          <w:szCs w:val="22"/>
        </w:rPr>
        <w:t xml:space="preserve">OED will require </w:t>
      </w:r>
      <w:r w:rsidR="003E35FC">
        <w:rPr>
          <w:rStyle w:val="normaltextrun"/>
          <w:rFonts w:ascii="Calibri" w:hAnsi="Calibri" w:cs="Calibri"/>
          <w:sz w:val="22"/>
          <w:szCs w:val="22"/>
        </w:rPr>
        <w:t xml:space="preserve">eligible entities </w:t>
      </w:r>
      <w:r w:rsidR="002F67F9">
        <w:rPr>
          <w:rStyle w:val="normaltextrun"/>
          <w:rFonts w:ascii="Calibri" w:hAnsi="Calibri" w:cs="Calibri"/>
          <w:sz w:val="22"/>
          <w:szCs w:val="22"/>
        </w:rPr>
        <w:t>to submit a range of information and data as part of the application process to allow for informed decision making.</w:t>
      </w:r>
      <w:r w:rsidR="005F082E">
        <w:rPr>
          <w:rStyle w:val="normaltextrun"/>
          <w:rFonts w:ascii="Calibri" w:hAnsi="Calibri" w:cs="Calibri"/>
          <w:sz w:val="22"/>
          <w:szCs w:val="22"/>
        </w:rPr>
        <w:t xml:space="preserve"> Broadly speaking, this information will allow </w:t>
      </w:r>
      <w:r w:rsidR="004565C2">
        <w:rPr>
          <w:rStyle w:val="normaltextrun"/>
          <w:rFonts w:ascii="Calibri" w:hAnsi="Calibri" w:cs="Calibri"/>
          <w:sz w:val="22"/>
          <w:szCs w:val="22"/>
        </w:rPr>
        <w:t xml:space="preserve">Indiana </w:t>
      </w:r>
      <w:r w:rsidR="005F082E">
        <w:rPr>
          <w:rStyle w:val="normaltextrun"/>
          <w:rFonts w:ascii="Calibri" w:hAnsi="Calibri" w:cs="Calibri"/>
          <w:sz w:val="22"/>
          <w:szCs w:val="22"/>
        </w:rPr>
        <w:t xml:space="preserve">OED to ascertain and understand the number of customers </w:t>
      </w:r>
      <w:r w:rsidR="005974AE">
        <w:rPr>
          <w:rStyle w:val="normaltextrun"/>
          <w:rFonts w:ascii="Calibri" w:hAnsi="Calibri" w:cs="Calibri"/>
          <w:sz w:val="22"/>
          <w:szCs w:val="22"/>
        </w:rPr>
        <w:t>impacted, the historical and current reliability and resiliency data of the community or project area, and how the eligible entity</w:t>
      </w:r>
      <w:r w:rsidR="00264EA5">
        <w:rPr>
          <w:rStyle w:val="normaltextrun"/>
          <w:rFonts w:ascii="Calibri" w:hAnsi="Calibri" w:cs="Calibri"/>
          <w:sz w:val="22"/>
          <w:szCs w:val="22"/>
        </w:rPr>
        <w:t>’s project(s) go beyond measures that may already be</w:t>
      </w:r>
      <w:r w:rsidR="006F671D">
        <w:rPr>
          <w:rStyle w:val="normaltextrun"/>
          <w:rFonts w:ascii="Calibri" w:hAnsi="Calibri" w:cs="Calibri"/>
          <w:sz w:val="22"/>
          <w:szCs w:val="22"/>
        </w:rPr>
        <w:t xml:space="preserve"> undertaken through current resilience planning measures. The project(s) should also</w:t>
      </w:r>
      <w:r w:rsidR="00852030">
        <w:rPr>
          <w:rStyle w:val="normaltextrun"/>
          <w:rFonts w:ascii="Calibri" w:hAnsi="Calibri" w:cs="Calibri"/>
          <w:sz w:val="22"/>
          <w:szCs w:val="22"/>
        </w:rPr>
        <w:t xml:space="preserve"> be reasonably geared towards</w:t>
      </w:r>
      <w:r w:rsidR="006F671D">
        <w:rPr>
          <w:rStyle w:val="normaltextrun"/>
          <w:rFonts w:ascii="Calibri" w:hAnsi="Calibri" w:cs="Calibri"/>
          <w:sz w:val="22"/>
          <w:szCs w:val="22"/>
        </w:rPr>
        <w:t xml:space="preserve"> achiev</w:t>
      </w:r>
      <w:r w:rsidR="00852030">
        <w:rPr>
          <w:rStyle w:val="normaltextrun"/>
          <w:rFonts w:ascii="Calibri" w:hAnsi="Calibri" w:cs="Calibri"/>
          <w:sz w:val="22"/>
          <w:szCs w:val="22"/>
        </w:rPr>
        <w:t>ing</w:t>
      </w:r>
      <w:r w:rsidR="006F671D">
        <w:rPr>
          <w:rStyle w:val="normaltextrun"/>
          <w:rFonts w:ascii="Calibri" w:hAnsi="Calibri" w:cs="Calibri"/>
          <w:sz w:val="22"/>
          <w:szCs w:val="22"/>
        </w:rPr>
        <w:t xml:space="preserve"> the State’s objectives in Section 1.</w:t>
      </w:r>
    </w:p>
    <w:p w14:paraId="2ED71D88" w14:textId="77777777" w:rsidR="00C94B4B" w:rsidRDefault="00C94B4B" w:rsidP="003A7B3C">
      <w:pPr>
        <w:jc w:val="both"/>
        <w:rPr>
          <w:rFonts w:ascii="Calibri" w:hAnsi="Calibri" w:cs="Calibri"/>
          <w:sz w:val="22"/>
          <w:szCs w:val="22"/>
        </w:rPr>
      </w:pPr>
    </w:p>
    <w:p w14:paraId="15DC11E0" w14:textId="2D828EB8" w:rsidR="00C94B4B" w:rsidRDefault="00C94B4B" w:rsidP="003A7B3C">
      <w:pPr>
        <w:jc w:val="both"/>
        <w:rPr>
          <w:rFonts w:ascii="Calibri" w:hAnsi="Calibri" w:cs="Calibri"/>
          <w:sz w:val="22"/>
          <w:szCs w:val="22"/>
        </w:rPr>
      </w:pPr>
      <w:r>
        <w:rPr>
          <w:rFonts w:ascii="Calibri" w:hAnsi="Calibri" w:cs="Calibri"/>
          <w:i/>
          <w:iCs/>
          <w:sz w:val="22"/>
          <w:szCs w:val="22"/>
        </w:rPr>
        <w:t>Quality Jobs</w:t>
      </w:r>
    </w:p>
    <w:p w14:paraId="0681046B" w14:textId="77777777" w:rsidR="00C94B4B" w:rsidRDefault="00C94B4B" w:rsidP="003A7B3C">
      <w:pPr>
        <w:jc w:val="both"/>
        <w:rPr>
          <w:rFonts w:ascii="Calibri" w:hAnsi="Calibri" w:cs="Calibri"/>
          <w:sz w:val="22"/>
          <w:szCs w:val="22"/>
        </w:rPr>
      </w:pPr>
    </w:p>
    <w:p w14:paraId="0EFD8028" w14:textId="3098985F" w:rsidR="00C94B4B" w:rsidRDefault="00C94B4B" w:rsidP="003A7B3C">
      <w:pPr>
        <w:jc w:val="both"/>
        <w:rPr>
          <w:rFonts w:ascii="Calibri" w:hAnsi="Calibri" w:cs="Calibri"/>
          <w:sz w:val="22"/>
          <w:szCs w:val="22"/>
        </w:rPr>
      </w:pPr>
      <w:r>
        <w:rPr>
          <w:rFonts w:ascii="Calibri" w:hAnsi="Calibri" w:cs="Calibri"/>
          <w:sz w:val="22"/>
          <w:szCs w:val="22"/>
        </w:rPr>
        <w:t xml:space="preserve">The Indiana OED </w:t>
      </w:r>
      <w:r w:rsidR="007D7D29">
        <w:rPr>
          <w:rFonts w:ascii="Calibri" w:hAnsi="Calibri" w:cs="Calibri"/>
          <w:sz w:val="22"/>
          <w:szCs w:val="22"/>
        </w:rPr>
        <w:t xml:space="preserve">will utilize the funding to encourage the promotion and development of high-quality jobs performed by a highly qualified workforce, consistent with </w:t>
      </w:r>
      <w:r w:rsidR="004C2B1B">
        <w:rPr>
          <w:rFonts w:ascii="Calibri" w:hAnsi="Calibri" w:cs="Calibri"/>
          <w:sz w:val="22"/>
          <w:szCs w:val="22"/>
        </w:rPr>
        <w:t xml:space="preserve">federal and state laws and guidance. </w:t>
      </w:r>
      <w:r w:rsidR="008F15EF">
        <w:rPr>
          <w:rFonts w:ascii="Calibri" w:hAnsi="Calibri" w:cs="Calibri"/>
          <w:sz w:val="22"/>
          <w:szCs w:val="22"/>
        </w:rPr>
        <w:t>Priority</w:t>
      </w:r>
      <w:r w:rsidR="00435C85">
        <w:rPr>
          <w:rFonts w:ascii="Calibri" w:hAnsi="Calibri" w:cs="Calibri"/>
          <w:sz w:val="22"/>
          <w:szCs w:val="22"/>
        </w:rPr>
        <w:t xml:space="preserve"> will be given to</w:t>
      </w:r>
      <w:r w:rsidR="003E35FC">
        <w:rPr>
          <w:rFonts w:ascii="Calibri" w:hAnsi="Calibri" w:cs="Calibri"/>
          <w:sz w:val="22"/>
          <w:szCs w:val="22"/>
        </w:rPr>
        <w:t>:</w:t>
      </w:r>
      <w:r w:rsidR="00435C85">
        <w:rPr>
          <w:rFonts w:ascii="Calibri" w:hAnsi="Calibri" w:cs="Calibri"/>
          <w:sz w:val="22"/>
          <w:szCs w:val="22"/>
        </w:rPr>
        <w:t xml:space="preserve"> </w:t>
      </w:r>
      <w:r w:rsidR="008F15EF">
        <w:rPr>
          <w:rFonts w:ascii="Calibri" w:hAnsi="Calibri" w:cs="Calibri"/>
          <w:sz w:val="22"/>
          <w:szCs w:val="22"/>
        </w:rPr>
        <w:t xml:space="preserve">(1) </w:t>
      </w:r>
      <w:r w:rsidR="00435C85">
        <w:rPr>
          <w:rFonts w:ascii="Calibri" w:hAnsi="Calibri" w:cs="Calibri"/>
          <w:sz w:val="22"/>
          <w:szCs w:val="22"/>
        </w:rPr>
        <w:t>p</w:t>
      </w:r>
      <w:r w:rsidR="000338CC">
        <w:rPr>
          <w:rFonts w:ascii="Calibri" w:hAnsi="Calibri" w:cs="Calibri"/>
          <w:sz w:val="22"/>
          <w:szCs w:val="22"/>
        </w:rPr>
        <w:t xml:space="preserve">rojects </w:t>
      </w:r>
      <w:r w:rsidR="00E17D00">
        <w:rPr>
          <w:rFonts w:ascii="Calibri" w:hAnsi="Calibri" w:cs="Calibri"/>
          <w:sz w:val="22"/>
          <w:szCs w:val="22"/>
        </w:rPr>
        <w:t>that use a</w:t>
      </w:r>
      <w:r w:rsidR="00435C85">
        <w:rPr>
          <w:rFonts w:ascii="Calibri" w:hAnsi="Calibri" w:cs="Calibri"/>
          <w:sz w:val="22"/>
          <w:szCs w:val="22"/>
        </w:rPr>
        <w:t xml:space="preserve"> diverse,</w:t>
      </w:r>
      <w:r w:rsidR="00E17D00">
        <w:rPr>
          <w:rFonts w:ascii="Calibri" w:hAnsi="Calibri" w:cs="Calibri"/>
          <w:sz w:val="22"/>
          <w:szCs w:val="22"/>
        </w:rPr>
        <w:t xml:space="preserve"> local, well-trained, and well-paid workforce</w:t>
      </w:r>
      <w:r w:rsidR="003E35FC">
        <w:rPr>
          <w:rFonts w:ascii="Calibri" w:hAnsi="Calibri" w:cs="Calibri"/>
          <w:sz w:val="22"/>
          <w:szCs w:val="22"/>
        </w:rPr>
        <w:t>;</w:t>
      </w:r>
      <w:r w:rsidR="00693864">
        <w:rPr>
          <w:rFonts w:ascii="Calibri" w:hAnsi="Calibri" w:cs="Calibri"/>
          <w:sz w:val="22"/>
          <w:szCs w:val="22"/>
        </w:rPr>
        <w:t xml:space="preserve"> or</w:t>
      </w:r>
      <w:r w:rsidR="008F15EF">
        <w:rPr>
          <w:rFonts w:ascii="Calibri" w:hAnsi="Calibri" w:cs="Calibri"/>
          <w:sz w:val="22"/>
          <w:szCs w:val="22"/>
        </w:rPr>
        <w:t xml:space="preserve"> (2)</w:t>
      </w:r>
      <w:r w:rsidR="00693864">
        <w:rPr>
          <w:rFonts w:ascii="Calibri" w:hAnsi="Calibri" w:cs="Calibri"/>
          <w:sz w:val="22"/>
          <w:szCs w:val="22"/>
        </w:rPr>
        <w:t xml:space="preserve"> projects that </w:t>
      </w:r>
      <w:r w:rsidR="0032407A">
        <w:rPr>
          <w:rFonts w:ascii="Calibri" w:hAnsi="Calibri" w:cs="Calibri"/>
          <w:sz w:val="22"/>
          <w:szCs w:val="22"/>
        </w:rPr>
        <w:t>outline a plan</w:t>
      </w:r>
      <w:r w:rsidR="00693864">
        <w:rPr>
          <w:rFonts w:ascii="Calibri" w:hAnsi="Calibri" w:cs="Calibri"/>
          <w:sz w:val="22"/>
          <w:szCs w:val="22"/>
        </w:rPr>
        <w:t xml:space="preserve"> to attract</w:t>
      </w:r>
      <w:r w:rsidR="00435C85">
        <w:rPr>
          <w:rFonts w:ascii="Calibri" w:hAnsi="Calibri" w:cs="Calibri"/>
          <w:sz w:val="22"/>
          <w:szCs w:val="22"/>
        </w:rPr>
        <w:t xml:space="preserve">, </w:t>
      </w:r>
      <w:r w:rsidR="00693864">
        <w:rPr>
          <w:rFonts w:ascii="Calibri" w:hAnsi="Calibri" w:cs="Calibri"/>
          <w:sz w:val="22"/>
          <w:szCs w:val="22"/>
        </w:rPr>
        <w:t>train</w:t>
      </w:r>
      <w:r w:rsidR="00435C85">
        <w:rPr>
          <w:rFonts w:ascii="Calibri" w:hAnsi="Calibri" w:cs="Calibri"/>
          <w:sz w:val="22"/>
          <w:szCs w:val="22"/>
        </w:rPr>
        <w:t>,</w:t>
      </w:r>
      <w:r w:rsidR="00915389">
        <w:rPr>
          <w:rFonts w:ascii="Calibri" w:hAnsi="Calibri" w:cs="Calibri"/>
          <w:sz w:val="22"/>
          <w:szCs w:val="22"/>
        </w:rPr>
        <w:t xml:space="preserve"> </w:t>
      </w:r>
      <w:r w:rsidR="0032407A">
        <w:rPr>
          <w:rFonts w:ascii="Calibri" w:hAnsi="Calibri" w:cs="Calibri"/>
          <w:sz w:val="22"/>
          <w:szCs w:val="22"/>
        </w:rPr>
        <w:t xml:space="preserve">and retain </w:t>
      </w:r>
      <w:r w:rsidR="00915389">
        <w:rPr>
          <w:rFonts w:ascii="Calibri" w:hAnsi="Calibri" w:cs="Calibri"/>
          <w:sz w:val="22"/>
          <w:szCs w:val="22"/>
        </w:rPr>
        <w:t xml:space="preserve">a </w:t>
      </w:r>
      <w:r w:rsidR="00435C85">
        <w:rPr>
          <w:rFonts w:ascii="Calibri" w:hAnsi="Calibri" w:cs="Calibri"/>
          <w:sz w:val="22"/>
          <w:szCs w:val="22"/>
        </w:rPr>
        <w:t xml:space="preserve">highly </w:t>
      </w:r>
      <w:r w:rsidR="00915389">
        <w:rPr>
          <w:rFonts w:ascii="Calibri" w:hAnsi="Calibri" w:cs="Calibri"/>
          <w:sz w:val="22"/>
          <w:szCs w:val="22"/>
        </w:rPr>
        <w:t>skilled workforce</w:t>
      </w:r>
      <w:r w:rsidR="00435C85">
        <w:rPr>
          <w:rFonts w:ascii="Calibri" w:hAnsi="Calibri" w:cs="Calibri"/>
          <w:sz w:val="22"/>
          <w:szCs w:val="22"/>
        </w:rPr>
        <w:t xml:space="preserve">, including opportunities for </w:t>
      </w:r>
      <w:r w:rsidR="00F53129">
        <w:rPr>
          <w:rFonts w:ascii="Calibri" w:hAnsi="Calibri" w:cs="Calibri"/>
          <w:sz w:val="22"/>
          <w:szCs w:val="22"/>
        </w:rPr>
        <w:t>underrepresented or historically excluded workers,</w:t>
      </w:r>
      <w:r w:rsidR="00435C85">
        <w:rPr>
          <w:rFonts w:ascii="Calibri" w:hAnsi="Calibri" w:cs="Calibri"/>
          <w:sz w:val="22"/>
          <w:szCs w:val="22"/>
        </w:rPr>
        <w:t xml:space="preserve"> and those displaced by the energy transition</w:t>
      </w:r>
      <w:r w:rsidR="008F15EF">
        <w:rPr>
          <w:rFonts w:ascii="Calibri" w:hAnsi="Calibri" w:cs="Calibri"/>
          <w:sz w:val="22"/>
          <w:szCs w:val="22"/>
        </w:rPr>
        <w:t xml:space="preserve">. </w:t>
      </w:r>
      <w:r w:rsidR="00E17D00">
        <w:rPr>
          <w:rFonts w:ascii="Calibri" w:hAnsi="Calibri" w:cs="Calibri"/>
          <w:sz w:val="22"/>
          <w:szCs w:val="22"/>
        </w:rPr>
        <w:t xml:space="preserve"> </w:t>
      </w:r>
      <w:r w:rsidR="008F15EF">
        <w:rPr>
          <w:rFonts w:ascii="Calibri" w:hAnsi="Calibri" w:cs="Calibri"/>
          <w:sz w:val="22"/>
          <w:szCs w:val="22"/>
        </w:rPr>
        <w:t>Eligible entities should</w:t>
      </w:r>
      <w:r w:rsidR="00FF593A">
        <w:rPr>
          <w:rFonts w:ascii="Calibri" w:hAnsi="Calibri" w:cs="Calibri"/>
          <w:sz w:val="22"/>
          <w:szCs w:val="22"/>
        </w:rPr>
        <w:t xml:space="preserve"> identify how their project </w:t>
      </w:r>
      <w:r w:rsidR="00FC59A1">
        <w:rPr>
          <w:rFonts w:ascii="Calibri" w:hAnsi="Calibri" w:cs="Calibri"/>
          <w:sz w:val="22"/>
          <w:szCs w:val="22"/>
        </w:rPr>
        <w:t xml:space="preserve">will </w:t>
      </w:r>
      <w:r w:rsidR="008F15EF">
        <w:rPr>
          <w:rFonts w:ascii="Calibri" w:hAnsi="Calibri" w:cs="Calibri"/>
          <w:sz w:val="22"/>
          <w:szCs w:val="22"/>
        </w:rPr>
        <w:t>contribute to</w:t>
      </w:r>
      <w:r w:rsidR="00FC59A1">
        <w:rPr>
          <w:rFonts w:ascii="Calibri" w:hAnsi="Calibri" w:cs="Calibri"/>
          <w:sz w:val="22"/>
          <w:szCs w:val="22"/>
        </w:rPr>
        <w:t xml:space="preserve"> the workforce development objectives described in this Program Narrative</w:t>
      </w:r>
      <w:r w:rsidR="008F15EF">
        <w:rPr>
          <w:rFonts w:ascii="Calibri" w:hAnsi="Calibri" w:cs="Calibri"/>
          <w:sz w:val="22"/>
          <w:szCs w:val="22"/>
        </w:rPr>
        <w:t>.</w:t>
      </w:r>
    </w:p>
    <w:p w14:paraId="1F197F3D" w14:textId="77777777" w:rsidR="00A648E7" w:rsidRDefault="00A648E7" w:rsidP="003A7B3C">
      <w:pPr>
        <w:jc w:val="both"/>
        <w:rPr>
          <w:rFonts w:ascii="Calibri" w:hAnsi="Calibri" w:cs="Calibri"/>
          <w:sz w:val="22"/>
          <w:szCs w:val="22"/>
        </w:rPr>
      </w:pPr>
    </w:p>
    <w:p w14:paraId="37A9FB92" w14:textId="3D67F466" w:rsidR="003A7B3C" w:rsidRDefault="002D4904" w:rsidP="003A7B3C">
      <w:pPr>
        <w:jc w:val="both"/>
        <w:rPr>
          <w:rFonts w:ascii="Calibri" w:hAnsi="Calibri" w:cs="Calibri"/>
          <w:sz w:val="22"/>
          <w:szCs w:val="22"/>
        </w:rPr>
      </w:pPr>
      <w:r>
        <w:rPr>
          <w:rFonts w:ascii="Calibri" w:hAnsi="Calibri" w:cs="Calibri"/>
          <w:sz w:val="22"/>
          <w:szCs w:val="22"/>
        </w:rPr>
        <w:t xml:space="preserve">The State of Indiana and the Indiana OED is sensitive to the displacement of workers </w:t>
      </w:r>
      <w:proofErr w:type="gramStart"/>
      <w:r>
        <w:rPr>
          <w:rFonts w:ascii="Calibri" w:hAnsi="Calibri" w:cs="Calibri"/>
          <w:sz w:val="22"/>
          <w:szCs w:val="22"/>
        </w:rPr>
        <w:t>as a result of</w:t>
      </w:r>
      <w:proofErr w:type="gramEnd"/>
      <w:r>
        <w:rPr>
          <w:rFonts w:ascii="Calibri" w:hAnsi="Calibri" w:cs="Calibri"/>
          <w:sz w:val="22"/>
          <w:szCs w:val="22"/>
        </w:rPr>
        <w:t xml:space="preserve"> the ongoing energy generation transition. </w:t>
      </w:r>
      <w:r w:rsidR="000E66D8">
        <w:rPr>
          <w:rFonts w:ascii="Calibri" w:hAnsi="Calibri" w:cs="Calibri"/>
          <w:sz w:val="22"/>
          <w:szCs w:val="22"/>
        </w:rPr>
        <w:t xml:space="preserve">The Indiana Commission for Higher Education and Indiana Department of Workforce Development have created opportunities for the retraining and employment of workers </w:t>
      </w:r>
      <w:r w:rsidR="0068748B">
        <w:rPr>
          <w:rFonts w:ascii="Calibri" w:hAnsi="Calibri" w:cs="Calibri"/>
          <w:sz w:val="22"/>
          <w:szCs w:val="22"/>
        </w:rPr>
        <w:t>to support communities, workers, and their families. For example, u</w:t>
      </w:r>
      <w:r w:rsidR="00331B76">
        <w:rPr>
          <w:rFonts w:ascii="Calibri" w:hAnsi="Calibri" w:cs="Calibri"/>
          <w:sz w:val="22"/>
          <w:szCs w:val="22"/>
        </w:rPr>
        <w:t xml:space="preserve">nder Indiana Code § 8-1-8.5-12, </w:t>
      </w:r>
      <w:r w:rsidR="00EC2F42">
        <w:rPr>
          <w:rFonts w:ascii="Calibri" w:hAnsi="Calibri" w:cs="Calibri"/>
          <w:sz w:val="22"/>
          <w:szCs w:val="22"/>
        </w:rPr>
        <w:t xml:space="preserve">an employee that worked in the coal industry receives priority in the awarding of high-value workforce ready credit-bearing grants under Indiana Code chapter </w:t>
      </w:r>
      <w:r w:rsidR="00FE71E0">
        <w:rPr>
          <w:rFonts w:ascii="Calibri" w:hAnsi="Calibri" w:cs="Calibri"/>
          <w:sz w:val="22"/>
          <w:szCs w:val="22"/>
        </w:rPr>
        <w:t xml:space="preserve">21-12-8. </w:t>
      </w:r>
      <w:r w:rsidR="0068748B">
        <w:rPr>
          <w:rFonts w:ascii="Calibri" w:hAnsi="Calibri" w:cs="Calibri"/>
          <w:sz w:val="22"/>
          <w:szCs w:val="22"/>
        </w:rPr>
        <w:t xml:space="preserve">The Indiana OED will </w:t>
      </w:r>
      <w:r w:rsidR="00D4415C">
        <w:rPr>
          <w:rFonts w:ascii="Calibri" w:hAnsi="Calibri" w:cs="Calibri"/>
          <w:sz w:val="22"/>
          <w:szCs w:val="22"/>
        </w:rPr>
        <w:t xml:space="preserve">build on the State’s efforts </w:t>
      </w:r>
      <w:r w:rsidR="008F15EF">
        <w:rPr>
          <w:rFonts w:ascii="Calibri" w:hAnsi="Calibri" w:cs="Calibri"/>
          <w:sz w:val="22"/>
          <w:szCs w:val="22"/>
        </w:rPr>
        <w:t>to invest</w:t>
      </w:r>
      <w:r w:rsidR="00582CEF">
        <w:rPr>
          <w:rFonts w:ascii="Calibri" w:hAnsi="Calibri" w:cs="Calibri"/>
          <w:sz w:val="22"/>
          <w:szCs w:val="22"/>
        </w:rPr>
        <w:t xml:space="preserve"> in those communities and utilize the local workforce in </w:t>
      </w:r>
      <w:r w:rsidR="00D4415C">
        <w:rPr>
          <w:rFonts w:ascii="Calibri" w:hAnsi="Calibri" w:cs="Calibri"/>
          <w:sz w:val="22"/>
          <w:szCs w:val="22"/>
        </w:rPr>
        <w:t>those areas</w:t>
      </w:r>
      <w:r w:rsidR="003A7B3C">
        <w:rPr>
          <w:rFonts w:ascii="Calibri" w:hAnsi="Calibri" w:cs="Calibri"/>
          <w:sz w:val="22"/>
          <w:szCs w:val="22"/>
        </w:rPr>
        <w:t xml:space="preserve"> to further promote economic and workforce development</w:t>
      </w:r>
      <w:r w:rsidR="00582CEF">
        <w:rPr>
          <w:rFonts w:ascii="Calibri" w:hAnsi="Calibri" w:cs="Calibri"/>
          <w:sz w:val="22"/>
          <w:szCs w:val="22"/>
        </w:rPr>
        <w:t>.</w:t>
      </w:r>
    </w:p>
    <w:p w14:paraId="12367C11" w14:textId="77777777" w:rsidR="003A7B3C" w:rsidRDefault="003A7B3C" w:rsidP="003A7B3C">
      <w:pPr>
        <w:jc w:val="both"/>
        <w:rPr>
          <w:rFonts w:ascii="Calibri" w:hAnsi="Calibri" w:cs="Calibri"/>
          <w:sz w:val="22"/>
          <w:szCs w:val="22"/>
        </w:rPr>
      </w:pPr>
    </w:p>
    <w:p w14:paraId="33C78E44" w14:textId="77777777" w:rsidR="004F02D3" w:rsidRDefault="004F02D3" w:rsidP="003A7B3C">
      <w:pPr>
        <w:jc w:val="both"/>
        <w:rPr>
          <w:rFonts w:ascii="Calibri" w:hAnsi="Calibri" w:cs="Calibri"/>
          <w:sz w:val="22"/>
          <w:szCs w:val="22"/>
        </w:rPr>
      </w:pPr>
      <w:r>
        <w:rPr>
          <w:rFonts w:ascii="Calibri" w:hAnsi="Calibri" w:cs="Calibri"/>
          <w:i/>
          <w:iCs/>
          <w:sz w:val="22"/>
          <w:szCs w:val="22"/>
        </w:rPr>
        <w:t>Diversity, Equity, Inclusion, and Accessibility</w:t>
      </w:r>
    </w:p>
    <w:p w14:paraId="48E0246E" w14:textId="77777777" w:rsidR="004F02D3" w:rsidRDefault="004F02D3" w:rsidP="003A7B3C">
      <w:pPr>
        <w:jc w:val="both"/>
        <w:rPr>
          <w:rFonts w:ascii="Calibri" w:hAnsi="Calibri" w:cs="Calibri"/>
          <w:sz w:val="22"/>
          <w:szCs w:val="22"/>
        </w:rPr>
      </w:pPr>
    </w:p>
    <w:p w14:paraId="66950BC3" w14:textId="2EEEA477" w:rsidR="001800CF" w:rsidRDefault="00AC6DFC" w:rsidP="003A7B3C">
      <w:pPr>
        <w:jc w:val="both"/>
        <w:rPr>
          <w:rFonts w:ascii="Calibri" w:hAnsi="Calibri" w:cs="Calibri"/>
          <w:sz w:val="22"/>
          <w:szCs w:val="22"/>
        </w:rPr>
      </w:pPr>
      <w:r>
        <w:rPr>
          <w:rFonts w:ascii="Calibri" w:hAnsi="Calibri" w:cs="Calibri"/>
          <w:sz w:val="22"/>
          <w:szCs w:val="22"/>
        </w:rPr>
        <w:t xml:space="preserve">The Indiana OED strives to make diversity, equity, inclusion, and accessibility </w:t>
      </w:r>
      <w:r w:rsidR="00A73C14">
        <w:rPr>
          <w:rFonts w:ascii="Calibri" w:hAnsi="Calibri" w:cs="Calibri"/>
          <w:sz w:val="22"/>
          <w:szCs w:val="22"/>
        </w:rPr>
        <w:t>a</w:t>
      </w:r>
      <w:r w:rsidR="007C17CF">
        <w:rPr>
          <w:rFonts w:ascii="Calibri" w:hAnsi="Calibri" w:cs="Calibri"/>
          <w:sz w:val="22"/>
          <w:szCs w:val="22"/>
        </w:rPr>
        <w:t xml:space="preserve"> part of Indiana’s implementation of the Grid Resilience Grants under Section 40101</w:t>
      </w:r>
      <w:r w:rsidR="003D555C">
        <w:rPr>
          <w:rFonts w:ascii="Calibri" w:hAnsi="Calibri" w:cs="Calibri"/>
          <w:sz w:val="22"/>
          <w:szCs w:val="22"/>
        </w:rPr>
        <w:t>(d)</w:t>
      </w:r>
      <w:r w:rsidR="007C17CF">
        <w:rPr>
          <w:rFonts w:ascii="Calibri" w:hAnsi="Calibri" w:cs="Calibri"/>
          <w:sz w:val="22"/>
          <w:szCs w:val="22"/>
        </w:rPr>
        <w:t xml:space="preserve">. </w:t>
      </w:r>
      <w:r w:rsidR="00C74F63">
        <w:rPr>
          <w:rFonts w:ascii="Calibri" w:hAnsi="Calibri" w:cs="Calibri"/>
          <w:sz w:val="22"/>
          <w:szCs w:val="22"/>
        </w:rPr>
        <w:t xml:space="preserve">To ensure </w:t>
      </w:r>
      <w:r w:rsidR="005634AA">
        <w:rPr>
          <w:rFonts w:ascii="Calibri" w:hAnsi="Calibri" w:cs="Calibri"/>
          <w:sz w:val="22"/>
          <w:szCs w:val="22"/>
        </w:rPr>
        <w:t xml:space="preserve">communities, including </w:t>
      </w:r>
      <w:r w:rsidR="005634AA" w:rsidRPr="005634AA">
        <w:rPr>
          <w:rFonts w:ascii="Calibri" w:hAnsi="Calibri" w:cs="Calibri"/>
          <w:sz w:val="22"/>
          <w:szCs w:val="22"/>
        </w:rPr>
        <w:t>historically underserved</w:t>
      </w:r>
      <w:r w:rsidR="00C87DBC">
        <w:rPr>
          <w:rFonts w:ascii="Calibri" w:hAnsi="Calibri" w:cs="Calibri"/>
          <w:sz w:val="22"/>
          <w:szCs w:val="22"/>
        </w:rPr>
        <w:t xml:space="preserve"> communities, are included in the process, the Indiana OED will require information from applicants to ascertain their engagement</w:t>
      </w:r>
      <w:r w:rsidR="00FD3AA8">
        <w:rPr>
          <w:rFonts w:ascii="Calibri" w:hAnsi="Calibri" w:cs="Calibri"/>
          <w:sz w:val="22"/>
          <w:szCs w:val="22"/>
        </w:rPr>
        <w:t xml:space="preserve"> with disadvantaged and underserved communities</w:t>
      </w:r>
      <w:r w:rsidR="00CC668D">
        <w:rPr>
          <w:rFonts w:ascii="Calibri" w:hAnsi="Calibri" w:cs="Calibri"/>
          <w:sz w:val="22"/>
          <w:szCs w:val="22"/>
        </w:rPr>
        <w:t xml:space="preserve">, and the extent to which these types of communities were considered as part of their </w:t>
      </w:r>
      <w:r w:rsidR="006E7EFD">
        <w:rPr>
          <w:rFonts w:ascii="Calibri" w:hAnsi="Calibri" w:cs="Calibri"/>
          <w:sz w:val="22"/>
          <w:szCs w:val="22"/>
        </w:rPr>
        <w:t>decision-making</w:t>
      </w:r>
      <w:r w:rsidR="00CC668D">
        <w:rPr>
          <w:rFonts w:ascii="Calibri" w:hAnsi="Calibri" w:cs="Calibri"/>
          <w:sz w:val="22"/>
          <w:szCs w:val="22"/>
        </w:rPr>
        <w:t xml:space="preserve"> process. </w:t>
      </w:r>
      <w:r w:rsidR="002B4DC3">
        <w:rPr>
          <w:rFonts w:ascii="Calibri" w:hAnsi="Calibri" w:cs="Calibri"/>
          <w:sz w:val="22"/>
          <w:szCs w:val="22"/>
        </w:rPr>
        <w:t>As identified in Section 2 of the Program Narrative, the following criteria</w:t>
      </w:r>
      <w:r w:rsidR="003F1C50">
        <w:rPr>
          <w:rFonts w:ascii="Calibri" w:hAnsi="Calibri" w:cs="Calibri"/>
          <w:sz w:val="22"/>
          <w:szCs w:val="22"/>
        </w:rPr>
        <w:t xml:space="preserve"> and </w:t>
      </w:r>
      <w:r w:rsidR="00CD2A9D">
        <w:rPr>
          <w:rFonts w:ascii="Calibri" w:hAnsi="Calibri" w:cs="Calibri"/>
          <w:sz w:val="22"/>
          <w:szCs w:val="22"/>
        </w:rPr>
        <w:t>required information</w:t>
      </w:r>
      <w:r w:rsidR="002B4DC3">
        <w:rPr>
          <w:rFonts w:ascii="Calibri" w:hAnsi="Calibri" w:cs="Calibri"/>
          <w:sz w:val="22"/>
          <w:szCs w:val="22"/>
        </w:rPr>
        <w:t xml:space="preserve"> </w:t>
      </w:r>
      <w:r w:rsidR="003F1C50">
        <w:rPr>
          <w:rFonts w:ascii="Calibri" w:hAnsi="Calibri" w:cs="Calibri"/>
          <w:sz w:val="22"/>
          <w:szCs w:val="22"/>
        </w:rPr>
        <w:t>are directly related to community engagement and consideration</w:t>
      </w:r>
      <w:r w:rsidR="006E7EFD">
        <w:rPr>
          <w:rFonts w:ascii="Calibri" w:hAnsi="Calibri" w:cs="Calibri"/>
          <w:sz w:val="22"/>
          <w:szCs w:val="22"/>
        </w:rPr>
        <w:t xml:space="preserve"> in the eligible entities’ planning processes:</w:t>
      </w:r>
    </w:p>
    <w:p w14:paraId="7CBC4827" w14:textId="77777777" w:rsidR="008F57D6" w:rsidRDefault="008F57D6" w:rsidP="008F57D6">
      <w:pPr>
        <w:pStyle w:val="ListParagraph"/>
        <w:numPr>
          <w:ilvl w:val="0"/>
          <w:numId w:val="6"/>
        </w:numPr>
        <w:jc w:val="both"/>
        <w:rPr>
          <w:rFonts w:ascii="Calibri" w:hAnsi="Calibri" w:cs="Calibri"/>
          <w:sz w:val="22"/>
          <w:szCs w:val="22"/>
        </w:rPr>
      </w:pPr>
      <w:r>
        <w:rPr>
          <w:rFonts w:ascii="Calibri" w:hAnsi="Calibri" w:cs="Calibri"/>
          <w:sz w:val="22"/>
          <w:szCs w:val="22"/>
        </w:rPr>
        <w:t xml:space="preserve">Historical SAIFI, SAIDI, and CAIDI data for the proposed investment area as compared to the historical, system-wide average of SAIFI, SAIDI, and CAIDI to determine whether a proposed </w:t>
      </w:r>
      <w:r>
        <w:rPr>
          <w:rFonts w:ascii="Calibri" w:hAnsi="Calibri" w:cs="Calibri"/>
          <w:sz w:val="22"/>
          <w:szCs w:val="22"/>
        </w:rPr>
        <w:lastRenderedPageBreak/>
        <w:t>investment is in an area that may have more frequent and/or longer duration outages than average.</w:t>
      </w:r>
    </w:p>
    <w:p w14:paraId="3D9E624D" w14:textId="24A2F844" w:rsidR="008F57D6" w:rsidRDefault="008F57D6" w:rsidP="008F57D6">
      <w:pPr>
        <w:pStyle w:val="paragraph"/>
        <w:numPr>
          <w:ilvl w:val="0"/>
          <w:numId w:val="6"/>
        </w:numPr>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 xml:space="preserve">A detailed description of the area in which the project(s) will be located, including a summary of the community, population and demographic characteristics, total number of customer meters, and total number of customers broken down by general customer class (e.g., residential, commercial, and/or industrial) the project(s) are anticipated to directly affect. Subrecipients shall identify whether the community or area is classified as a disadvantaged community </w:t>
      </w:r>
      <w:r>
        <w:rPr>
          <w:rStyle w:val="eop"/>
          <w:rFonts w:ascii="Calibri" w:hAnsi="Calibri" w:cs="Calibri"/>
          <w:sz w:val="22"/>
          <w:szCs w:val="22"/>
        </w:rPr>
        <w:t>and a description of how they included consideration of disadvantaged communities in their decision-making process.</w:t>
      </w:r>
    </w:p>
    <w:p w14:paraId="50309C2C" w14:textId="77777777" w:rsidR="006E7EFD" w:rsidRDefault="006E7EFD" w:rsidP="003A7B3C">
      <w:pPr>
        <w:jc w:val="both"/>
        <w:rPr>
          <w:rFonts w:ascii="Calibri" w:hAnsi="Calibri" w:cs="Calibri"/>
          <w:sz w:val="22"/>
          <w:szCs w:val="22"/>
        </w:rPr>
      </w:pPr>
    </w:p>
    <w:p w14:paraId="0A42A574" w14:textId="77777777" w:rsidR="00EB2581" w:rsidRDefault="00EB2581" w:rsidP="00EB2581">
      <w:pPr>
        <w:jc w:val="both"/>
        <w:rPr>
          <w:rStyle w:val="Hyperlink"/>
          <w:rFonts w:cstheme="minorHAnsi"/>
          <w:color w:val="auto"/>
          <w:sz w:val="22"/>
          <w:szCs w:val="22"/>
          <w:u w:val="none"/>
        </w:rPr>
      </w:pPr>
      <w:r w:rsidRPr="00A645D3">
        <w:rPr>
          <w:rStyle w:val="Hyperlink"/>
          <w:rFonts w:cstheme="minorHAnsi"/>
          <w:color w:val="auto"/>
          <w:sz w:val="22"/>
          <w:szCs w:val="22"/>
          <w:highlight w:val="yellow"/>
          <w:u w:val="none"/>
        </w:rPr>
        <w:t>[QUESTIONS FOR STAKEHOLDERS TO CONSIDER]</w:t>
      </w:r>
    </w:p>
    <w:p w14:paraId="51B0989E" w14:textId="77777777" w:rsidR="00AB1C8C" w:rsidRDefault="00EB2581" w:rsidP="003A7B3C">
      <w:pPr>
        <w:jc w:val="both"/>
        <w:rPr>
          <w:rFonts w:ascii="Calibri" w:hAnsi="Calibri" w:cs="Calibri"/>
          <w:sz w:val="22"/>
          <w:szCs w:val="22"/>
        </w:rPr>
      </w:pPr>
      <w:r>
        <w:rPr>
          <w:rFonts w:ascii="Calibri" w:hAnsi="Calibri" w:cs="Calibri"/>
          <w:sz w:val="22"/>
          <w:szCs w:val="22"/>
        </w:rPr>
        <w:t>1. What are additional ways the Indiana OED can</w:t>
      </w:r>
      <w:r w:rsidR="00362FD2">
        <w:rPr>
          <w:rFonts w:ascii="Calibri" w:hAnsi="Calibri" w:cs="Calibri"/>
          <w:sz w:val="22"/>
          <w:szCs w:val="22"/>
        </w:rPr>
        <w:t xml:space="preserve"> ensure historically underserved and disadvantaged communities are </w:t>
      </w:r>
      <w:r w:rsidR="007A4FBB">
        <w:rPr>
          <w:rFonts w:ascii="Calibri" w:hAnsi="Calibri" w:cs="Calibri"/>
          <w:sz w:val="22"/>
          <w:szCs w:val="22"/>
        </w:rPr>
        <w:t>considered as part of an eligible entity’s application</w:t>
      </w:r>
      <w:r w:rsidR="00AB1C8C">
        <w:rPr>
          <w:rFonts w:ascii="Calibri" w:hAnsi="Calibri" w:cs="Calibri"/>
          <w:sz w:val="22"/>
          <w:szCs w:val="22"/>
        </w:rPr>
        <w:t xml:space="preserve"> process?</w:t>
      </w:r>
    </w:p>
    <w:p w14:paraId="26BB2861" w14:textId="6A51EC71" w:rsidR="00F222D7" w:rsidRDefault="00AB1C8C" w:rsidP="003A7B3C">
      <w:pPr>
        <w:jc w:val="both"/>
        <w:rPr>
          <w:rFonts w:ascii="Calibri" w:hAnsi="Calibri" w:cs="Calibri"/>
          <w:sz w:val="22"/>
          <w:szCs w:val="22"/>
        </w:rPr>
      </w:pPr>
      <w:r>
        <w:rPr>
          <w:rFonts w:ascii="Calibri" w:hAnsi="Calibri" w:cs="Calibri"/>
          <w:sz w:val="22"/>
          <w:szCs w:val="22"/>
        </w:rPr>
        <w:t xml:space="preserve">2. What are additional ways the Indiana OED can address diversity, equity, inclusion, and accessibility in its grant administration processes? </w:t>
      </w:r>
      <w:r w:rsidR="007A4FBB">
        <w:rPr>
          <w:rFonts w:ascii="Calibri" w:hAnsi="Calibri" w:cs="Calibri"/>
          <w:sz w:val="22"/>
          <w:szCs w:val="22"/>
        </w:rPr>
        <w:t xml:space="preserve"> </w:t>
      </w:r>
    </w:p>
    <w:p w14:paraId="0D52F0D2" w14:textId="4EF5AF70" w:rsidR="003E35FC" w:rsidRDefault="003E35FC" w:rsidP="003E35FC">
      <w:pPr>
        <w:jc w:val="both"/>
        <w:rPr>
          <w:rStyle w:val="Hyperlink"/>
          <w:rFonts w:cstheme="minorHAnsi"/>
          <w:color w:val="auto"/>
          <w:sz w:val="22"/>
          <w:szCs w:val="22"/>
          <w:u w:val="none"/>
        </w:rPr>
      </w:pPr>
      <w:r>
        <w:rPr>
          <w:rFonts w:cstheme="minorHAnsi"/>
          <w:sz w:val="22"/>
          <w:szCs w:val="22"/>
        </w:rPr>
        <w:t>3. Please provide any additional recommendations that should be addressed in this section to fulfill the requirements of Section 40101(d) and be included in Indiana’s Program Narrative.</w:t>
      </w:r>
    </w:p>
    <w:p w14:paraId="6E492A34" w14:textId="77777777" w:rsidR="00BF4BE1" w:rsidRPr="009D37F0" w:rsidRDefault="00BF4BE1" w:rsidP="004D48F5">
      <w:pPr>
        <w:pStyle w:val="ListParagraph"/>
        <w:ind w:left="0"/>
        <w:jc w:val="both"/>
        <w:rPr>
          <w:rFonts w:cstheme="minorHAnsi"/>
          <w:sz w:val="22"/>
          <w:szCs w:val="22"/>
        </w:rPr>
      </w:pPr>
    </w:p>
    <w:p w14:paraId="02AE696B" w14:textId="77777777" w:rsidR="00CA7A3F" w:rsidRPr="009D37F0" w:rsidRDefault="0088694C" w:rsidP="004D48F5">
      <w:pPr>
        <w:pStyle w:val="ListParagraph"/>
        <w:numPr>
          <w:ilvl w:val="0"/>
          <w:numId w:val="2"/>
        </w:numPr>
        <w:ind w:left="360"/>
        <w:jc w:val="both"/>
        <w:rPr>
          <w:rFonts w:eastAsiaTheme="minorHAnsi" w:cstheme="minorHAnsi"/>
          <w:b/>
          <w:bCs/>
          <w:sz w:val="22"/>
          <w:szCs w:val="22"/>
        </w:rPr>
      </w:pPr>
      <w:r w:rsidRPr="009D37F0">
        <w:rPr>
          <w:rFonts w:cstheme="minorHAnsi"/>
          <w:b/>
          <w:bCs/>
          <w:sz w:val="22"/>
          <w:szCs w:val="22"/>
        </w:rPr>
        <w:t xml:space="preserve">Technical Assistance and Administration:  </w:t>
      </w:r>
    </w:p>
    <w:p w14:paraId="6CDF70E7" w14:textId="77777777" w:rsidR="00CA7A3F" w:rsidRPr="009D37F0" w:rsidRDefault="00CA7A3F" w:rsidP="004D48F5">
      <w:pPr>
        <w:pStyle w:val="ListParagraph"/>
        <w:ind w:left="360"/>
        <w:jc w:val="both"/>
        <w:rPr>
          <w:rFonts w:eastAsiaTheme="minorHAnsi" w:cstheme="minorHAnsi"/>
          <w:sz w:val="22"/>
          <w:szCs w:val="22"/>
        </w:rPr>
      </w:pPr>
    </w:p>
    <w:p w14:paraId="061C5E48" w14:textId="780EDA73" w:rsidR="0088694C" w:rsidRPr="00BC5687" w:rsidRDefault="0088694C" w:rsidP="00BC5687">
      <w:pPr>
        <w:jc w:val="both"/>
        <w:rPr>
          <w:rFonts w:cstheme="minorHAnsi"/>
          <w:i/>
          <w:iCs/>
          <w:color w:val="FF0000"/>
          <w:sz w:val="22"/>
          <w:szCs w:val="22"/>
        </w:rPr>
      </w:pPr>
      <w:r w:rsidRPr="00BC5687">
        <w:rPr>
          <w:rFonts w:cstheme="minorHAnsi"/>
          <w:i/>
          <w:iCs/>
          <w:color w:val="FF0000"/>
          <w:sz w:val="22"/>
          <w:szCs w:val="22"/>
        </w:rPr>
        <w:t xml:space="preserve">Provide a description of how the </w:t>
      </w:r>
      <w:r w:rsidR="003062AA" w:rsidRPr="00BC5687">
        <w:rPr>
          <w:rFonts w:cstheme="minorHAnsi"/>
          <w:i/>
          <w:iCs/>
          <w:color w:val="FF0000"/>
          <w:sz w:val="22"/>
          <w:szCs w:val="22"/>
        </w:rPr>
        <w:t>State or Indian Tribe</w:t>
      </w:r>
      <w:r w:rsidRPr="00BC5687">
        <w:rPr>
          <w:rFonts w:cstheme="minorHAnsi"/>
          <w:i/>
          <w:iCs/>
          <w:color w:val="FF0000"/>
          <w:sz w:val="22"/>
          <w:szCs w:val="22"/>
        </w:rPr>
        <w:t xml:space="preserve"> intends to utilize up to 5 percent of Federal grant funds for project administration and technical assistance.</w:t>
      </w:r>
    </w:p>
    <w:p w14:paraId="1C85B06B" w14:textId="77777777" w:rsidR="00611F3E" w:rsidRDefault="00611F3E" w:rsidP="004D48F5">
      <w:pPr>
        <w:pStyle w:val="ListParagraph"/>
        <w:ind w:left="360"/>
        <w:jc w:val="both"/>
        <w:rPr>
          <w:rFonts w:cstheme="minorHAnsi"/>
          <w:i/>
          <w:iCs/>
          <w:color w:val="FF0000"/>
          <w:sz w:val="22"/>
          <w:szCs w:val="22"/>
        </w:rPr>
      </w:pPr>
    </w:p>
    <w:p w14:paraId="09599F97" w14:textId="773AF1AB" w:rsidR="0088694C" w:rsidRPr="003C1653" w:rsidRDefault="007367ED" w:rsidP="003C1653">
      <w:pPr>
        <w:jc w:val="both"/>
        <w:rPr>
          <w:rFonts w:eastAsiaTheme="minorHAnsi" w:cstheme="minorHAnsi"/>
          <w:sz w:val="22"/>
          <w:szCs w:val="22"/>
        </w:rPr>
      </w:pPr>
      <w:proofErr w:type="gramStart"/>
      <w:r w:rsidRPr="00BC5687">
        <w:rPr>
          <w:rFonts w:cstheme="minorHAnsi"/>
          <w:sz w:val="22"/>
          <w:szCs w:val="22"/>
        </w:rPr>
        <w:t>In order to</w:t>
      </w:r>
      <w:proofErr w:type="gramEnd"/>
      <w:r w:rsidRPr="00BC5687">
        <w:rPr>
          <w:rFonts w:cstheme="minorHAnsi"/>
          <w:sz w:val="22"/>
          <w:szCs w:val="22"/>
        </w:rPr>
        <w:t xml:space="preserve"> develop</w:t>
      </w:r>
      <w:r w:rsidR="00BE38CF" w:rsidRPr="00BC5687">
        <w:rPr>
          <w:rFonts w:cstheme="minorHAnsi"/>
          <w:sz w:val="22"/>
          <w:szCs w:val="22"/>
        </w:rPr>
        <w:t xml:space="preserve"> </w:t>
      </w:r>
      <w:r w:rsidR="0084779C" w:rsidRPr="00BC5687">
        <w:rPr>
          <w:rFonts w:cstheme="minorHAnsi"/>
          <w:sz w:val="22"/>
          <w:szCs w:val="22"/>
        </w:rPr>
        <w:t xml:space="preserve">the </w:t>
      </w:r>
      <w:r w:rsidR="00BE38CF" w:rsidRPr="00BC5687">
        <w:rPr>
          <w:rFonts w:cstheme="minorHAnsi"/>
          <w:sz w:val="22"/>
          <w:szCs w:val="22"/>
        </w:rPr>
        <w:t xml:space="preserve">processes and </w:t>
      </w:r>
      <w:r w:rsidR="0084779C" w:rsidRPr="00BC5687">
        <w:rPr>
          <w:rFonts w:cstheme="minorHAnsi"/>
          <w:sz w:val="22"/>
          <w:szCs w:val="22"/>
        </w:rPr>
        <w:t xml:space="preserve">to distribute funding </w:t>
      </w:r>
      <w:r w:rsidR="00BE38CF" w:rsidRPr="00BC5687">
        <w:rPr>
          <w:rFonts w:cstheme="minorHAnsi"/>
          <w:sz w:val="22"/>
          <w:szCs w:val="22"/>
        </w:rPr>
        <w:t xml:space="preserve">to </w:t>
      </w:r>
      <w:r w:rsidR="008B31B2" w:rsidRPr="00BC5687">
        <w:rPr>
          <w:rFonts w:cstheme="minorHAnsi"/>
          <w:sz w:val="22"/>
          <w:szCs w:val="22"/>
        </w:rPr>
        <w:t xml:space="preserve">subrecipients, </w:t>
      </w:r>
      <w:r w:rsidR="003D47D8" w:rsidRPr="00BC5687">
        <w:rPr>
          <w:rFonts w:cstheme="minorHAnsi"/>
          <w:sz w:val="22"/>
          <w:szCs w:val="22"/>
        </w:rPr>
        <w:t xml:space="preserve">Indiana OED </w:t>
      </w:r>
      <w:r w:rsidRPr="00BC5687">
        <w:rPr>
          <w:rFonts w:cstheme="minorHAnsi"/>
          <w:sz w:val="22"/>
          <w:szCs w:val="22"/>
        </w:rPr>
        <w:t xml:space="preserve">staff and/or contractors </w:t>
      </w:r>
      <w:r w:rsidR="00E104B2" w:rsidRPr="00BC5687">
        <w:rPr>
          <w:rFonts w:cstheme="minorHAnsi"/>
          <w:sz w:val="22"/>
          <w:szCs w:val="22"/>
        </w:rPr>
        <w:t>may</w:t>
      </w:r>
      <w:r w:rsidR="00126745" w:rsidRPr="00BC5687">
        <w:rPr>
          <w:rFonts w:cstheme="minorHAnsi"/>
          <w:sz w:val="22"/>
          <w:szCs w:val="22"/>
        </w:rPr>
        <w:t xml:space="preserve"> be necessary for program administration and technical assistance. </w:t>
      </w:r>
      <w:r w:rsidR="002A6D28" w:rsidRPr="00BC5687">
        <w:rPr>
          <w:rFonts w:cstheme="minorHAnsi"/>
          <w:sz w:val="22"/>
          <w:szCs w:val="22"/>
        </w:rPr>
        <w:t xml:space="preserve">Indiana </w:t>
      </w:r>
      <w:r w:rsidR="00BE2A84">
        <w:rPr>
          <w:rFonts w:cstheme="minorHAnsi"/>
          <w:sz w:val="22"/>
          <w:szCs w:val="22"/>
        </w:rPr>
        <w:t>will reserve the right to</w:t>
      </w:r>
      <w:r w:rsidR="002A6D28" w:rsidRPr="00BC5687">
        <w:rPr>
          <w:rFonts w:cstheme="minorHAnsi"/>
          <w:sz w:val="22"/>
          <w:szCs w:val="22"/>
        </w:rPr>
        <w:t xml:space="preserve"> budget 5% for administration and technical assistance</w:t>
      </w:r>
      <w:r w:rsidR="007E2ECB" w:rsidRPr="00BC5687">
        <w:rPr>
          <w:rFonts w:cstheme="minorHAnsi"/>
          <w:sz w:val="22"/>
          <w:szCs w:val="22"/>
        </w:rPr>
        <w:t xml:space="preserve"> in </w:t>
      </w:r>
      <w:r w:rsidR="00E104B2" w:rsidRPr="00BC5687">
        <w:rPr>
          <w:rFonts w:cstheme="minorHAnsi"/>
          <w:sz w:val="22"/>
          <w:szCs w:val="22"/>
        </w:rPr>
        <w:t>Year</w:t>
      </w:r>
      <w:r w:rsidR="007E2ECB" w:rsidRPr="00BC5687">
        <w:rPr>
          <w:rFonts w:cstheme="minorHAnsi"/>
          <w:sz w:val="22"/>
          <w:szCs w:val="22"/>
        </w:rPr>
        <w:t xml:space="preserve"> 1. OED will track and monitor </w:t>
      </w:r>
      <w:r w:rsidR="00CD767A" w:rsidRPr="00BC5687">
        <w:rPr>
          <w:rFonts w:cstheme="minorHAnsi"/>
          <w:sz w:val="22"/>
          <w:szCs w:val="22"/>
        </w:rPr>
        <w:t xml:space="preserve">these </w:t>
      </w:r>
      <w:r w:rsidR="00B5346D" w:rsidRPr="00BC5687">
        <w:rPr>
          <w:rFonts w:cstheme="minorHAnsi"/>
          <w:sz w:val="22"/>
          <w:szCs w:val="22"/>
        </w:rPr>
        <w:t xml:space="preserve">administrative expenses and will </w:t>
      </w:r>
      <w:r w:rsidR="00430190" w:rsidRPr="00BC5687">
        <w:rPr>
          <w:rFonts w:cstheme="minorHAnsi"/>
          <w:sz w:val="22"/>
          <w:szCs w:val="22"/>
        </w:rPr>
        <w:t xml:space="preserve">allocate any of the 5% unused </w:t>
      </w:r>
      <w:r w:rsidR="00C65BB7" w:rsidRPr="00BC5687">
        <w:rPr>
          <w:rFonts w:cstheme="minorHAnsi"/>
          <w:sz w:val="22"/>
          <w:szCs w:val="22"/>
        </w:rPr>
        <w:t>budget towards subawards in the following year.</w:t>
      </w:r>
    </w:p>
    <w:p w14:paraId="2077FADC" w14:textId="77777777" w:rsidR="0090380E" w:rsidRPr="009D37F0" w:rsidRDefault="0090380E" w:rsidP="004D48F5">
      <w:pPr>
        <w:ind w:left="360"/>
        <w:jc w:val="both"/>
        <w:rPr>
          <w:rFonts w:eastAsiaTheme="minorHAnsi" w:cstheme="minorHAnsi"/>
          <w:bCs/>
          <w:sz w:val="22"/>
          <w:szCs w:val="22"/>
        </w:rPr>
      </w:pPr>
    </w:p>
    <w:p w14:paraId="0AE8AFEE" w14:textId="77777777" w:rsidR="00CA7A3F" w:rsidRPr="009D37F0" w:rsidRDefault="004B0232" w:rsidP="004D48F5">
      <w:pPr>
        <w:numPr>
          <w:ilvl w:val="0"/>
          <w:numId w:val="2"/>
        </w:numPr>
        <w:ind w:left="360"/>
        <w:jc w:val="both"/>
        <w:rPr>
          <w:rFonts w:cstheme="minorHAnsi"/>
          <w:b/>
          <w:bCs/>
          <w:sz w:val="22"/>
          <w:szCs w:val="22"/>
        </w:rPr>
      </w:pPr>
      <w:r w:rsidRPr="009D37F0">
        <w:rPr>
          <w:rFonts w:cstheme="minorHAnsi"/>
          <w:b/>
          <w:bCs/>
          <w:sz w:val="22"/>
          <w:szCs w:val="22"/>
        </w:rPr>
        <w:t xml:space="preserve">Public Notice and Hearing:  </w:t>
      </w:r>
    </w:p>
    <w:p w14:paraId="1574CD5A" w14:textId="77777777" w:rsidR="00CA7A3F" w:rsidRPr="009D37F0" w:rsidRDefault="00CA7A3F" w:rsidP="004D48F5">
      <w:pPr>
        <w:ind w:left="360"/>
        <w:jc w:val="both"/>
        <w:rPr>
          <w:rFonts w:cstheme="minorHAnsi"/>
          <w:sz w:val="22"/>
          <w:szCs w:val="22"/>
        </w:rPr>
      </w:pPr>
    </w:p>
    <w:p w14:paraId="2B52A07E" w14:textId="77777777" w:rsidR="000E070A" w:rsidRPr="00BC5687" w:rsidRDefault="000E070A" w:rsidP="00BC5687">
      <w:pPr>
        <w:jc w:val="both"/>
        <w:rPr>
          <w:rFonts w:cstheme="minorHAnsi"/>
          <w:i/>
          <w:iCs/>
          <w:color w:val="FF0000"/>
          <w:sz w:val="22"/>
          <w:szCs w:val="22"/>
        </w:rPr>
      </w:pPr>
      <w:r w:rsidRPr="00BC5687">
        <w:rPr>
          <w:rFonts w:cstheme="minorHAnsi"/>
          <w:i/>
          <w:iCs/>
          <w:color w:val="FF0000"/>
          <w:sz w:val="22"/>
          <w:szCs w:val="22"/>
        </w:rPr>
        <w:t>Public Notice and Hearing:  Section 40101(d)(2)(B)(ii) requires that eligible applicants give notice and undertake a public hearing to review the criteria and methods they anticipate using to grant awards to eligible entities and the proposed funding distributions and recipients of the grant awards to eligible entities.  The applicant should use the public hearing to share the approach envisioned for setting objectives and metrics and the proposed funding distributions and recipients of the grant awards to eligible entities.  Provide a brief description of the notice and public hearing process, including the number and types of organizations that attended.  Also, report on the outcome of the public hearing such as approaches for engaging stakeholders for establishing formal objectives and metrics and for implementing strategic planning processes.  Provide a copy of the notice as an attachment to the Program Narrative.</w:t>
      </w:r>
    </w:p>
    <w:p w14:paraId="52EDF707" w14:textId="77777777" w:rsidR="00611F3E" w:rsidRDefault="00611F3E" w:rsidP="004D48F5">
      <w:pPr>
        <w:pStyle w:val="ListParagraph"/>
        <w:ind w:left="360"/>
        <w:jc w:val="both"/>
        <w:rPr>
          <w:rFonts w:cstheme="minorHAnsi"/>
          <w:i/>
          <w:iCs/>
          <w:color w:val="FF0000"/>
          <w:sz w:val="22"/>
          <w:szCs w:val="22"/>
        </w:rPr>
      </w:pPr>
    </w:p>
    <w:p w14:paraId="7A86BBE1" w14:textId="15741AFD" w:rsidR="004B0232" w:rsidRPr="003C1653" w:rsidRDefault="00FD006A" w:rsidP="003C1653">
      <w:pPr>
        <w:jc w:val="both"/>
        <w:rPr>
          <w:rFonts w:cstheme="minorHAnsi"/>
          <w:sz w:val="22"/>
          <w:szCs w:val="22"/>
        </w:rPr>
      </w:pPr>
      <w:r w:rsidRPr="00BC5687">
        <w:rPr>
          <w:rFonts w:cstheme="minorHAnsi"/>
          <w:sz w:val="22"/>
          <w:szCs w:val="22"/>
        </w:rPr>
        <w:t>To be developed after the Public Hearing process</w:t>
      </w:r>
      <w:r w:rsidR="00F10596" w:rsidRPr="00BC5687">
        <w:rPr>
          <w:rFonts w:cstheme="minorHAnsi"/>
          <w:sz w:val="22"/>
          <w:szCs w:val="22"/>
        </w:rPr>
        <w:t>, tentatively scheduled for September 1 at 6:00 pm as a virtual hearing</w:t>
      </w:r>
      <w:r w:rsidRPr="00BC5687">
        <w:rPr>
          <w:rFonts w:cstheme="minorHAnsi"/>
          <w:sz w:val="22"/>
          <w:szCs w:val="22"/>
        </w:rPr>
        <w:t>.</w:t>
      </w:r>
    </w:p>
    <w:p w14:paraId="4D401B31" w14:textId="77777777" w:rsidR="00CA7A3F" w:rsidRPr="009D37F0" w:rsidRDefault="00CA7A3F" w:rsidP="004D48F5">
      <w:pPr>
        <w:jc w:val="both"/>
        <w:rPr>
          <w:rFonts w:eastAsiaTheme="minorHAnsi" w:cstheme="minorHAnsi"/>
          <w:bCs/>
          <w:sz w:val="22"/>
          <w:szCs w:val="22"/>
        </w:rPr>
      </w:pPr>
    </w:p>
    <w:p w14:paraId="6353A4F3" w14:textId="45BA94C8" w:rsidR="0043270F" w:rsidRPr="009D37F0" w:rsidRDefault="00CA7A3F" w:rsidP="003C1653">
      <w:pPr>
        <w:jc w:val="both"/>
        <w:rPr>
          <w:rFonts w:cstheme="minorHAnsi"/>
          <w:sz w:val="22"/>
          <w:szCs w:val="22"/>
        </w:rPr>
      </w:pPr>
      <w:r w:rsidRPr="00B02D75">
        <w:rPr>
          <w:rFonts w:eastAsiaTheme="minorHAnsi" w:cstheme="minorHAnsi"/>
          <w:b/>
          <w:i/>
          <w:iCs/>
          <w:color w:val="FF0000"/>
          <w:sz w:val="22"/>
          <w:szCs w:val="22"/>
        </w:rPr>
        <w:t>Note:</w:t>
      </w:r>
      <w:r w:rsidRPr="00B02D75">
        <w:rPr>
          <w:rFonts w:eastAsiaTheme="minorHAnsi" w:cstheme="minorHAnsi"/>
          <w:bCs/>
          <w:i/>
          <w:iCs/>
          <w:color w:val="FF0000"/>
          <w:sz w:val="22"/>
          <w:szCs w:val="22"/>
        </w:rPr>
        <w:t xml:space="preserve"> </w:t>
      </w:r>
      <w:r w:rsidR="00A60878" w:rsidRPr="00B02D75">
        <w:rPr>
          <w:rFonts w:eastAsiaTheme="minorHAnsi" w:cstheme="minorHAnsi"/>
          <w:bCs/>
          <w:i/>
          <w:iCs/>
          <w:color w:val="FF0000"/>
          <w:sz w:val="22"/>
          <w:szCs w:val="22"/>
        </w:rPr>
        <w:t xml:space="preserve">DOE anticipates that the Program Narrative will be between 5 and 15 pages, depending upon the grant amount and complexity of resilience activities.  DOE may reject applications and require revisions, if it determines that the program narrative lacks sufficient detail or does not comply with stated requirements.  </w:t>
      </w:r>
      <w:r w:rsidR="00A60878" w:rsidRPr="00B02D75">
        <w:rPr>
          <w:rFonts w:eastAsiaTheme="minorHAnsi" w:cstheme="minorHAnsi"/>
          <w:i/>
          <w:iCs/>
          <w:color w:val="FF0000"/>
          <w:sz w:val="22"/>
          <w:szCs w:val="22"/>
        </w:rPr>
        <w:t xml:space="preserve">Save the information in a single file named (APPLICANT NAME PROGRAM NARRATIVE.pdf).   </w:t>
      </w:r>
      <w:bookmarkEnd w:id="2"/>
    </w:p>
    <w:sectPr w:rsidR="0043270F" w:rsidRPr="009D37F0">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C338" w14:textId="77777777" w:rsidR="00343CB2" w:rsidRDefault="00343CB2" w:rsidP="00D77AE1">
      <w:r>
        <w:separator/>
      </w:r>
    </w:p>
  </w:endnote>
  <w:endnote w:type="continuationSeparator" w:id="0">
    <w:p w14:paraId="32C12288" w14:textId="77777777" w:rsidR="00343CB2" w:rsidRDefault="00343CB2" w:rsidP="00D77AE1">
      <w:r>
        <w:continuationSeparator/>
      </w:r>
    </w:p>
  </w:endnote>
  <w:endnote w:type="continuationNotice" w:id="1">
    <w:p w14:paraId="3274A5E3" w14:textId="77777777" w:rsidR="00343CB2" w:rsidRDefault="00343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81700"/>
      <w:docPartObj>
        <w:docPartGallery w:val="Page Numbers (Bottom of Page)"/>
        <w:docPartUnique/>
      </w:docPartObj>
    </w:sdtPr>
    <w:sdtEndPr>
      <w:rPr>
        <w:noProof/>
      </w:rPr>
    </w:sdtEndPr>
    <w:sdtContent>
      <w:p w14:paraId="7C95897B" w14:textId="798F2EE4" w:rsidR="005C7FFC" w:rsidRDefault="005C7F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2027E4" w14:textId="77777777" w:rsidR="005C7FFC" w:rsidRDefault="005C7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E1F06" w14:textId="77777777" w:rsidR="00343CB2" w:rsidRDefault="00343CB2" w:rsidP="00D77AE1">
      <w:r>
        <w:separator/>
      </w:r>
    </w:p>
  </w:footnote>
  <w:footnote w:type="continuationSeparator" w:id="0">
    <w:p w14:paraId="3C64A994" w14:textId="77777777" w:rsidR="00343CB2" w:rsidRDefault="00343CB2" w:rsidP="00D77AE1">
      <w:r>
        <w:continuationSeparator/>
      </w:r>
    </w:p>
  </w:footnote>
  <w:footnote w:type="continuationNotice" w:id="1">
    <w:p w14:paraId="7E841328" w14:textId="77777777" w:rsidR="00343CB2" w:rsidRDefault="00343CB2"/>
  </w:footnote>
  <w:footnote w:id="2">
    <w:p w14:paraId="082A188B" w14:textId="77777777" w:rsidR="00C71F2F" w:rsidRPr="00886607" w:rsidRDefault="00C71F2F" w:rsidP="00C71F2F">
      <w:pPr>
        <w:pStyle w:val="FootnoteText"/>
      </w:pPr>
      <w:r>
        <w:rPr>
          <w:rStyle w:val="FootnoteReference"/>
        </w:rPr>
        <w:footnoteRef/>
      </w:r>
      <w:r>
        <w:t xml:space="preserve"> </w:t>
      </w:r>
      <w:hyperlink r:id="rId1" w:history="1">
        <w:r w:rsidRPr="007445BE">
          <w:rPr>
            <w:rStyle w:val="Hyperlink"/>
          </w:rPr>
          <w:t>https://netl.doe.gov/bilhub/grid-resilience/formula-grants</w:t>
        </w:r>
      </w:hyperlink>
      <w:r>
        <w:t xml:space="preserve"> </w:t>
      </w:r>
    </w:p>
  </w:footnote>
  <w:footnote w:id="3">
    <w:p w14:paraId="5B337A33" w14:textId="58FD7933" w:rsidR="00074E59" w:rsidRDefault="00074E59">
      <w:pPr>
        <w:pStyle w:val="FootnoteText"/>
      </w:pPr>
      <w:r>
        <w:rPr>
          <w:rStyle w:val="FootnoteReference"/>
        </w:rPr>
        <w:footnoteRef/>
      </w:r>
      <w:r>
        <w:t xml:space="preserve"> U.S. Energy Information Administration</w:t>
      </w:r>
      <w:r w:rsidR="00F14239">
        <w:t xml:space="preserve">. Indiana State Profile Analysis. </w:t>
      </w:r>
      <w:hyperlink r:id="rId2" w:history="1">
        <w:r w:rsidR="00F627FA" w:rsidRPr="007E45EC">
          <w:rPr>
            <w:rStyle w:val="Hyperlink"/>
          </w:rPr>
          <w:t>https://www.eia.gov/state/analysis.php?sid=IN</w:t>
        </w:r>
      </w:hyperlink>
      <w:r w:rsidR="00F627FA">
        <w:t xml:space="preserve"> </w:t>
      </w:r>
    </w:p>
  </w:footnote>
  <w:footnote w:id="4">
    <w:p w14:paraId="03A16639" w14:textId="3A62E61C" w:rsidR="004932F3" w:rsidRDefault="004932F3">
      <w:pPr>
        <w:pStyle w:val="FootnoteText"/>
      </w:pPr>
      <w:r>
        <w:rPr>
          <w:rStyle w:val="FootnoteReference"/>
        </w:rPr>
        <w:footnoteRef/>
      </w:r>
      <w:r>
        <w:t xml:space="preserve"> </w:t>
      </w:r>
      <w:r w:rsidR="004C4B67">
        <w:t>Approximately 67% of</w:t>
      </w:r>
      <w:r w:rsidR="00B34CD0">
        <w:t xml:space="preserve"> the total production of</w:t>
      </w:r>
      <w:r w:rsidR="004C4B67">
        <w:t xml:space="preserve"> </w:t>
      </w:r>
      <w:r>
        <w:t>Indiana Michigan Power’s Cook Nuclear Plant</w:t>
      </w:r>
      <w:r w:rsidR="004C4B67">
        <w:t xml:space="preserve"> (located in Michigan) </w:t>
      </w:r>
      <w:r w:rsidR="00B34CD0">
        <w:t>i</w:t>
      </w:r>
      <w:r w:rsidR="004C4B67">
        <w:t xml:space="preserve">s allocated to Indiana. </w:t>
      </w:r>
    </w:p>
  </w:footnote>
  <w:footnote w:id="5">
    <w:p w14:paraId="0581FD46" w14:textId="4413FC41" w:rsidR="00D66808" w:rsidRDefault="00D66808">
      <w:pPr>
        <w:pStyle w:val="FootnoteText"/>
      </w:pPr>
      <w:r>
        <w:rPr>
          <w:rStyle w:val="FootnoteReference"/>
        </w:rPr>
        <w:footnoteRef/>
      </w:r>
      <w:r>
        <w:t xml:space="preserve"> Indiana Utility Regulatory Commission. 2021 Annual Report, p. 32-33. </w:t>
      </w:r>
      <w:hyperlink r:id="rId3" w:history="1">
        <w:r w:rsidRPr="007E45EC">
          <w:rPr>
            <w:rStyle w:val="Hyperlink"/>
          </w:rPr>
          <w:t>https://www.in.gov/iurc/files/IURC-2021-AR-WEB.pdf</w:t>
        </w:r>
      </w:hyperlink>
      <w:r w:rsidR="002C5F35">
        <w:rPr>
          <w:rStyle w:val="Hyperlink"/>
        </w:rPr>
        <w:t>.</w:t>
      </w:r>
    </w:p>
  </w:footnote>
  <w:footnote w:id="6">
    <w:p w14:paraId="03DB1A75" w14:textId="77777777" w:rsidR="00CA5B2A" w:rsidRDefault="00D85C9F">
      <w:pPr>
        <w:pStyle w:val="FootnoteText"/>
      </w:pPr>
      <w:r>
        <w:rPr>
          <w:rStyle w:val="FootnoteReference"/>
        </w:rPr>
        <w:footnoteRef/>
      </w:r>
      <w:r>
        <w:t xml:space="preserve"> </w:t>
      </w:r>
      <w:r w:rsidR="00CA5B2A">
        <w:t xml:space="preserve">U.S. Department of Energy. Indiana Energy Sector Risk Profile </w:t>
      </w:r>
    </w:p>
    <w:p w14:paraId="60B815B2" w14:textId="188D9E25" w:rsidR="00D85C9F" w:rsidRDefault="008F6310">
      <w:pPr>
        <w:pStyle w:val="FootnoteText"/>
      </w:pPr>
      <w:hyperlink r:id="rId4" w:history="1">
        <w:r w:rsidRPr="004A1D84">
          <w:rPr>
            <w:rStyle w:val="Hyperlink"/>
          </w:rPr>
          <w:t>https://www.energy.gov/sites/default/files/2021-09/Indiana%20Energy%20Sector%20Risk%20Profile.pdf</w:t>
        </w:r>
      </w:hyperlink>
      <w:r>
        <w:t xml:space="preserve"> </w:t>
      </w:r>
    </w:p>
  </w:footnote>
  <w:footnote w:id="7">
    <w:p w14:paraId="3F386C1B" w14:textId="77777777" w:rsidR="009D7CD1" w:rsidRDefault="005003DE" w:rsidP="009D7CD1">
      <w:pPr>
        <w:pStyle w:val="FootnoteText"/>
      </w:pPr>
      <w:r>
        <w:rPr>
          <w:rStyle w:val="FootnoteReference"/>
        </w:rPr>
        <w:footnoteRef/>
      </w:r>
      <w:r>
        <w:t xml:space="preserve"> </w:t>
      </w:r>
      <w:r w:rsidR="009D7CD1">
        <w:t>The System Average Interruption Frequency Index (SAIFI) which equals how often the average</w:t>
      </w:r>
    </w:p>
    <w:p w14:paraId="16C22C54" w14:textId="33D2DF00" w:rsidR="005003DE" w:rsidRDefault="009D7CD1" w:rsidP="009D7CD1">
      <w:pPr>
        <w:pStyle w:val="FootnoteText"/>
      </w:pPr>
      <w:r>
        <w:t xml:space="preserve">customer experiences an interruption, where </w:t>
      </w:r>
      <w:r w:rsidRPr="009D7CD1">
        <w:t>SAIFI = total number of customers interrupted/total number of customers served</w:t>
      </w:r>
      <w:r w:rsidR="0007143E">
        <w:t>.</w:t>
      </w:r>
    </w:p>
  </w:footnote>
  <w:footnote w:id="8">
    <w:p w14:paraId="444854CA" w14:textId="77777777" w:rsidR="0007143E" w:rsidRDefault="0007143E" w:rsidP="0007143E">
      <w:pPr>
        <w:pStyle w:val="FootnoteText"/>
      </w:pPr>
      <w:r>
        <w:rPr>
          <w:rStyle w:val="FootnoteReference"/>
        </w:rPr>
        <w:footnoteRef/>
      </w:r>
      <w:r>
        <w:t xml:space="preserve"> The System Average Interruption Duration Index (SAIDI) which equals the total number of</w:t>
      </w:r>
    </w:p>
    <w:p w14:paraId="70A3FF9C" w14:textId="3BC1E2F2" w:rsidR="0007143E" w:rsidRDefault="0007143E" w:rsidP="0007143E">
      <w:pPr>
        <w:pStyle w:val="FootnoteText"/>
      </w:pPr>
      <w:r>
        <w:t xml:space="preserve">minutes (or hours) the average customer experiences, where </w:t>
      </w:r>
      <w:r w:rsidRPr="0007143E">
        <w:t>SAIDI = sum of customer interruption durations/total number of customers served</w:t>
      </w:r>
      <w:r>
        <w:t>.</w:t>
      </w:r>
    </w:p>
  </w:footnote>
  <w:footnote w:id="9">
    <w:p w14:paraId="6CD0C0AD" w14:textId="77777777" w:rsidR="00225D42" w:rsidRDefault="00225D42" w:rsidP="00225D42">
      <w:pPr>
        <w:pStyle w:val="FootnoteText"/>
      </w:pPr>
      <w:r>
        <w:rPr>
          <w:rStyle w:val="FootnoteReference"/>
        </w:rPr>
        <w:footnoteRef/>
      </w:r>
      <w:r>
        <w:t xml:space="preserve"> The Customer Average Interruption Duration Index (CAIDI) which equals the average time</w:t>
      </w:r>
    </w:p>
    <w:p w14:paraId="1E128205" w14:textId="4A8C449A" w:rsidR="00225D42" w:rsidRDefault="00225D42" w:rsidP="00225D42">
      <w:pPr>
        <w:pStyle w:val="FootnoteText"/>
      </w:pPr>
      <w:r>
        <w:t xml:space="preserve">required to restore service, where </w:t>
      </w:r>
      <w:r w:rsidRPr="00225D42">
        <w:t>CAIDI = sum of customer interruption durations/total number of customers interrupted</w:t>
      </w:r>
      <w:r>
        <w:t>.</w:t>
      </w:r>
    </w:p>
  </w:footnote>
  <w:footnote w:id="10">
    <w:p w14:paraId="3CAEC4A5" w14:textId="77777777" w:rsidR="008B31B9" w:rsidRDefault="008B31B9" w:rsidP="008B31B9">
      <w:pPr>
        <w:pStyle w:val="FootnoteText"/>
      </w:pPr>
      <w:r>
        <w:rPr>
          <w:rStyle w:val="FootnoteReference"/>
        </w:rPr>
        <w:footnoteRef/>
      </w:r>
      <w:r>
        <w:t xml:space="preserve"> In this section, “critical customers” include assets delivering life-sustaining services to a significant portion of the general population, such as police stations, fire departments, dispatcher/emergency response centers, hospitals, urgent care facilities, community cooling centers, water and sewer treatment and pumping facilities, vehicle fueling stations, and grocery stores.</w:t>
      </w:r>
    </w:p>
  </w:footnote>
  <w:footnote w:id="11">
    <w:p w14:paraId="083FA430" w14:textId="64071D35" w:rsidR="00BC6148" w:rsidRDefault="00BC6148" w:rsidP="00BC6148">
      <w:pPr>
        <w:pStyle w:val="FootnoteText"/>
      </w:pPr>
      <w:r>
        <w:rPr>
          <w:rStyle w:val="FootnoteReference"/>
        </w:rPr>
        <w:footnoteRef/>
      </w:r>
      <w:r>
        <w:t xml:space="preserve"> “Disruptive event” is defined as an event in which operations of the electric grid are disrupted, preventatively shut off, or cannot operate safely due to extreme weather, wildfire, or a natural disaster. </w:t>
      </w:r>
      <w:r w:rsidR="008E42EE">
        <w:t>Section 40101</w:t>
      </w:r>
      <w:r>
        <w:t>(a)(1). For purposes of this Program Narrative, “resilience” means the ability of the electric grid to withstand and rapidly recover from one or more disruptive events.</w:t>
      </w:r>
    </w:p>
  </w:footnote>
  <w:footnote w:id="12">
    <w:p w14:paraId="0C8A8834" w14:textId="77777777" w:rsidR="00BC6148" w:rsidRPr="006E3AAB" w:rsidRDefault="00BC6148" w:rsidP="00BC6148">
      <w:pPr>
        <w:pStyle w:val="FootnoteText"/>
      </w:pPr>
      <w:r>
        <w:rPr>
          <w:rStyle w:val="FootnoteReference"/>
        </w:rPr>
        <w:footnoteRef/>
      </w:r>
      <w:r>
        <w:t xml:space="preserve"> The U.S. Department of Energy </w:t>
      </w:r>
      <w:proofErr w:type="spellStart"/>
      <w:r>
        <w:rPr>
          <w:i/>
          <w:iCs/>
        </w:rPr>
        <w:t>Energy</w:t>
      </w:r>
      <w:proofErr w:type="spellEnd"/>
      <w:r>
        <w:rPr>
          <w:i/>
          <w:iCs/>
        </w:rPr>
        <w:t xml:space="preserve"> Justice Dashboard</w:t>
      </w:r>
      <w:r>
        <w:t xml:space="preserve"> is recommended to assist in identifying whether a community is considered disadvantaged. </w:t>
      </w:r>
      <w:hyperlink r:id="rId5" w:history="1">
        <w:r w:rsidRPr="00BD0CDB">
          <w:rPr>
            <w:rStyle w:val="Hyperlink"/>
          </w:rPr>
          <w:t>https://energyjustice.egs.anl.gov/</w:t>
        </w:r>
      </w:hyperlink>
      <w:r>
        <w:t>. In any application, please identify and provide a link to any federal mapping tools used in the decision-making process.</w:t>
      </w:r>
    </w:p>
  </w:footnote>
  <w:footnote w:id="13">
    <w:p w14:paraId="19612420" w14:textId="77777777" w:rsidR="003C439A" w:rsidRDefault="003C439A" w:rsidP="003C439A">
      <w:pPr>
        <w:pStyle w:val="FootnoteText"/>
      </w:pPr>
      <w:r>
        <w:rPr>
          <w:rStyle w:val="FootnoteReference"/>
        </w:rPr>
        <w:footnoteRef/>
      </w:r>
      <w:r>
        <w:t xml:space="preserve"> </w:t>
      </w:r>
      <w:hyperlink r:id="rId6" w:history="1">
        <w:r w:rsidRPr="00DF6E41">
          <w:rPr>
            <w:rStyle w:val="Hyperlink"/>
          </w:rPr>
          <w:t>https://www.in.gov/idoa/procurement/supplier-resource-center/requirements-to-do-business-with-the-state/</w:t>
        </w:r>
      </w:hyperlink>
      <w:r>
        <w:t xml:space="preserve"> </w:t>
      </w:r>
    </w:p>
  </w:footnote>
  <w:footnote w:id="14">
    <w:p w14:paraId="096F2849" w14:textId="06629881" w:rsidR="00D317AA" w:rsidRDefault="00D317AA">
      <w:pPr>
        <w:pStyle w:val="FootnoteText"/>
      </w:pPr>
      <w:r>
        <w:rPr>
          <w:rStyle w:val="FootnoteReference"/>
        </w:rPr>
        <w:footnoteRef/>
      </w:r>
      <w:r>
        <w:t xml:space="preserve"> </w:t>
      </w:r>
      <w:r w:rsidR="004B2B13">
        <w:t xml:space="preserve">Applicants are encouraged to review the ARLD for </w:t>
      </w:r>
      <w:r w:rsidR="00B1229F">
        <w:t>details</w:t>
      </w:r>
      <w:r w:rsidR="003C7B58">
        <w:t xml:space="preserve"> </w:t>
      </w:r>
      <w:r w:rsidR="00B1229F">
        <w:t xml:space="preserve">on </w:t>
      </w:r>
      <w:r w:rsidR="004E15E7">
        <w:t xml:space="preserve">the </w:t>
      </w:r>
      <w:r w:rsidR="003C7B58">
        <w:t>federal requirements</w:t>
      </w:r>
      <w:r w:rsidR="00530CB5">
        <w:t xml:space="preserve">, available at: </w:t>
      </w:r>
      <w:hyperlink r:id="rId7" w:history="1">
        <w:r w:rsidR="003E35FC" w:rsidRPr="00A22A03">
          <w:rPr>
            <w:rStyle w:val="Hyperlink"/>
          </w:rPr>
          <w:t>https://netl.doe.gov/bilhub/grid-resilience/formula-grants</w:t>
        </w:r>
      </w:hyperlink>
      <w:r w:rsidR="003E35FC">
        <w:t xml:space="preserve"> </w:t>
      </w:r>
    </w:p>
  </w:footnote>
  <w:footnote w:id="15">
    <w:p w14:paraId="0B90B6D5" w14:textId="009C6AAF" w:rsidR="00AD0356" w:rsidRDefault="00AD0356" w:rsidP="00AD0356">
      <w:pPr>
        <w:pStyle w:val="FootnoteText"/>
      </w:pPr>
      <w:r>
        <w:rPr>
          <w:rStyle w:val="FootnoteReference"/>
        </w:rPr>
        <w:footnoteRef/>
      </w:r>
      <w:r>
        <w:t xml:space="preserve"> </w:t>
      </w:r>
      <w:r w:rsidR="0089514C">
        <w:t>Section 40101</w:t>
      </w:r>
      <w:r>
        <w:t>(d)(5)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C04D" w14:textId="18629CD8" w:rsidR="008365BD" w:rsidRDefault="003C1653">
    <w:pPr>
      <w:pStyle w:val="Header"/>
    </w:pPr>
    <w:r>
      <w:rPr>
        <w:noProof/>
      </w:rPr>
      <w:pict w14:anchorId="6050D7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32641" o:spid="_x0000_s1026" type="#_x0000_t136" style="position:absolute;margin-left:0;margin-top:0;width:549.9pt;height:109.95pt;rotation:315;z-index:-251658239;mso-position-horizontal:center;mso-position-horizontal-relative:margin;mso-position-vertical:center;mso-position-vertical-relative:margin" o:allowincell="f" fillcolor="silver" stroked="f">
          <v:fill opacity=".5"/>
          <v:textpath style="font-family:&quot;Calibri&quot;;font-size:1pt" string="STRAWMA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C9F7" w14:textId="6B7CBD2D" w:rsidR="008365BD" w:rsidRDefault="003C1653" w:rsidP="008365BD">
    <w:pPr>
      <w:pStyle w:val="Header"/>
      <w:jc w:val="center"/>
    </w:pPr>
    <w:r>
      <w:rPr>
        <w:noProof/>
        <w:color w:val="FF0000"/>
      </w:rPr>
      <w:pict w14:anchorId="69F132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32642" o:spid="_x0000_s1027" type="#_x0000_t136" style="position:absolute;left:0;text-align:left;margin-left:0;margin-top:0;width:549.9pt;height:109.95pt;rotation:315;z-index:-251658238;mso-position-horizontal:center;mso-position-horizontal-relative:margin;mso-position-vertical:center;mso-position-vertical-relative:margin" o:allowincell="f" fillcolor="silver" stroked="f">
          <v:fill opacity=".5"/>
          <v:textpath style="font-family:&quot;Calibri&quot;;font-size:1pt" string="STRAWMAN DRAFT"/>
          <w10:wrap anchorx="margin" anchory="margin"/>
        </v:shape>
      </w:pict>
    </w:r>
    <w:r w:rsidR="00A7762D">
      <w:rPr>
        <w:color w:val="FF0000"/>
      </w:rPr>
      <w:t>NOT FINAL—</w:t>
    </w:r>
    <w:r w:rsidR="00094811" w:rsidRPr="00094811">
      <w:rPr>
        <w:color w:val="FF0000"/>
      </w:rPr>
      <w:t>DRAFT FOR PUBLIC FEEDBACK PURPOSES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5846" w14:textId="5599C890" w:rsidR="008365BD" w:rsidRDefault="003C1653">
    <w:pPr>
      <w:pStyle w:val="Header"/>
    </w:pPr>
    <w:r>
      <w:rPr>
        <w:noProof/>
      </w:rPr>
      <w:pict w14:anchorId="1358ED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32640" o:spid="_x0000_s1025"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Calibri&quot;;font-size:1pt" string="STRAWMAN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5F4"/>
    <w:multiLevelType w:val="hybridMultilevel"/>
    <w:tmpl w:val="CAE8C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34F52"/>
    <w:multiLevelType w:val="hybridMultilevel"/>
    <w:tmpl w:val="90D2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A6F94"/>
    <w:multiLevelType w:val="hybridMultilevel"/>
    <w:tmpl w:val="C9E62F3E"/>
    <w:lvl w:ilvl="0" w:tplc="FFFFFFFF">
      <w:start w:val="1"/>
      <w:numFmt w:val="decimal"/>
      <w:lvlText w:val="%1."/>
      <w:lvlJc w:val="left"/>
      <w:pPr>
        <w:ind w:left="2520" w:hanging="360"/>
      </w:p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 w15:restartNumberingAfterBreak="0">
    <w:nsid w:val="0F1B3E23"/>
    <w:multiLevelType w:val="hybridMultilevel"/>
    <w:tmpl w:val="17E069F8"/>
    <w:lvl w:ilvl="0" w:tplc="53F8CC8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E7BF2"/>
    <w:multiLevelType w:val="hybridMultilevel"/>
    <w:tmpl w:val="7A28E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834A5"/>
    <w:multiLevelType w:val="hybridMultilevel"/>
    <w:tmpl w:val="95FA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9247B"/>
    <w:multiLevelType w:val="hybridMultilevel"/>
    <w:tmpl w:val="5C3C0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41378D"/>
    <w:multiLevelType w:val="hybridMultilevel"/>
    <w:tmpl w:val="AAE2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14423"/>
    <w:multiLevelType w:val="hybridMultilevel"/>
    <w:tmpl w:val="C9E62F3E"/>
    <w:lvl w:ilvl="0" w:tplc="FFFFFFFF">
      <w:start w:val="1"/>
      <w:numFmt w:val="decimal"/>
      <w:lvlText w:val="%1."/>
      <w:lvlJc w:val="left"/>
      <w:pPr>
        <w:ind w:left="2520" w:hanging="360"/>
      </w:p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9" w15:restartNumberingAfterBreak="0">
    <w:nsid w:val="213F1655"/>
    <w:multiLevelType w:val="hybridMultilevel"/>
    <w:tmpl w:val="FF98F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D646F"/>
    <w:multiLevelType w:val="hybridMultilevel"/>
    <w:tmpl w:val="C9E62F3E"/>
    <w:lvl w:ilvl="0" w:tplc="FFFFFFFF">
      <w:start w:val="1"/>
      <w:numFmt w:val="decimal"/>
      <w:lvlText w:val="%1."/>
      <w:lvlJc w:val="left"/>
      <w:pPr>
        <w:ind w:left="2520" w:hanging="360"/>
      </w:p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1" w15:restartNumberingAfterBreak="0">
    <w:nsid w:val="2F424216"/>
    <w:multiLevelType w:val="hybridMultilevel"/>
    <w:tmpl w:val="0CAC9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D2737"/>
    <w:multiLevelType w:val="hybridMultilevel"/>
    <w:tmpl w:val="2FB6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57981"/>
    <w:multiLevelType w:val="hybridMultilevel"/>
    <w:tmpl w:val="51A2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D204F"/>
    <w:multiLevelType w:val="hybridMultilevel"/>
    <w:tmpl w:val="49F47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902F4"/>
    <w:multiLevelType w:val="hybridMultilevel"/>
    <w:tmpl w:val="D3CA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24194B"/>
    <w:multiLevelType w:val="hybridMultilevel"/>
    <w:tmpl w:val="FB8E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C6610"/>
    <w:multiLevelType w:val="hybridMultilevel"/>
    <w:tmpl w:val="C9E62F3E"/>
    <w:lvl w:ilvl="0" w:tplc="FFFFFFFF">
      <w:start w:val="1"/>
      <w:numFmt w:val="decimal"/>
      <w:lvlText w:val="%1."/>
      <w:lvlJc w:val="left"/>
      <w:pPr>
        <w:ind w:left="2520" w:hanging="360"/>
      </w:p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8" w15:restartNumberingAfterBreak="0">
    <w:nsid w:val="5627714D"/>
    <w:multiLevelType w:val="hybridMultilevel"/>
    <w:tmpl w:val="E102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8D15FE"/>
    <w:multiLevelType w:val="hybridMultilevel"/>
    <w:tmpl w:val="B96AC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AE296B"/>
    <w:multiLevelType w:val="hybridMultilevel"/>
    <w:tmpl w:val="5418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DA5794"/>
    <w:multiLevelType w:val="hybridMultilevel"/>
    <w:tmpl w:val="8138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177A60"/>
    <w:multiLevelType w:val="hybridMultilevel"/>
    <w:tmpl w:val="EE98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4B024F"/>
    <w:multiLevelType w:val="hybridMultilevel"/>
    <w:tmpl w:val="7F82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CC2F63"/>
    <w:multiLevelType w:val="hybridMultilevel"/>
    <w:tmpl w:val="6042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563BB9"/>
    <w:multiLevelType w:val="hybridMultilevel"/>
    <w:tmpl w:val="CB66B680"/>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num w:numId="1" w16cid:durableId="223612537">
    <w:abstractNumId w:val="2"/>
  </w:num>
  <w:num w:numId="2" w16cid:durableId="2067995187">
    <w:abstractNumId w:val="10"/>
  </w:num>
  <w:num w:numId="3" w16cid:durableId="921991569">
    <w:abstractNumId w:val="8"/>
  </w:num>
  <w:num w:numId="4" w16cid:durableId="1970818195">
    <w:abstractNumId w:val="17"/>
  </w:num>
  <w:num w:numId="5" w16cid:durableId="948779040">
    <w:abstractNumId w:val="24"/>
  </w:num>
  <w:num w:numId="6" w16cid:durableId="1498959122">
    <w:abstractNumId w:val="16"/>
  </w:num>
  <w:num w:numId="7" w16cid:durableId="1574319508">
    <w:abstractNumId w:val="12"/>
  </w:num>
  <w:num w:numId="8" w16cid:durableId="2096247760">
    <w:abstractNumId w:val="21"/>
  </w:num>
  <w:num w:numId="9" w16cid:durableId="1522817854">
    <w:abstractNumId w:val="6"/>
  </w:num>
  <w:num w:numId="10" w16cid:durableId="972709276">
    <w:abstractNumId w:val="23"/>
  </w:num>
  <w:num w:numId="11" w16cid:durableId="1821652788">
    <w:abstractNumId w:val="3"/>
  </w:num>
  <w:num w:numId="12" w16cid:durableId="1555310138">
    <w:abstractNumId w:val="14"/>
  </w:num>
  <w:num w:numId="13" w16cid:durableId="396781690">
    <w:abstractNumId w:val="18"/>
  </w:num>
  <w:num w:numId="14" w16cid:durableId="352876882">
    <w:abstractNumId w:val="5"/>
  </w:num>
  <w:num w:numId="15" w16cid:durableId="651253786">
    <w:abstractNumId w:val="11"/>
  </w:num>
  <w:num w:numId="16" w16cid:durableId="610666410">
    <w:abstractNumId w:val="13"/>
  </w:num>
  <w:num w:numId="17" w16cid:durableId="178472477">
    <w:abstractNumId w:val="25"/>
  </w:num>
  <w:num w:numId="18" w16cid:durableId="447895449">
    <w:abstractNumId w:val="15"/>
  </w:num>
  <w:num w:numId="19" w16cid:durableId="1571887057">
    <w:abstractNumId w:val="19"/>
  </w:num>
  <w:num w:numId="20" w16cid:durableId="269558165">
    <w:abstractNumId w:val="1"/>
  </w:num>
  <w:num w:numId="21" w16cid:durableId="954555808">
    <w:abstractNumId w:val="0"/>
  </w:num>
  <w:num w:numId="22" w16cid:durableId="621155819">
    <w:abstractNumId w:val="4"/>
  </w:num>
  <w:num w:numId="23" w16cid:durableId="704333048">
    <w:abstractNumId w:val="7"/>
  </w:num>
  <w:num w:numId="24" w16cid:durableId="1092775655">
    <w:abstractNumId w:val="20"/>
  </w:num>
  <w:num w:numId="25" w16cid:durableId="567568584">
    <w:abstractNumId w:val="9"/>
  </w:num>
  <w:num w:numId="26" w16cid:durableId="13757546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D3"/>
    <w:rsid w:val="0000038D"/>
    <w:rsid w:val="00006840"/>
    <w:rsid w:val="00016366"/>
    <w:rsid w:val="00020017"/>
    <w:rsid w:val="000240A9"/>
    <w:rsid w:val="00024FD2"/>
    <w:rsid w:val="0002510C"/>
    <w:rsid w:val="00026DED"/>
    <w:rsid w:val="000338CC"/>
    <w:rsid w:val="000347CD"/>
    <w:rsid w:val="000352C1"/>
    <w:rsid w:val="0003562E"/>
    <w:rsid w:val="0004078C"/>
    <w:rsid w:val="00042D69"/>
    <w:rsid w:val="0005363B"/>
    <w:rsid w:val="000539AE"/>
    <w:rsid w:val="000542D4"/>
    <w:rsid w:val="00056C21"/>
    <w:rsid w:val="00057574"/>
    <w:rsid w:val="00061464"/>
    <w:rsid w:val="00061646"/>
    <w:rsid w:val="00062717"/>
    <w:rsid w:val="00063B23"/>
    <w:rsid w:val="00063FFC"/>
    <w:rsid w:val="0006726A"/>
    <w:rsid w:val="0007143E"/>
    <w:rsid w:val="0007409B"/>
    <w:rsid w:val="00074E59"/>
    <w:rsid w:val="00075FA3"/>
    <w:rsid w:val="00076E09"/>
    <w:rsid w:val="00077077"/>
    <w:rsid w:val="0008125B"/>
    <w:rsid w:val="0008492C"/>
    <w:rsid w:val="000874CF"/>
    <w:rsid w:val="000878D5"/>
    <w:rsid w:val="00087996"/>
    <w:rsid w:val="0009032E"/>
    <w:rsid w:val="000928A8"/>
    <w:rsid w:val="00092EF5"/>
    <w:rsid w:val="0009305C"/>
    <w:rsid w:val="0009329A"/>
    <w:rsid w:val="00094811"/>
    <w:rsid w:val="000A17A5"/>
    <w:rsid w:val="000A43D1"/>
    <w:rsid w:val="000A4C1C"/>
    <w:rsid w:val="000A5AFE"/>
    <w:rsid w:val="000A734C"/>
    <w:rsid w:val="000B0D37"/>
    <w:rsid w:val="000B7C82"/>
    <w:rsid w:val="000C107B"/>
    <w:rsid w:val="000C2D9F"/>
    <w:rsid w:val="000C4D5B"/>
    <w:rsid w:val="000D2448"/>
    <w:rsid w:val="000E070A"/>
    <w:rsid w:val="000E4D72"/>
    <w:rsid w:val="000E6607"/>
    <w:rsid w:val="000E66D8"/>
    <w:rsid w:val="000F30A0"/>
    <w:rsid w:val="000F633D"/>
    <w:rsid w:val="000F716E"/>
    <w:rsid w:val="00100AF7"/>
    <w:rsid w:val="001044B9"/>
    <w:rsid w:val="00104DC1"/>
    <w:rsid w:val="001074C8"/>
    <w:rsid w:val="00107EF9"/>
    <w:rsid w:val="0011002C"/>
    <w:rsid w:val="00111070"/>
    <w:rsid w:val="00112A13"/>
    <w:rsid w:val="001131B5"/>
    <w:rsid w:val="001141A9"/>
    <w:rsid w:val="00115266"/>
    <w:rsid w:val="00116C1B"/>
    <w:rsid w:val="00117934"/>
    <w:rsid w:val="0012175B"/>
    <w:rsid w:val="00123330"/>
    <w:rsid w:val="00124368"/>
    <w:rsid w:val="00125321"/>
    <w:rsid w:val="00125FA1"/>
    <w:rsid w:val="00126745"/>
    <w:rsid w:val="001314A1"/>
    <w:rsid w:val="001332EF"/>
    <w:rsid w:val="00133ABF"/>
    <w:rsid w:val="00134B5A"/>
    <w:rsid w:val="0013613A"/>
    <w:rsid w:val="001379CB"/>
    <w:rsid w:val="001408C4"/>
    <w:rsid w:val="001411C5"/>
    <w:rsid w:val="0014125E"/>
    <w:rsid w:val="0014292D"/>
    <w:rsid w:val="00144C27"/>
    <w:rsid w:val="00145635"/>
    <w:rsid w:val="001536E8"/>
    <w:rsid w:val="00157C39"/>
    <w:rsid w:val="00164661"/>
    <w:rsid w:val="00171B3D"/>
    <w:rsid w:val="001726F6"/>
    <w:rsid w:val="00172E6A"/>
    <w:rsid w:val="00172FB1"/>
    <w:rsid w:val="00177DEE"/>
    <w:rsid w:val="001800CF"/>
    <w:rsid w:val="00180C84"/>
    <w:rsid w:val="001816AA"/>
    <w:rsid w:val="0019020E"/>
    <w:rsid w:val="00190550"/>
    <w:rsid w:val="0019225B"/>
    <w:rsid w:val="001934D9"/>
    <w:rsid w:val="00193FCF"/>
    <w:rsid w:val="001A610F"/>
    <w:rsid w:val="001B1C55"/>
    <w:rsid w:val="001B25BB"/>
    <w:rsid w:val="001B5E05"/>
    <w:rsid w:val="001C5E74"/>
    <w:rsid w:val="001D5EBE"/>
    <w:rsid w:val="001D64B9"/>
    <w:rsid w:val="001D7CB1"/>
    <w:rsid w:val="001E0B93"/>
    <w:rsid w:val="001E117D"/>
    <w:rsid w:val="001E33C2"/>
    <w:rsid w:val="001E3D59"/>
    <w:rsid w:val="001E42DF"/>
    <w:rsid w:val="001E7DEA"/>
    <w:rsid w:val="001F08C7"/>
    <w:rsid w:val="001F133F"/>
    <w:rsid w:val="001F59D6"/>
    <w:rsid w:val="001F7416"/>
    <w:rsid w:val="00200B65"/>
    <w:rsid w:val="00201F71"/>
    <w:rsid w:val="0020350E"/>
    <w:rsid w:val="00203E95"/>
    <w:rsid w:val="00206D32"/>
    <w:rsid w:val="00210738"/>
    <w:rsid w:val="002127B3"/>
    <w:rsid w:val="00212B6D"/>
    <w:rsid w:val="00213E45"/>
    <w:rsid w:val="002142C3"/>
    <w:rsid w:val="002149FF"/>
    <w:rsid w:val="002200CA"/>
    <w:rsid w:val="00221621"/>
    <w:rsid w:val="00223CC8"/>
    <w:rsid w:val="002246A9"/>
    <w:rsid w:val="00225D42"/>
    <w:rsid w:val="00225F2F"/>
    <w:rsid w:val="00226836"/>
    <w:rsid w:val="00227C4A"/>
    <w:rsid w:val="00243E5E"/>
    <w:rsid w:val="00245629"/>
    <w:rsid w:val="0024685C"/>
    <w:rsid w:val="002509B6"/>
    <w:rsid w:val="00251E82"/>
    <w:rsid w:val="0025221B"/>
    <w:rsid w:val="002538B4"/>
    <w:rsid w:val="00261060"/>
    <w:rsid w:val="00264EA5"/>
    <w:rsid w:val="00266249"/>
    <w:rsid w:val="00267F75"/>
    <w:rsid w:val="00281C03"/>
    <w:rsid w:val="00282A16"/>
    <w:rsid w:val="002832DB"/>
    <w:rsid w:val="002844A1"/>
    <w:rsid w:val="00284C01"/>
    <w:rsid w:val="00285878"/>
    <w:rsid w:val="00285EAA"/>
    <w:rsid w:val="002901F4"/>
    <w:rsid w:val="00290B62"/>
    <w:rsid w:val="00293F8D"/>
    <w:rsid w:val="00295FAF"/>
    <w:rsid w:val="0029631F"/>
    <w:rsid w:val="002A59AB"/>
    <w:rsid w:val="002A6D28"/>
    <w:rsid w:val="002B4B87"/>
    <w:rsid w:val="002B4DC3"/>
    <w:rsid w:val="002B604C"/>
    <w:rsid w:val="002C15E9"/>
    <w:rsid w:val="002C1D6C"/>
    <w:rsid w:val="002C1E80"/>
    <w:rsid w:val="002C5F35"/>
    <w:rsid w:val="002C79E0"/>
    <w:rsid w:val="002D1312"/>
    <w:rsid w:val="002D4904"/>
    <w:rsid w:val="002D5230"/>
    <w:rsid w:val="002D6F12"/>
    <w:rsid w:val="002D7463"/>
    <w:rsid w:val="002E448A"/>
    <w:rsid w:val="002E541B"/>
    <w:rsid w:val="002E5825"/>
    <w:rsid w:val="002F4DF1"/>
    <w:rsid w:val="002F67F9"/>
    <w:rsid w:val="002F729A"/>
    <w:rsid w:val="00302277"/>
    <w:rsid w:val="00302680"/>
    <w:rsid w:val="00302EF2"/>
    <w:rsid w:val="003062AA"/>
    <w:rsid w:val="00306DB9"/>
    <w:rsid w:val="003108C7"/>
    <w:rsid w:val="00311B05"/>
    <w:rsid w:val="00322D6F"/>
    <w:rsid w:val="00323027"/>
    <w:rsid w:val="0032407A"/>
    <w:rsid w:val="00325DF6"/>
    <w:rsid w:val="0032615A"/>
    <w:rsid w:val="00331B76"/>
    <w:rsid w:val="00335B7A"/>
    <w:rsid w:val="003404D4"/>
    <w:rsid w:val="003408A3"/>
    <w:rsid w:val="00343CB2"/>
    <w:rsid w:val="00343D46"/>
    <w:rsid w:val="003441F5"/>
    <w:rsid w:val="00350628"/>
    <w:rsid w:val="003545CC"/>
    <w:rsid w:val="0035662B"/>
    <w:rsid w:val="003610FF"/>
    <w:rsid w:val="00362FD2"/>
    <w:rsid w:val="003637E2"/>
    <w:rsid w:val="0036493E"/>
    <w:rsid w:val="00365CEC"/>
    <w:rsid w:val="00366A06"/>
    <w:rsid w:val="00370211"/>
    <w:rsid w:val="00376A0B"/>
    <w:rsid w:val="003774AA"/>
    <w:rsid w:val="003779C2"/>
    <w:rsid w:val="003804DF"/>
    <w:rsid w:val="003839DB"/>
    <w:rsid w:val="00390440"/>
    <w:rsid w:val="00390899"/>
    <w:rsid w:val="0039154C"/>
    <w:rsid w:val="003927EB"/>
    <w:rsid w:val="00392F62"/>
    <w:rsid w:val="00393FA0"/>
    <w:rsid w:val="003975C6"/>
    <w:rsid w:val="003A0BC5"/>
    <w:rsid w:val="003A11ED"/>
    <w:rsid w:val="003A33D6"/>
    <w:rsid w:val="003A4B9D"/>
    <w:rsid w:val="003A51A3"/>
    <w:rsid w:val="003A52CE"/>
    <w:rsid w:val="003A5F9D"/>
    <w:rsid w:val="003A659E"/>
    <w:rsid w:val="003A685B"/>
    <w:rsid w:val="003A7B3C"/>
    <w:rsid w:val="003A7D24"/>
    <w:rsid w:val="003B08A9"/>
    <w:rsid w:val="003B2419"/>
    <w:rsid w:val="003B3DE2"/>
    <w:rsid w:val="003B59D3"/>
    <w:rsid w:val="003B6E28"/>
    <w:rsid w:val="003C1653"/>
    <w:rsid w:val="003C402E"/>
    <w:rsid w:val="003C4271"/>
    <w:rsid w:val="003C439A"/>
    <w:rsid w:val="003C7B58"/>
    <w:rsid w:val="003D1648"/>
    <w:rsid w:val="003D2D72"/>
    <w:rsid w:val="003D32AE"/>
    <w:rsid w:val="003D4157"/>
    <w:rsid w:val="003D47D8"/>
    <w:rsid w:val="003D5152"/>
    <w:rsid w:val="003D555C"/>
    <w:rsid w:val="003E0869"/>
    <w:rsid w:val="003E29A3"/>
    <w:rsid w:val="003E35FC"/>
    <w:rsid w:val="003E5D44"/>
    <w:rsid w:val="003E7258"/>
    <w:rsid w:val="003F037B"/>
    <w:rsid w:val="003F0865"/>
    <w:rsid w:val="003F1C50"/>
    <w:rsid w:val="003F1FB7"/>
    <w:rsid w:val="003F23F6"/>
    <w:rsid w:val="003F3A12"/>
    <w:rsid w:val="003F3EEA"/>
    <w:rsid w:val="003F6BEF"/>
    <w:rsid w:val="003F7296"/>
    <w:rsid w:val="004029A0"/>
    <w:rsid w:val="0041255D"/>
    <w:rsid w:val="00414E46"/>
    <w:rsid w:val="00415696"/>
    <w:rsid w:val="004168E6"/>
    <w:rsid w:val="004202BC"/>
    <w:rsid w:val="0042179F"/>
    <w:rsid w:val="00421FD8"/>
    <w:rsid w:val="00423DE4"/>
    <w:rsid w:val="00423EA9"/>
    <w:rsid w:val="004254FC"/>
    <w:rsid w:val="00425DC9"/>
    <w:rsid w:val="00430190"/>
    <w:rsid w:val="0043270F"/>
    <w:rsid w:val="00432D3F"/>
    <w:rsid w:val="00433202"/>
    <w:rsid w:val="00433A21"/>
    <w:rsid w:val="00435C85"/>
    <w:rsid w:val="00436D43"/>
    <w:rsid w:val="004377CB"/>
    <w:rsid w:val="00437EF4"/>
    <w:rsid w:val="00440A6F"/>
    <w:rsid w:val="00440F79"/>
    <w:rsid w:val="00443676"/>
    <w:rsid w:val="00443D18"/>
    <w:rsid w:val="00445589"/>
    <w:rsid w:val="00447F5F"/>
    <w:rsid w:val="004500F4"/>
    <w:rsid w:val="00450E25"/>
    <w:rsid w:val="004532F3"/>
    <w:rsid w:val="00454001"/>
    <w:rsid w:val="0045401A"/>
    <w:rsid w:val="0045657A"/>
    <w:rsid w:val="004565C2"/>
    <w:rsid w:val="004626ED"/>
    <w:rsid w:val="00464003"/>
    <w:rsid w:val="00465C73"/>
    <w:rsid w:val="00466700"/>
    <w:rsid w:val="00466A9D"/>
    <w:rsid w:val="00470DF2"/>
    <w:rsid w:val="00471106"/>
    <w:rsid w:val="00471D39"/>
    <w:rsid w:val="00475D50"/>
    <w:rsid w:val="004766E7"/>
    <w:rsid w:val="00476CCF"/>
    <w:rsid w:val="00480189"/>
    <w:rsid w:val="0048043D"/>
    <w:rsid w:val="004819A8"/>
    <w:rsid w:val="00483C5F"/>
    <w:rsid w:val="004859C2"/>
    <w:rsid w:val="00486280"/>
    <w:rsid w:val="00486AE7"/>
    <w:rsid w:val="00486F80"/>
    <w:rsid w:val="004870A4"/>
    <w:rsid w:val="004915E7"/>
    <w:rsid w:val="004932F3"/>
    <w:rsid w:val="00494288"/>
    <w:rsid w:val="00494D7E"/>
    <w:rsid w:val="00496B7F"/>
    <w:rsid w:val="00496F7B"/>
    <w:rsid w:val="004A1CDB"/>
    <w:rsid w:val="004B0232"/>
    <w:rsid w:val="004B2B13"/>
    <w:rsid w:val="004B3240"/>
    <w:rsid w:val="004B67DE"/>
    <w:rsid w:val="004B796E"/>
    <w:rsid w:val="004C0FF6"/>
    <w:rsid w:val="004C2B1B"/>
    <w:rsid w:val="004C4B67"/>
    <w:rsid w:val="004C7E5A"/>
    <w:rsid w:val="004C7F87"/>
    <w:rsid w:val="004D0763"/>
    <w:rsid w:val="004D33DD"/>
    <w:rsid w:val="004D48F5"/>
    <w:rsid w:val="004D7693"/>
    <w:rsid w:val="004E0F53"/>
    <w:rsid w:val="004E15E7"/>
    <w:rsid w:val="004E259A"/>
    <w:rsid w:val="004E2F1E"/>
    <w:rsid w:val="004E4CF0"/>
    <w:rsid w:val="004E6F6E"/>
    <w:rsid w:val="004E752A"/>
    <w:rsid w:val="004F02D3"/>
    <w:rsid w:val="004F2946"/>
    <w:rsid w:val="004F50FE"/>
    <w:rsid w:val="004F53B1"/>
    <w:rsid w:val="004F7273"/>
    <w:rsid w:val="005003DE"/>
    <w:rsid w:val="005013BF"/>
    <w:rsid w:val="00502938"/>
    <w:rsid w:val="00504CDE"/>
    <w:rsid w:val="005052BC"/>
    <w:rsid w:val="0050569D"/>
    <w:rsid w:val="0051208F"/>
    <w:rsid w:val="0051376D"/>
    <w:rsid w:val="00514160"/>
    <w:rsid w:val="005211CB"/>
    <w:rsid w:val="00522C89"/>
    <w:rsid w:val="00523861"/>
    <w:rsid w:val="00523A93"/>
    <w:rsid w:val="005245CA"/>
    <w:rsid w:val="00526026"/>
    <w:rsid w:val="00526242"/>
    <w:rsid w:val="00527659"/>
    <w:rsid w:val="00530CB5"/>
    <w:rsid w:val="00533790"/>
    <w:rsid w:val="00536DD5"/>
    <w:rsid w:val="00541484"/>
    <w:rsid w:val="00550FFE"/>
    <w:rsid w:val="005511F4"/>
    <w:rsid w:val="00553D13"/>
    <w:rsid w:val="005556D3"/>
    <w:rsid w:val="00555CB0"/>
    <w:rsid w:val="00560289"/>
    <w:rsid w:val="0056176F"/>
    <w:rsid w:val="0056266D"/>
    <w:rsid w:val="005634AA"/>
    <w:rsid w:val="00564FE5"/>
    <w:rsid w:val="00566D9E"/>
    <w:rsid w:val="00573843"/>
    <w:rsid w:val="0057489C"/>
    <w:rsid w:val="00582CEF"/>
    <w:rsid w:val="00584BDB"/>
    <w:rsid w:val="005908DB"/>
    <w:rsid w:val="00591BB8"/>
    <w:rsid w:val="00591F12"/>
    <w:rsid w:val="00592414"/>
    <w:rsid w:val="00592841"/>
    <w:rsid w:val="00593A6E"/>
    <w:rsid w:val="00596A96"/>
    <w:rsid w:val="0059725B"/>
    <w:rsid w:val="005974AE"/>
    <w:rsid w:val="005A103E"/>
    <w:rsid w:val="005A1FFE"/>
    <w:rsid w:val="005A25E4"/>
    <w:rsid w:val="005A2BBA"/>
    <w:rsid w:val="005A398C"/>
    <w:rsid w:val="005B52FC"/>
    <w:rsid w:val="005B5F77"/>
    <w:rsid w:val="005C0610"/>
    <w:rsid w:val="005C40FF"/>
    <w:rsid w:val="005C4CCF"/>
    <w:rsid w:val="005C501B"/>
    <w:rsid w:val="005C65FC"/>
    <w:rsid w:val="005C7FFC"/>
    <w:rsid w:val="005D3603"/>
    <w:rsid w:val="005D3E14"/>
    <w:rsid w:val="005D5EB3"/>
    <w:rsid w:val="005D6480"/>
    <w:rsid w:val="005D7733"/>
    <w:rsid w:val="005D78E6"/>
    <w:rsid w:val="005E125D"/>
    <w:rsid w:val="005E3306"/>
    <w:rsid w:val="005E3E66"/>
    <w:rsid w:val="005E4383"/>
    <w:rsid w:val="005E4436"/>
    <w:rsid w:val="005E63DF"/>
    <w:rsid w:val="005F082E"/>
    <w:rsid w:val="005F5337"/>
    <w:rsid w:val="005F79BF"/>
    <w:rsid w:val="005F7BE7"/>
    <w:rsid w:val="00600DFB"/>
    <w:rsid w:val="00604135"/>
    <w:rsid w:val="0060459C"/>
    <w:rsid w:val="00607278"/>
    <w:rsid w:val="00610666"/>
    <w:rsid w:val="006115A0"/>
    <w:rsid w:val="00611F3E"/>
    <w:rsid w:val="00613492"/>
    <w:rsid w:val="006145E1"/>
    <w:rsid w:val="00614861"/>
    <w:rsid w:val="0062172A"/>
    <w:rsid w:val="0062296E"/>
    <w:rsid w:val="00622DC5"/>
    <w:rsid w:val="00624EA5"/>
    <w:rsid w:val="00625BDA"/>
    <w:rsid w:val="00627B98"/>
    <w:rsid w:val="00627D2C"/>
    <w:rsid w:val="00632583"/>
    <w:rsid w:val="00632FD7"/>
    <w:rsid w:val="00633E6A"/>
    <w:rsid w:val="00634246"/>
    <w:rsid w:val="0063480C"/>
    <w:rsid w:val="006351D5"/>
    <w:rsid w:val="00635226"/>
    <w:rsid w:val="006359F1"/>
    <w:rsid w:val="00636F41"/>
    <w:rsid w:val="00652BDD"/>
    <w:rsid w:val="00653E9D"/>
    <w:rsid w:val="00656522"/>
    <w:rsid w:val="00661AC5"/>
    <w:rsid w:val="00663C93"/>
    <w:rsid w:val="006641E1"/>
    <w:rsid w:val="006648D5"/>
    <w:rsid w:val="0066584A"/>
    <w:rsid w:val="00665AAE"/>
    <w:rsid w:val="00666E98"/>
    <w:rsid w:val="00670F6A"/>
    <w:rsid w:val="00673684"/>
    <w:rsid w:val="00673833"/>
    <w:rsid w:val="00674C80"/>
    <w:rsid w:val="00676264"/>
    <w:rsid w:val="0068261C"/>
    <w:rsid w:val="00682B0C"/>
    <w:rsid w:val="00685922"/>
    <w:rsid w:val="00685E52"/>
    <w:rsid w:val="006867EF"/>
    <w:rsid w:val="00686BA4"/>
    <w:rsid w:val="0068748B"/>
    <w:rsid w:val="006927DE"/>
    <w:rsid w:val="00693864"/>
    <w:rsid w:val="006939E2"/>
    <w:rsid w:val="006944F7"/>
    <w:rsid w:val="006952F6"/>
    <w:rsid w:val="006973DA"/>
    <w:rsid w:val="00697CC3"/>
    <w:rsid w:val="006A1625"/>
    <w:rsid w:val="006A1D0D"/>
    <w:rsid w:val="006B1342"/>
    <w:rsid w:val="006B15E3"/>
    <w:rsid w:val="006B2B53"/>
    <w:rsid w:val="006B496D"/>
    <w:rsid w:val="006B4DB7"/>
    <w:rsid w:val="006B524B"/>
    <w:rsid w:val="006C0705"/>
    <w:rsid w:val="006C1E66"/>
    <w:rsid w:val="006C3D71"/>
    <w:rsid w:val="006C5441"/>
    <w:rsid w:val="006C6542"/>
    <w:rsid w:val="006D330F"/>
    <w:rsid w:val="006D332E"/>
    <w:rsid w:val="006D549C"/>
    <w:rsid w:val="006E0014"/>
    <w:rsid w:val="006E2278"/>
    <w:rsid w:val="006E335B"/>
    <w:rsid w:val="006E3AAB"/>
    <w:rsid w:val="006E7C9F"/>
    <w:rsid w:val="006E7E07"/>
    <w:rsid w:val="006E7EFD"/>
    <w:rsid w:val="006F0A2A"/>
    <w:rsid w:val="006F19DF"/>
    <w:rsid w:val="006F671D"/>
    <w:rsid w:val="006F74EB"/>
    <w:rsid w:val="006F7595"/>
    <w:rsid w:val="00701B8D"/>
    <w:rsid w:val="00701DCF"/>
    <w:rsid w:val="007024F4"/>
    <w:rsid w:val="00704006"/>
    <w:rsid w:val="00704DB7"/>
    <w:rsid w:val="0070511E"/>
    <w:rsid w:val="00705315"/>
    <w:rsid w:val="00707F27"/>
    <w:rsid w:val="00720352"/>
    <w:rsid w:val="0072219F"/>
    <w:rsid w:val="007222D1"/>
    <w:rsid w:val="00722645"/>
    <w:rsid w:val="007234A5"/>
    <w:rsid w:val="007260DA"/>
    <w:rsid w:val="00726EA3"/>
    <w:rsid w:val="0072718C"/>
    <w:rsid w:val="00730E3E"/>
    <w:rsid w:val="00732046"/>
    <w:rsid w:val="00732D68"/>
    <w:rsid w:val="0073320E"/>
    <w:rsid w:val="0073391F"/>
    <w:rsid w:val="0073447F"/>
    <w:rsid w:val="00734579"/>
    <w:rsid w:val="00734E39"/>
    <w:rsid w:val="007367ED"/>
    <w:rsid w:val="0073708A"/>
    <w:rsid w:val="00737C86"/>
    <w:rsid w:val="007406DB"/>
    <w:rsid w:val="007434AA"/>
    <w:rsid w:val="00743BFD"/>
    <w:rsid w:val="00745E54"/>
    <w:rsid w:val="007527B6"/>
    <w:rsid w:val="00754810"/>
    <w:rsid w:val="00755850"/>
    <w:rsid w:val="00755D39"/>
    <w:rsid w:val="0075604D"/>
    <w:rsid w:val="00762214"/>
    <w:rsid w:val="00762E54"/>
    <w:rsid w:val="00763885"/>
    <w:rsid w:val="00765B17"/>
    <w:rsid w:val="00765C58"/>
    <w:rsid w:val="0076663A"/>
    <w:rsid w:val="00767EA4"/>
    <w:rsid w:val="00771761"/>
    <w:rsid w:val="007719C6"/>
    <w:rsid w:val="00771BB8"/>
    <w:rsid w:val="00772979"/>
    <w:rsid w:val="00774743"/>
    <w:rsid w:val="00776654"/>
    <w:rsid w:val="0077692A"/>
    <w:rsid w:val="0078263E"/>
    <w:rsid w:val="00783422"/>
    <w:rsid w:val="007860BB"/>
    <w:rsid w:val="007904CD"/>
    <w:rsid w:val="00790A70"/>
    <w:rsid w:val="00790EE1"/>
    <w:rsid w:val="00792ACA"/>
    <w:rsid w:val="007A10E0"/>
    <w:rsid w:val="007A39D7"/>
    <w:rsid w:val="007A4192"/>
    <w:rsid w:val="007A4C12"/>
    <w:rsid w:val="007A4FBB"/>
    <w:rsid w:val="007A7BC0"/>
    <w:rsid w:val="007B1410"/>
    <w:rsid w:val="007B3964"/>
    <w:rsid w:val="007B3BBF"/>
    <w:rsid w:val="007C0D27"/>
    <w:rsid w:val="007C11AE"/>
    <w:rsid w:val="007C17CF"/>
    <w:rsid w:val="007C1CA1"/>
    <w:rsid w:val="007C2D1E"/>
    <w:rsid w:val="007C59FE"/>
    <w:rsid w:val="007D39D5"/>
    <w:rsid w:val="007D48E1"/>
    <w:rsid w:val="007D54C0"/>
    <w:rsid w:val="007D5CF2"/>
    <w:rsid w:val="007D6424"/>
    <w:rsid w:val="007D7D29"/>
    <w:rsid w:val="007E0492"/>
    <w:rsid w:val="007E2ECB"/>
    <w:rsid w:val="007E2F0F"/>
    <w:rsid w:val="007E3809"/>
    <w:rsid w:val="007E3F4A"/>
    <w:rsid w:val="007E465C"/>
    <w:rsid w:val="007E597E"/>
    <w:rsid w:val="007F7E17"/>
    <w:rsid w:val="00802CC0"/>
    <w:rsid w:val="008035FC"/>
    <w:rsid w:val="0081387F"/>
    <w:rsid w:val="00815514"/>
    <w:rsid w:val="0081663F"/>
    <w:rsid w:val="00816F59"/>
    <w:rsid w:val="00822017"/>
    <w:rsid w:val="008239A2"/>
    <w:rsid w:val="0082544A"/>
    <w:rsid w:val="00833031"/>
    <w:rsid w:val="00833448"/>
    <w:rsid w:val="0083554D"/>
    <w:rsid w:val="008365BD"/>
    <w:rsid w:val="00840E3D"/>
    <w:rsid w:val="008425E0"/>
    <w:rsid w:val="008449E5"/>
    <w:rsid w:val="0084779C"/>
    <w:rsid w:val="0084793B"/>
    <w:rsid w:val="00852030"/>
    <w:rsid w:val="00852723"/>
    <w:rsid w:val="00855E46"/>
    <w:rsid w:val="00857C42"/>
    <w:rsid w:val="008605A5"/>
    <w:rsid w:val="00861A8F"/>
    <w:rsid w:val="00862D2B"/>
    <w:rsid w:val="00862F88"/>
    <w:rsid w:val="008639A1"/>
    <w:rsid w:val="00865F79"/>
    <w:rsid w:val="00866AD0"/>
    <w:rsid w:val="00867C75"/>
    <w:rsid w:val="0087201E"/>
    <w:rsid w:val="00872A2C"/>
    <w:rsid w:val="00877F3E"/>
    <w:rsid w:val="00885A67"/>
    <w:rsid w:val="0088694C"/>
    <w:rsid w:val="00890594"/>
    <w:rsid w:val="00894686"/>
    <w:rsid w:val="00894F88"/>
    <w:rsid w:val="0089514C"/>
    <w:rsid w:val="008A2792"/>
    <w:rsid w:val="008A2A17"/>
    <w:rsid w:val="008A3770"/>
    <w:rsid w:val="008B31B2"/>
    <w:rsid w:val="008B31B9"/>
    <w:rsid w:val="008B3331"/>
    <w:rsid w:val="008B42E8"/>
    <w:rsid w:val="008B60BE"/>
    <w:rsid w:val="008B7589"/>
    <w:rsid w:val="008C0042"/>
    <w:rsid w:val="008C0535"/>
    <w:rsid w:val="008C2B2E"/>
    <w:rsid w:val="008C5B76"/>
    <w:rsid w:val="008C6A34"/>
    <w:rsid w:val="008C73B0"/>
    <w:rsid w:val="008D0843"/>
    <w:rsid w:val="008D3CF3"/>
    <w:rsid w:val="008D412D"/>
    <w:rsid w:val="008D5DBC"/>
    <w:rsid w:val="008D5DDC"/>
    <w:rsid w:val="008E3C76"/>
    <w:rsid w:val="008E42EE"/>
    <w:rsid w:val="008E44EC"/>
    <w:rsid w:val="008F12FA"/>
    <w:rsid w:val="008F15EF"/>
    <w:rsid w:val="008F5451"/>
    <w:rsid w:val="008F57D6"/>
    <w:rsid w:val="008F5A15"/>
    <w:rsid w:val="008F6310"/>
    <w:rsid w:val="008F635A"/>
    <w:rsid w:val="008F6D4C"/>
    <w:rsid w:val="008F7577"/>
    <w:rsid w:val="0090126E"/>
    <w:rsid w:val="009019D2"/>
    <w:rsid w:val="00901A87"/>
    <w:rsid w:val="00903549"/>
    <w:rsid w:val="0090380E"/>
    <w:rsid w:val="00903A67"/>
    <w:rsid w:val="00903B77"/>
    <w:rsid w:val="00906B3D"/>
    <w:rsid w:val="00914DF3"/>
    <w:rsid w:val="00915389"/>
    <w:rsid w:val="00920662"/>
    <w:rsid w:val="009217C9"/>
    <w:rsid w:val="009244C3"/>
    <w:rsid w:val="0092474F"/>
    <w:rsid w:val="00927764"/>
    <w:rsid w:val="00927DE4"/>
    <w:rsid w:val="00930B41"/>
    <w:rsid w:val="00933A78"/>
    <w:rsid w:val="00937403"/>
    <w:rsid w:val="009439F3"/>
    <w:rsid w:val="009503B5"/>
    <w:rsid w:val="00952D56"/>
    <w:rsid w:val="009550CB"/>
    <w:rsid w:val="00956D0C"/>
    <w:rsid w:val="00960DAA"/>
    <w:rsid w:val="00960F33"/>
    <w:rsid w:val="009620F9"/>
    <w:rsid w:val="009643C3"/>
    <w:rsid w:val="009661F2"/>
    <w:rsid w:val="00966CE1"/>
    <w:rsid w:val="00966F30"/>
    <w:rsid w:val="0096743D"/>
    <w:rsid w:val="00975D00"/>
    <w:rsid w:val="0097611D"/>
    <w:rsid w:val="00980036"/>
    <w:rsid w:val="00986FA0"/>
    <w:rsid w:val="009872B9"/>
    <w:rsid w:val="009904D2"/>
    <w:rsid w:val="00993958"/>
    <w:rsid w:val="009971B0"/>
    <w:rsid w:val="009A4CB4"/>
    <w:rsid w:val="009A6424"/>
    <w:rsid w:val="009B2225"/>
    <w:rsid w:val="009B2940"/>
    <w:rsid w:val="009B47B5"/>
    <w:rsid w:val="009B4EB0"/>
    <w:rsid w:val="009B5DDC"/>
    <w:rsid w:val="009C4443"/>
    <w:rsid w:val="009C6295"/>
    <w:rsid w:val="009D050D"/>
    <w:rsid w:val="009D164D"/>
    <w:rsid w:val="009D24C6"/>
    <w:rsid w:val="009D2B01"/>
    <w:rsid w:val="009D374A"/>
    <w:rsid w:val="009D37A9"/>
    <w:rsid w:val="009D37F0"/>
    <w:rsid w:val="009D4201"/>
    <w:rsid w:val="009D56E9"/>
    <w:rsid w:val="009D7CD1"/>
    <w:rsid w:val="009D7EBA"/>
    <w:rsid w:val="009E00CF"/>
    <w:rsid w:val="009E0100"/>
    <w:rsid w:val="009E767A"/>
    <w:rsid w:val="009F12CA"/>
    <w:rsid w:val="009F19EB"/>
    <w:rsid w:val="009F4585"/>
    <w:rsid w:val="00A01156"/>
    <w:rsid w:val="00A0199F"/>
    <w:rsid w:val="00A03528"/>
    <w:rsid w:val="00A036D9"/>
    <w:rsid w:val="00A0395C"/>
    <w:rsid w:val="00A12A3A"/>
    <w:rsid w:val="00A13FEE"/>
    <w:rsid w:val="00A14196"/>
    <w:rsid w:val="00A15F94"/>
    <w:rsid w:val="00A16E86"/>
    <w:rsid w:val="00A17555"/>
    <w:rsid w:val="00A224D0"/>
    <w:rsid w:val="00A23236"/>
    <w:rsid w:val="00A25474"/>
    <w:rsid w:val="00A33EB7"/>
    <w:rsid w:val="00A35389"/>
    <w:rsid w:val="00A45B9A"/>
    <w:rsid w:val="00A47214"/>
    <w:rsid w:val="00A50809"/>
    <w:rsid w:val="00A51ED4"/>
    <w:rsid w:val="00A52F05"/>
    <w:rsid w:val="00A56132"/>
    <w:rsid w:val="00A60878"/>
    <w:rsid w:val="00A61575"/>
    <w:rsid w:val="00A61EF6"/>
    <w:rsid w:val="00A648E7"/>
    <w:rsid w:val="00A67A2E"/>
    <w:rsid w:val="00A738EA"/>
    <w:rsid w:val="00A73C14"/>
    <w:rsid w:val="00A75E30"/>
    <w:rsid w:val="00A7762D"/>
    <w:rsid w:val="00A81E17"/>
    <w:rsid w:val="00A82F83"/>
    <w:rsid w:val="00A84382"/>
    <w:rsid w:val="00A86645"/>
    <w:rsid w:val="00A876DE"/>
    <w:rsid w:val="00A87BA0"/>
    <w:rsid w:val="00A903DE"/>
    <w:rsid w:val="00A945BA"/>
    <w:rsid w:val="00A94A06"/>
    <w:rsid w:val="00A95C63"/>
    <w:rsid w:val="00A97427"/>
    <w:rsid w:val="00AA251E"/>
    <w:rsid w:val="00AA31CC"/>
    <w:rsid w:val="00AA46C6"/>
    <w:rsid w:val="00AA658C"/>
    <w:rsid w:val="00AB0BD9"/>
    <w:rsid w:val="00AB1C8C"/>
    <w:rsid w:val="00AB1D6A"/>
    <w:rsid w:val="00AB2D61"/>
    <w:rsid w:val="00AB37E7"/>
    <w:rsid w:val="00AB3C80"/>
    <w:rsid w:val="00AB5599"/>
    <w:rsid w:val="00AC15F1"/>
    <w:rsid w:val="00AC2059"/>
    <w:rsid w:val="00AC2F54"/>
    <w:rsid w:val="00AC6DFC"/>
    <w:rsid w:val="00AC7A55"/>
    <w:rsid w:val="00AD0356"/>
    <w:rsid w:val="00AD2B93"/>
    <w:rsid w:val="00AD3BF0"/>
    <w:rsid w:val="00AE2203"/>
    <w:rsid w:val="00AE419A"/>
    <w:rsid w:val="00AE4327"/>
    <w:rsid w:val="00AF005A"/>
    <w:rsid w:val="00AF259F"/>
    <w:rsid w:val="00AF310C"/>
    <w:rsid w:val="00AF35D3"/>
    <w:rsid w:val="00AF3DD2"/>
    <w:rsid w:val="00AF4A02"/>
    <w:rsid w:val="00AF4DF1"/>
    <w:rsid w:val="00AF623A"/>
    <w:rsid w:val="00AF7B78"/>
    <w:rsid w:val="00B02D75"/>
    <w:rsid w:val="00B06542"/>
    <w:rsid w:val="00B1229F"/>
    <w:rsid w:val="00B21A14"/>
    <w:rsid w:val="00B27FD4"/>
    <w:rsid w:val="00B30D39"/>
    <w:rsid w:val="00B3349B"/>
    <w:rsid w:val="00B339AE"/>
    <w:rsid w:val="00B34CD0"/>
    <w:rsid w:val="00B34EF3"/>
    <w:rsid w:val="00B37338"/>
    <w:rsid w:val="00B37577"/>
    <w:rsid w:val="00B377AE"/>
    <w:rsid w:val="00B37C9C"/>
    <w:rsid w:val="00B41328"/>
    <w:rsid w:val="00B47335"/>
    <w:rsid w:val="00B474BB"/>
    <w:rsid w:val="00B47BA8"/>
    <w:rsid w:val="00B50823"/>
    <w:rsid w:val="00B53044"/>
    <w:rsid w:val="00B5346D"/>
    <w:rsid w:val="00B63F7B"/>
    <w:rsid w:val="00B65DDB"/>
    <w:rsid w:val="00B660E7"/>
    <w:rsid w:val="00B67DAC"/>
    <w:rsid w:val="00B70CFC"/>
    <w:rsid w:val="00B718FF"/>
    <w:rsid w:val="00B72FF2"/>
    <w:rsid w:val="00B756AE"/>
    <w:rsid w:val="00B75D22"/>
    <w:rsid w:val="00B77788"/>
    <w:rsid w:val="00B80E95"/>
    <w:rsid w:val="00B80F55"/>
    <w:rsid w:val="00B824A2"/>
    <w:rsid w:val="00B8489D"/>
    <w:rsid w:val="00B86BDD"/>
    <w:rsid w:val="00B8744A"/>
    <w:rsid w:val="00B87588"/>
    <w:rsid w:val="00B921AF"/>
    <w:rsid w:val="00B94874"/>
    <w:rsid w:val="00BA0DAB"/>
    <w:rsid w:val="00BA2D22"/>
    <w:rsid w:val="00BA35CD"/>
    <w:rsid w:val="00BA48C7"/>
    <w:rsid w:val="00BA6313"/>
    <w:rsid w:val="00BB49DB"/>
    <w:rsid w:val="00BB7232"/>
    <w:rsid w:val="00BB7AEC"/>
    <w:rsid w:val="00BC1415"/>
    <w:rsid w:val="00BC1B49"/>
    <w:rsid w:val="00BC35AC"/>
    <w:rsid w:val="00BC524A"/>
    <w:rsid w:val="00BC5687"/>
    <w:rsid w:val="00BC5EA2"/>
    <w:rsid w:val="00BC6148"/>
    <w:rsid w:val="00BC6EFF"/>
    <w:rsid w:val="00BD2D89"/>
    <w:rsid w:val="00BD4605"/>
    <w:rsid w:val="00BD6DDD"/>
    <w:rsid w:val="00BE16C1"/>
    <w:rsid w:val="00BE2A84"/>
    <w:rsid w:val="00BE3600"/>
    <w:rsid w:val="00BE38CF"/>
    <w:rsid w:val="00BE3F3E"/>
    <w:rsid w:val="00BE6218"/>
    <w:rsid w:val="00BF048F"/>
    <w:rsid w:val="00BF112F"/>
    <w:rsid w:val="00BF37AE"/>
    <w:rsid w:val="00BF3C98"/>
    <w:rsid w:val="00BF4BE1"/>
    <w:rsid w:val="00BF69C2"/>
    <w:rsid w:val="00C006DA"/>
    <w:rsid w:val="00C01E84"/>
    <w:rsid w:val="00C035D8"/>
    <w:rsid w:val="00C03A2F"/>
    <w:rsid w:val="00C05E81"/>
    <w:rsid w:val="00C07776"/>
    <w:rsid w:val="00C11440"/>
    <w:rsid w:val="00C14F18"/>
    <w:rsid w:val="00C156A0"/>
    <w:rsid w:val="00C17157"/>
    <w:rsid w:val="00C22B51"/>
    <w:rsid w:val="00C24CFB"/>
    <w:rsid w:val="00C27D9A"/>
    <w:rsid w:val="00C3410D"/>
    <w:rsid w:val="00C37D89"/>
    <w:rsid w:val="00C404F5"/>
    <w:rsid w:val="00C41CF6"/>
    <w:rsid w:val="00C45C20"/>
    <w:rsid w:val="00C45E05"/>
    <w:rsid w:val="00C46474"/>
    <w:rsid w:val="00C5085A"/>
    <w:rsid w:val="00C52375"/>
    <w:rsid w:val="00C52EB0"/>
    <w:rsid w:val="00C545EE"/>
    <w:rsid w:val="00C55A8D"/>
    <w:rsid w:val="00C61415"/>
    <w:rsid w:val="00C65BB7"/>
    <w:rsid w:val="00C669F5"/>
    <w:rsid w:val="00C70404"/>
    <w:rsid w:val="00C71F2F"/>
    <w:rsid w:val="00C7257B"/>
    <w:rsid w:val="00C7383B"/>
    <w:rsid w:val="00C74F63"/>
    <w:rsid w:val="00C752F8"/>
    <w:rsid w:val="00C76203"/>
    <w:rsid w:val="00C76CB8"/>
    <w:rsid w:val="00C8235A"/>
    <w:rsid w:val="00C82553"/>
    <w:rsid w:val="00C83D56"/>
    <w:rsid w:val="00C8469C"/>
    <w:rsid w:val="00C8538C"/>
    <w:rsid w:val="00C85A6D"/>
    <w:rsid w:val="00C87DBC"/>
    <w:rsid w:val="00C91D09"/>
    <w:rsid w:val="00C9277D"/>
    <w:rsid w:val="00C92C5D"/>
    <w:rsid w:val="00C94B4B"/>
    <w:rsid w:val="00CA4750"/>
    <w:rsid w:val="00CA5B2A"/>
    <w:rsid w:val="00CA6160"/>
    <w:rsid w:val="00CA6208"/>
    <w:rsid w:val="00CA7A3F"/>
    <w:rsid w:val="00CB0751"/>
    <w:rsid w:val="00CB0F82"/>
    <w:rsid w:val="00CB468F"/>
    <w:rsid w:val="00CB622B"/>
    <w:rsid w:val="00CB78D0"/>
    <w:rsid w:val="00CC0486"/>
    <w:rsid w:val="00CC22EC"/>
    <w:rsid w:val="00CC3149"/>
    <w:rsid w:val="00CC4B7A"/>
    <w:rsid w:val="00CC668D"/>
    <w:rsid w:val="00CC7659"/>
    <w:rsid w:val="00CD15C1"/>
    <w:rsid w:val="00CD2A9D"/>
    <w:rsid w:val="00CD6EFC"/>
    <w:rsid w:val="00CD767A"/>
    <w:rsid w:val="00CE160C"/>
    <w:rsid w:val="00CE3845"/>
    <w:rsid w:val="00CE3EFE"/>
    <w:rsid w:val="00CE4CD6"/>
    <w:rsid w:val="00CE516C"/>
    <w:rsid w:val="00CF4C5E"/>
    <w:rsid w:val="00CF4FE8"/>
    <w:rsid w:val="00CF5679"/>
    <w:rsid w:val="00CF6843"/>
    <w:rsid w:val="00CF77BE"/>
    <w:rsid w:val="00D00C40"/>
    <w:rsid w:val="00D11272"/>
    <w:rsid w:val="00D117B7"/>
    <w:rsid w:val="00D13589"/>
    <w:rsid w:val="00D13BDE"/>
    <w:rsid w:val="00D13E55"/>
    <w:rsid w:val="00D149B3"/>
    <w:rsid w:val="00D16066"/>
    <w:rsid w:val="00D1625E"/>
    <w:rsid w:val="00D173EB"/>
    <w:rsid w:val="00D17F11"/>
    <w:rsid w:val="00D21531"/>
    <w:rsid w:val="00D222FB"/>
    <w:rsid w:val="00D232C9"/>
    <w:rsid w:val="00D23693"/>
    <w:rsid w:val="00D2434F"/>
    <w:rsid w:val="00D24914"/>
    <w:rsid w:val="00D264BC"/>
    <w:rsid w:val="00D26583"/>
    <w:rsid w:val="00D30246"/>
    <w:rsid w:val="00D317AA"/>
    <w:rsid w:val="00D33568"/>
    <w:rsid w:val="00D3747F"/>
    <w:rsid w:val="00D41E54"/>
    <w:rsid w:val="00D4415C"/>
    <w:rsid w:val="00D47E47"/>
    <w:rsid w:val="00D5058B"/>
    <w:rsid w:val="00D50727"/>
    <w:rsid w:val="00D654AD"/>
    <w:rsid w:val="00D66808"/>
    <w:rsid w:val="00D67397"/>
    <w:rsid w:val="00D67C14"/>
    <w:rsid w:val="00D74F0C"/>
    <w:rsid w:val="00D7573D"/>
    <w:rsid w:val="00D770B9"/>
    <w:rsid w:val="00D77AE1"/>
    <w:rsid w:val="00D803F4"/>
    <w:rsid w:val="00D8048F"/>
    <w:rsid w:val="00D80F6C"/>
    <w:rsid w:val="00D83421"/>
    <w:rsid w:val="00D83C89"/>
    <w:rsid w:val="00D84087"/>
    <w:rsid w:val="00D85C9F"/>
    <w:rsid w:val="00D86D24"/>
    <w:rsid w:val="00D86EF6"/>
    <w:rsid w:val="00D90B6B"/>
    <w:rsid w:val="00D91ACE"/>
    <w:rsid w:val="00D92EDA"/>
    <w:rsid w:val="00D934AD"/>
    <w:rsid w:val="00D97284"/>
    <w:rsid w:val="00DA1612"/>
    <w:rsid w:val="00DA3BD8"/>
    <w:rsid w:val="00DA6CAB"/>
    <w:rsid w:val="00DA73FC"/>
    <w:rsid w:val="00DB0522"/>
    <w:rsid w:val="00DB4147"/>
    <w:rsid w:val="00DB4561"/>
    <w:rsid w:val="00DB6CE7"/>
    <w:rsid w:val="00DC0274"/>
    <w:rsid w:val="00DC1790"/>
    <w:rsid w:val="00DC357E"/>
    <w:rsid w:val="00DC3A30"/>
    <w:rsid w:val="00DC4B5D"/>
    <w:rsid w:val="00DC6022"/>
    <w:rsid w:val="00DD02DA"/>
    <w:rsid w:val="00DD26DC"/>
    <w:rsid w:val="00DD4963"/>
    <w:rsid w:val="00DD65E9"/>
    <w:rsid w:val="00DD663F"/>
    <w:rsid w:val="00DD6B3B"/>
    <w:rsid w:val="00DE077E"/>
    <w:rsid w:val="00DE1B27"/>
    <w:rsid w:val="00DE326A"/>
    <w:rsid w:val="00DE5403"/>
    <w:rsid w:val="00DE7351"/>
    <w:rsid w:val="00DF0EEA"/>
    <w:rsid w:val="00DF6BD3"/>
    <w:rsid w:val="00DF77A5"/>
    <w:rsid w:val="00E01AB0"/>
    <w:rsid w:val="00E046EF"/>
    <w:rsid w:val="00E06C8E"/>
    <w:rsid w:val="00E104B2"/>
    <w:rsid w:val="00E10827"/>
    <w:rsid w:val="00E10969"/>
    <w:rsid w:val="00E110B0"/>
    <w:rsid w:val="00E12A91"/>
    <w:rsid w:val="00E13DA9"/>
    <w:rsid w:val="00E153BE"/>
    <w:rsid w:val="00E17D00"/>
    <w:rsid w:val="00E20143"/>
    <w:rsid w:val="00E2256B"/>
    <w:rsid w:val="00E265FF"/>
    <w:rsid w:val="00E27544"/>
    <w:rsid w:val="00E27DFA"/>
    <w:rsid w:val="00E321A2"/>
    <w:rsid w:val="00E36666"/>
    <w:rsid w:val="00E37A61"/>
    <w:rsid w:val="00E42E94"/>
    <w:rsid w:val="00E447B4"/>
    <w:rsid w:val="00E47E69"/>
    <w:rsid w:val="00E51AEF"/>
    <w:rsid w:val="00E5364E"/>
    <w:rsid w:val="00E57AC4"/>
    <w:rsid w:val="00E57E8A"/>
    <w:rsid w:val="00E61A63"/>
    <w:rsid w:val="00E67182"/>
    <w:rsid w:val="00E70AC4"/>
    <w:rsid w:val="00E72845"/>
    <w:rsid w:val="00E75303"/>
    <w:rsid w:val="00E85ACC"/>
    <w:rsid w:val="00E8612E"/>
    <w:rsid w:val="00E86712"/>
    <w:rsid w:val="00E90019"/>
    <w:rsid w:val="00E902AD"/>
    <w:rsid w:val="00E92AEA"/>
    <w:rsid w:val="00E937FE"/>
    <w:rsid w:val="00E9497B"/>
    <w:rsid w:val="00EA4805"/>
    <w:rsid w:val="00EA4A8E"/>
    <w:rsid w:val="00EA659F"/>
    <w:rsid w:val="00EA6EA9"/>
    <w:rsid w:val="00EB06EE"/>
    <w:rsid w:val="00EB0EA4"/>
    <w:rsid w:val="00EB2581"/>
    <w:rsid w:val="00EB4323"/>
    <w:rsid w:val="00EB4555"/>
    <w:rsid w:val="00EB50F4"/>
    <w:rsid w:val="00EB72D8"/>
    <w:rsid w:val="00EC0639"/>
    <w:rsid w:val="00EC0775"/>
    <w:rsid w:val="00EC2F42"/>
    <w:rsid w:val="00EC42C4"/>
    <w:rsid w:val="00EC65EF"/>
    <w:rsid w:val="00EC76C4"/>
    <w:rsid w:val="00ED4252"/>
    <w:rsid w:val="00ED45AC"/>
    <w:rsid w:val="00ED58D6"/>
    <w:rsid w:val="00ED6A59"/>
    <w:rsid w:val="00ED7358"/>
    <w:rsid w:val="00ED7972"/>
    <w:rsid w:val="00EE0B38"/>
    <w:rsid w:val="00EE4346"/>
    <w:rsid w:val="00EE44FD"/>
    <w:rsid w:val="00EE61CA"/>
    <w:rsid w:val="00EE74AB"/>
    <w:rsid w:val="00EE7FC0"/>
    <w:rsid w:val="00EF01E3"/>
    <w:rsid w:val="00EF033F"/>
    <w:rsid w:val="00EF1BDF"/>
    <w:rsid w:val="00EF3048"/>
    <w:rsid w:val="00EF5B4A"/>
    <w:rsid w:val="00EF61CF"/>
    <w:rsid w:val="00EF6434"/>
    <w:rsid w:val="00F00AAD"/>
    <w:rsid w:val="00F014F4"/>
    <w:rsid w:val="00F02FAB"/>
    <w:rsid w:val="00F04961"/>
    <w:rsid w:val="00F07210"/>
    <w:rsid w:val="00F07F71"/>
    <w:rsid w:val="00F10596"/>
    <w:rsid w:val="00F11799"/>
    <w:rsid w:val="00F12919"/>
    <w:rsid w:val="00F1348D"/>
    <w:rsid w:val="00F14239"/>
    <w:rsid w:val="00F1600D"/>
    <w:rsid w:val="00F17293"/>
    <w:rsid w:val="00F20960"/>
    <w:rsid w:val="00F222D7"/>
    <w:rsid w:val="00F260AD"/>
    <w:rsid w:val="00F2676E"/>
    <w:rsid w:val="00F279FD"/>
    <w:rsid w:val="00F3455D"/>
    <w:rsid w:val="00F3581D"/>
    <w:rsid w:val="00F36378"/>
    <w:rsid w:val="00F369A8"/>
    <w:rsid w:val="00F408C0"/>
    <w:rsid w:val="00F437A2"/>
    <w:rsid w:val="00F4470C"/>
    <w:rsid w:val="00F45FBC"/>
    <w:rsid w:val="00F505B6"/>
    <w:rsid w:val="00F5245B"/>
    <w:rsid w:val="00F53129"/>
    <w:rsid w:val="00F538E5"/>
    <w:rsid w:val="00F55904"/>
    <w:rsid w:val="00F56D73"/>
    <w:rsid w:val="00F57495"/>
    <w:rsid w:val="00F60A44"/>
    <w:rsid w:val="00F61EB1"/>
    <w:rsid w:val="00F624EC"/>
    <w:rsid w:val="00F627FA"/>
    <w:rsid w:val="00F62861"/>
    <w:rsid w:val="00F62F98"/>
    <w:rsid w:val="00F6407C"/>
    <w:rsid w:val="00F65447"/>
    <w:rsid w:val="00F6793E"/>
    <w:rsid w:val="00F70125"/>
    <w:rsid w:val="00F714D5"/>
    <w:rsid w:val="00F72E42"/>
    <w:rsid w:val="00F756B8"/>
    <w:rsid w:val="00F75F0F"/>
    <w:rsid w:val="00F811F9"/>
    <w:rsid w:val="00F82AC0"/>
    <w:rsid w:val="00F82B3A"/>
    <w:rsid w:val="00F90061"/>
    <w:rsid w:val="00F9050C"/>
    <w:rsid w:val="00F9088B"/>
    <w:rsid w:val="00F926F8"/>
    <w:rsid w:val="00F94960"/>
    <w:rsid w:val="00F9523F"/>
    <w:rsid w:val="00F96593"/>
    <w:rsid w:val="00F975D7"/>
    <w:rsid w:val="00FA6852"/>
    <w:rsid w:val="00FB2F1C"/>
    <w:rsid w:val="00FB4CCE"/>
    <w:rsid w:val="00FB5D97"/>
    <w:rsid w:val="00FC0A40"/>
    <w:rsid w:val="00FC0B23"/>
    <w:rsid w:val="00FC59A1"/>
    <w:rsid w:val="00FD006A"/>
    <w:rsid w:val="00FD3AA8"/>
    <w:rsid w:val="00FD48B5"/>
    <w:rsid w:val="00FD5AB4"/>
    <w:rsid w:val="00FD73F8"/>
    <w:rsid w:val="00FE27B3"/>
    <w:rsid w:val="00FE30DC"/>
    <w:rsid w:val="00FE3AD1"/>
    <w:rsid w:val="00FE495E"/>
    <w:rsid w:val="00FE71E0"/>
    <w:rsid w:val="00FE7E7F"/>
    <w:rsid w:val="00FF260D"/>
    <w:rsid w:val="00FF593A"/>
    <w:rsid w:val="00FF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46734"/>
  <w15:chartTrackingRefBased/>
  <w15:docId w15:val="{1893D42B-4629-4E6D-B085-F4B594BE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5D3"/>
    <w:pPr>
      <w:spacing w:after="0" w:line="240" w:lineRule="auto"/>
    </w:pPr>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F35D3"/>
    <w:rPr>
      <w:color w:val="0000FF"/>
      <w:u w:val="single"/>
    </w:rPr>
  </w:style>
  <w:style w:type="character" w:styleId="CommentReference">
    <w:name w:val="annotation reference"/>
    <w:uiPriority w:val="99"/>
    <w:rsid w:val="00AF35D3"/>
    <w:rPr>
      <w:sz w:val="16"/>
      <w:szCs w:val="16"/>
    </w:rPr>
  </w:style>
  <w:style w:type="paragraph" w:styleId="CommentText">
    <w:name w:val="annotation text"/>
    <w:basedOn w:val="Normal"/>
    <w:link w:val="CommentTextChar"/>
    <w:uiPriority w:val="99"/>
    <w:rsid w:val="00AF35D3"/>
  </w:style>
  <w:style w:type="character" w:customStyle="1" w:styleId="CommentTextChar">
    <w:name w:val="Comment Text Char"/>
    <w:basedOn w:val="DefaultParagraphFont"/>
    <w:link w:val="CommentText"/>
    <w:uiPriority w:val="99"/>
    <w:rsid w:val="00AF35D3"/>
    <w:rPr>
      <w:rFonts w:eastAsia="Times New Roman" w:cs="Times New Roman"/>
      <w:sz w:val="24"/>
      <w:szCs w:val="20"/>
    </w:rPr>
  </w:style>
  <w:style w:type="paragraph" w:styleId="ListParagraph">
    <w:name w:val="List Paragraph"/>
    <w:aliases w:val="Bullet level 1,Paragraph Bullet,Medium Grid 1 - Accent 21,RMSI bulle Style,List Paragraph1,Bullet  Paragraph,Heading3 Char,Heading3,Issue Action POC,3,POCG Table Text,Dot pt,F5 List Paragraph,List Paragraph Char Char Char,Indicator Text"/>
    <w:basedOn w:val="Normal"/>
    <w:link w:val="ListParagraphChar"/>
    <w:uiPriority w:val="34"/>
    <w:qFormat/>
    <w:rsid w:val="00AF35D3"/>
    <w:pPr>
      <w:ind w:left="720"/>
      <w:contextualSpacing/>
    </w:pPr>
  </w:style>
  <w:style w:type="character" w:customStyle="1" w:styleId="ListParagraphChar">
    <w:name w:val="List Paragraph Char"/>
    <w:aliases w:val="Bullet level 1 Char,Paragraph Bullet Char,Medium Grid 1 - Accent 21 Char,RMSI bulle Style Char,List Paragraph1 Char,Bullet  Paragraph Char,Heading3 Char Char,Heading3 Char1,Issue Action POC Char,3 Char,POCG Table Text Char"/>
    <w:basedOn w:val="DefaultParagraphFont"/>
    <w:link w:val="ListParagraph"/>
    <w:uiPriority w:val="34"/>
    <w:qFormat/>
    <w:locked/>
    <w:rsid w:val="00AF35D3"/>
    <w:rPr>
      <w:rFonts w:eastAsia="Times New Roman" w:cs="Times New Roman"/>
      <w:sz w:val="24"/>
      <w:szCs w:val="20"/>
    </w:rPr>
  </w:style>
  <w:style w:type="paragraph" w:styleId="FootnoteText">
    <w:name w:val="footnote text"/>
    <w:aliases w:val="BG Footnote Text,Char1,Char Char,Char,Char11,Footnote Text Char1,Footnote Text Char Char,ft Char,Footnote Text Char2 Char,Footnote Text Char Char1 Char,Footnote Text Char1 Char Char Char,Footnote Text Char Char Char Char Char,fn,f"/>
    <w:basedOn w:val="Normal"/>
    <w:link w:val="FootnoteTextChar"/>
    <w:uiPriority w:val="99"/>
    <w:unhideWhenUsed/>
    <w:qFormat/>
    <w:rsid w:val="00D77AE1"/>
    <w:rPr>
      <w:rFonts w:eastAsiaTheme="minorHAnsi" w:cstheme="minorBidi"/>
      <w:sz w:val="20"/>
    </w:rPr>
  </w:style>
  <w:style w:type="character" w:customStyle="1" w:styleId="FootnoteTextChar">
    <w:name w:val="Footnote Text Char"/>
    <w:aliases w:val="BG Footnote Text Char,Char1 Char,Char Char Char,Char Char1,Char11 Char,Footnote Text Char1 Char,Footnote Text Char Char Char,ft Char Char,Footnote Text Char2 Char Char,Footnote Text Char Char1 Char Char,fn Char,f Char"/>
    <w:basedOn w:val="DefaultParagraphFont"/>
    <w:link w:val="FootnoteText"/>
    <w:uiPriority w:val="99"/>
    <w:rsid w:val="00D77AE1"/>
    <w:rPr>
      <w:sz w:val="20"/>
      <w:szCs w:val="20"/>
    </w:rPr>
  </w:style>
  <w:style w:type="character" w:styleId="FootnoteReference">
    <w:name w:val="footnote reference"/>
    <w:aliases w:val="o,fr,Style 16,o1,fr1,o2,fr2,o3,fr3,Style 13,Style 12,Style 15,Style 17,Style 9,Style 18,(NECG) Footnote Reference,Style 20,Style 7,Styl,Footnote_Reference,16 Point,Superscript 6 Point,FR,IEE Footnote,Style 8,Style 19,Style 28,Footnote"/>
    <w:basedOn w:val="DefaultParagraphFont"/>
    <w:uiPriority w:val="99"/>
    <w:unhideWhenUsed/>
    <w:qFormat/>
    <w:rsid w:val="00D77AE1"/>
    <w:rPr>
      <w:vertAlign w:val="superscript"/>
    </w:rPr>
  </w:style>
  <w:style w:type="character" w:customStyle="1" w:styleId="Style3">
    <w:name w:val="Style3"/>
    <w:basedOn w:val="DefaultParagraphFont"/>
    <w:uiPriority w:val="1"/>
    <w:qFormat/>
    <w:rsid w:val="00CA7A3F"/>
    <w:rPr>
      <w:rFonts w:asciiTheme="minorHAnsi" w:hAnsiTheme="minorHAnsi"/>
      <w:b/>
      <w:sz w:val="36"/>
    </w:rPr>
  </w:style>
  <w:style w:type="paragraph" w:styleId="Header">
    <w:name w:val="header"/>
    <w:basedOn w:val="Normal"/>
    <w:link w:val="HeaderChar"/>
    <w:uiPriority w:val="99"/>
    <w:unhideWhenUsed/>
    <w:rsid w:val="008365BD"/>
    <w:pPr>
      <w:tabs>
        <w:tab w:val="center" w:pos="4680"/>
        <w:tab w:val="right" w:pos="9360"/>
      </w:tabs>
    </w:pPr>
  </w:style>
  <w:style w:type="character" w:customStyle="1" w:styleId="HeaderChar">
    <w:name w:val="Header Char"/>
    <w:basedOn w:val="DefaultParagraphFont"/>
    <w:link w:val="Header"/>
    <w:uiPriority w:val="99"/>
    <w:rsid w:val="008365BD"/>
    <w:rPr>
      <w:rFonts w:eastAsia="Times New Roman" w:cs="Times New Roman"/>
      <w:sz w:val="24"/>
      <w:szCs w:val="20"/>
    </w:rPr>
  </w:style>
  <w:style w:type="paragraph" w:styleId="Footer">
    <w:name w:val="footer"/>
    <w:basedOn w:val="Normal"/>
    <w:link w:val="FooterChar"/>
    <w:uiPriority w:val="99"/>
    <w:unhideWhenUsed/>
    <w:rsid w:val="008365BD"/>
    <w:pPr>
      <w:tabs>
        <w:tab w:val="center" w:pos="4680"/>
        <w:tab w:val="right" w:pos="9360"/>
      </w:tabs>
    </w:pPr>
  </w:style>
  <w:style w:type="character" w:customStyle="1" w:styleId="FooterChar">
    <w:name w:val="Footer Char"/>
    <w:basedOn w:val="DefaultParagraphFont"/>
    <w:link w:val="Footer"/>
    <w:uiPriority w:val="99"/>
    <w:rsid w:val="008365BD"/>
    <w:rPr>
      <w:rFonts w:eastAsia="Times New Roman" w:cs="Times New Roman"/>
      <w:sz w:val="24"/>
      <w:szCs w:val="20"/>
    </w:rPr>
  </w:style>
  <w:style w:type="paragraph" w:customStyle="1" w:styleId="paragraph">
    <w:name w:val="paragraph"/>
    <w:basedOn w:val="Normal"/>
    <w:rsid w:val="00C71F2F"/>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C71F2F"/>
  </w:style>
  <w:style w:type="character" w:customStyle="1" w:styleId="eop">
    <w:name w:val="eop"/>
    <w:basedOn w:val="DefaultParagraphFont"/>
    <w:rsid w:val="00550FFE"/>
  </w:style>
  <w:style w:type="character" w:styleId="UnresolvedMention">
    <w:name w:val="Unresolved Mention"/>
    <w:basedOn w:val="DefaultParagraphFont"/>
    <w:uiPriority w:val="99"/>
    <w:semiHidden/>
    <w:unhideWhenUsed/>
    <w:rsid w:val="009B5DD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B6E28"/>
    <w:rPr>
      <w:b/>
      <w:bCs/>
      <w:sz w:val="20"/>
    </w:rPr>
  </w:style>
  <w:style w:type="character" w:customStyle="1" w:styleId="CommentSubjectChar">
    <w:name w:val="Comment Subject Char"/>
    <w:basedOn w:val="CommentTextChar"/>
    <w:link w:val="CommentSubject"/>
    <w:uiPriority w:val="99"/>
    <w:semiHidden/>
    <w:rsid w:val="003B6E28"/>
    <w:rPr>
      <w:rFonts w:eastAsia="Times New Roman" w:cs="Times New Roman"/>
      <w:b/>
      <w:bCs/>
      <w:sz w:val="20"/>
      <w:szCs w:val="20"/>
    </w:rPr>
  </w:style>
  <w:style w:type="paragraph" w:styleId="Revision">
    <w:name w:val="Revision"/>
    <w:hidden/>
    <w:uiPriority w:val="99"/>
    <w:semiHidden/>
    <w:rsid w:val="00611F3E"/>
    <w:pPr>
      <w:spacing w:after="0" w:line="240" w:lineRule="auto"/>
    </w:pPr>
    <w:rPr>
      <w:rFonts w:eastAsia="Times New Roman" w:cs="Times New Roman"/>
      <w:sz w:val="24"/>
      <w:szCs w:val="20"/>
    </w:rPr>
  </w:style>
  <w:style w:type="table" w:styleId="TableGrid">
    <w:name w:val="Table Grid"/>
    <w:basedOn w:val="TableNormal"/>
    <w:uiPriority w:val="39"/>
    <w:rsid w:val="00C22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6B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51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oed.in.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etl.doe.gov/bilhub/grid-resilience/formula-grant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n.gov/iurc/files/IURC-2021-AR-WEB.pdf" TargetMode="External"/><Relationship Id="rId7" Type="http://schemas.openxmlformats.org/officeDocument/2006/relationships/hyperlink" Target="https://netl.doe.gov/bilhub/grid-resilience/formula-grants" TargetMode="External"/><Relationship Id="rId2" Type="http://schemas.openxmlformats.org/officeDocument/2006/relationships/hyperlink" Target="https://www.eia.gov/state/analysis.php?sid=IN" TargetMode="External"/><Relationship Id="rId1" Type="http://schemas.openxmlformats.org/officeDocument/2006/relationships/hyperlink" Target="https://netl.doe.gov/bilhub/grid-resilience/formula-grants" TargetMode="External"/><Relationship Id="rId6" Type="http://schemas.openxmlformats.org/officeDocument/2006/relationships/hyperlink" Target="https://www.in.gov/idoa/procurement/supplier-resource-center/requirements-to-do-business-with-the-state/" TargetMode="External"/><Relationship Id="rId5" Type="http://schemas.openxmlformats.org/officeDocument/2006/relationships/hyperlink" Target="https://energyjustice.egs.anl.gov/" TargetMode="External"/><Relationship Id="rId4" Type="http://schemas.openxmlformats.org/officeDocument/2006/relationships/hyperlink" Target="https://www.energy.gov/sites/default/files/2021-09/Indiana%20Energy%20Sector%20Risk%20Profi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F55CA-53CC-41A2-8EA9-F85796C28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6144</Words>
  <Characters>35022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41084</CharactersWithSpaces>
  <SharedDoc>false</SharedDoc>
  <HLinks>
    <vt:vector size="42" baseType="variant">
      <vt:variant>
        <vt:i4>2228265</vt:i4>
      </vt:variant>
      <vt:variant>
        <vt:i4>0</vt:i4>
      </vt:variant>
      <vt:variant>
        <vt:i4>0</vt:i4>
      </vt:variant>
      <vt:variant>
        <vt:i4>5</vt:i4>
      </vt:variant>
      <vt:variant>
        <vt:lpwstr>https://netl.doe.gov/bilhub/grid-resilience/formula-grants</vt:lpwstr>
      </vt:variant>
      <vt:variant>
        <vt:lpwstr/>
      </vt:variant>
      <vt:variant>
        <vt:i4>5046339</vt:i4>
      </vt:variant>
      <vt:variant>
        <vt:i4>15</vt:i4>
      </vt:variant>
      <vt:variant>
        <vt:i4>0</vt:i4>
      </vt:variant>
      <vt:variant>
        <vt:i4>5</vt:i4>
      </vt:variant>
      <vt:variant>
        <vt:lpwstr>https://www.in.gov/idoa/procurement/supplier-resource-center/requirements-to-do-business-with-the-state/</vt:lpwstr>
      </vt:variant>
      <vt:variant>
        <vt:lpwstr/>
      </vt:variant>
      <vt:variant>
        <vt:i4>7405624</vt:i4>
      </vt:variant>
      <vt:variant>
        <vt:i4>12</vt:i4>
      </vt:variant>
      <vt:variant>
        <vt:i4>0</vt:i4>
      </vt:variant>
      <vt:variant>
        <vt:i4>5</vt:i4>
      </vt:variant>
      <vt:variant>
        <vt:lpwstr>https://energyjustice.egs.anl.gov/</vt:lpwstr>
      </vt:variant>
      <vt:variant>
        <vt:lpwstr/>
      </vt:variant>
      <vt:variant>
        <vt:i4>5373973</vt:i4>
      </vt:variant>
      <vt:variant>
        <vt:i4>9</vt:i4>
      </vt:variant>
      <vt:variant>
        <vt:i4>0</vt:i4>
      </vt:variant>
      <vt:variant>
        <vt:i4>5</vt:i4>
      </vt:variant>
      <vt:variant>
        <vt:lpwstr>http://iga.in.gov/documents/7b8200b2</vt:lpwstr>
      </vt:variant>
      <vt:variant>
        <vt:lpwstr/>
      </vt:variant>
      <vt:variant>
        <vt:i4>6946940</vt:i4>
      </vt:variant>
      <vt:variant>
        <vt:i4>6</vt:i4>
      </vt:variant>
      <vt:variant>
        <vt:i4>0</vt:i4>
      </vt:variant>
      <vt:variant>
        <vt:i4>5</vt:i4>
      </vt:variant>
      <vt:variant>
        <vt:lpwstr>https://www.in.gov/iurc/files/IURC-2021-AR-WEB.pdf</vt:lpwstr>
      </vt:variant>
      <vt:variant>
        <vt:lpwstr/>
      </vt:variant>
      <vt:variant>
        <vt:i4>1835039</vt:i4>
      </vt:variant>
      <vt:variant>
        <vt:i4>3</vt:i4>
      </vt:variant>
      <vt:variant>
        <vt:i4>0</vt:i4>
      </vt:variant>
      <vt:variant>
        <vt:i4>5</vt:i4>
      </vt:variant>
      <vt:variant>
        <vt:lpwstr>https://www.eia.gov/state/analysis.php?sid=IN</vt:lpwstr>
      </vt:variant>
      <vt:variant>
        <vt:lpwstr/>
      </vt:variant>
      <vt:variant>
        <vt:i4>2228265</vt:i4>
      </vt:variant>
      <vt:variant>
        <vt:i4>0</vt:i4>
      </vt:variant>
      <vt:variant>
        <vt:i4>0</vt:i4>
      </vt:variant>
      <vt:variant>
        <vt:i4>5</vt:i4>
      </vt:variant>
      <vt:variant>
        <vt:lpwstr>https://netl.doe.gov/bilhub/grid-resilience/formula-grants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Joseph L.</dc:creator>
  <cp:keywords/>
  <dc:description/>
  <cp:lastModifiedBy>Kempf, Julie</cp:lastModifiedBy>
  <cp:revision>16</cp:revision>
  <cp:lastPrinted>2022-08-01T20:16:00Z</cp:lastPrinted>
  <dcterms:created xsi:type="dcterms:W3CDTF">2022-08-02T20:00:00Z</dcterms:created>
  <dcterms:modified xsi:type="dcterms:W3CDTF">2022-08-02T20:16:00Z</dcterms:modified>
</cp:coreProperties>
</file>