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E3EA1" w14:textId="77777777" w:rsidR="00350FC6" w:rsidRPr="003060BB" w:rsidRDefault="00350FC6">
      <w:pPr>
        <w:pStyle w:val="Default"/>
        <w:jc w:val="center"/>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STATE OF INDIANA </w:t>
      </w:r>
    </w:p>
    <w:p w14:paraId="78A57516" w14:textId="77777777" w:rsidR="00350FC6" w:rsidRPr="003060BB" w:rsidRDefault="00350FC6">
      <w:pPr>
        <w:pStyle w:val="Default"/>
        <w:jc w:val="center"/>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7E89BB95" w14:textId="77777777" w:rsidR="00350FC6" w:rsidRPr="003060BB" w:rsidRDefault="00350FC6">
      <w:pPr>
        <w:pStyle w:val="Default"/>
        <w:jc w:val="center"/>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STATE COMMUNITY DEVELOPMENT BLOCK GRANT  </w:t>
      </w:r>
    </w:p>
    <w:p w14:paraId="04EE473B" w14:textId="77777777" w:rsidR="00350FC6" w:rsidRPr="003060BB" w:rsidRDefault="00350FC6">
      <w:pPr>
        <w:pStyle w:val="Default"/>
        <w:jc w:val="center"/>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(CDBG) PROGRAM (CFDA: 14-228) </w:t>
      </w:r>
    </w:p>
    <w:p w14:paraId="442F5EE7"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2844A8B2" w14:textId="614DE9C3" w:rsidR="00350FC6" w:rsidRPr="003060BB" w:rsidRDefault="00350FC6" w:rsidP="00D8428A">
      <w:pPr>
        <w:pStyle w:val="Default"/>
        <w:jc w:val="center"/>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INDIANA OFFICE OF COMMUNITY AND RURAL AFFAIRS </w:t>
      </w:r>
    </w:p>
    <w:p w14:paraId="6D08897B" w14:textId="1443E4B9" w:rsidR="00350FC6" w:rsidRPr="003060BB" w:rsidRDefault="00350FC6">
      <w:pPr>
        <w:pStyle w:val="Default"/>
        <w:jc w:val="center"/>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FY </w:t>
      </w:r>
      <w:r w:rsidR="00D91EB9">
        <w:rPr>
          <w:rFonts w:asciiTheme="minorHAnsi" w:hAnsiTheme="minorHAnsi" w:cstheme="minorHAnsi"/>
          <w:b/>
          <w:bCs/>
          <w:color w:val="auto"/>
          <w:sz w:val="22"/>
          <w:szCs w:val="22"/>
        </w:rPr>
        <w:t>2020</w:t>
      </w:r>
      <w:r w:rsidR="00417999" w:rsidRPr="003060BB">
        <w:rPr>
          <w:rFonts w:asciiTheme="minorHAnsi" w:hAnsiTheme="minorHAnsi" w:cstheme="minorHAnsi"/>
          <w:b/>
          <w:bCs/>
          <w:color w:val="auto"/>
          <w:sz w:val="22"/>
          <w:szCs w:val="22"/>
        </w:rPr>
        <w:t xml:space="preserve"> </w:t>
      </w:r>
      <w:r w:rsidRPr="003060BB">
        <w:rPr>
          <w:rFonts w:asciiTheme="minorHAnsi" w:hAnsiTheme="minorHAnsi" w:cstheme="minorHAnsi"/>
          <w:b/>
          <w:bCs/>
          <w:color w:val="auto"/>
          <w:sz w:val="22"/>
          <w:szCs w:val="22"/>
        </w:rPr>
        <w:t xml:space="preserve">PROGRAM DESIGN AND METHOD OF DISTRIBUTION </w:t>
      </w:r>
    </w:p>
    <w:p w14:paraId="7B8F2532" w14:textId="77777777" w:rsidR="00350FC6" w:rsidRPr="003060BB" w:rsidRDefault="00350FC6">
      <w:pPr>
        <w:pStyle w:val="Default"/>
        <w:ind w:hanging="144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3D92F68F"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4A09AE7B" w14:textId="77777777" w:rsidR="00350FC6" w:rsidRPr="003060BB" w:rsidRDefault="00350FC6">
      <w:pPr>
        <w:pStyle w:val="Default"/>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GENERAL BACKGROUND INFORMATION AND NATIONAL CDBG OBJECTIVES </w:t>
      </w:r>
    </w:p>
    <w:p w14:paraId="7077790D"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326BD5CB" w14:textId="1B0AF5A4"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The State of Indiana, through the Indiana Office of Community and Rural Affairs</w:t>
      </w:r>
      <w:r w:rsidR="00D91EB9">
        <w:rPr>
          <w:rFonts w:asciiTheme="minorHAnsi" w:hAnsiTheme="minorHAnsi" w:cstheme="minorHAnsi"/>
          <w:color w:val="auto"/>
          <w:sz w:val="22"/>
          <w:szCs w:val="22"/>
        </w:rPr>
        <w:t xml:space="preserve"> (OCRA)</w:t>
      </w:r>
      <w:r w:rsidRPr="003060BB">
        <w:rPr>
          <w:rFonts w:asciiTheme="minorHAnsi" w:hAnsiTheme="minorHAnsi" w:cstheme="minorHAnsi"/>
          <w:color w:val="auto"/>
          <w:sz w:val="22"/>
          <w:szCs w:val="22"/>
        </w:rPr>
        <w:t xml:space="preserve">, assumed administrative responsibility for Indiana’s Small Cities Community Development Block Grant (CDBG) Program in 1982, under the auspices of the U.S. Department of Housing and Urban Development (HUD).  </w:t>
      </w:r>
      <w:r w:rsidR="00D91EB9">
        <w:rPr>
          <w:rFonts w:asciiTheme="minorHAnsi" w:hAnsiTheme="minorHAnsi" w:cstheme="minorHAnsi"/>
          <w:color w:val="auto"/>
          <w:sz w:val="22"/>
          <w:szCs w:val="22"/>
        </w:rPr>
        <w:t>Per</w:t>
      </w:r>
      <w:r w:rsidRPr="003060BB">
        <w:rPr>
          <w:rFonts w:asciiTheme="minorHAnsi" w:hAnsiTheme="minorHAnsi" w:cstheme="minorHAnsi"/>
          <w:color w:val="auto"/>
          <w:sz w:val="22"/>
          <w:szCs w:val="22"/>
        </w:rPr>
        <w:t xml:space="preserve"> 570.485(a) and 24 CFR Part 91, the State must submit a Consolidated Plan to HUD by May 15th of each year following an appropriate citizen participation process </w:t>
      </w:r>
      <w:r w:rsidR="00D91EB9">
        <w:rPr>
          <w:rFonts w:asciiTheme="minorHAnsi" w:hAnsiTheme="minorHAnsi" w:cstheme="minorHAnsi"/>
          <w:color w:val="auto"/>
          <w:sz w:val="22"/>
          <w:szCs w:val="22"/>
        </w:rPr>
        <w:t>according</w:t>
      </w:r>
      <w:r w:rsidRPr="003060BB">
        <w:rPr>
          <w:rFonts w:asciiTheme="minorHAnsi" w:hAnsiTheme="minorHAnsi" w:cstheme="minorHAnsi"/>
          <w:color w:val="auto"/>
          <w:sz w:val="22"/>
          <w:szCs w:val="22"/>
        </w:rPr>
        <w:t xml:space="preserve"> to 24 CFR Part 91.325, which prescribes</w:t>
      </w:r>
      <w:r w:rsidR="00D91EB9">
        <w:rPr>
          <w:rFonts w:asciiTheme="minorHAnsi" w:hAnsiTheme="minorHAnsi" w:cstheme="minorHAnsi"/>
          <w:color w:val="auto"/>
          <w:sz w:val="22"/>
          <w:szCs w:val="22"/>
        </w:rPr>
        <w:t xml:space="preserve"> the State's Consolidated Plan </w:t>
      </w:r>
      <w:r w:rsidRPr="003060BB">
        <w:rPr>
          <w:rFonts w:asciiTheme="minorHAnsi" w:hAnsiTheme="minorHAnsi" w:cstheme="minorHAnsi"/>
          <w:color w:val="auto"/>
          <w:sz w:val="22"/>
          <w:szCs w:val="22"/>
        </w:rPr>
        <w:t xml:space="preserve">process as well as the proposed method of distribution of CDBG funds for </w:t>
      </w:r>
      <w:r w:rsidR="00E53451" w:rsidRPr="003060BB">
        <w:rPr>
          <w:rFonts w:asciiTheme="minorHAnsi" w:hAnsiTheme="minorHAnsi" w:cstheme="minorHAnsi"/>
          <w:color w:val="auto"/>
          <w:sz w:val="22"/>
          <w:szCs w:val="22"/>
        </w:rPr>
        <w:t>2017</w:t>
      </w:r>
      <w:r w:rsidRPr="003060BB">
        <w:rPr>
          <w:rFonts w:asciiTheme="minorHAnsi" w:hAnsiTheme="minorHAnsi" w:cstheme="minorHAnsi"/>
          <w:color w:val="auto"/>
          <w:sz w:val="22"/>
          <w:szCs w:val="22"/>
        </w:rPr>
        <w:t xml:space="preserve">.  </w:t>
      </w:r>
      <w:r w:rsidRPr="003060BB">
        <w:rPr>
          <w:rFonts w:asciiTheme="minorHAnsi" w:hAnsiTheme="minorHAnsi" w:cstheme="minorHAnsi"/>
          <w:b/>
          <w:bCs/>
          <w:color w:val="auto"/>
          <w:sz w:val="22"/>
          <w:szCs w:val="22"/>
        </w:rPr>
        <w:t xml:space="preserve">The State of Indiana's anticipated allocation of federal Community Development Block Grant (CDBG) funds for FY </w:t>
      </w:r>
      <w:r w:rsidR="00D91EB9">
        <w:rPr>
          <w:rFonts w:asciiTheme="minorHAnsi" w:hAnsiTheme="minorHAnsi" w:cstheme="minorHAnsi"/>
          <w:b/>
          <w:bCs/>
          <w:color w:val="auto"/>
          <w:sz w:val="22"/>
          <w:szCs w:val="22"/>
        </w:rPr>
        <w:t>2020</w:t>
      </w:r>
      <w:r w:rsidR="001D5FEE" w:rsidRPr="003060BB">
        <w:rPr>
          <w:rFonts w:asciiTheme="minorHAnsi" w:hAnsiTheme="minorHAnsi" w:cstheme="minorHAnsi"/>
          <w:b/>
          <w:bCs/>
          <w:color w:val="auto"/>
          <w:sz w:val="22"/>
          <w:szCs w:val="22"/>
        </w:rPr>
        <w:t xml:space="preserve"> </w:t>
      </w:r>
      <w:r w:rsidRPr="003060BB">
        <w:rPr>
          <w:rFonts w:asciiTheme="minorHAnsi" w:hAnsiTheme="minorHAnsi" w:cstheme="minorHAnsi"/>
          <w:b/>
          <w:bCs/>
          <w:color w:val="auto"/>
          <w:sz w:val="22"/>
          <w:szCs w:val="22"/>
        </w:rPr>
        <w:t xml:space="preserve">is </w:t>
      </w:r>
      <w:r w:rsidR="00056CA9" w:rsidRPr="003060BB">
        <w:rPr>
          <w:rFonts w:asciiTheme="minorHAnsi" w:hAnsiTheme="minorHAnsi" w:cstheme="minorHAnsi"/>
          <w:b/>
          <w:color w:val="auto"/>
          <w:sz w:val="22"/>
          <w:szCs w:val="22"/>
        </w:rPr>
        <w:t>$</w:t>
      </w:r>
      <w:r w:rsidR="00F71B02">
        <w:rPr>
          <w:rFonts w:asciiTheme="minorHAnsi" w:hAnsiTheme="minorHAnsi" w:cstheme="minorHAnsi"/>
          <w:b/>
          <w:color w:val="auto"/>
          <w:sz w:val="22"/>
          <w:szCs w:val="22"/>
        </w:rPr>
        <w:t>31</w:t>
      </w:r>
      <w:r w:rsidR="00D8428A">
        <w:rPr>
          <w:rFonts w:asciiTheme="minorHAnsi" w:hAnsiTheme="minorHAnsi" w:cstheme="minorHAnsi"/>
          <w:b/>
          <w:color w:val="auto"/>
          <w:sz w:val="22"/>
          <w:szCs w:val="22"/>
        </w:rPr>
        <w:t>,</w:t>
      </w:r>
      <w:r w:rsidR="00F71B02">
        <w:rPr>
          <w:rFonts w:asciiTheme="minorHAnsi" w:hAnsiTheme="minorHAnsi" w:cstheme="minorHAnsi"/>
          <w:b/>
          <w:color w:val="auto"/>
          <w:sz w:val="22"/>
          <w:szCs w:val="22"/>
        </w:rPr>
        <w:t>772,377</w:t>
      </w:r>
      <w:r w:rsidR="00056CA9" w:rsidRPr="003060BB">
        <w:rPr>
          <w:rFonts w:asciiTheme="minorHAnsi" w:hAnsiTheme="minorHAnsi" w:cstheme="minorHAnsi"/>
          <w:b/>
          <w:color w:val="auto"/>
          <w:sz w:val="22"/>
          <w:szCs w:val="22"/>
        </w:rPr>
        <w:t>.</w:t>
      </w:r>
    </w:p>
    <w:p w14:paraId="6DF5A024" w14:textId="77777777" w:rsidR="00350FC6" w:rsidRPr="003060BB" w:rsidRDefault="00350FC6" w:rsidP="00D639DF">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030D654A" w14:textId="627D763A" w:rsidR="00350FC6" w:rsidRPr="003060BB" w:rsidRDefault="00350FC6" w:rsidP="00D639DF">
      <w:pPr>
        <w:autoSpaceDE w:val="0"/>
        <w:autoSpaceDN w:val="0"/>
        <w:adjustRightInd w:val="0"/>
        <w:jc w:val="both"/>
        <w:rPr>
          <w:rFonts w:asciiTheme="minorHAnsi" w:hAnsiTheme="minorHAnsi" w:cstheme="minorHAnsi"/>
          <w:sz w:val="22"/>
          <w:szCs w:val="22"/>
        </w:rPr>
      </w:pPr>
      <w:r w:rsidRPr="003060BB">
        <w:rPr>
          <w:rFonts w:asciiTheme="minorHAnsi" w:hAnsiTheme="minorHAnsi" w:cstheme="minorHAnsi"/>
          <w:sz w:val="22"/>
          <w:szCs w:val="22"/>
        </w:rPr>
        <w:t>This document applies to all federal Small Cities CDBG funds allocated by HUD to the State o</w:t>
      </w:r>
      <w:r w:rsidR="00D91EB9">
        <w:rPr>
          <w:rFonts w:asciiTheme="minorHAnsi" w:hAnsiTheme="minorHAnsi" w:cstheme="minorHAnsi"/>
          <w:sz w:val="22"/>
          <w:szCs w:val="22"/>
        </w:rPr>
        <w:t>f Indiana, through OCRA</w:t>
      </w:r>
      <w:r w:rsidRPr="003060BB">
        <w:rPr>
          <w:rFonts w:asciiTheme="minorHAnsi" w:hAnsiTheme="minorHAnsi" w:cstheme="minorHAnsi"/>
          <w:sz w:val="22"/>
          <w:szCs w:val="22"/>
        </w:rPr>
        <w:t xml:space="preserve">. </w:t>
      </w:r>
      <w:r w:rsidRPr="003060BB">
        <w:rPr>
          <w:rFonts w:asciiTheme="minorHAnsi" w:hAnsiTheme="minorHAnsi" w:cstheme="minorHAnsi"/>
          <w:b/>
          <w:bCs/>
          <w:sz w:val="22"/>
          <w:szCs w:val="22"/>
        </w:rPr>
        <w:t xml:space="preserve"> </w:t>
      </w:r>
    </w:p>
    <w:p w14:paraId="33F3840D"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201DBB19" w14:textId="3286B858"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The primary objective of Indiana's Small Cities CDBG Program is to assist in the development and re-development of viable Indiana communities by using CDBG funds to provide a suitable living environment and expand economic opportunities, principally for lo</w:t>
      </w:r>
      <w:r w:rsidR="00D91EB9">
        <w:rPr>
          <w:rFonts w:asciiTheme="minorHAnsi" w:hAnsiTheme="minorHAnsi" w:cstheme="minorHAnsi"/>
          <w:color w:val="auto"/>
          <w:sz w:val="22"/>
          <w:szCs w:val="22"/>
        </w:rPr>
        <w:t>w- and moderate-</w:t>
      </w:r>
      <w:r w:rsidRPr="003060BB">
        <w:rPr>
          <w:rFonts w:asciiTheme="minorHAnsi" w:hAnsiTheme="minorHAnsi" w:cstheme="minorHAnsi"/>
          <w:color w:val="auto"/>
          <w:sz w:val="22"/>
          <w:szCs w:val="22"/>
        </w:rPr>
        <w:t xml:space="preserve">income persons. </w:t>
      </w:r>
    </w:p>
    <w:p w14:paraId="2F9F666E"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11295438" w14:textId="13147079"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Indiana's program will </w:t>
      </w:r>
      <w:r w:rsidR="00D91EB9">
        <w:rPr>
          <w:rFonts w:asciiTheme="minorHAnsi" w:hAnsiTheme="minorHAnsi" w:cstheme="minorHAnsi"/>
          <w:color w:val="auto"/>
          <w:sz w:val="22"/>
          <w:szCs w:val="22"/>
        </w:rPr>
        <w:t>emphasize</w:t>
      </w:r>
      <w:r w:rsidRPr="003060BB">
        <w:rPr>
          <w:rFonts w:asciiTheme="minorHAnsi" w:hAnsiTheme="minorHAnsi" w:cstheme="minorHAnsi"/>
          <w:color w:val="auto"/>
          <w:sz w:val="22"/>
          <w:szCs w:val="22"/>
        </w:rPr>
        <w:t xml:space="preserve"> making Indiana communities a better place in which to reside, work, and recreate.  Primary attention will be given to activities, which promote long term community development and create an environment conducive to new or expanded employment opportunities for low</w:t>
      </w:r>
      <w:r w:rsidR="00D91EB9">
        <w:rPr>
          <w:rFonts w:asciiTheme="minorHAnsi" w:hAnsiTheme="minorHAnsi" w:cstheme="minorHAnsi"/>
          <w:color w:val="auto"/>
          <w:sz w:val="22"/>
          <w:szCs w:val="22"/>
        </w:rPr>
        <w:t>-</w:t>
      </w:r>
      <w:r w:rsidRPr="003060BB">
        <w:rPr>
          <w:rFonts w:asciiTheme="minorHAnsi" w:hAnsiTheme="minorHAnsi" w:cstheme="minorHAnsi"/>
          <w:color w:val="auto"/>
          <w:sz w:val="22"/>
          <w:szCs w:val="22"/>
        </w:rPr>
        <w:t xml:space="preserve"> and moderate</w:t>
      </w:r>
      <w:r w:rsidR="00D91EB9">
        <w:rPr>
          <w:rFonts w:asciiTheme="minorHAnsi" w:hAnsiTheme="minorHAnsi" w:cstheme="minorHAnsi"/>
          <w:color w:val="auto"/>
          <w:sz w:val="22"/>
          <w:szCs w:val="22"/>
        </w:rPr>
        <w:t>-</w:t>
      </w:r>
      <w:r w:rsidRPr="003060BB">
        <w:rPr>
          <w:rFonts w:asciiTheme="minorHAnsi" w:hAnsiTheme="minorHAnsi" w:cstheme="minorHAnsi"/>
          <w:color w:val="auto"/>
          <w:sz w:val="22"/>
          <w:szCs w:val="22"/>
        </w:rPr>
        <w:t xml:space="preserve">income persons. </w:t>
      </w:r>
    </w:p>
    <w:p w14:paraId="79909C0B"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3BBF3893" w14:textId="5C25A9DA" w:rsidR="00350FC6" w:rsidRPr="003060BB" w:rsidRDefault="00D91EB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OCRA</w:t>
      </w:r>
      <w:r w:rsidR="00350FC6" w:rsidRPr="003060BB">
        <w:rPr>
          <w:rFonts w:asciiTheme="minorHAnsi" w:hAnsiTheme="minorHAnsi" w:cstheme="minorHAnsi"/>
          <w:color w:val="auto"/>
          <w:sz w:val="22"/>
          <w:szCs w:val="22"/>
        </w:rPr>
        <w:t xml:space="preserve"> will pursue this goal of </w:t>
      </w:r>
      <w:r w:rsidR="00350FC6" w:rsidRPr="003060BB">
        <w:rPr>
          <w:rFonts w:asciiTheme="minorHAnsi" w:hAnsiTheme="minorHAnsi" w:cstheme="minorHAnsi"/>
          <w:bCs/>
          <w:color w:val="auto"/>
          <w:sz w:val="22"/>
          <w:szCs w:val="22"/>
        </w:rPr>
        <w:t>investing CDBG wisely</w:t>
      </w:r>
      <w:r w:rsidR="00350FC6" w:rsidRPr="003060BB">
        <w:rPr>
          <w:rFonts w:asciiTheme="minorHAnsi" w:hAnsiTheme="minorHAnsi" w:cstheme="minorHAnsi"/>
          <w:color w:val="auto"/>
          <w:sz w:val="22"/>
          <w:szCs w:val="22"/>
        </w:rPr>
        <w:t xml:space="preserve"> and all applicable strategic priorities by distributing CDBG funds in a manner, which promotes exploration of all alternative resources (financial and </w:t>
      </w:r>
      <w:r w:rsidR="00735F42" w:rsidRPr="003060BB">
        <w:rPr>
          <w:rFonts w:asciiTheme="minorHAnsi" w:hAnsiTheme="minorHAnsi" w:cstheme="minorHAnsi"/>
          <w:color w:val="auto"/>
          <w:sz w:val="22"/>
          <w:szCs w:val="22"/>
        </w:rPr>
        <w:t>personnel</w:t>
      </w:r>
      <w:r w:rsidR="00350FC6" w:rsidRPr="003060BB">
        <w:rPr>
          <w:rFonts w:asciiTheme="minorHAnsi" w:hAnsiTheme="minorHAnsi" w:cstheme="minorHAnsi"/>
          <w:color w:val="auto"/>
          <w:sz w:val="22"/>
          <w:szCs w:val="22"/>
        </w:rPr>
        <w:t xml:space="preserve">) when making funding decisions respective to applications for CDBG funding. </w:t>
      </w:r>
    </w:p>
    <w:p w14:paraId="31EA2C81"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r w:rsidRPr="003060BB">
        <w:rPr>
          <w:rFonts w:asciiTheme="minorHAnsi" w:hAnsiTheme="minorHAnsi" w:cstheme="minorHAnsi"/>
          <w:b/>
          <w:bCs/>
          <w:color w:val="auto"/>
          <w:sz w:val="22"/>
          <w:szCs w:val="22"/>
        </w:rPr>
        <w:t xml:space="preserve"> </w:t>
      </w:r>
    </w:p>
    <w:p w14:paraId="7FBA272D" w14:textId="77777777" w:rsidR="00350FC6" w:rsidRPr="003060BB" w:rsidRDefault="00350FC6">
      <w:pPr>
        <w:pStyle w:val="Default"/>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br w:type="page"/>
      </w:r>
      <w:r w:rsidRPr="003060BB">
        <w:rPr>
          <w:rFonts w:asciiTheme="minorHAnsi" w:hAnsiTheme="minorHAnsi" w:cstheme="minorHAnsi"/>
          <w:b/>
          <w:bCs/>
          <w:color w:val="auto"/>
          <w:sz w:val="22"/>
          <w:szCs w:val="22"/>
        </w:rPr>
        <w:lastRenderedPageBreak/>
        <w:t>PROGRAM AMENDMENTS</w:t>
      </w:r>
      <w:r w:rsidRPr="003060BB">
        <w:rPr>
          <w:rFonts w:asciiTheme="minorHAnsi" w:hAnsiTheme="minorHAnsi" w:cstheme="minorHAnsi"/>
          <w:color w:val="auto"/>
          <w:sz w:val="22"/>
          <w:szCs w:val="22"/>
        </w:rPr>
        <w:t xml:space="preserve"> </w:t>
      </w:r>
    </w:p>
    <w:p w14:paraId="237DF325"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31E5876B" w14:textId="3BED9CCA" w:rsidR="00350FC6" w:rsidRPr="003060BB" w:rsidRDefault="00D91EB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OCRA</w:t>
      </w:r>
      <w:r w:rsidR="00350FC6" w:rsidRPr="003060BB">
        <w:rPr>
          <w:rFonts w:asciiTheme="minorHAnsi" w:hAnsiTheme="minorHAnsi" w:cstheme="minorHAnsi"/>
          <w:color w:val="auto"/>
          <w:sz w:val="22"/>
          <w:szCs w:val="22"/>
        </w:rPr>
        <w:t xml:space="preserve"> reserves the right t</w:t>
      </w:r>
      <w:r>
        <w:rPr>
          <w:rFonts w:asciiTheme="minorHAnsi" w:hAnsiTheme="minorHAnsi" w:cstheme="minorHAnsi"/>
          <w:color w:val="auto"/>
          <w:sz w:val="22"/>
          <w:szCs w:val="22"/>
        </w:rPr>
        <w:t>o transfer up to twenty-five percent (25</w:t>
      </w:r>
      <w:r w:rsidR="00350FC6" w:rsidRPr="003060BB">
        <w:rPr>
          <w:rFonts w:asciiTheme="minorHAnsi" w:hAnsiTheme="minorHAnsi" w:cstheme="minorHAnsi"/>
          <w:color w:val="auto"/>
          <w:sz w:val="22"/>
          <w:szCs w:val="22"/>
        </w:rPr>
        <w:t>%) of each fiscal year’s available allocation of CDBG funds</w:t>
      </w:r>
      <w:r>
        <w:rPr>
          <w:rFonts w:asciiTheme="minorHAnsi" w:hAnsiTheme="minorHAnsi" w:cstheme="minorHAnsi"/>
          <w:color w:val="auto"/>
          <w:sz w:val="22"/>
          <w:szCs w:val="22"/>
        </w:rPr>
        <w:t xml:space="preserve"> </w:t>
      </w:r>
      <w:r w:rsidR="00350FC6" w:rsidRPr="003060BB">
        <w:rPr>
          <w:rFonts w:asciiTheme="minorHAnsi" w:hAnsiTheme="minorHAnsi" w:cstheme="minorHAnsi"/>
          <w:color w:val="auto"/>
          <w:sz w:val="22"/>
          <w:szCs w:val="22"/>
        </w:rPr>
        <w:t xml:space="preserve">between the programs described herein to optimize the use and timeliness of distribution and expenditure of CDBG funds, without formal amendment of this </w:t>
      </w:r>
      <w:r>
        <w:rPr>
          <w:rFonts w:asciiTheme="minorHAnsi" w:hAnsiTheme="minorHAnsi" w:cstheme="minorHAnsi"/>
          <w:color w:val="auto"/>
          <w:sz w:val="22"/>
          <w:szCs w:val="22"/>
        </w:rPr>
        <w:t>Annual Action</w:t>
      </w:r>
      <w:r w:rsidR="00350FC6" w:rsidRPr="003060BB">
        <w:rPr>
          <w:rFonts w:asciiTheme="minorHAnsi" w:hAnsiTheme="minorHAnsi" w:cstheme="minorHAnsi"/>
          <w:color w:val="auto"/>
          <w:sz w:val="22"/>
          <w:szCs w:val="22"/>
        </w:rPr>
        <w:t xml:space="preserve"> Plan.   </w:t>
      </w:r>
    </w:p>
    <w:p w14:paraId="4D88D775"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15BE7734" w14:textId="46AEAE35" w:rsidR="00350FC6" w:rsidRPr="003060BB" w:rsidRDefault="00D91EB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OCRA</w:t>
      </w:r>
      <w:r w:rsidR="00350FC6" w:rsidRPr="003060BB">
        <w:rPr>
          <w:rFonts w:asciiTheme="minorHAnsi" w:hAnsiTheme="minorHAnsi" w:cstheme="minorHAnsi"/>
          <w:color w:val="auto"/>
          <w:sz w:val="22"/>
          <w:szCs w:val="22"/>
        </w:rPr>
        <w:t xml:space="preserve"> will provide citizens and general units of local gover</w:t>
      </w:r>
      <w:r>
        <w:rPr>
          <w:rFonts w:asciiTheme="minorHAnsi" w:hAnsiTheme="minorHAnsi" w:cstheme="minorHAnsi"/>
          <w:color w:val="auto"/>
          <w:sz w:val="22"/>
          <w:szCs w:val="22"/>
        </w:rPr>
        <w:t>nment with reasonable notice</w:t>
      </w:r>
      <w:r w:rsidR="00350FC6" w:rsidRPr="003060BB">
        <w:rPr>
          <w:rFonts w:asciiTheme="minorHAnsi" w:hAnsiTheme="minorHAnsi" w:cstheme="minorHAnsi"/>
          <w:color w:val="auto"/>
          <w:sz w:val="22"/>
          <w:szCs w:val="22"/>
        </w:rPr>
        <w:t xml:space="preserve"> and opportunity to comment on any substantial change </w:t>
      </w:r>
      <w:r>
        <w:rPr>
          <w:rFonts w:asciiTheme="minorHAnsi" w:hAnsiTheme="minorHAnsi" w:cstheme="minorHAnsi"/>
          <w:color w:val="auto"/>
          <w:sz w:val="22"/>
          <w:szCs w:val="22"/>
        </w:rPr>
        <w:t xml:space="preserve">to be made in the use of </w:t>
      </w:r>
      <w:r w:rsidR="00350FC6" w:rsidRPr="003060BB">
        <w:rPr>
          <w:rFonts w:asciiTheme="minorHAnsi" w:hAnsiTheme="minorHAnsi" w:cstheme="minorHAnsi"/>
          <w:color w:val="auto"/>
          <w:sz w:val="22"/>
          <w:szCs w:val="22"/>
        </w:rPr>
        <w:t>CDBG funds</w:t>
      </w:r>
      <w:r>
        <w:rPr>
          <w:rFonts w:asciiTheme="minorHAnsi" w:hAnsiTheme="minorHAnsi" w:cstheme="minorHAnsi"/>
          <w:color w:val="auto"/>
          <w:sz w:val="22"/>
          <w:szCs w:val="22"/>
        </w:rPr>
        <w:t xml:space="preserve"> for any open grant year</w:t>
      </w:r>
      <w:r w:rsidR="00350FC6" w:rsidRPr="003060BB">
        <w:rPr>
          <w:rFonts w:asciiTheme="minorHAnsi" w:hAnsiTheme="minorHAnsi" w:cstheme="minorHAnsi"/>
          <w:color w:val="auto"/>
          <w:sz w:val="22"/>
          <w:szCs w:val="22"/>
        </w:rPr>
        <w:t>.  "Substantial Change" shall mean the movement b</w:t>
      </w:r>
      <w:r>
        <w:rPr>
          <w:rFonts w:asciiTheme="minorHAnsi" w:hAnsiTheme="minorHAnsi" w:cstheme="minorHAnsi"/>
          <w:color w:val="auto"/>
          <w:sz w:val="22"/>
          <w:szCs w:val="22"/>
        </w:rPr>
        <w:t>etween programs of more than twenty-five percent (25</w:t>
      </w:r>
      <w:r w:rsidR="00350FC6" w:rsidRPr="003060BB">
        <w:rPr>
          <w:rFonts w:asciiTheme="minorHAnsi" w:hAnsiTheme="minorHAnsi" w:cstheme="minorHAnsi"/>
          <w:color w:val="auto"/>
          <w:sz w:val="22"/>
          <w:szCs w:val="22"/>
        </w:rPr>
        <w:t xml:space="preserve">%) of the total allocation for </w:t>
      </w:r>
      <w:r>
        <w:rPr>
          <w:rFonts w:asciiTheme="minorHAnsi" w:hAnsiTheme="minorHAnsi" w:cstheme="minorHAnsi"/>
          <w:color w:val="auto"/>
          <w:sz w:val="22"/>
          <w:szCs w:val="22"/>
        </w:rPr>
        <w:t>each</w:t>
      </w:r>
      <w:r w:rsidR="00350FC6" w:rsidRPr="003060BB">
        <w:rPr>
          <w:rFonts w:asciiTheme="minorHAnsi" w:hAnsiTheme="minorHAnsi" w:cstheme="minorHAnsi"/>
          <w:color w:val="auto"/>
          <w:sz w:val="22"/>
          <w:szCs w:val="22"/>
        </w:rPr>
        <w:t xml:space="preserve"> fiscal year’s CDBG allocation.</w:t>
      </w:r>
      <w:r w:rsidR="00F41ADE">
        <w:rPr>
          <w:rFonts w:asciiTheme="minorHAnsi" w:hAnsiTheme="minorHAnsi" w:cstheme="minorHAnsi"/>
          <w:color w:val="auto"/>
          <w:sz w:val="22"/>
          <w:szCs w:val="22"/>
        </w:rPr>
        <w:t xml:space="preserve"> The</w:t>
      </w:r>
      <w:r>
        <w:rPr>
          <w:rFonts w:asciiTheme="minorHAnsi" w:hAnsiTheme="minorHAnsi" w:cstheme="minorHAnsi"/>
          <w:color w:val="auto"/>
          <w:sz w:val="22"/>
          <w:szCs w:val="22"/>
        </w:rPr>
        <w:t xml:space="preserve"> twenty-five percent (25</w:t>
      </w:r>
      <w:r w:rsidR="00F41ADE">
        <w:rPr>
          <w:rFonts w:asciiTheme="minorHAnsi" w:hAnsiTheme="minorHAnsi" w:cstheme="minorHAnsi"/>
          <w:color w:val="auto"/>
          <w:sz w:val="22"/>
          <w:szCs w:val="22"/>
        </w:rPr>
        <w:t>%)</w:t>
      </w:r>
      <w:r w:rsidR="00D8428A">
        <w:rPr>
          <w:rFonts w:asciiTheme="minorHAnsi" w:hAnsiTheme="minorHAnsi" w:cstheme="minorHAnsi"/>
          <w:color w:val="auto"/>
          <w:sz w:val="22"/>
          <w:szCs w:val="22"/>
        </w:rPr>
        <w:t xml:space="preserve"> does not include the reallocation of </w:t>
      </w:r>
      <w:r w:rsidR="00DF14B6">
        <w:rPr>
          <w:rFonts w:asciiTheme="minorHAnsi" w:hAnsiTheme="minorHAnsi" w:cstheme="minorHAnsi"/>
          <w:color w:val="auto"/>
          <w:sz w:val="22"/>
          <w:szCs w:val="22"/>
        </w:rPr>
        <w:t>reverted funds</w:t>
      </w:r>
      <w:r w:rsidR="00D8428A">
        <w:rPr>
          <w:rFonts w:asciiTheme="minorHAnsi" w:hAnsiTheme="minorHAnsi" w:cstheme="minorHAnsi"/>
          <w:color w:val="auto"/>
          <w:sz w:val="22"/>
          <w:szCs w:val="22"/>
        </w:rPr>
        <w:t>.</w:t>
      </w:r>
      <w:r w:rsidR="00350FC6" w:rsidRPr="003060BB">
        <w:rPr>
          <w:rFonts w:asciiTheme="minorHAnsi" w:hAnsiTheme="minorHAnsi" w:cstheme="minorHAnsi"/>
          <w:color w:val="auto"/>
          <w:sz w:val="22"/>
          <w:szCs w:val="22"/>
        </w:rPr>
        <w:t xml:space="preserve">  </w:t>
      </w:r>
      <w:r>
        <w:rPr>
          <w:rFonts w:asciiTheme="minorHAnsi" w:hAnsiTheme="minorHAnsi" w:cstheme="minorHAnsi"/>
          <w:color w:val="auto"/>
          <w:sz w:val="22"/>
          <w:szCs w:val="22"/>
        </w:rPr>
        <w:t>OCRA</w:t>
      </w:r>
      <w:r w:rsidR="00350FC6" w:rsidRPr="003060BB">
        <w:rPr>
          <w:rFonts w:asciiTheme="minorHAnsi" w:hAnsiTheme="minorHAnsi" w:cstheme="minorHAnsi"/>
          <w:color w:val="auto"/>
          <w:sz w:val="22"/>
          <w:szCs w:val="22"/>
        </w:rPr>
        <w:t>, in consultation with th</w:t>
      </w:r>
      <w:r>
        <w:rPr>
          <w:rFonts w:asciiTheme="minorHAnsi" w:hAnsiTheme="minorHAnsi" w:cstheme="minorHAnsi"/>
          <w:color w:val="auto"/>
          <w:sz w:val="22"/>
          <w:szCs w:val="22"/>
        </w:rPr>
        <w:t>e Indianapolis office of the HUD</w:t>
      </w:r>
      <w:r w:rsidR="00350FC6" w:rsidRPr="003060BB">
        <w:rPr>
          <w:rFonts w:asciiTheme="minorHAnsi" w:hAnsiTheme="minorHAnsi" w:cstheme="minorHAnsi"/>
          <w:color w:val="auto"/>
          <w:sz w:val="22"/>
          <w:szCs w:val="22"/>
        </w:rPr>
        <w:t>, will determine those actions, which may constitute a “substantial change</w:t>
      </w:r>
      <w:r>
        <w:rPr>
          <w:rFonts w:asciiTheme="minorHAnsi" w:hAnsiTheme="minorHAnsi" w:cstheme="minorHAnsi"/>
          <w:color w:val="auto"/>
          <w:sz w:val="22"/>
          <w:szCs w:val="22"/>
        </w:rPr>
        <w:t>.”</w:t>
      </w:r>
      <w:r w:rsidR="00350FC6" w:rsidRPr="003060BB">
        <w:rPr>
          <w:rFonts w:asciiTheme="minorHAnsi" w:hAnsiTheme="minorHAnsi" w:cstheme="minorHAnsi"/>
          <w:color w:val="auto"/>
          <w:sz w:val="22"/>
          <w:szCs w:val="22"/>
        </w:rPr>
        <w:t xml:space="preserve">  </w:t>
      </w:r>
    </w:p>
    <w:p w14:paraId="3BD81DB0" w14:textId="77777777" w:rsidR="00D91EB9" w:rsidRDefault="00D91EB9">
      <w:pPr>
        <w:pStyle w:val="Default"/>
        <w:jc w:val="both"/>
        <w:rPr>
          <w:rFonts w:asciiTheme="minorHAnsi" w:hAnsiTheme="minorHAnsi" w:cstheme="minorHAnsi"/>
          <w:color w:val="auto"/>
          <w:sz w:val="22"/>
          <w:szCs w:val="22"/>
        </w:rPr>
      </w:pPr>
    </w:p>
    <w:p w14:paraId="750903EE" w14:textId="0A765081" w:rsidR="00350FC6" w:rsidRPr="003060BB" w:rsidRDefault="00D91EB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OCRA</w:t>
      </w:r>
      <w:r w:rsidR="00350FC6" w:rsidRPr="003060BB">
        <w:rPr>
          <w:rFonts w:asciiTheme="minorHAnsi" w:hAnsiTheme="minorHAnsi" w:cstheme="minorHAnsi"/>
          <w:color w:val="auto"/>
          <w:sz w:val="22"/>
          <w:szCs w:val="22"/>
        </w:rPr>
        <w:t xml:space="preserve"> will submit </w:t>
      </w:r>
      <w:r>
        <w:rPr>
          <w:rFonts w:asciiTheme="minorHAnsi" w:hAnsiTheme="minorHAnsi" w:cstheme="minorHAnsi"/>
          <w:color w:val="auto"/>
          <w:sz w:val="22"/>
          <w:szCs w:val="22"/>
        </w:rPr>
        <w:t>any</w:t>
      </w:r>
      <w:r w:rsidR="00350FC6" w:rsidRPr="003060BB">
        <w:rPr>
          <w:rFonts w:asciiTheme="minorHAnsi" w:hAnsiTheme="minorHAnsi" w:cstheme="minorHAnsi"/>
          <w:color w:val="auto"/>
          <w:sz w:val="22"/>
          <w:szCs w:val="22"/>
        </w:rPr>
        <w:t xml:space="preserve"> Consolidated Plan</w:t>
      </w:r>
      <w:r>
        <w:rPr>
          <w:rFonts w:asciiTheme="minorHAnsi" w:hAnsiTheme="minorHAnsi" w:cstheme="minorHAnsi"/>
          <w:color w:val="auto"/>
          <w:sz w:val="22"/>
          <w:szCs w:val="22"/>
        </w:rPr>
        <w:t>, Annual Action Plan, or other related documents to HUD</w:t>
      </w:r>
      <w:r w:rsidR="00350FC6" w:rsidRPr="003060BB">
        <w:rPr>
          <w:rFonts w:asciiTheme="minorHAnsi" w:hAnsiTheme="minorHAnsi" w:cstheme="minorHAnsi"/>
          <w:color w:val="auto"/>
          <w:sz w:val="22"/>
          <w:szCs w:val="22"/>
        </w:rPr>
        <w:t xml:space="preserve"> before </w:t>
      </w:r>
      <w:r>
        <w:rPr>
          <w:rFonts w:asciiTheme="minorHAnsi" w:hAnsiTheme="minorHAnsi" w:cstheme="minorHAnsi"/>
          <w:color w:val="auto"/>
          <w:sz w:val="22"/>
          <w:szCs w:val="22"/>
        </w:rPr>
        <w:t xml:space="preserve">it </w:t>
      </w:r>
      <w:r w:rsidR="00350FC6" w:rsidRPr="003060BB">
        <w:rPr>
          <w:rFonts w:asciiTheme="minorHAnsi" w:hAnsiTheme="minorHAnsi" w:cstheme="minorHAnsi"/>
          <w:color w:val="auto"/>
          <w:sz w:val="22"/>
          <w:szCs w:val="22"/>
        </w:rPr>
        <w:t>implements any changes embodied</w:t>
      </w:r>
      <w:r>
        <w:rPr>
          <w:rFonts w:asciiTheme="minorHAnsi" w:hAnsiTheme="minorHAnsi" w:cstheme="minorHAnsi"/>
          <w:color w:val="auto"/>
          <w:sz w:val="22"/>
          <w:szCs w:val="22"/>
        </w:rPr>
        <w:t xml:space="preserve"> in the given document and before posting the final version publicly</w:t>
      </w:r>
      <w:r w:rsidR="00350FC6" w:rsidRPr="003060BB">
        <w:rPr>
          <w:rFonts w:asciiTheme="minorHAnsi" w:hAnsiTheme="minorHAnsi" w:cstheme="minorHAnsi"/>
          <w:color w:val="auto"/>
          <w:sz w:val="22"/>
          <w:szCs w:val="22"/>
        </w:rPr>
        <w:t xml:space="preserve">. </w:t>
      </w:r>
    </w:p>
    <w:p w14:paraId="75E8BDB0"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7CC20F6E" w14:textId="77777777" w:rsidR="00350FC6" w:rsidRPr="003060BB" w:rsidRDefault="00350FC6">
      <w:pPr>
        <w:pStyle w:val="Default"/>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ELIGIBLE ACTIVITIES/FUNDABILITY</w:t>
      </w:r>
      <w:r w:rsidRPr="003060BB">
        <w:rPr>
          <w:rFonts w:asciiTheme="minorHAnsi" w:hAnsiTheme="minorHAnsi" w:cstheme="minorHAnsi"/>
          <w:color w:val="auto"/>
          <w:sz w:val="22"/>
          <w:szCs w:val="22"/>
        </w:rPr>
        <w:t xml:space="preserve"> </w:t>
      </w:r>
    </w:p>
    <w:p w14:paraId="3BD6F0F6"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3FE6ECE7" w14:textId="37FFABCC"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All activities, which are eligible for federal CDBG funding under Section 105 of the Federal Housing and Community Development Act of 1974, as amended</w:t>
      </w:r>
      <w:r w:rsidR="00D91EB9">
        <w:rPr>
          <w:rFonts w:asciiTheme="minorHAnsi" w:hAnsiTheme="minorHAnsi" w:cstheme="minorHAnsi"/>
          <w:color w:val="auto"/>
          <w:sz w:val="22"/>
          <w:szCs w:val="22"/>
        </w:rPr>
        <w:t>,</w:t>
      </w:r>
      <w:r w:rsidRPr="003060BB">
        <w:rPr>
          <w:rFonts w:asciiTheme="minorHAnsi" w:hAnsiTheme="minorHAnsi" w:cstheme="minorHAnsi"/>
          <w:color w:val="auto"/>
          <w:sz w:val="22"/>
          <w:szCs w:val="22"/>
        </w:rPr>
        <w:t xml:space="preserve"> (Federal Act), are eligible for funding under the </w:t>
      </w:r>
      <w:proofErr w:type="spellStart"/>
      <w:r w:rsidR="00D91EB9">
        <w:rPr>
          <w:rFonts w:asciiTheme="minorHAnsi" w:hAnsiTheme="minorHAnsi" w:cstheme="minorHAnsi"/>
          <w:color w:val="auto"/>
          <w:sz w:val="22"/>
          <w:szCs w:val="22"/>
        </w:rPr>
        <w:t>OCRA’s</w:t>
      </w:r>
      <w:proofErr w:type="spellEnd"/>
      <w:r w:rsidRPr="003060BB">
        <w:rPr>
          <w:rFonts w:asciiTheme="minorHAnsi" w:hAnsiTheme="minorHAnsi" w:cstheme="minorHAnsi"/>
          <w:color w:val="auto"/>
          <w:sz w:val="22"/>
          <w:szCs w:val="22"/>
        </w:rPr>
        <w:t xml:space="preserve"> CDBG program.  However, the </w:t>
      </w:r>
      <w:r w:rsidR="00D91EB9">
        <w:rPr>
          <w:rFonts w:asciiTheme="minorHAnsi" w:hAnsiTheme="minorHAnsi" w:cstheme="minorHAnsi"/>
          <w:color w:val="auto"/>
          <w:sz w:val="22"/>
          <w:szCs w:val="22"/>
        </w:rPr>
        <w:t>OCRA</w:t>
      </w:r>
      <w:r w:rsidRPr="003060BB">
        <w:rPr>
          <w:rFonts w:asciiTheme="minorHAnsi" w:hAnsiTheme="minorHAnsi" w:cstheme="minorHAnsi"/>
          <w:color w:val="auto"/>
          <w:sz w:val="22"/>
          <w:szCs w:val="22"/>
        </w:rPr>
        <w:t xml:space="preserve"> reserves the right to prioritize funding</w:t>
      </w:r>
      <w:r w:rsidR="00D91EB9">
        <w:rPr>
          <w:rFonts w:asciiTheme="minorHAnsi" w:hAnsiTheme="minorHAnsi" w:cstheme="minorHAnsi"/>
          <w:color w:val="auto"/>
          <w:sz w:val="22"/>
          <w:szCs w:val="22"/>
        </w:rPr>
        <w:t xml:space="preserve"> of those eligible activities</w:t>
      </w:r>
      <w:r w:rsidRPr="003060BB">
        <w:rPr>
          <w:rFonts w:asciiTheme="minorHAnsi" w:hAnsiTheme="minorHAnsi" w:cstheme="minorHAnsi"/>
          <w:color w:val="auto"/>
          <w:sz w:val="22"/>
          <w:szCs w:val="22"/>
        </w:rPr>
        <w:t xml:space="preserve">; the </w:t>
      </w:r>
      <w:r w:rsidR="00D91EB9">
        <w:rPr>
          <w:rFonts w:asciiTheme="minorHAnsi" w:hAnsiTheme="minorHAnsi" w:cstheme="minorHAnsi"/>
          <w:color w:val="auto"/>
          <w:sz w:val="22"/>
          <w:szCs w:val="22"/>
        </w:rPr>
        <w:t>OCRA</w:t>
      </w:r>
      <w:r w:rsidRPr="003060BB">
        <w:rPr>
          <w:rFonts w:asciiTheme="minorHAnsi" w:hAnsiTheme="minorHAnsi" w:cstheme="minorHAnsi"/>
          <w:color w:val="auto"/>
          <w:sz w:val="22"/>
          <w:szCs w:val="22"/>
        </w:rPr>
        <w:t xml:space="preserve"> prefers to expend federal CDBG funds on activities/projects which will produce tangible results for low</w:t>
      </w:r>
      <w:r w:rsidR="00D91EB9">
        <w:rPr>
          <w:rFonts w:asciiTheme="minorHAnsi" w:hAnsiTheme="minorHAnsi" w:cstheme="minorHAnsi"/>
          <w:color w:val="auto"/>
          <w:sz w:val="22"/>
          <w:szCs w:val="22"/>
        </w:rPr>
        <w:t>- and moderate-</w:t>
      </w:r>
      <w:r w:rsidRPr="003060BB">
        <w:rPr>
          <w:rFonts w:asciiTheme="minorHAnsi" w:hAnsiTheme="minorHAnsi" w:cstheme="minorHAnsi"/>
          <w:color w:val="auto"/>
          <w:sz w:val="22"/>
          <w:szCs w:val="22"/>
        </w:rPr>
        <w:t xml:space="preserve">income persons in Indiana.  Funding decisions will be made using criteria and rating systems, which are used for the State's programs and are subject to the availability of funds.  It shall be the policy under the state program to give priority to using CDBG funds to pay for actual project costs and not to local administrative costs. </w:t>
      </w:r>
      <w:r w:rsidRPr="003060BB">
        <w:rPr>
          <w:rFonts w:asciiTheme="minorHAnsi" w:hAnsiTheme="minorHAnsi" w:cstheme="minorHAnsi"/>
          <w:b/>
          <w:bCs/>
          <w:color w:val="auto"/>
          <w:sz w:val="22"/>
          <w:szCs w:val="22"/>
        </w:rPr>
        <w:t xml:space="preserve">The State of Indiana certifies that not less than seventy-percent (70%) of </w:t>
      </w:r>
      <w:r w:rsidR="00D91EB9">
        <w:rPr>
          <w:rFonts w:asciiTheme="minorHAnsi" w:hAnsiTheme="minorHAnsi" w:cstheme="minorHAnsi"/>
          <w:b/>
          <w:bCs/>
          <w:color w:val="auto"/>
          <w:sz w:val="22"/>
          <w:szCs w:val="22"/>
        </w:rPr>
        <w:t>each fiscal year’s</w:t>
      </w:r>
      <w:r w:rsidRPr="003060BB">
        <w:rPr>
          <w:rFonts w:asciiTheme="minorHAnsi" w:hAnsiTheme="minorHAnsi" w:cstheme="minorHAnsi"/>
          <w:b/>
          <w:bCs/>
          <w:color w:val="auto"/>
          <w:sz w:val="22"/>
          <w:szCs w:val="22"/>
        </w:rPr>
        <w:t xml:space="preserve"> CDBG funds will be expended for activities principally benefiting low</w:t>
      </w:r>
      <w:r w:rsidR="00D91EB9">
        <w:rPr>
          <w:rFonts w:asciiTheme="minorHAnsi" w:hAnsiTheme="minorHAnsi" w:cstheme="minorHAnsi"/>
          <w:b/>
          <w:bCs/>
          <w:color w:val="auto"/>
          <w:sz w:val="22"/>
          <w:szCs w:val="22"/>
        </w:rPr>
        <w:t>- and moderate-</w:t>
      </w:r>
      <w:r w:rsidRPr="003060BB">
        <w:rPr>
          <w:rFonts w:asciiTheme="minorHAnsi" w:hAnsiTheme="minorHAnsi" w:cstheme="minorHAnsi"/>
          <w:b/>
          <w:bCs/>
          <w:color w:val="auto"/>
          <w:sz w:val="22"/>
          <w:szCs w:val="22"/>
        </w:rPr>
        <w:t xml:space="preserve">income persons, as prescribed by 24 CFR 570.484, et. seq. </w:t>
      </w:r>
    </w:p>
    <w:p w14:paraId="191B241A"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4144A62E" w14:textId="77777777" w:rsidR="00350FC6" w:rsidRPr="003060BB" w:rsidRDefault="00350FC6">
      <w:pPr>
        <w:pStyle w:val="Default"/>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ELIGIBLE APPLICANTS </w:t>
      </w:r>
    </w:p>
    <w:p w14:paraId="01A7F70D"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23BD5403" w14:textId="5B0A32F6" w:rsidR="00350FC6" w:rsidRPr="003060BB" w:rsidRDefault="00350FC6" w:rsidP="005B4ADC">
      <w:pPr>
        <w:pStyle w:val="Default"/>
        <w:numPr>
          <w:ilvl w:val="0"/>
          <w:numId w:val="1"/>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All Indiana counties, cities</w:t>
      </w:r>
      <w:r w:rsidR="00D91EB9">
        <w:rPr>
          <w:rFonts w:asciiTheme="minorHAnsi" w:hAnsiTheme="minorHAnsi" w:cstheme="minorHAnsi"/>
          <w:color w:val="auto"/>
          <w:sz w:val="22"/>
          <w:szCs w:val="22"/>
        </w:rPr>
        <w:t>,</w:t>
      </w:r>
      <w:r w:rsidRPr="003060BB">
        <w:rPr>
          <w:rFonts w:asciiTheme="minorHAnsi" w:hAnsiTheme="minorHAnsi" w:cstheme="minorHAnsi"/>
          <w:color w:val="auto"/>
          <w:sz w:val="22"/>
          <w:szCs w:val="22"/>
        </w:rPr>
        <w:t xml:space="preserve"> and incorporated towns which do not receive CDBG entitlement funding directly from HUD or are not located in an "urban county" or other area</w:t>
      </w:r>
      <w:r w:rsidR="00D91EB9">
        <w:rPr>
          <w:rFonts w:asciiTheme="minorHAnsi" w:hAnsiTheme="minorHAnsi" w:cstheme="minorHAnsi"/>
          <w:color w:val="auto"/>
          <w:sz w:val="22"/>
          <w:szCs w:val="22"/>
        </w:rPr>
        <w:t>s</w:t>
      </w:r>
      <w:r w:rsidRPr="003060BB">
        <w:rPr>
          <w:rFonts w:asciiTheme="minorHAnsi" w:hAnsiTheme="minorHAnsi" w:cstheme="minorHAnsi"/>
          <w:color w:val="auto"/>
          <w:sz w:val="22"/>
          <w:szCs w:val="22"/>
        </w:rPr>
        <w:t xml:space="preserve"> eligible for "entitlement" funding from HUD. </w:t>
      </w:r>
    </w:p>
    <w:p w14:paraId="314CC9F7" w14:textId="77777777" w:rsidR="00350FC6" w:rsidRPr="003060BB" w:rsidRDefault="00350FC6">
      <w:pPr>
        <w:pStyle w:val="Default"/>
        <w:ind w:firstLine="45"/>
        <w:jc w:val="both"/>
        <w:rPr>
          <w:rFonts w:asciiTheme="minorHAnsi" w:hAnsiTheme="minorHAnsi" w:cstheme="minorHAnsi"/>
          <w:color w:val="auto"/>
          <w:sz w:val="22"/>
          <w:szCs w:val="22"/>
        </w:rPr>
      </w:pPr>
    </w:p>
    <w:p w14:paraId="69ECC3A9" w14:textId="30305DC9" w:rsidR="00350FC6" w:rsidRPr="003060BB" w:rsidRDefault="00350FC6" w:rsidP="005B4ADC">
      <w:pPr>
        <w:pStyle w:val="Default"/>
        <w:numPr>
          <w:ilvl w:val="0"/>
          <w:numId w:val="1"/>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All Indian tribes meeting the criteria </w:t>
      </w:r>
      <w:r w:rsidR="00D91EB9">
        <w:rPr>
          <w:rFonts w:asciiTheme="minorHAnsi" w:hAnsiTheme="minorHAnsi" w:cstheme="minorHAnsi"/>
          <w:color w:val="auto"/>
          <w:sz w:val="22"/>
          <w:szCs w:val="22"/>
        </w:rPr>
        <w:t>outlined</w:t>
      </w:r>
      <w:r w:rsidRPr="003060BB">
        <w:rPr>
          <w:rFonts w:asciiTheme="minorHAnsi" w:hAnsiTheme="minorHAnsi" w:cstheme="minorHAnsi"/>
          <w:color w:val="auto"/>
          <w:sz w:val="22"/>
          <w:szCs w:val="22"/>
        </w:rPr>
        <w:t xml:space="preserve"> in Section 102 (a</w:t>
      </w:r>
      <w:proofErr w:type="gramStart"/>
      <w:r w:rsidRPr="003060BB">
        <w:rPr>
          <w:rFonts w:asciiTheme="minorHAnsi" w:hAnsiTheme="minorHAnsi" w:cstheme="minorHAnsi"/>
          <w:color w:val="auto"/>
          <w:sz w:val="22"/>
          <w:szCs w:val="22"/>
        </w:rPr>
        <w:t>)(</w:t>
      </w:r>
      <w:proofErr w:type="gramEnd"/>
      <w:r w:rsidRPr="003060BB">
        <w:rPr>
          <w:rFonts w:asciiTheme="minorHAnsi" w:hAnsiTheme="minorHAnsi" w:cstheme="minorHAnsi"/>
          <w:color w:val="auto"/>
          <w:sz w:val="22"/>
          <w:szCs w:val="22"/>
        </w:rPr>
        <w:t xml:space="preserve">17) of the Federal Act. </w:t>
      </w:r>
    </w:p>
    <w:p w14:paraId="3B1B120F"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18909B93" w14:textId="627C96DC" w:rsidR="00350FC6" w:rsidRPr="003060BB" w:rsidRDefault="00D91EB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To be eligible for CDBG funding, </w:t>
      </w:r>
      <w:r w:rsidR="00350FC6" w:rsidRPr="003060BB">
        <w:rPr>
          <w:rFonts w:asciiTheme="minorHAnsi" w:hAnsiTheme="minorHAnsi" w:cstheme="minorHAnsi"/>
          <w:color w:val="auto"/>
          <w:sz w:val="22"/>
          <w:szCs w:val="22"/>
        </w:rPr>
        <w:t>applicants may not be suspended from p</w:t>
      </w:r>
      <w:r>
        <w:rPr>
          <w:rFonts w:asciiTheme="minorHAnsi" w:hAnsiTheme="minorHAnsi" w:cstheme="minorHAnsi"/>
          <w:color w:val="auto"/>
          <w:sz w:val="22"/>
          <w:szCs w:val="22"/>
        </w:rPr>
        <w:t xml:space="preserve">articipation in any </w:t>
      </w:r>
      <w:r w:rsidR="00350FC6" w:rsidRPr="003060BB">
        <w:rPr>
          <w:rFonts w:asciiTheme="minorHAnsi" w:hAnsiTheme="minorHAnsi" w:cstheme="minorHAnsi"/>
          <w:color w:val="auto"/>
          <w:sz w:val="22"/>
          <w:szCs w:val="22"/>
        </w:rPr>
        <w:t xml:space="preserve">CDBG </w:t>
      </w:r>
      <w:r>
        <w:rPr>
          <w:rFonts w:asciiTheme="minorHAnsi" w:hAnsiTheme="minorHAnsi" w:cstheme="minorHAnsi"/>
          <w:color w:val="auto"/>
          <w:sz w:val="22"/>
          <w:szCs w:val="22"/>
        </w:rPr>
        <w:t>funded programs or by OCRA</w:t>
      </w:r>
      <w:r w:rsidR="00350FC6" w:rsidRPr="003060BB">
        <w:rPr>
          <w:rFonts w:asciiTheme="minorHAnsi" w:hAnsiTheme="minorHAnsi" w:cstheme="minorHAnsi"/>
          <w:color w:val="auto"/>
          <w:sz w:val="22"/>
          <w:szCs w:val="22"/>
        </w:rPr>
        <w:t xml:space="preserve"> due to findings/irregularities with previous CDBG grants</w:t>
      </w:r>
      <w:r>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overdue reports, overdue responses to moni</w:t>
      </w:r>
      <w:r w:rsidR="009C2DF8">
        <w:rPr>
          <w:rFonts w:asciiTheme="minorHAnsi" w:hAnsiTheme="minorHAnsi" w:cstheme="minorHAnsi"/>
          <w:color w:val="auto"/>
          <w:sz w:val="22"/>
          <w:szCs w:val="22"/>
        </w:rPr>
        <w:t xml:space="preserve">toring issues, or overdue </w:t>
      </w:r>
      <w:r w:rsidRPr="003060BB">
        <w:rPr>
          <w:rFonts w:asciiTheme="minorHAnsi" w:hAnsiTheme="minorHAnsi" w:cstheme="minorHAnsi"/>
          <w:color w:val="auto"/>
          <w:sz w:val="22"/>
          <w:szCs w:val="22"/>
        </w:rPr>
        <w:t>closeout documents</w:t>
      </w:r>
      <w:r>
        <w:rPr>
          <w:rFonts w:asciiTheme="minorHAnsi" w:hAnsiTheme="minorHAnsi" w:cstheme="minorHAnsi"/>
          <w:color w:val="auto"/>
          <w:sz w:val="22"/>
          <w:szCs w:val="22"/>
        </w:rPr>
        <w:t xml:space="preserve"> on current grants,</w:t>
      </w:r>
      <w:r w:rsidR="00350FC6" w:rsidRPr="003060BB">
        <w:rPr>
          <w:rFonts w:asciiTheme="minorHAnsi" w:hAnsiTheme="minorHAnsi" w:cstheme="minorHAnsi"/>
          <w:color w:val="auto"/>
          <w:sz w:val="22"/>
          <w:szCs w:val="22"/>
        </w:rPr>
        <w:t xml:space="preserve"> or other reasons</w:t>
      </w:r>
      <w:r>
        <w:rPr>
          <w:rFonts w:asciiTheme="minorHAnsi" w:hAnsiTheme="minorHAnsi" w:cstheme="minorHAnsi"/>
          <w:color w:val="auto"/>
          <w:sz w:val="22"/>
          <w:szCs w:val="22"/>
        </w:rPr>
        <w:t xml:space="preserve"> that call into an </w:t>
      </w:r>
      <w:r w:rsidR="004A054E">
        <w:rPr>
          <w:rFonts w:asciiTheme="minorHAnsi" w:hAnsiTheme="minorHAnsi" w:cstheme="minorHAnsi"/>
          <w:color w:val="auto"/>
          <w:sz w:val="22"/>
          <w:szCs w:val="22"/>
        </w:rPr>
        <w:t>applicant’s</w:t>
      </w:r>
      <w:r>
        <w:rPr>
          <w:rFonts w:asciiTheme="minorHAnsi" w:hAnsiTheme="minorHAnsi" w:cstheme="minorHAnsi"/>
          <w:color w:val="auto"/>
          <w:sz w:val="22"/>
          <w:szCs w:val="22"/>
        </w:rPr>
        <w:t xml:space="preserve"> ability to be able to comply with all elements of the State’s CDBG program</w:t>
      </w:r>
      <w:r w:rsidR="00350FC6" w:rsidRPr="003060BB">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In </w:t>
      </w:r>
      <w:r w:rsidR="00433277" w:rsidRPr="003060BB">
        <w:rPr>
          <w:rFonts w:asciiTheme="minorHAnsi" w:hAnsiTheme="minorHAnsi" w:cstheme="minorHAnsi"/>
          <w:color w:val="auto"/>
          <w:sz w:val="22"/>
          <w:szCs w:val="22"/>
        </w:rPr>
        <w:t xml:space="preserve">addition, applicants may </w:t>
      </w:r>
      <w:r w:rsidR="00350FC6" w:rsidRPr="003060BB">
        <w:rPr>
          <w:rFonts w:asciiTheme="minorHAnsi" w:hAnsiTheme="minorHAnsi" w:cstheme="minorHAnsi"/>
          <w:color w:val="auto"/>
          <w:sz w:val="22"/>
          <w:szCs w:val="22"/>
        </w:rPr>
        <w:t xml:space="preserve">be suspended from participation in the state CDBG-funded projects administered by the Indiana Housing &amp; Community Development Authority (IHCDA). </w:t>
      </w:r>
    </w:p>
    <w:p w14:paraId="7EAD0CDF"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4FD3C93D" w14:textId="30F355B5"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All applicants must fully expend all CDBG Program Income as defined in 24 CFR 570.489(e) </w:t>
      </w:r>
      <w:r w:rsidR="003B3C5F">
        <w:rPr>
          <w:rFonts w:asciiTheme="minorHAnsi" w:hAnsiTheme="minorHAnsi" w:cstheme="minorHAnsi"/>
          <w:color w:val="auto"/>
          <w:sz w:val="22"/>
          <w:szCs w:val="22"/>
        </w:rPr>
        <w:t>before</w:t>
      </w:r>
      <w:r w:rsidRPr="003060BB">
        <w:rPr>
          <w:rFonts w:asciiTheme="minorHAnsi" w:hAnsiTheme="minorHAnsi" w:cstheme="minorHAnsi"/>
          <w:color w:val="auto"/>
          <w:sz w:val="22"/>
          <w:szCs w:val="22"/>
        </w:rPr>
        <w:t xml:space="preserve">, or as a part of the proposed CDBG-assisted </w:t>
      </w:r>
      <w:r w:rsidR="00D91EB9">
        <w:rPr>
          <w:rFonts w:asciiTheme="minorHAnsi" w:hAnsiTheme="minorHAnsi" w:cstheme="minorHAnsi"/>
          <w:color w:val="auto"/>
          <w:sz w:val="22"/>
          <w:szCs w:val="22"/>
        </w:rPr>
        <w:t>grant</w:t>
      </w:r>
      <w:r w:rsidRPr="003060BB">
        <w:rPr>
          <w:rFonts w:asciiTheme="minorHAnsi" w:hAnsiTheme="minorHAnsi" w:cstheme="minorHAnsi"/>
          <w:color w:val="auto"/>
          <w:sz w:val="22"/>
          <w:szCs w:val="22"/>
        </w:rPr>
        <w:t xml:space="preserve">, to be eligible for further CDBG funding from the State.  </w:t>
      </w:r>
    </w:p>
    <w:p w14:paraId="0ADBF750" w14:textId="0DEC1A9C" w:rsidR="00350FC6" w:rsidRPr="003060BB" w:rsidRDefault="00350FC6">
      <w:pPr>
        <w:pStyle w:val="Default"/>
        <w:spacing w:before="120" w:after="36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Other s</w:t>
      </w:r>
      <w:r w:rsidR="003B3C5F">
        <w:rPr>
          <w:rFonts w:asciiTheme="minorHAnsi" w:hAnsiTheme="minorHAnsi" w:cstheme="minorHAnsi"/>
          <w:color w:val="auto"/>
          <w:sz w:val="22"/>
          <w:szCs w:val="22"/>
        </w:rPr>
        <w:t>pecific eligibility criteria is</w:t>
      </w:r>
      <w:r w:rsidRPr="003060BB">
        <w:rPr>
          <w:rFonts w:asciiTheme="minorHAnsi" w:hAnsiTheme="minorHAnsi" w:cstheme="minorHAnsi"/>
          <w:color w:val="auto"/>
          <w:sz w:val="22"/>
          <w:szCs w:val="22"/>
        </w:rPr>
        <w:t xml:space="preserve"> outlined in </w:t>
      </w:r>
      <w:r w:rsidR="00407193">
        <w:rPr>
          <w:rFonts w:asciiTheme="minorHAnsi" w:hAnsiTheme="minorHAnsi" w:cstheme="minorHAnsi"/>
          <w:color w:val="auto"/>
          <w:sz w:val="22"/>
          <w:szCs w:val="22"/>
        </w:rPr>
        <w:t xml:space="preserve">the </w:t>
      </w:r>
      <w:r w:rsidRPr="003060BB">
        <w:rPr>
          <w:rFonts w:asciiTheme="minorHAnsi" w:hAnsiTheme="minorHAnsi" w:cstheme="minorHAnsi"/>
          <w:b/>
          <w:bCs/>
          <w:color w:val="auto"/>
          <w:sz w:val="22"/>
          <w:szCs w:val="22"/>
        </w:rPr>
        <w:t>General Selection Criteria</w:t>
      </w:r>
      <w:r w:rsidRPr="003060BB">
        <w:rPr>
          <w:rFonts w:asciiTheme="minorHAnsi" w:hAnsiTheme="minorHAnsi" w:cstheme="minorHAnsi"/>
          <w:color w:val="auto"/>
          <w:sz w:val="22"/>
          <w:szCs w:val="22"/>
        </w:rPr>
        <w:t xml:space="preserve"> provided herein. </w:t>
      </w:r>
    </w:p>
    <w:p w14:paraId="33AB7CD9" w14:textId="5A4C487D" w:rsidR="00350FC6" w:rsidRPr="003060BB" w:rsidRDefault="00350FC6">
      <w:pPr>
        <w:pStyle w:val="Default"/>
        <w:spacing w:before="120" w:after="360"/>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lastRenderedPageBreak/>
        <w:t xml:space="preserve"> FY </w:t>
      </w:r>
      <w:r w:rsidR="004E2FD6">
        <w:rPr>
          <w:rFonts w:asciiTheme="minorHAnsi" w:hAnsiTheme="minorHAnsi" w:cstheme="minorHAnsi"/>
          <w:b/>
          <w:bCs/>
          <w:color w:val="auto"/>
          <w:sz w:val="22"/>
          <w:szCs w:val="22"/>
        </w:rPr>
        <w:t>20</w:t>
      </w:r>
      <w:r w:rsidR="00D91EB9">
        <w:rPr>
          <w:rFonts w:asciiTheme="minorHAnsi" w:hAnsiTheme="minorHAnsi" w:cstheme="minorHAnsi"/>
          <w:b/>
          <w:bCs/>
          <w:color w:val="auto"/>
          <w:sz w:val="22"/>
          <w:szCs w:val="22"/>
        </w:rPr>
        <w:t>20</w:t>
      </w:r>
      <w:r w:rsidRPr="003060BB">
        <w:rPr>
          <w:rFonts w:asciiTheme="minorHAnsi" w:hAnsiTheme="minorHAnsi" w:cstheme="minorHAnsi"/>
          <w:b/>
          <w:bCs/>
          <w:color w:val="auto"/>
          <w:sz w:val="22"/>
          <w:szCs w:val="22"/>
        </w:rPr>
        <w:t xml:space="preserve"> FUND DISTRIBUTION </w:t>
      </w:r>
    </w:p>
    <w:p w14:paraId="54E160EE" w14:textId="77777777" w:rsidR="00350FC6" w:rsidRPr="003060BB" w:rsidRDefault="00350FC6">
      <w:pPr>
        <w:pStyle w:val="Default"/>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Sources of Funds: </w:t>
      </w:r>
    </w:p>
    <w:p w14:paraId="65506AF7"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59248422" w14:textId="6985A960" w:rsidR="00D318B9" w:rsidRPr="003060BB" w:rsidRDefault="00350FC6">
      <w:pPr>
        <w:pStyle w:val="Default"/>
        <w:tabs>
          <w:tab w:val="decimal" w:pos="5130"/>
        </w:tabs>
        <w:jc w:val="both"/>
        <w:rPr>
          <w:rFonts w:asciiTheme="minorHAnsi" w:hAnsiTheme="minorHAnsi" w:cstheme="minorHAnsi"/>
          <w:b/>
          <w:bCs/>
          <w:color w:val="auto"/>
          <w:sz w:val="22"/>
          <w:szCs w:val="22"/>
        </w:rPr>
      </w:pPr>
      <w:r w:rsidRPr="003060BB">
        <w:rPr>
          <w:rFonts w:asciiTheme="minorHAnsi" w:hAnsiTheme="minorHAnsi" w:cstheme="minorHAnsi"/>
          <w:color w:val="auto"/>
          <w:sz w:val="22"/>
          <w:szCs w:val="22"/>
        </w:rPr>
        <w:t xml:space="preserve">FY </w:t>
      </w:r>
      <w:r w:rsidR="00DA7658">
        <w:rPr>
          <w:rFonts w:asciiTheme="minorHAnsi" w:hAnsiTheme="minorHAnsi" w:cstheme="minorHAnsi"/>
          <w:color w:val="auto"/>
          <w:sz w:val="22"/>
          <w:szCs w:val="22"/>
        </w:rPr>
        <w:t>2020</w:t>
      </w:r>
      <w:r w:rsidRPr="003060BB">
        <w:rPr>
          <w:rFonts w:asciiTheme="minorHAnsi" w:hAnsiTheme="minorHAnsi" w:cstheme="minorHAnsi"/>
          <w:color w:val="auto"/>
          <w:sz w:val="22"/>
          <w:szCs w:val="22"/>
        </w:rPr>
        <w:t xml:space="preserve"> CDBG Allocation          </w:t>
      </w:r>
      <w:r w:rsidRPr="003060BB">
        <w:rPr>
          <w:rFonts w:asciiTheme="minorHAnsi" w:hAnsiTheme="minorHAnsi" w:cstheme="minorHAnsi"/>
          <w:color w:val="auto"/>
          <w:sz w:val="22"/>
          <w:szCs w:val="22"/>
        </w:rPr>
        <w:tab/>
      </w:r>
      <w:r w:rsidR="000E4B0A" w:rsidRPr="003060BB">
        <w:rPr>
          <w:rFonts w:asciiTheme="minorHAnsi" w:hAnsiTheme="minorHAnsi" w:cstheme="minorHAnsi"/>
          <w:b/>
          <w:bCs/>
          <w:color w:val="auto"/>
          <w:sz w:val="22"/>
          <w:szCs w:val="22"/>
        </w:rPr>
        <w:t>$</w:t>
      </w:r>
      <w:r w:rsidR="00F71B02">
        <w:rPr>
          <w:rFonts w:asciiTheme="minorHAnsi" w:hAnsiTheme="minorHAnsi" w:cstheme="minorHAnsi"/>
          <w:b/>
          <w:bCs/>
          <w:color w:val="auto"/>
          <w:sz w:val="22"/>
          <w:szCs w:val="22"/>
        </w:rPr>
        <w:t>31,772,377</w:t>
      </w:r>
    </w:p>
    <w:p w14:paraId="68EDF699" w14:textId="77777777" w:rsidR="00350FC6" w:rsidRPr="003060BB" w:rsidRDefault="00350FC6">
      <w:pPr>
        <w:pStyle w:val="Default"/>
        <w:tabs>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CDBG </w:t>
      </w:r>
      <w:r w:rsidR="001F6002" w:rsidRPr="003060BB">
        <w:rPr>
          <w:rFonts w:asciiTheme="minorHAnsi" w:hAnsiTheme="minorHAnsi" w:cstheme="minorHAnsi"/>
          <w:color w:val="auto"/>
          <w:sz w:val="22"/>
          <w:szCs w:val="22"/>
        </w:rPr>
        <w:t>Program Income</w:t>
      </w:r>
      <w:r w:rsidRPr="003060B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ab/>
        <w:t xml:space="preserve">$0   </w:t>
      </w:r>
    </w:p>
    <w:p w14:paraId="0C1A3B27" w14:textId="0DAA6049" w:rsidR="00350FC6" w:rsidRPr="003060BB" w:rsidRDefault="00350FC6">
      <w:pPr>
        <w:pStyle w:val="Default"/>
        <w:tabs>
          <w:tab w:val="decimal" w:pos="5130"/>
        </w:tabs>
        <w:jc w:val="both"/>
        <w:rPr>
          <w:rFonts w:asciiTheme="minorHAnsi" w:hAnsiTheme="minorHAnsi" w:cstheme="minorHAnsi"/>
          <w:b/>
          <w:color w:val="auto"/>
          <w:sz w:val="22"/>
          <w:szCs w:val="22"/>
        </w:rPr>
      </w:pPr>
      <w:r w:rsidRPr="003060BB">
        <w:rPr>
          <w:rFonts w:asciiTheme="minorHAnsi" w:hAnsiTheme="minorHAnsi" w:cstheme="minorHAnsi"/>
          <w:color w:val="auto"/>
          <w:sz w:val="22"/>
          <w:szCs w:val="22"/>
        </w:rPr>
        <w:t xml:space="preserve">           </w:t>
      </w:r>
      <w:r w:rsidRPr="003060BB">
        <w:rPr>
          <w:rFonts w:asciiTheme="minorHAnsi" w:hAnsiTheme="minorHAnsi" w:cstheme="minorHAnsi"/>
          <w:b/>
          <w:bCs/>
          <w:color w:val="auto"/>
          <w:sz w:val="22"/>
          <w:szCs w:val="22"/>
        </w:rPr>
        <w:t>Total:</w:t>
      </w:r>
      <w:r w:rsidRPr="003060B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ab/>
      </w:r>
      <w:r w:rsidR="0007128C" w:rsidRPr="003060BB">
        <w:rPr>
          <w:rFonts w:asciiTheme="minorHAnsi" w:hAnsiTheme="minorHAnsi" w:cstheme="minorHAnsi"/>
          <w:b/>
          <w:color w:val="auto"/>
          <w:sz w:val="22"/>
          <w:szCs w:val="22"/>
        </w:rPr>
        <w:t>$</w:t>
      </w:r>
      <w:r w:rsidR="00952FC5">
        <w:rPr>
          <w:rFonts w:asciiTheme="minorHAnsi" w:hAnsiTheme="minorHAnsi" w:cstheme="minorHAnsi"/>
          <w:b/>
          <w:color w:val="auto"/>
          <w:sz w:val="22"/>
          <w:szCs w:val="22"/>
        </w:rPr>
        <w:t>3</w:t>
      </w:r>
      <w:r w:rsidR="00F71B02">
        <w:rPr>
          <w:rFonts w:asciiTheme="minorHAnsi" w:hAnsiTheme="minorHAnsi" w:cstheme="minorHAnsi"/>
          <w:b/>
          <w:color w:val="auto"/>
          <w:sz w:val="22"/>
          <w:szCs w:val="22"/>
        </w:rPr>
        <w:t>1,772,377</w:t>
      </w:r>
    </w:p>
    <w:p w14:paraId="655C0C66" w14:textId="77777777" w:rsidR="00350FC6" w:rsidRPr="003060BB" w:rsidRDefault="00350FC6">
      <w:pPr>
        <w:pStyle w:val="Default"/>
        <w:tabs>
          <w:tab w:val="decimal" w:pos="5130"/>
        </w:tabs>
        <w:ind w:hanging="144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17549EF7" w14:textId="77777777" w:rsidR="000E4B0A" w:rsidRPr="003060BB" w:rsidRDefault="000E4B0A">
      <w:pPr>
        <w:pStyle w:val="Default"/>
        <w:tabs>
          <w:tab w:val="decimal" w:pos="5130"/>
        </w:tabs>
        <w:ind w:hanging="1440"/>
        <w:jc w:val="both"/>
        <w:rPr>
          <w:rFonts w:asciiTheme="minorHAnsi" w:hAnsiTheme="minorHAnsi" w:cstheme="minorHAnsi"/>
          <w:color w:val="auto"/>
          <w:sz w:val="22"/>
          <w:szCs w:val="22"/>
        </w:rPr>
      </w:pPr>
    </w:p>
    <w:p w14:paraId="24633184" w14:textId="77777777" w:rsidR="00350FC6" w:rsidRPr="003060BB" w:rsidRDefault="00350FC6">
      <w:pPr>
        <w:pStyle w:val="Default"/>
        <w:tabs>
          <w:tab w:val="decimal" w:pos="5130"/>
        </w:tabs>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Uses of Funds: </w:t>
      </w:r>
    </w:p>
    <w:p w14:paraId="0C6F48E2" w14:textId="77777777" w:rsidR="00350FC6" w:rsidRPr="003060BB" w:rsidRDefault="00350FC6">
      <w:pPr>
        <w:pStyle w:val="Default"/>
        <w:tabs>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244BB4DC" w14:textId="1C079820" w:rsidR="00350FC6" w:rsidRPr="003060BB" w:rsidRDefault="00350FC6"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Housing Program</w:t>
      </w:r>
      <w:r w:rsidR="00AB43E5" w:rsidRPr="003060BB">
        <w:rPr>
          <w:rFonts w:asciiTheme="minorHAnsi" w:hAnsiTheme="minorHAnsi" w:cstheme="minorHAnsi"/>
          <w:color w:val="auto"/>
          <w:sz w:val="22"/>
          <w:szCs w:val="22"/>
        </w:rPr>
        <w:t>s</w:t>
      </w:r>
      <w:r w:rsidR="00425FE2" w:rsidRPr="003060BB">
        <w:rPr>
          <w:rFonts w:asciiTheme="minorHAnsi" w:hAnsiTheme="minorHAnsi" w:cstheme="minorHAnsi"/>
          <w:color w:val="auto"/>
          <w:sz w:val="22"/>
          <w:szCs w:val="22"/>
        </w:rPr>
        <w:t xml:space="preserve"> (IHCDA)</w:t>
      </w:r>
      <w:r w:rsidRPr="003060BB">
        <w:rPr>
          <w:rFonts w:asciiTheme="minorHAnsi" w:hAnsiTheme="minorHAnsi" w:cstheme="minorHAnsi"/>
          <w:color w:val="auto"/>
          <w:sz w:val="22"/>
          <w:szCs w:val="22"/>
        </w:rPr>
        <w:t xml:space="preserve">                </w:t>
      </w:r>
      <w:r w:rsidR="001D4CC1">
        <w:rPr>
          <w:rFonts w:asciiTheme="minorHAnsi" w:hAnsiTheme="minorHAnsi" w:cstheme="minorHAnsi"/>
          <w:color w:val="auto"/>
          <w:sz w:val="22"/>
          <w:szCs w:val="22"/>
        </w:rPr>
        <w:tab/>
      </w:r>
      <w:r w:rsidRPr="003060BB">
        <w:rPr>
          <w:rFonts w:asciiTheme="minorHAnsi" w:hAnsiTheme="minorHAnsi" w:cstheme="minorHAnsi"/>
          <w:color w:val="auto"/>
          <w:sz w:val="22"/>
          <w:szCs w:val="22"/>
        </w:rPr>
        <w:t xml:space="preserve">   </w:t>
      </w:r>
      <w:r w:rsidR="008A59F5"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ab/>
        <w:t>$</w:t>
      </w:r>
      <w:r w:rsidR="001D4CC1">
        <w:rPr>
          <w:rFonts w:asciiTheme="minorHAnsi" w:hAnsiTheme="minorHAnsi" w:cstheme="minorHAnsi"/>
          <w:color w:val="auto"/>
          <w:sz w:val="22"/>
          <w:szCs w:val="22"/>
        </w:rPr>
        <w:t xml:space="preserve">  </w:t>
      </w:r>
      <w:r w:rsidR="004E2FD6">
        <w:rPr>
          <w:rFonts w:asciiTheme="minorHAnsi" w:hAnsiTheme="minorHAnsi" w:cstheme="minorHAnsi"/>
          <w:color w:val="auto"/>
          <w:sz w:val="22"/>
          <w:szCs w:val="22"/>
        </w:rPr>
        <w:t>3,</w:t>
      </w:r>
      <w:r w:rsidR="00F71B02">
        <w:rPr>
          <w:rFonts w:asciiTheme="minorHAnsi" w:hAnsiTheme="minorHAnsi" w:cstheme="minorHAnsi"/>
          <w:color w:val="auto"/>
          <w:sz w:val="22"/>
          <w:szCs w:val="22"/>
        </w:rPr>
        <w:t>177,237</w:t>
      </w:r>
      <w:r w:rsidRPr="003060BB">
        <w:rPr>
          <w:rFonts w:asciiTheme="minorHAnsi" w:hAnsiTheme="minorHAnsi" w:cstheme="minorHAnsi"/>
          <w:color w:val="auto"/>
          <w:sz w:val="22"/>
          <w:szCs w:val="22"/>
        </w:rPr>
        <w:t xml:space="preserve"> </w:t>
      </w:r>
    </w:p>
    <w:p w14:paraId="07661C97" w14:textId="01871363" w:rsidR="00FF3739" w:rsidRPr="003060BB" w:rsidRDefault="00FF3739"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Stellar </w:t>
      </w:r>
      <w:r w:rsidR="004E2FD6">
        <w:rPr>
          <w:rFonts w:asciiTheme="minorHAnsi" w:hAnsiTheme="minorHAnsi" w:cstheme="minorHAnsi"/>
          <w:color w:val="auto"/>
          <w:sz w:val="22"/>
          <w:szCs w:val="22"/>
        </w:rPr>
        <w:t>Regions</w:t>
      </w:r>
      <w:r w:rsidRPr="003060BB">
        <w:rPr>
          <w:rFonts w:asciiTheme="minorHAnsi" w:hAnsiTheme="minorHAnsi" w:cstheme="minorHAnsi"/>
          <w:color w:val="auto"/>
          <w:sz w:val="22"/>
          <w:szCs w:val="22"/>
        </w:rPr>
        <w:t xml:space="preserve"> Program</w:t>
      </w:r>
      <w:r w:rsidRPr="003060BB">
        <w:rPr>
          <w:rFonts w:asciiTheme="minorHAnsi" w:hAnsiTheme="minorHAnsi" w:cstheme="minorHAnsi"/>
          <w:color w:val="auto"/>
          <w:sz w:val="22"/>
          <w:szCs w:val="22"/>
        </w:rPr>
        <w:tab/>
      </w:r>
      <w:r w:rsidR="008A59F5" w:rsidRPr="003060BB">
        <w:rPr>
          <w:rFonts w:asciiTheme="minorHAnsi" w:hAnsiTheme="minorHAnsi" w:cstheme="minorHAnsi"/>
          <w:color w:val="auto"/>
          <w:sz w:val="22"/>
          <w:szCs w:val="22"/>
        </w:rPr>
        <w:tab/>
      </w:r>
      <w:r w:rsidR="008A59F5"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w:t>
      </w:r>
      <w:r w:rsidR="001D4CC1">
        <w:rPr>
          <w:rFonts w:asciiTheme="minorHAnsi" w:hAnsiTheme="minorHAnsi" w:cstheme="minorHAnsi"/>
          <w:color w:val="auto"/>
          <w:sz w:val="22"/>
          <w:szCs w:val="22"/>
        </w:rPr>
        <w:t xml:space="preserve">  </w:t>
      </w:r>
      <w:r w:rsidR="00407193">
        <w:rPr>
          <w:rFonts w:asciiTheme="minorHAnsi" w:hAnsiTheme="minorHAnsi" w:cstheme="minorHAnsi"/>
          <w:color w:val="auto"/>
          <w:sz w:val="22"/>
          <w:szCs w:val="22"/>
        </w:rPr>
        <w:t>9</w:t>
      </w:r>
      <w:r w:rsidR="006831C6" w:rsidRPr="003060BB">
        <w:rPr>
          <w:rFonts w:asciiTheme="minorHAnsi" w:hAnsiTheme="minorHAnsi" w:cstheme="minorHAnsi"/>
          <w:color w:val="auto"/>
          <w:sz w:val="22"/>
          <w:szCs w:val="22"/>
        </w:rPr>
        <w:t>,000,000</w:t>
      </w:r>
    </w:p>
    <w:p w14:paraId="736376F6" w14:textId="0966343E" w:rsidR="003B07A4" w:rsidRPr="003060BB" w:rsidRDefault="009C2DF8" w:rsidP="003B07A4">
      <w:pPr>
        <w:pStyle w:val="Default"/>
        <w:numPr>
          <w:ilvl w:val="0"/>
          <w:numId w:val="25"/>
        </w:numPr>
        <w:tabs>
          <w:tab w:val="left" w:pos="4140"/>
          <w:tab w:val="decimal" w:pos="5130"/>
        </w:tabs>
        <w:jc w:val="both"/>
        <w:rPr>
          <w:rFonts w:asciiTheme="minorHAnsi" w:hAnsiTheme="minorHAnsi" w:cstheme="minorHAnsi"/>
          <w:color w:val="auto"/>
          <w:sz w:val="22"/>
          <w:szCs w:val="22"/>
        </w:rPr>
      </w:pPr>
      <w:r>
        <w:rPr>
          <w:rFonts w:asciiTheme="minorHAnsi" w:hAnsiTheme="minorHAnsi" w:cstheme="minorHAnsi"/>
          <w:color w:val="auto"/>
          <w:sz w:val="22"/>
          <w:szCs w:val="22"/>
        </w:rPr>
        <w:t>Blight Clearance Program</w:t>
      </w:r>
      <w:r w:rsidR="003B07A4" w:rsidRPr="003060BB">
        <w:rPr>
          <w:rFonts w:asciiTheme="minorHAnsi" w:hAnsiTheme="minorHAnsi" w:cstheme="minorHAnsi"/>
          <w:color w:val="auto"/>
          <w:sz w:val="22"/>
          <w:szCs w:val="22"/>
        </w:rPr>
        <w:t xml:space="preserve">  </w:t>
      </w:r>
      <w:r w:rsidR="003B07A4" w:rsidRPr="003060BB">
        <w:rPr>
          <w:rFonts w:asciiTheme="minorHAnsi" w:hAnsiTheme="minorHAnsi" w:cstheme="minorHAnsi"/>
          <w:color w:val="auto"/>
          <w:sz w:val="22"/>
          <w:szCs w:val="22"/>
        </w:rPr>
        <w:tab/>
      </w:r>
      <w:r w:rsidR="003B07A4" w:rsidRPr="003060BB">
        <w:rPr>
          <w:rFonts w:asciiTheme="minorHAnsi" w:hAnsiTheme="minorHAnsi" w:cstheme="minorHAnsi"/>
          <w:color w:val="auto"/>
          <w:sz w:val="22"/>
          <w:szCs w:val="22"/>
        </w:rPr>
        <w:tab/>
      </w:r>
      <w:r w:rsidR="003B07A4" w:rsidRPr="003060BB">
        <w:rPr>
          <w:rFonts w:asciiTheme="minorHAnsi" w:hAnsiTheme="minorHAnsi" w:cstheme="minorHAnsi"/>
          <w:color w:val="auto"/>
          <w:sz w:val="22"/>
          <w:szCs w:val="22"/>
        </w:rPr>
        <w:tab/>
      </w:r>
      <w:r w:rsidR="00F71B02">
        <w:rPr>
          <w:rFonts w:asciiTheme="minorHAnsi" w:hAnsiTheme="minorHAnsi" w:cstheme="minorHAnsi"/>
          <w:color w:val="auto"/>
          <w:sz w:val="22"/>
          <w:szCs w:val="22"/>
        </w:rPr>
        <w:t>$     750</w:t>
      </w:r>
      <w:r w:rsidR="003B07A4" w:rsidRPr="003060BB">
        <w:rPr>
          <w:rFonts w:asciiTheme="minorHAnsi" w:hAnsiTheme="minorHAnsi" w:cstheme="minorHAnsi"/>
          <w:color w:val="auto"/>
          <w:sz w:val="22"/>
          <w:szCs w:val="22"/>
        </w:rPr>
        <w:t>,000</w:t>
      </w:r>
    </w:p>
    <w:p w14:paraId="49D7BEB7" w14:textId="5552E356" w:rsidR="004B5D32" w:rsidRPr="003060BB" w:rsidRDefault="008F105D"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Main Street Revitalization Program</w:t>
      </w:r>
      <w:r w:rsidR="004B5D32" w:rsidRPr="003060BB">
        <w:rPr>
          <w:rFonts w:asciiTheme="minorHAnsi" w:hAnsiTheme="minorHAnsi" w:cstheme="minorHAnsi"/>
          <w:color w:val="auto"/>
          <w:sz w:val="22"/>
          <w:szCs w:val="22"/>
        </w:rPr>
        <w:tab/>
      </w:r>
      <w:r w:rsidR="008A59F5" w:rsidRPr="003060BB">
        <w:rPr>
          <w:rFonts w:asciiTheme="minorHAnsi" w:hAnsiTheme="minorHAnsi" w:cstheme="minorHAnsi"/>
          <w:color w:val="auto"/>
          <w:sz w:val="22"/>
          <w:szCs w:val="22"/>
        </w:rPr>
        <w:tab/>
      </w:r>
      <w:r w:rsidR="004B5D32" w:rsidRPr="003060BB">
        <w:rPr>
          <w:rFonts w:asciiTheme="minorHAnsi" w:hAnsiTheme="minorHAnsi" w:cstheme="minorHAnsi"/>
          <w:color w:val="auto"/>
          <w:sz w:val="22"/>
          <w:szCs w:val="22"/>
        </w:rPr>
        <w:tab/>
      </w:r>
      <w:r w:rsidR="00B90B9B" w:rsidRPr="003060BB">
        <w:rPr>
          <w:rFonts w:asciiTheme="minorHAnsi" w:hAnsiTheme="minorHAnsi" w:cstheme="minorHAnsi"/>
          <w:color w:val="auto"/>
          <w:sz w:val="22"/>
          <w:szCs w:val="22"/>
        </w:rPr>
        <w:t>$</w:t>
      </w:r>
      <w:r w:rsidR="00F71B02">
        <w:rPr>
          <w:rFonts w:asciiTheme="minorHAnsi" w:hAnsiTheme="minorHAnsi" w:cstheme="minorHAnsi"/>
          <w:color w:val="auto"/>
          <w:sz w:val="22"/>
          <w:szCs w:val="22"/>
        </w:rPr>
        <w:t xml:space="preserve">  1,2</w:t>
      </w:r>
      <w:r w:rsidR="006831C6" w:rsidRPr="003060BB">
        <w:rPr>
          <w:rFonts w:asciiTheme="minorHAnsi" w:hAnsiTheme="minorHAnsi" w:cstheme="minorHAnsi"/>
          <w:color w:val="auto"/>
          <w:sz w:val="22"/>
          <w:szCs w:val="22"/>
        </w:rPr>
        <w:t>00,000</w:t>
      </w:r>
    </w:p>
    <w:p w14:paraId="792FDBC8" w14:textId="55DA507E" w:rsidR="003B07A4" w:rsidRPr="00407193" w:rsidRDefault="003B07A4" w:rsidP="00407193">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Public Facilities Program</w:t>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t>$</w:t>
      </w:r>
      <w:r w:rsidR="00F71B02">
        <w:rPr>
          <w:rFonts w:asciiTheme="minorHAnsi" w:hAnsiTheme="minorHAnsi" w:cstheme="minorHAnsi"/>
          <w:color w:val="auto"/>
          <w:sz w:val="22"/>
          <w:szCs w:val="22"/>
        </w:rPr>
        <w:t xml:space="preserve">  2</w:t>
      </w:r>
      <w:r w:rsidR="001D4CC1">
        <w:rPr>
          <w:rFonts w:asciiTheme="minorHAnsi" w:hAnsiTheme="minorHAnsi" w:cstheme="minorHAnsi"/>
          <w:color w:val="auto"/>
          <w:sz w:val="22"/>
          <w:szCs w:val="22"/>
        </w:rPr>
        <w:t>,0</w:t>
      </w:r>
      <w:r w:rsidRPr="003060BB">
        <w:rPr>
          <w:rFonts w:asciiTheme="minorHAnsi" w:hAnsiTheme="minorHAnsi" w:cstheme="minorHAnsi"/>
          <w:color w:val="auto"/>
          <w:sz w:val="22"/>
          <w:szCs w:val="22"/>
        </w:rPr>
        <w:t>00,000</w:t>
      </w:r>
    </w:p>
    <w:p w14:paraId="3C0F87DC" w14:textId="2D7C6678" w:rsidR="00A15AE9" w:rsidRPr="003060BB" w:rsidRDefault="00F71B02"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Pr>
          <w:rFonts w:asciiTheme="minorHAnsi" w:hAnsiTheme="minorHAnsi" w:cstheme="minorHAnsi"/>
          <w:color w:val="auto"/>
          <w:sz w:val="22"/>
          <w:szCs w:val="22"/>
        </w:rPr>
        <w:t>Wastewater Drinking Water</w:t>
      </w:r>
      <w:r w:rsidR="00407193">
        <w:rPr>
          <w:rFonts w:asciiTheme="minorHAnsi" w:hAnsiTheme="minorHAnsi" w:cstheme="minorHAnsi"/>
          <w:color w:val="auto"/>
          <w:sz w:val="22"/>
          <w:szCs w:val="22"/>
        </w:rPr>
        <w:tab/>
      </w:r>
      <w:r w:rsidR="00407193">
        <w:rPr>
          <w:rFonts w:asciiTheme="minorHAnsi" w:hAnsiTheme="minorHAnsi" w:cstheme="minorHAnsi"/>
          <w:color w:val="auto"/>
          <w:sz w:val="22"/>
          <w:szCs w:val="22"/>
        </w:rPr>
        <w:tab/>
      </w:r>
      <w:r w:rsidR="00407193">
        <w:rPr>
          <w:rFonts w:asciiTheme="minorHAnsi" w:hAnsiTheme="minorHAnsi" w:cstheme="minorHAnsi"/>
          <w:color w:val="auto"/>
          <w:sz w:val="22"/>
          <w:szCs w:val="22"/>
        </w:rPr>
        <w:tab/>
      </w:r>
      <w:r w:rsidR="00A15AE9" w:rsidRPr="003060BB">
        <w:rPr>
          <w:rFonts w:asciiTheme="minorHAnsi" w:hAnsiTheme="minorHAnsi" w:cstheme="minorHAnsi"/>
          <w:color w:val="auto"/>
          <w:sz w:val="22"/>
          <w:szCs w:val="22"/>
        </w:rPr>
        <w:t>$</w:t>
      </w:r>
      <w:r>
        <w:rPr>
          <w:rFonts w:asciiTheme="minorHAnsi" w:hAnsiTheme="minorHAnsi" w:cstheme="minorHAnsi"/>
          <w:color w:val="auto"/>
          <w:sz w:val="22"/>
          <w:szCs w:val="22"/>
        </w:rPr>
        <w:t>10,5</w:t>
      </w:r>
      <w:r w:rsidR="006831C6" w:rsidRPr="003060BB">
        <w:rPr>
          <w:rFonts w:asciiTheme="minorHAnsi" w:hAnsiTheme="minorHAnsi" w:cstheme="minorHAnsi"/>
          <w:color w:val="auto"/>
          <w:sz w:val="22"/>
          <w:szCs w:val="22"/>
        </w:rPr>
        <w:t>00,000</w:t>
      </w:r>
    </w:p>
    <w:p w14:paraId="4E5146E1" w14:textId="42E84337" w:rsidR="00F71B02" w:rsidRDefault="00F71B02"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Pr>
          <w:rFonts w:asciiTheme="minorHAnsi" w:hAnsiTheme="minorHAnsi" w:cstheme="minorHAnsi"/>
          <w:color w:val="auto"/>
          <w:sz w:val="22"/>
          <w:szCs w:val="22"/>
        </w:rPr>
        <w:t>Stormwater Improvements Program</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3,000,000</w:t>
      </w:r>
    </w:p>
    <w:p w14:paraId="2D1626E7" w14:textId="3465DBDE" w:rsidR="00407193" w:rsidRDefault="00407193"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Pr>
          <w:rFonts w:asciiTheme="minorHAnsi" w:hAnsiTheme="minorHAnsi" w:cstheme="minorHAnsi"/>
          <w:color w:val="auto"/>
          <w:sz w:val="22"/>
          <w:szCs w:val="22"/>
        </w:rPr>
        <w:t>Nee</w:t>
      </w:r>
      <w:r w:rsidR="00F71B02">
        <w:rPr>
          <w:rFonts w:asciiTheme="minorHAnsi" w:hAnsiTheme="minorHAnsi" w:cstheme="minorHAnsi"/>
          <w:color w:val="auto"/>
          <w:sz w:val="22"/>
          <w:szCs w:val="22"/>
        </w:rPr>
        <w:t>ds Responsive Fund</w:t>
      </w:r>
      <w:r w:rsidR="00F71B02">
        <w:rPr>
          <w:rFonts w:asciiTheme="minorHAnsi" w:hAnsiTheme="minorHAnsi" w:cstheme="minorHAnsi"/>
          <w:color w:val="auto"/>
          <w:sz w:val="22"/>
          <w:szCs w:val="22"/>
        </w:rPr>
        <w:tab/>
      </w:r>
      <w:r w:rsidR="00F71B02">
        <w:rPr>
          <w:rFonts w:asciiTheme="minorHAnsi" w:hAnsiTheme="minorHAnsi" w:cstheme="minorHAnsi"/>
          <w:color w:val="auto"/>
          <w:sz w:val="22"/>
          <w:szCs w:val="22"/>
        </w:rPr>
        <w:tab/>
      </w:r>
      <w:r w:rsidR="00F71B02">
        <w:rPr>
          <w:rFonts w:asciiTheme="minorHAnsi" w:hAnsiTheme="minorHAnsi" w:cstheme="minorHAnsi"/>
          <w:color w:val="auto"/>
          <w:sz w:val="22"/>
          <w:szCs w:val="22"/>
        </w:rPr>
        <w:tab/>
        <w:t xml:space="preserve">$  </w:t>
      </w:r>
      <w:r w:rsidR="00F71B02">
        <w:rPr>
          <w:rFonts w:asciiTheme="minorHAnsi" w:hAnsiTheme="minorHAnsi" w:cstheme="minorHAnsi"/>
          <w:color w:val="auto"/>
          <w:sz w:val="22"/>
          <w:szCs w:val="22"/>
        </w:rPr>
        <w:tab/>
        <w:t xml:space="preserve">     </w:t>
      </w:r>
      <w:r>
        <w:rPr>
          <w:rFonts w:asciiTheme="minorHAnsi" w:hAnsiTheme="minorHAnsi" w:cstheme="minorHAnsi"/>
          <w:color w:val="auto"/>
          <w:sz w:val="22"/>
          <w:szCs w:val="22"/>
        </w:rPr>
        <w:t>0</w:t>
      </w:r>
    </w:p>
    <w:p w14:paraId="3ADBD4AB" w14:textId="77777777" w:rsidR="00CF4BB6" w:rsidRPr="003060BB" w:rsidRDefault="00CF4BB6"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Urgent Need Fund</w:t>
      </w:r>
      <w:r w:rsidRPr="003060BB">
        <w:rPr>
          <w:rFonts w:asciiTheme="minorHAnsi" w:hAnsiTheme="minorHAnsi" w:cstheme="minorHAnsi"/>
          <w:color w:val="auto"/>
          <w:sz w:val="22"/>
          <w:szCs w:val="22"/>
        </w:rPr>
        <w:tab/>
      </w:r>
      <w:r w:rsidR="007E6C33" w:rsidRPr="003060BB">
        <w:rPr>
          <w:rFonts w:asciiTheme="minorHAnsi" w:hAnsiTheme="minorHAnsi" w:cstheme="minorHAnsi"/>
          <w:color w:val="auto"/>
          <w:sz w:val="22"/>
          <w:szCs w:val="22"/>
        </w:rPr>
        <w:tab/>
      </w:r>
      <w:r w:rsidR="007E6C33" w:rsidRPr="003060BB">
        <w:rPr>
          <w:rFonts w:asciiTheme="minorHAnsi" w:hAnsiTheme="minorHAnsi" w:cstheme="minorHAnsi"/>
          <w:color w:val="auto"/>
          <w:sz w:val="22"/>
          <w:szCs w:val="22"/>
        </w:rPr>
        <w:tab/>
        <w:t>$</w:t>
      </w:r>
      <w:r w:rsidR="001D4CC1">
        <w:rPr>
          <w:rFonts w:asciiTheme="minorHAnsi" w:hAnsiTheme="minorHAnsi" w:cstheme="minorHAnsi"/>
          <w:color w:val="auto"/>
          <w:sz w:val="22"/>
          <w:szCs w:val="22"/>
        </w:rPr>
        <w:t xml:space="preserve">   </w:t>
      </w:r>
      <w:r w:rsidR="007E6C33" w:rsidRPr="003060BB">
        <w:rPr>
          <w:rFonts w:asciiTheme="minorHAnsi" w:hAnsiTheme="minorHAnsi" w:cstheme="minorHAnsi"/>
          <w:color w:val="auto"/>
          <w:sz w:val="22"/>
          <w:szCs w:val="22"/>
        </w:rPr>
        <w:tab/>
        <w:t xml:space="preserve">  </w:t>
      </w:r>
      <w:r w:rsidR="001D4CC1">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0</w:t>
      </w:r>
    </w:p>
    <w:p w14:paraId="1E7A847B" w14:textId="0DFC9198" w:rsidR="00AE6A79" w:rsidRPr="003060BB" w:rsidRDefault="00AE6A79" w:rsidP="00AE6A79">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Planning Fund                   </w:t>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t>$</w:t>
      </w:r>
      <w:r w:rsidR="001D4CC1">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1,</w:t>
      </w:r>
      <w:r w:rsidR="00F71B02">
        <w:rPr>
          <w:rFonts w:asciiTheme="minorHAnsi" w:hAnsiTheme="minorHAnsi" w:cstheme="minorHAnsi"/>
          <w:color w:val="auto"/>
          <w:sz w:val="22"/>
          <w:szCs w:val="22"/>
        </w:rPr>
        <w:t>31</w:t>
      </w:r>
      <w:r w:rsidR="00407193">
        <w:rPr>
          <w:rFonts w:asciiTheme="minorHAnsi" w:hAnsiTheme="minorHAnsi" w:cstheme="minorHAnsi"/>
          <w:color w:val="auto"/>
          <w:sz w:val="22"/>
          <w:szCs w:val="22"/>
        </w:rPr>
        <w:t>0,000</w:t>
      </w:r>
      <w:r w:rsidRPr="003060BB">
        <w:rPr>
          <w:rFonts w:asciiTheme="minorHAnsi" w:hAnsiTheme="minorHAnsi" w:cstheme="minorHAnsi"/>
          <w:color w:val="auto"/>
          <w:sz w:val="22"/>
          <w:szCs w:val="22"/>
        </w:rPr>
        <w:t xml:space="preserve"> </w:t>
      </w:r>
    </w:p>
    <w:p w14:paraId="5D392CC9" w14:textId="5ABE1D24" w:rsidR="00FE44C4" w:rsidRPr="003060BB" w:rsidRDefault="00FE44C4"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Technical Assistance              </w:t>
      </w:r>
      <w:r w:rsidRPr="003060BB">
        <w:rPr>
          <w:rFonts w:asciiTheme="minorHAnsi" w:hAnsiTheme="minorHAnsi" w:cstheme="minorHAnsi"/>
          <w:color w:val="auto"/>
          <w:sz w:val="22"/>
          <w:szCs w:val="22"/>
        </w:rPr>
        <w:tab/>
      </w:r>
      <w:r w:rsidR="008A59F5"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t>$</w:t>
      </w:r>
      <w:r w:rsidR="008A59F5" w:rsidRPr="003060BB">
        <w:rPr>
          <w:rFonts w:asciiTheme="minorHAnsi" w:hAnsiTheme="minorHAnsi" w:cstheme="minorHAnsi"/>
          <w:color w:val="auto"/>
          <w:sz w:val="22"/>
          <w:szCs w:val="22"/>
        </w:rPr>
        <w:t xml:space="preserve">  </w:t>
      </w:r>
      <w:r w:rsidR="001D4CC1">
        <w:rPr>
          <w:rFonts w:asciiTheme="minorHAnsi" w:hAnsiTheme="minorHAnsi" w:cstheme="minorHAnsi"/>
          <w:color w:val="auto"/>
          <w:sz w:val="22"/>
          <w:szCs w:val="22"/>
        </w:rPr>
        <w:t xml:space="preserve">  </w:t>
      </w:r>
      <w:r w:rsidR="008A59F5" w:rsidRPr="003060BB">
        <w:rPr>
          <w:rFonts w:asciiTheme="minorHAnsi" w:hAnsiTheme="minorHAnsi" w:cstheme="minorHAnsi"/>
          <w:color w:val="auto"/>
          <w:sz w:val="22"/>
          <w:szCs w:val="22"/>
        </w:rPr>
        <w:t xml:space="preserve"> </w:t>
      </w:r>
      <w:r w:rsidR="000E4B0A" w:rsidRPr="003060BB">
        <w:rPr>
          <w:rFonts w:asciiTheme="minorHAnsi" w:hAnsiTheme="minorHAnsi" w:cstheme="minorHAnsi"/>
          <w:color w:val="auto"/>
          <w:sz w:val="22"/>
          <w:szCs w:val="22"/>
        </w:rPr>
        <w:t>2</w:t>
      </w:r>
      <w:r w:rsidR="00407193">
        <w:rPr>
          <w:rFonts w:asciiTheme="minorHAnsi" w:hAnsiTheme="minorHAnsi" w:cstheme="minorHAnsi"/>
          <w:color w:val="auto"/>
          <w:sz w:val="22"/>
          <w:szCs w:val="22"/>
        </w:rPr>
        <w:t>0</w:t>
      </w:r>
      <w:r w:rsidR="003B07A4" w:rsidRPr="003060BB">
        <w:rPr>
          <w:rFonts w:asciiTheme="minorHAnsi" w:hAnsiTheme="minorHAnsi" w:cstheme="minorHAnsi"/>
          <w:color w:val="auto"/>
          <w:sz w:val="22"/>
          <w:szCs w:val="22"/>
        </w:rPr>
        <w:t>0</w:t>
      </w:r>
      <w:r w:rsidR="000E4B0A" w:rsidRPr="003060BB">
        <w:rPr>
          <w:rFonts w:asciiTheme="minorHAnsi" w:hAnsiTheme="minorHAnsi" w:cstheme="minorHAnsi"/>
          <w:color w:val="auto"/>
          <w:sz w:val="22"/>
          <w:szCs w:val="22"/>
        </w:rPr>
        <w:t>,000</w:t>
      </w:r>
      <w:r w:rsidRPr="003060BB">
        <w:rPr>
          <w:rFonts w:asciiTheme="minorHAnsi" w:hAnsiTheme="minorHAnsi" w:cstheme="minorHAnsi"/>
          <w:color w:val="auto"/>
          <w:sz w:val="22"/>
          <w:szCs w:val="22"/>
        </w:rPr>
        <w:t xml:space="preserve"> </w:t>
      </w:r>
    </w:p>
    <w:p w14:paraId="75780D82" w14:textId="6E6A403E" w:rsidR="00FE44C4" w:rsidRPr="003060BB" w:rsidRDefault="00FE44C4" w:rsidP="00447F24">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Administration               </w:t>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r>
      <w:r w:rsidR="008A59F5"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u w:val="single"/>
        </w:rPr>
        <w:t>$</w:t>
      </w:r>
      <w:r w:rsidR="008A59F5" w:rsidRPr="003060BB">
        <w:rPr>
          <w:rFonts w:asciiTheme="minorHAnsi" w:hAnsiTheme="minorHAnsi" w:cstheme="minorHAnsi"/>
          <w:color w:val="auto"/>
          <w:sz w:val="22"/>
          <w:szCs w:val="22"/>
          <w:u w:val="single"/>
        </w:rPr>
        <w:t xml:space="preserve">  </w:t>
      </w:r>
      <w:r w:rsidR="001D4CC1">
        <w:rPr>
          <w:rFonts w:asciiTheme="minorHAnsi" w:hAnsiTheme="minorHAnsi" w:cstheme="minorHAnsi"/>
          <w:color w:val="auto"/>
          <w:sz w:val="22"/>
          <w:szCs w:val="22"/>
          <w:u w:val="single"/>
        </w:rPr>
        <w:t xml:space="preserve">  </w:t>
      </w:r>
      <w:r w:rsidR="008A59F5" w:rsidRPr="003060BB">
        <w:rPr>
          <w:rFonts w:asciiTheme="minorHAnsi" w:hAnsiTheme="minorHAnsi" w:cstheme="minorHAnsi"/>
          <w:color w:val="auto"/>
          <w:sz w:val="22"/>
          <w:szCs w:val="22"/>
          <w:u w:val="single"/>
        </w:rPr>
        <w:t xml:space="preserve"> </w:t>
      </w:r>
      <w:r w:rsidR="00F71B02">
        <w:rPr>
          <w:rFonts w:asciiTheme="minorHAnsi" w:hAnsiTheme="minorHAnsi" w:cstheme="minorHAnsi"/>
          <w:color w:val="auto"/>
          <w:sz w:val="22"/>
          <w:szCs w:val="22"/>
          <w:u w:val="single"/>
        </w:rPr>
        <w:t>635,140</w:t>
      </w:r>
    </w:p>
    <w:p w14:paraId="19AB230C" w14:textId="6ACE97C0" w:rsidR="00350FC6" w:rsidRPr="003060BB" w:rsidRDefault="00350FC6" w:rsidP="0083679B">
      <w:pPr>
        <w:pStyle w:val="Default"/>
        <w:tabs>
          <w:tab w:val="left" w:pos="3780"/>
          <w:tab w:val="right" w:pos="5130"/>
        </w:tabs>
        <w:jc w:val="both"/>
        <w:rPr>
          <w:rFonts w:asciiTheme="minorHAnsi" w:hAnsiTheme="minorHAnsi" w:cstheme="minorHAnsi"/>
          <w:b/>
          <w:bCs/>
          <w:color w:val="auto"/>
          <w:sz w:val="22"/>
          <w:szCs w:val="22"/>
        </w:rPr>
      </w:pPr>
      <w:r w:rsidRPr="003060BB">
        <w:rPr>
          <w:rFonts w:asciiTheme="minorHAnsi" w:hAnsiTheme="minorHAnsi" w:cstheme="minorHAnsi"/>
          <w:b/>
          <w:bCs/>
          <w:color w:val="auto"/>
          <w:sz w:val="22"/>
          <w:szCs w:val="22"/>
        </w:rPr>
        <w:t xml:space="preserve">           Total</w:t>
      </w:r>
      <w:r w:rsidR="0083679B" w:rsidRPr="003060BB">
        <w:rPr>
          <w:rFonts w:asciiTheme="minorHAnsi" w:hAnsiTheme="minorHAnsi" w:cstheme="minorHAnsi"/>
          <w:b/>
          <w:bCs/>
          <w:color w:val="auto"/>
          <w:sz w:val="22"/>
          <w:szCs w:val="22"/>
        </w:rPr>
        <w:t>:</w:t>
      </w:r>
      <w:r w:rsidRPr="003060BB">
        <w:rPr>
          <w:rFonts w:asciiTheme="minorHAnsi" w:hAnsiTheme="minorHAnsi" w:cstheme="minorHAnsi"/>
          <w:b/>
          <w:bCs/>
          <w:color w:val="auto"/>
          <w:sz w:val="22"/>
          <w:szCs w:val="22"/>
        </w:rPr>
        <w:t xml:space="preserve"> </w:t>
      </w:r>
      <w:r w:rsidR="009757DE" w:rsidRPr="003060BB">
        <w:rPr>
          <w:rFonts w:asciiTheme="minorHAnsi" w:hAnsiTheme="minorHAnsi" w:cstheme="minorHAnsi"/>
          <w:b/>
          <w:bCs/>
          <w:color w:val="auto"/>
          <w:sz w:val="22"/>
          <w:szCs w:val="22"/>
        </w:rPr>
        <w:tab/>
      </w:r>
      <w:r w:rsidR="009757DE" w:rsidRPr="003060BB">
        <w:rPr>
          <w:rFonts w:asciiTheme="minorHAnsi" w:hAnsiTheme="minorHAnsi" w:cstheme="minorHAnsi"/>
          <w:b/>
          <w:bCs/>
          <w:color w:val="auto"/>
          <w:sz w:val="22"/>
          <w:szCs w:val="22"/>
        </w:rPr>
        <w:tab/>
      </w:r>
      <w:r w:rsidR="000E4B0A" w:rsidRPr="003060BB">
        <w:rPr>
          <w:rFonts w:asciiTheme="minorHAnsi" w:hAnsiTheme="minorHAnsi" w:cstheme="minorHAnsi"/>
          <w:b/>
          <w:bCs/>
          <w:color w:val="auto"/>
          <w:sz w:val="22"/>
          <w:szCs w:val="22"/>
        </w:rPr>
        <w:t xml:space="preserve">  </w:t>
      </w:r>
      <w:r w:rsidR="000E4B0A" w:rsidRPr="003060BB">
        <w:rPr>
          <w:rFonts w:asciiTheme="minorHAnsi" w:hAnsiTheme="minorHAnsi" w:cstheme="minorHAnsi"/>
          <w:b/>
          <w:bCs/>
          <w:color w:val="auto"/>
          <w:sz w:val="22"/>
          <w:szCs w:val="22"/>
        </w:rPr>
        <w:tab/>
      </w:r>
      <w:r w:rsidR="00F71B02">
        <w:rPr>
          <w:rFonts w:asciiTheme="minorHAnsi" w:hAnsiTheme="minorHAnsi" w:cstheme="minorHAnsi"/>
          <w:b/>
          <w:bCs/>
          <w:color w:val="auto"/>
          <w:sz w:val="22"/>
          <w:szCs w:val="22"/>
        </w:rPr>
        <w:t>$31</w:t>
      </w:r>
      <w:r w:rsidR="004E2FD6">
        <w:rPr>
          <w:rFonts w:asciiTheme="minorHAnsi" w:hAnsiTheme="minorHAnsi" w:cstheme="minorHAnsi"/>
          <w:b/>
          <w:bCs/>
          <w:color w:val="auto"/>
          <w:sz w:val="22"/>
          <w:szCs w:val="22"/>
        </w:rPr>
        <w:t>,</w:t>
      </w:r>
      <w:r w:rsidR="00F71B02">
        <w:rPr>
          <w:rFonts w:asciiTheme="minorHAnsi" w:hAnsiTheme="minorHAnsi" w:cstheme="minorHAnsi"/>
          <w:b/>
          <w:bCs/>
          <w:color w:val="auto"/>
          <w:sz w:val="22"/>
          <w:szCs w:val="22"/>
        </w:rPr>
        <w:t>772,377</w:t>
      </w:r>
    </w:p>
    <w:p w14:paraId="556C4FB6" w14:textId="77777777" w:rsidR="00A61033" w:rsidRPr="003060BB" w:rsidRDefault="00A61033" w:rsidP="0083679B">
      <w:pPr>
        <w:pStyle w:val="Default"/>
        <w:tabs>
          <w:tab w:val="left" w:pos="3780"/>
          <w:tab w:val="right" w:pos="5130"/>
        </w:tabs>
        <w:jc w:val="both"/>
        <w:rPr>
          <w:rFonts w:asciiTheme="minorHAnsi" w:hAnsiTheme="minorHAnsi" w:cstheme="minorHAnsi"/>
          <w:b/>
          <w:bCs/>
          <w:color w:val="auto"/>
          <w:sz w:val="22"/>
          <w:szCs w:val="22"/>
        </w:rPr>
      </w:pPr>
    </w:p>
    <w:p w14:paraId="373AD67B"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6742EC98" w14:textId="59233F46"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r w:rsidR="009C2DF8">
        <w:rPr>
          <w:rFonts w:asciiTheme="minorHAnsi" w:hAnsiTheme="minorHAnsi" w:cstheme="minorHAnsi"/>
          <w:color w:val="auto"/>
          <w:sz w:val="22"/>
          <w:szCs w:val="22"/>
        </w:rPr>
        <w:t xml:space="preserve">The State of Indiana via the </w:t>
      </w:r>
      <w:r w:rsidRPr="003060BB">
        <w:rPr>
          <w:rFonts w:asciiTheme="minorHAnsi" w:hAnsiTheme="minorHAnsi" w:cstheme="minorHAnsi"/>
          <w:color w:val="auto"/>
          <w:sz w:val="22"/>
          <w:szCs w:val="22"/>
        </w:rPr>
        <w:t>Office</w:t>
      </w:r>
      <w:r w:rsidR="009C2DF8">
        <w:rPr>
          <w:rFonts w:asciiTheme="minorHAnsi" w:hAnsiTheme="minorHAnsi" w:cstheme="minorHAnsi"/>
          <w:color w:val="auto"/>
          <w:sz w:val="22"/>
          <w:szCs w:val="22"/>
        </w:rPr>
        <w:t xml:space="preserve"> of Community and Rural Affairs (OCRA)</w:t>
      </w:r>
      <w:r w:rsidRPr="003060BB">
        <w:rPr>
          <w:rFonts w:asciiTheme="minorHAnsi" w:hAnsiTheme="minorHAnsi" w:cstheme="minorHAnsi"/>
          <w:color w:val="auto"/>
          <w:sz w:val="22"/>
          <w:szCs w:val="22"/>
        </w:rPr>
        <w:t xml:space="preserve"> does not project receipt of any CDBG program income for the period covered by this </w:t>
      </w:r>
      <w:r w:rsidR="00CF7651">
        <w:rPr>
          <w:rFonts w:asciiTheme="minorHAnsi" w:hAnsiTheme="minorHAnsi" w:cstheme="minorHAnsi"/>
          <w:color w:val="auto"/>
          <w:sz w:val="22"/>
          <w:szCs w:val="22"/>
        </w:rPr>
        <w:t xml:space="preserve">Annual </w:t>
      </w:r>
      <w:r w:rsidR="00BD44C0" w:rsidRPr="003060BB">
        <w:rPr>
          <w:rFonts w:asciiTheme="minorHAnsi" w:hAnsiTheme="minorHAnsi" w:cstheme="minorHAnsi"/>
          <w:color w:val="auto"/>
          <w:sz w:val="22"/>
          <w:szCs w:val="22"/>
        </w:rPr>
        <w:t xml:space="preserve">Action </w:t>
      </w:r>
      <w:r w:rsidRPr="003060BB">
        <w:rPr>
          <w:rFonts w:asciiTheme="minorHAnsi" w:hAnsiTheme="minorHAnsi" w:cstheme="minorHAnsi"/>
          <w:color w:val="auto"/>
          <w:sz w:val="22"/>
          <w:szCs w:val="22"/>
        </w:rPr>
        <w:t xml:space="preserve">Plan.  In the event the </w:t>
      </w:r>
      <w:r w:rsidR="009C2DF8">
        <w:rPr>
          <w:rFonts w:asciiTheme="minorHAnsi" w:hAnsiTheme="minorHAnsi" w:cstheme="minorHAnsi"/>
          <w:color w:val="auto"/>
          <w:sz w:val="22"/>
          <w:szCs w:val="22"/>
        </w:rPr>
        <w:t xml:space="preserve">OCRA receives </w:t>
      </w:r>
      <w:r w:rsidRPr="003060BB">
        <w:rPr>
          <w:rFonts w:asciiTheme="minorHAnsi" w:hAnsiTheme="minorHAnsi" w:cstheme="minorHAnsi"/>
          <w:color w:val="auto"/>
          <w:sz w:val="22"/>
          <w:szCs w:val="22"/>
        </w:rPr>
        <w:t xml:space="preserve">CDBG Program Income, such </w:t>
      </w:r>
      <w:r w:rsidR="009C2DF8">
        <w:rPr>
          <w:rFonts w:asciiTheme="minorHAnsi" w:hAnsiTheme="minorHAnsi" w:cstheme="minorHAnsi"/>
          <w:color w:val="auto"/>
          <w:sz w:val="22"/>
          <w:szCs w:val="22"/>
        </w:rPr>
        <w:t xml:space="preserve">funds </w:t>
      </w:r>
      <w:r w:rsidRPr="003060BB">
        <w:rPr>
          <w:rFonts w:asciiTheme="minorHAnsi" w:hAnsiTheme="minorHAnsi" w:cstheme="minorHAnsi"/>
          <w:color w:val="auto"/>
          <w:sz w:val="22"/>
          <w:szCs w:val="22"/>
        </w:rPr>
        <w:t xml:space="preserve">will be placed in the </w:t>
      </w:r>
      <w:r w:rsidR="009C2DF8">
        <w:rPr>
          <w:rFonts w:asciiTheme="minorHAnsi" w:hAnsiTheme="minorHAnsi" w:cstheme="minorHAnsi"/>
          <w:color w:val="auto"/>
          <w:sz w:val="22"/>
          <w:szCs w:val="22"/>
        </w:rPr>
        <w:t>Blight Clearance Program (</w:t>
      </w:r>
      <w:proofErr w:type="spellStart"/>
      <w:r w:rsidR="009C2DF8">
        <w:rPr>
          <w:rFonts w:asciiTheme="minorHAnsi" w:hAnsiTheme="minorHAnsi" w:cstheme="minorHAnsi"/>
          <w:color w:val="auto"/>
          <w:sz w:val="22"/>
          <w:szCs w:val="22"/>
        </w:rPr>
        <w:t>BCP</w:t>
      </w:r>
      <w:proofErr w:type="spellEnd"/>
      <w:r w:rsidR="009C2DF8">
        <w:rPr>
          <w:rFonts w:asciiTheme="minorHAnsi" w:hAnsiTheme="minorHAnsi" w:cstheme="minorHAnsi"/>
          <w:color w:val="auto"/>
          <w:sz w:val="22"/>
          <w:szCs w:val="22"/>
        </w:rPr>
        <w:t>)</w:t>
      </w:r>
      <w:r w:rsidRPr="003060BB">
        <w:rPr>
          <w:rFonts w:asciiTheme="minorHAnsi" w:hAnsiTheme="minorHAnsi" w:cstheme="minorHAnsi"/>
          <w:color w:val="auto"/>
          <w:sz w:val="22"/>
          <w:szCs w:val="22"/>
        </w:rPr>
        <w:t xml:space="preserve"> </w:t>
      </w:r>
      <w:r w:rsidR="009C2DF8">
        <w:rPr>
          <w:rFonts w:asciiTheme="minorHAnsi" w:hAnsiTheme="minorHAnsi" w:cstheme="minorHAnsi"/>
          <w:color w:val="auto"/>
          <w:sz w:val="22"/>
          <w:szCs w:val="22"/>
        </w:rPr>
        <w:t>to make</w:t>
      </w:r>
      <w:r w:rsidRPr="003060BB">
        <w:rPr>
          <w:rFonts w:asciiTheme="minorHAnsi" w:hAnsiTheme="minorHAnsi" w:cstheme="minorHAnsi"/>
          <w:color w:val="auto"/>
          <w:sz w:val="22"/>
          <w:szCs w:val="22"/>
        </w:rPr>
        <w:t xml:space="preserve"> additional grants under that program.  Reversions of other years' funding will be </w:t>
      </w:r>
      <w:r w:rsidR="00F41ADE">
        <w:rPr>
          <w:rFonts w:asciiTheme="minorHAnsi" w:hAnsiTheme="minorHAnsi" w:cstheme="minorHAnsi"/>
          <w:color w:val="auto"/>
          <w:sz w:val="22"/>
          <w:szCs w:val="22"/>
        </w:rPr>
        <w:t>allocated based on current needs as determine</w:t>
      </w:r>
      <w:r w:rsidR="009C2DF8">
        <w:rPr>
          <w:rFonts w:asciiTheme="minorHAnsi" w:hAnsiTheme="minorHAnsi" w:cstheme="minorHAnsi"/>
          <w:color w:val="auto"/>
          <w:sz w:val="22"/>
          <w:szCs w:val="22"/>
        </w:rPr>
        <w:t>d</w:t>
      </w:r>
      <w:r w:rsidR="00F41ADE">
        <w:rPr>
          <w:rFonts w:asciiTheme="minorHAnsi" w:hAnsiTheme="minorHAnsi" w:cstheme="minorHAnsi"/>
          <w:color w:val="auto"/>
          <w:sz w:val="22"/>
          <w:szCs w:val="22"/>
        </w:rPr>
        <w:t xml:space="preserve"> by </w:t>
      </w:r>
      <w:r w:rsidR="009D54CD">
        <w:rPr>
          <w:rFonts w:asciiTheme="minorHAnsi" w:hAnsiTheme="minorHAnsi" w:cstheme="minorHAnsi"/>
          <w:color w:val="auto"/>
          <w:sz w:val="22"/>
          <w:szCs w:val="22"/>
        </w:rPr>
        <w:t>OCRA</w:t>
      </w:r>
      <w:r w:rsidRPr="003060BB">
        <w:rPr>
          <w:rFonts w:asciiTheme="minorHAnsi" w:hAnsiTheme="minorHAnsi" w:cstheme="minorHAnsi"/>
          <w:color w:val="auto"/>
          <w:sz w:val="22"/>
          <w:szCs w:val="22"/>
        </w:rPr>
        <w:t xml:space="preserve">.  </w:t>
      </w:r>
      <w:r w:rsidR="009D54CD">
        <w:rPr>
          <w:rFonts w:asciiTheme="minorHAnsi" w:hAnsiTheme="minorHAnsi" w:cstheme="minorHAnsi"/>
          <w:color w:val="auto"/>
          <w:sz w:val="22"/>
          <w:szCs w:val="22"/>
        </w:rPr>
        <w:t>OCRA</w:t>
      </w:r>
      <w:r w:rsidRPr="003060BB">
        <w:rPr>
          <w:rFonts w:asciiTheme="minorHAnsi" w:hAnsiTheme="minorHAnsi" w:cstheme="minorHAnsi"/>
          <w:color w:val="auto"/>
          <w:sz w:val="22"/>
          <w:szCs w:val="22"/>
        </w:rPr>
        <w:t xml:space="preserve"> will allocate and expend all CDBG Program Income funds received </w:t>
      </w:r>
      <w:r w:rsidR="009D54CD">
        <w:rPr>
          <w:rFonts w:asciiTheme="minorHAnsi" w:hAnsiTheme="minorHAnsi" w:cstheme="minorHAnsi"/>
          <w:color w:val="auto"/>
          <w:sz w:val="22"/>
          <w:szCs w:val="22"/>
        </w:rPr>
        <w:t>before</w:t>
      </w:r>
      <w:r w:rsidRPr="003060BB">
        <w:rPr>
          <w:rFonts w:asciiTheme="minorHAnsi" w:hAnsiTheme="minorHAnsi" w:cstheme="minorHAnsi"/>
          <w:color w:val="auto"/>
          <w:sz w:val="22"/>
          <w:szCs w:val="22"/>
        </w:rPr>
        <w:t xml:space="preserve"> drawing additional CDBG funds from the US Treasury.  However, the following exceptions shall apply: </w:t>
      </w:r>
    </w:p>
    <w:p w14:paraId="0D7B811A"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56147BEA" w14:textId="2BE23E0D" w:rsidR="00350FC6" w:rsidRPr="003060BB" w:rsidRDefault="00350FC6" w:rsidP="001D5FEE">
      <w:pPr>
        <w:pStyle w:val="Default"/>
        <w:numPr>
          <w:ilvl w:val="0"/>
          <w:numId w:val="2"/>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This prior-use policy shall not apply to housing-related grants made to applicants by the Indiana Housing &amp; Community Development Authority (IHCDA), a separate agency, using CDBG funds allocated to the IHCDA by the </w:t>
      </w:r>
      <w:r w:rsidR="009D54CD">
        <w:rPr>
          <w:rFonts w:asciiTheme="minorHAnsi" w:hAnsiTheme="minorHAnsi" w:cstheme="minorHAnsi"/>
          <w:color w:val="auto"/>
          <w:sz w:val="22"/>
          <w:szCs w:val="22"/>
        </w:rPr>
        <w:t>OCRA</w:t>
      </w:r>
      <w:r w:rsidRPr="003060BB">
        <w:rPr>
          <w:rFonts w:asciiTheme="minorHAnsi" w:hAnsiTheme="minorHAnsi" w:cstheme="minorHAnsi"/>
          <w:color w:val="auto"/>
          <w:sz w:val="22"/>
          <w:szCs w:val="22"/>
        </w:rPr>
        <w:t xml:space="preserve">. </w:t>
      </w:r>
    </w:p>
    <w:p w14:paraId="6AE2A60F" w14:textId="77777777" w:rsidR="00350FC6" w:rsidRPr="003060BB" w:rsidRDefault="00350FC6">
      <w:pPr>
        <w:pStyle w:val="Default"/>
        <w:ind w:firstLine="45"/>
        <w:jc w:val="both"/>
        <w:rPr>
          <w:rFonts w:asciiTheme="minorHAnsi" w:hAnsiTheme="minorHAnsi" w:cstheme="minorHAnsi"/>
          <w:color w:val="auto"/>
          <w:sz w:val="22"/>
          <w:szCs w:val="22"/>
        </w:rPr>
      </w:pPr>
    </w:p>
    <w:p w14:paraId="1409766D" w14:textId="1D1C2C8B" w:rsidR="00350FC6" w:rsidRPr="003060BB" w:rsidRDefault="00350FC6" w:rsidP="005B4ADC">
      <w:pPr>
        <w:pStyle w:val="Default"/>
        <w:numPr>
          <w:ilvl w:val="0"/>
          <w:numId w:val="2"/>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Program income generated by CDBG grants awarded by the </w:t>
      </w:r>
      <w:r w:rsidR="009D54CD">
        <w:rPr>
          <w:rFonts w:asciiTheme="minorHAnsi" w:hAnsiTheme="minorHAnsi" w:cstheme="minorHAnsi"/>
          <w:color w:val="auto"/>
          <w:sz w:val="22"/>
          <w:szCs w:val="22"/>
        </w:rPr>
        <w:t>OCRA</w:t>
      </w:r>
      <w:r w:rsidRPr="003060BB">
        <w:rPr>
          <w:rFonts w:asciiTheme="minorHAnsi" w:hAnsiTheme="minorHAnsi" w:cstheme="minorHAnsi"/>
          <w:color w:val="auto"/>
          <w:sz w:val="22"/>
          <w:szCs w:val="22"/>
        </w:rPr>
        <w:t xml:space="preserve"> using CDBG funds must be returned to the </w:t>
      </w:r>
      <w:r w:rsidR="009D54CD">
        <w:rPr>
          <w:rFonts w:asciiTheme="minorHAnsi" w:hAnsiTheme="minorHAnsi" w:cstheme="minorHAnsi"/>
          <w:color w:val="auto"/>
          <w:sz w:val="22"/>
          <w:szCs w:val="22"/>
        </w:rPr>
        <w:t xml:space="preserve">OCRA if </w:t>
      </w:r>
      <w:r w:rsidRPr="003060BB">
        <w:rPr>
          <w:rFonts w:asciiTheme="minorHAnsi" w:hAnsiTheme="minorHAnsi" w:cstheme="minorHAnsi"/>
          <w:color w:val="auto"/>
          <w:sz w:val="22"/>
          <w:szCs w:val="22"/>
        </w:rPr>
        <w:t xml:space="preserve">such amounts </w:t>
      </w:r>
      <w:r w:rsidR="009D54CD">
        <w:rPr>
          <w:rFonts w:asciiTheme="minorHAnsi" w:hAnsiTheme="minorHAnsi" w:cstheme="minorHAnsi"/>
          <w:color w:val="auto"/>
          <w:sz w:val="22"/>
          <w:szCs w:val="22"/>
        </w:rPr>
        <w:t>are equal to or greater</w:t>
      </w:r>
      <w:r w:rsidRPr="003060BB">
        <w:rPr>
          <w:rFonts w:asciiTheme="minorHAnsi" w:hAnsiTheme="minorHAnsi" w:cstheme="minorHAnsi"/>
          <w:color w:val="auto"/>
          <w:sz w:val="22"/>
          <w:szCs w:val="22"/>
        </w:rPr>
        <w:t xml:space="preserve"> than $</w:t>
      </w:r>
      <w:r w:rsidR="008419B8" w:rsidRPr="003060BB">
        <w:rPr>
          <w:rFonts w:asciiTheme="minorHAnsi" w:hAnsiTheme="minorHAnsi" w:cstheme="minorHAnsi"/>
          <w:color w:val="auto"/>
          <w:sz w:val="22"/>
          <w:szCs w:val="22"/>
        </w:rPr>
        <w:t>3</w:t>
      </w:r>
      <w:r w:rsidRPr="003060BB">
        <w:rPr>
          <w:rFonts w:asciiTheme="minorHAnsi" w:hAnsiTheme="minorHAnsi" w:cstheme="minorHAnsi"/>
          <w:color w:val="auto"/>
          <w:sz w:val="22"/>
          <w:szCs w:val="22"/>
        </w:rPr>
        <w:t>5,000 per</w:t>
      </w:r>
      <w:r w:rsidR="009D54CD">
        <w:rPr>
          <w:rFonts w:asciiTheme="minorHAnsi" w:hAnsiTheme="minorHAnsi" w:cstheme="minorHAnsi"/>
          <w:color w:val="auto"/>
          <w:sz w:val="22"/>
          <w:szCs w:val="22"/>
        </w:rPr>
        <w:t xml:space="preserve"> calendar year</w:t>
      </w:r>
      <w:r w:rsidRPr="003060BB">
        <w:rPr>
          <w:rFonts w:asciiTheme="minorHAnsi" w:hAnsiTheme="minorHAnsi" w:cstheme="minorHAnsi"/>
          <w:color w:val="auto"/>
          <w:sz w:val="22"/>
          <w:szCs w:val="22"/>
        </w:rPr>
        <w:t xml:space="preserve"> </w:t>
      </w:r>
      <w:r w:rsidR="009D54CD">
        <w:rPr>
          <w:rFonts w:asciiTheme="minorHAnsi" w:hAnsiTheme="minorHAnsi" w:cstheme="minorHAnsi"/>
          <w:color w:val="auto"/>
          <w:sz w:val="22"/>
          <w:szCs w:val="22"/>
        </w:rPr>
        <w:t>according</w:t>
      </w:r>
      <w:r w:rsidRPr="003060BB">
        <w:rPr>
          <w:rFonts w:asciiTheme="minorHAnsi" w:hAnsiTheme="minorHAnsi" w:cstheme="minorHAnsi"/>
          <w:color w:val="auto"/>
          <w:sz w:val="22"/>
          <w:szCs w:val="22"/>
        </w:rPr>
        <w:t xml:space="preserve"> to 24 CFR 570.489. </w:t>
      </w:r>
    </w:p>
    <w:p w14:paraId="4A10F981"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0840B5C4" w14:textId="15C0355E"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All obligations of CDBG program</w:t>
      </w:r>
      <w:r w:rsidR="00433277" w:rsidRPr="003060BB">
        <w:rPr>
          <w:rFonts w:asciiTheme="minorHAnsi" w:hAnsiTheme="minorHAnsi" w:cstheme="minorHAnsi"/>
          <w:color w:val="auto"/>
          <w:sz w:val="22"/>
          <w:szCs w:val="22"/>
        </w:rPr>
        <w:t xml:space="preserve"> income</w:t>
      </w:r>
      <w:r w:rsidR="009D54CD">
        <w:rPr>
          <w:rFonts w:asciiTheme="minorHAnsi" w:hAnsiTheme="minorHAnsi" w:cstheme="minorHAnsi"/>
          <w:color w:val="auto"/>
          <w:sz w:val="22"/>
          <w:szCs w:val="22"/>
        </w:rPr>
        <w:t xml:space="preserve"> by grantee</w:t>
      </w:r>
      <w:r w:rsidR="00433277" w:rsidRPr="003060B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 xml:space="preserve">require prior approval by the </w:t>
      </w:r>
      <w:r w:rsidR="009D54CD">
        <w:rPr>
          <w:rFonts w:asciiTheme="minorHAnsi" w:hAnsiTheme="minorHAnsi" w:cstheme="minorHAnsi"/>
          <w:color w:val="auto"/>
          <w:sz w:val="22"/>
          <w:szCs w:val="22"/>
        </w:rPr>
        <w:t>OCRA</w:t>
      </w:r>
      <w:r w:rsidRPr="003060BB">
        <w:rPr>
          <w:rFonts w:asciiTheme="minorHAnsi" w:hAnsiTheme="minorHAnsi" w:cstheme="minorHAnsi"/>
          <w:color w:val="auto"/>
          <w:sz w:val="22"/>
          <w:szCs w:val="22"/>
        </w:rPr>
        <w:t xml:space="preserve">.  This includes </w:t>
      </w:r>
      <w:r w:rsidR="009D54CD">
        <w:rPr>
          <w:rFonts w:asciiTheme="minorHAnsi" w:hAnsiTheme="minorHAnsi" w:cstheme="minorHAnsi"/>
          <w:color w:val="auto"/>
          <w:sz w:val="22"/>
          <w:szCs w:val="22"/>
        </w:rPr>
        <w:t xml:space="preserve">the </w:t>
      </w:r>
      <w:r w:rsidRPr="003060BB">
        <w:rPr>
          <w:rFonts w:asciiTheme="minorHAnsi" w:hAnsiTheme="minorHAnsi" w:cstheme="minorHAnsi"/>
          <w:color w:val="auto"/>
          <w:sz w:val="22"/>
          <w:szCs w:val="22"/>
        </w:rPr>
        <w:t xml:space="preserve">use of program income as matching funds for CDBG-funded grants from the IHCDA.  Applicable parties should contact the </w:t>
      </w:r>
      <w:r w:rsidR="00C603E7" w:rsidRPr="003060BB">
        <w:rPr>
          <w:rFonts w:asciiTheme="minorHAnsi" w:hAnsiTheme="minorHAnsi" w:cstheme="minorHAnsi"/>
          <w:color w:val="auto"/>
          <w:sz w:val="22"/>
          <w:szCs w:val="22"/>
        </w:rPr>
        <w:t>CDBG Program Director</w:t>
      </w:r>
      <w:r w:rsidRPr="003060BB">
        <w:rPr>
          <w:rFonts w:asciiTheme="minorHAnsi" w:hAnsiTheme="minorHAnsi" w:cstheme="minorHAnsi"/>
          <w:color w:val="auto"/>
          <w:sz w:val="22"/>
          <w:szCs w:val="22"/>
        </w:rPr>
        <w:t xml:space="preserve"> for </w:t>
      </w:r>
      <w:r w:rsidR="009D54CD">
        <w:rPr>
          <w:rFonts w:asciiTheme="minorHAnsi" w:hAnsiTheme="minorHAnsi" w:cstheme="minorHAnsi"/>
          <w:color w:val="auto"/>
          <w:sz w:val="22"/>
          <w:szCs w:val="22"/>
        </w:rPr>
        <w:t>guidance on the</w:t>
      </w:r>
      <w:r w:rsidRPr="003060BB">
        <w:rPr>
          <w:rFonts w:asciiTheme="minorHAnsi" w:hAnsiTheme="minorHAnsi" w:cstheme="minorHAnsi"/>
          <w:color w:val="auto"/>
          <w:sz w:val="22"/>
          <w:szCs w:val="22"/>
        </w:rPr>
        <w:t xml:space="preserve"> use of program income </w:t>
      </w:r>
      <w:r w:rsidR="009D54CD">
        <w:rPr>
          <w:rFonts w:asciiTheme="minorHAnsi" w:hAnsiTheme="minorHAnsi" w:cstheme="minorHAnsi"/>
          <w:color w:val="auto"/>
          <w:sz w:val="22"/>
          <w:szCs w:val="22"/>
        </w:rPr>
        <w:t>before</w:t>
      </w:r>
      <w:r w:rsidRPr="003060BB">
        <w:rPr>
          <w:rFonts w:asciiTheme="minorHAnsi" w:hAnsiTheme="minorHAnsi" w:cstheme="minorHAnsi"/>
          <w:color w:val="auto"/>
          <w:sz w:val="22"/>
          <w:szCs w:val="22"/>
        </w:rPr>
        <w:t xml:space="preserve"> </w:t>
      </w:r>
      <w:r w:rsidR="009D54CD">
        <w:rPr>
          <w:rFonts w:asciiTheme="minorHAnsi" w:hAnsiTheme="minorHAnsi" w:cstheme="minorHAnsi"/>
          <w:color w:val="auto"/>
          <w:sz w:val="22"/>
          <w:szCs w:val="22"/>
        </w:rPr>
        <w:t xml:space="preserve">the </w:t>
      </w:r>
      <w:r w:rsidRPr="003060BB">
        <w:rPr>
          <w:rFonts w:asciiTheme="minorHAnsi" w:hAnsiTheme="minorHAnsi" w:cstheme="minorHAnsi"/>
          <w:color w:val="auto"/>
          <w:sz w:val="22"/>
          <w:szCs w:val="22"/>
        </w:rPr>
        <w:t xml:space="preserve">obligation of such funds. </w:t>
      </w:r>
    </w:p>
    <w:p w14:paraId="3589C2E5" w14:textId="77777777" w:rsidR="00FE44C4" w:rsidRPr="003060BB" w:rsidRDefault="00FE44C4" w:rsidP="00586DF1">
      <w:pPr>
        <w:pStyle w:val="Default"/>
        <w:rPr>
          <w:rFonts w:asciiTheme="minorHAnsi" w:hAnsiTheme="minorHAnsi" w:cstheme="minorHAnsi"/>
          <w:color w:val="auto"/>
          <w:sz w:val="22"/>
          <w:szCs w:val="22"/>
        </w:rPr>
      </w:pPr>
    </w:p>
    <w:p w14:paraId="0106A8DB" w14:textId="4FE92E47" w:rsidR="00586DF1" w:rsidRPr="003060BB" w:rsidRDefault="00586DF1">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Local Governments that have been inactive in using their program income are required to return their program income to </w:t>
      </w:r>
      <w:r w:rsidR="003B3C5F">
        <w:rPr>
          <w:rFonts w:asciiTheme="minorHAnsi" w:hAnsiTheme="minorHAnsi" w:cstheme="minorHAnsi"/>
          <w:color w:val="auto"/>
          <w:sz w:val="22"/>
          <w:szCs w:val="22"/>
        </w:rPr>
        <w:t>OCRA</w:t>
      </w:r>
      <w:r w:rsidRPr="003060BB">
        <w:rPr>
          <w:rFonts w:asciiTheme="minorHAnsi" w:hAnsiTheme="minorHAnsi" w:cstheme="minorHAnsi"/>
          <w:color w:val="auto"/>
          <w:sz w:val="22"/>
          <w:szCs w:val="22"/>
        </w:rPr>
        <w:t xml:space="preserve">.  </w:t>
      </w:r>
      <w:r w:rsidR="003B3C5F">
        <w:rPr>
          <w:rFonts w:asciiTheme="minorHAnsi" w:hAnsiTheme="minorHAnsi" w:cstheme="minorHAnsi"/>
          <w:color w:val="auto"/>
          <w:sz w:val="22"/>
          <w:szCs w:val="22"/>
        </w:rPr>
        <w:t>Local governments that have been approved</w:t>
      </w:r>
      <w:r w:rsidRPr="003060BB">
        <w:rPr>
          <w:rFonts w:asciiTheme="minorHAnsi" w:hAnsiTheme="minorHAnsi" w:cstheme="minorHAnsi"/>
          <w:color w:val="auto"/>
          <w:sz w:val="22"/>
          <w:szCs w:val="22"/>
        </w:rPr>
        <w:t xml:space="preserve"> to use their program income to fund at leas</w:t>
      </w:r>
      <w:r w:rsidR="003B3C5F">
        <w:rPr>
          <w:rFonts w:asciiTheme="minorHAnsi" w:hAnsiTheme="minorHAnsi" w:cstheme="minorHAnsi"/>
          <w:color w:val="auto"/>
          <w:sz w:val="22"/>
          <w:szCs w:val="22"/>
        </w:rPr>
        <w:t>t one project in the previous twelve (12)</w:t>
      </w:r>
      <w:r w:rsidRPr="003060BB">
        <w:rPr>
          <w:rFonts w:asciiTheme="minorHAnsi" w:hAnsiTheme="minorHAnsi" w:cstheme="minorHAnsi"/>
          <w:color w:val="auto"/>
          <w:sz w:val="22"/>
          <w:szCs w:val="22"/>
        </w:rPr>
        <w:t xml:space="preserve"> mon</w:t>
      </w:r>
      <w:r w:rsidR="003B3C5F">
        <w:rPr>
          <w:rFonts w:asciiTheme="minorHAnsi" w:hAnsiTheme="minorHAnsi" w:cstheme="minorHAnsi"/>
          <w:color w:val="auto"/>
          <w:sz w:val="22"/>
          <w:szCs w:val="22"/>
        </w:rPr>
        <w:t>ths will be considered active.</w:t>
      </w:r>
    </w:p>
    <w:p w14:paraId="77888EFB" w14:textId="77777777" w:rsidR="00340566" w:rsidRPr="003060BB" w:rsidRDefault="00340566">
      <w:pPr>
        <w:pStyle w:val="Default"/>
        <w:jc w:val="both"/>
        <w:rPr>
          <w:rFonts w:asciiTheme="minorHAnsi" w:hAnsiTheme="minorHAnsi" w:cstheme="minorHAnsi"/>
          <w:color w:val="auto"/>
          <w:sz w:val="22"/>
          <w:szCs w:val="22"/>
        </w:rPr>
      </w:pPr>
    </w:p>
    <w:p w14:paraId="27DFA4CE" w14:textId="43A8E171" w:rsidR="00425FE2" w:rsidRPr="003B3C5F" w:rsidRDefault="009D54C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Furthermore, US</w:t>
      </w:r>
      <w:r w:rsidR="00350FC6" w:rsidRPr="003060BB">
        <w:rPr>
          <w:rFonts w:asciiTheme="minorHAnsi" w:hAnsiTheme="minorHAnsi" w:cstheme="minorHAnsi"/>
          <w:color w:val="auto"/>
          <w:sz w:val="22"/>
          <w:szCs w:val="22"/>
        </w:rPr>
        <w:t xml:space="preserve"> Department of Treasury regulations require that CDBG program income cash</w:t>
      </w:r>
      <w:r w:rsidR="003B3C5F">
        <w:rPr>
          <w:rFonts w:asciiTheme="minorHAnsi" w:hAnsiTheme="minorHAnsi" w:cstheme="minorHAnsi"/>
          <w:color w:val="auto"/>
          <w:sz w:val="22"/>
          <w:szCs w:val="22"/>
        </w:rPr>
        <w:t xml:space="preserve"> on hand</w:t>
      </w:r>
      <w:r w:rsidR="00350FC6" w:rsidRPr="003060BB">
        <w:rPr>
          <w:rFonts w:asciiTheme="minorHAnsi" w:hAnsiTheme="minorHAnsi" w:cstheme="minorHAnsi"/>
          <w:color w:val="auto"/>
          <w:sz w:val="22"/>
          <w:szCs w:val="22"/>
        </w:rPr>
        <w:t xml:space="preserve"> balances be expended on any active CDBG grant being administered by a grantee before additional federal CDBG funds </w:t>
      </w:r>
      <w:r w:rsidR="003B3C5F">
        <w:rPr>
          <w:rFonts w:asciiTheme="minorHAnsi" w:hAnsiTheme="minorHAnsi" w:cstheme="minorHAnsi"/>
          <w:color w:val="auto"/>
          <w:sz w:val="22"/>
          <w:szCs w:val="22"/>
        </w:rPr>
        <w:t>can be</w:t>
      </w:r>
      <w:r w:rsidR="00350FC6" w:rsidRPr="003060BB">
        <w:rPr>
          <w:rFonts w:asciiTheme="minorHAnsi" w:hAnsiTheme="minorHAnsi" w:cstheme="minorHAnsi"/>
          <w:color w:val="auto"/>
          <w:sz w:val="22"/>
          <w:szCs w:val="22"/>
        </w:rPr>
        <w:t xml:space="preserve"> requested from the </w:t>
      </w:r>
      <w:r w:rsidR="003B3C5F">
        <w:rPr>
          <w:rFonts w:asciiTheme="minorHAnsi" w:hAnsiTheme="minorHAnsi" w:cstheme="minorHAnsi"/>
          <w:color w:val="auto"/>
          <w:sz w:val="22"/>
          <w:szCs w:val="22"/>
        </w:rPr>
        <w:t>OCRA</w:t>
      </w:r>
      <w:r w:rsidR="00350FC6" w:rsidRPr="003060BB">
        <w:rPr>
          <w:rFonts w:asciiTheme="minorHAnsi" w:hAnsiTheme="minorHAnsi" w:cstheme="minorHAnsi"/>
          <w:color w:val="auto"/>
          <w:sz w:val="22"/>
          <w:szCs w:val="22"/>
        </w:rPr>
        <w:t xml:space="preserve">.  These US Treasury regulations apply to projects funded both by IHCDA and </w:t>
      </w:r>
      <w:r w:rsidR="003B3C5F">
        <w:rPr>
          <w:rFonts w:asciiTheme="minorHAnsi" w:hAnsiTheme="minorHAnsi" w:cstheme="minorHAnsi"/>
          <w:color w:val="auto"/>
          <w:sz w:val="22"/>
          <w:szCs w:val="22"/>
        </w:rPr>
        <w:t>OCRA</w:t>
      </w:r>
      <w:r w:rsidR="00350FC6" w:rsidRPr="003060BB">
        <w:rPr>
          <w:rFonts w:asciiTheme="minorHAnsi" w:hAnsiTheme="minorHAnsi" w:cstheme="minorHAnsi"/>
          <w:color w:val="auto"/>
          <w:sz w:val="22"/>
          <w:szCs w:val="22"/>
        </w:rPr>
        <w:t xml:space="preserve">.  Eligible applicants with CDBG program income should strive to close out all active grant projects presently being administered before seeking additional CDBG assistance from the </w:t>
      </w:r>
      <w:r w:rsidR="003B3C5F">
        <w:rPr>
          <w:rFonts w:asciiTheme="minorHAnsi" w:hAnsiTheme="minorHAnsi" w:cstheme="minorHAnsi"/>
          <w:color w:val="auto"/>
          <w:sz w:val="22"/>
          <w:szCs w:val="22"/>
        </w:rPr>
        <w:t>OCRA</w:t>
      </w:r>
      <w:r w:rsidR="00350FC6" w:rsidRPr="003060BB">
        <w:rPr>
          <w:rFonts w:asciiTheme="minorHAnsi" w:hAnsiTheme="minorHAnsi" w:cstheme="minorHAnsi"/>
          <w:color w:val="auto"/>
          <w:sz w:val="22"/>
          <w:szCs w:val="22"/>
        </w:rPr>
        <w:t xml:space="preserve"> or IHCDA.  </w:t>
      </w:r>
    </w:p>
    <w:p w14:paraId="49C22D21"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394A30F7" w14:textId="77777777" w:rsidR="00350FC6" w:rsidRPr="003060BB" w:rsidRDefault="00350FC6">
      <w:pPr>
        <w:pStyle w:val="Default"/>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METHOD OF DISTRIBUTION </w:t>
      </w:r>
    </w:p>
    <w:p w14:paraId="6E4555BC"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74F6FD9D" w14:textId="3BA09BAF"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The choice o</w:t>
      </w:r>
      <w:r w:rsidR="003B3C5F">
        <w:rPr>
          <w:rFonts w:asciiTheme="minorHAnsi" w:hAnsiTheme="minorHAnsi" w:cstheme="minorHAnsi"/>
          <w:color w:val="auto"/>
          <w:sz w:val="22"/>
          <w:szCs w:val="22"/>
        </w:rPr>
        <w:t xml:space="preserve">f activities on which the State’s </w:t>
      </w:r>
      <w:r w:rsidRPr="003060BB">
        <w:rPr>
          <w:rFonts w:asciiTheme="minorHAnsi" w:hAnsiTheme="minorHAnsi" w:cstheme="minorHAnsi"/>
          <w:color w:val="auto"/>
          <w:sz w:val="22"/>
          <w:szCs w:val="22"/>
        </w:rPr>
        <w:t>CDBG</w:t>
      </w:r>
      <w:r w:rsidR="003B3C5F">
        <w:rPr>
          <w:rFonts w:asciiTheme="minorHAnsi" w:hAnsiTheme="minorHAnsi" w:cstheme="minorHAnsi"/>
          <w:color w:val="auto"/>
          <w:sz w:val="22"/>
          <w:szCs w:val="22"/>
        </w:rPr>
        <w:t xml:space="preserve"> funds are expended has been determined through a robust review that engaged a variety of stakeholders and considered comments from the public</w:t>
      </w:r>
      <w:r w:rsidR="00102AF1">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 xml:space="preserve"> The eligible activities enumerated in the following Method of Distribution are eligible activities as provided for under Section 105(a) of the Federal Act, as amended. </w:t>
      </w:r>
    </w:p>
    <w:p w14:paraId="426C54AA"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75235DDF" w14:textId="2988D7F0"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All projects/activities funded by the </w:t>
      </w:r>
      <w:r w:rsidR="003B3C5F">
        <w:rPr>
          <w:rFonts w:asciiTheme="minorHAnsi" w:hAnsiTheme="minorHAnsi" w:cstheme="minorHAnsi"/>
          <w:color w:val="auto"/>
          <w:sz w:val="22"/>
          <w:szCs w:val="22"/>
        </w:rPr>
        <w:t>OCRA</w:t>
      </w:r>
      <w:r w:rsidRPr="003060BB">
        <w:rPr>
          <w:rFonts w:asciiTheme="minorHAnsi" w:hAnsiTheme="minorHAnsi" w:cstheme="minorHAnsi"/>
          <w:color w:val="auto"/>
          <w:sz w:val="22"/>
          <w:szCs w:val="22"/>
        </w:rPr>
        <w:t xml:space="preserve"> will be made on a basis which addresses one (1) of the three (3) national objectives of the Small Cities CDBG Program as prescribed under Section 104(b)(3) of the Federal Act and 24 CFR 570.483 of implementing regulations promulgated by HUD.  CDBG funds will be distributed according to the following Method of Distribution (program descriptions): </w:t>
      </w:r>
      <w:r w:rsidRPr="003060BB">
        <w:rPr>
          <w:rFonts w:asciiTheme="minorHAnsi" w:hAnsiTheme="minorHAnsi" w:cstheme="minorHAnsi"/>
          <w:b/>
          <w:bCs/>
          <w:color w:val="auto"/>
          <w:sz w:val="22"/>
          <w:szCs w:val="22"/>
        </w:rPr>
        <w:t xml:space="preserve"> </w:t>
      </w:r>
    </w:p>
    <w:p w14:paraId="68D53410" w14:textId="77777777" w:rsidR="00652937" w:rsidRPr="003060BB" w:rsidRDefault="00652937">
      <w:pPr>
        <w:pStyle w:val="Default"/>
        <w:jc w:val="both"/>
        <w:rPr>
          <w:rFonts w:asciiTheme="minorHAnsi" w:hAnsiTheme="minorHAnsi" w:cstheme="minorHAnsi"/>
          <w:color w:val="auto"/>
          <w:sz w:val="22"/>
          <w:szCs w:val="22"/>
        </w:rPr>
      </w:pPr>
    </w:p>
    <w:p w14:paraId="563B33FC" w14:textId="7C325107" w:rsidR="00350FC6" w:rsidRPr="003060BB" w:rsidRDefault="00DD0D1C">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A</w:t>
      </w:r>
      <w:r w:rsidR="00350FC6" w:rsidRPr="003060BB">
        <w:rPr>
          <w:rFonts w:asciiTheme="minorHAnsi" w:hAnsiTheme="minorHAnsi" w:cstheme="minorHAnsi"/>
          <w:b/>
          <w:bCs/>
          <w:color w:val="auto"/>
          <w:sz w:val="22"/>
          <w:szCs w:val="22"/>
        </w:rPr>
        <w:t xml:space="preserve">.  Housing Program:  </w:t>
      </w:r>
      <w:r w:rsidR="00056CA9" w:rsidRPr="003060BB">
        <w:rPr>
          <w:rFonts w:asciiTheme="minorHAnsi" w:hAnsiTheme="minorHAnsi" w:cstheme="minorHAnsi"/>
          <w:color w:val="auto"/>
          <w:sz w:val="22"/>
          <w:szCs w:val="22"/>
        </w:rPr>
        <w:t>$</w:t>
      </w:r>
      <w:r w:rsidR="00102AF1">
        <w:rPr>
          <w:rFonts w:asciiTheme="minorHAnsi" w:hAnsiTheme="minorHAnsi" w:cstheme="minorHAnsi"/>
          <w:color w:val="auto"/>
          <w:sz w:val="22"/>
          <w:szCs w:val="22"/>
        </w:rPr>
        <w:t>3,</w:t>
      </w:r>
      <w:r w:rsidR="00F71B02">
        <w:rPr>
          <w:rFonts w:asciiTheme="minorHAnsi" w:hAnsiTheme="minorHAnsi" w:cstheme="minorHAnsi"/>
          <w:color w:val="auto"/>
          <w:sz w:val="22"/>
          <w:szCs w:val="22"/>
        </w:rPr>
        <w:t>177,237</w:t>
      </w:r>
    </w:p>
    <w:p w14:paraId="38463326"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5AE2E7D5" w14:textId="5A43336B" w:rsidR="003B3C5F" w:rsidRPr="003060BB" w:rsidRDefault="003B3C5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OCRA will partner</w:t>
      </w:r>
      <w:r w:rsidR="00350FC6" w:rsidRPr="003060BB">
        <w:rPr>
          <w:rFonts w:asciiTheme="minorHAnsi" w:hAnsiTheme="minorHAnsi" w:cstheme="minorHAnsi"/>
          <w:color w:val="auto"/>
          <w:sz w:val="22"/>
          <w:szCs w:val="22"/>
        </w:rPr>
        <w:t xml:space="preserve"> with the Indiana Housing &amp; Community Development Authority (IHCDA) to administer funds allocated to the Housing Program. </w:t>
      </w:r>
      <w:r>
        <w:rPr>
          <w:rFonts w:asciiTheme="minorHAnsi" w:hAnsiTheme="minorHAnsi" w:cstheme="minorHAnsi"/>
          <w:color w:val="auto"/>
          <w:sz w:val="22"/>
          <w:szCs w:val="22"/>
        </w:rPr>
        <w:t>IHCDA</w:t>
      </w:r>
      <w:r w:rsidR="00350FC6" w:rsidRPr="003060BB">
        <w:rPr>
          <w:rFonts w:asciiTheme="minorHAnsi" w:hAnsiTheme="minorHAnsi" w:cstheme="minorHAnsi"/>
          <w:color w:val="auto"/>
          <w:sz w:val="22"/>
          <w:szCs w:val="22"/>
        </w:rPr>
        <w:t xml:space="preserve"> will act as the administrative agent on behalf of the </w:t>
      </w:r>
      <w:r>
        <w:rPr>
          <w:rFonts w:asciiTheme="minorHAnsi" w:hAnsiTheme="minorHAnsi" w:cstheme="minorHAnsi"/>
          <w:color w:val="auto"/>
          <w:sz w:val="22"/>
          <w:szCs w:val="22"/>
        </w:rPr>
        <w:t>OCRA</w:t>
      </w:r>
      <w:r w:rsidR="00350FC6" w:rsidRPr="003060BB">
        <w:rPr>
          <w:rFonts w:asciiTheme="minorHAnsi" w:hAnsiTheme="minorHAnsi" w:cstheme="minorHAnsi"/>
          <w:color w:val="auto"/>
          <w:sz w:val="22"/>
          <w:szCs w:val="22"/>
        </w:rPr>
        <w:t xml:space="preserve">.  Please refer to the Indiana Housing &amp; Community Development Authority’s portion of this </w:t>
      </w:r>
      <w:r w:rsidR="001D5FEE" w:rsidRPr="003060BB">
        <w:rPr>
          <w:rFonts w:asciiTheme="minorHAnsi" w:hAnsiTheme="minorHAnsi" w:cstheme="minorHAnsi"/>
          <w:color w:val="auto"/>
          <w:sz w:val="22"/>
          <w:szCs w:val="22"/>
        </w:rPr>
        <w:t>Action</w:t>
      </w:r>
      <w:r w:rsidR="00350FC6" w:rsidRPr="003060BB">
        <w:rPr>
          <w:rFonts w:asciiTheme="minorHAnsi" w:hAnsiTheme="minorHAnsi" w:cstheme="minorHAnsi"/>
          <w:color w:val="auto"/>
          <w:sz w:val="22"/>
          <w:szCs w:val="22"/>
        </w:rPr>
        <w:t xml:space="preserve"> Plan for the method of distribution of </w:t>
      </w:r>
      <w:r w:rsidR="00623647">
        <w:rPr>
          <w:rFonts w:asciiTheme="minorHAnsi" w:hAnsiTheme="minorHAnsi" w:cstheme="minorHAnsi"/>
          <w:color w:val="auto"/>
          <w:sz w:val="22"/>
          <w:szCs w:val="22"/>
        </w:rPr>
        <w:t xml:space="preserve">the Housing Program funds. A </w:t>
      </w:r>
      <w:r>
        <w:rPr>
          <w:rFonts w:asciiTheme="minorHAnsi" w:hAnsiTheme="minorHAnsi" w:cstheme="minorHAnsi"/>
          <w:color w:val="auto"/>
          <w:sz w:val="22"/>
          <w:szCs w:val="22"/>
        </w:rPr>
        <w:t xml:space="preserve">set aside of $500,000 for use by the </w:t>
      </w:r>
      <w:proofErr w:type="gramStart"/>
      <w:r>
        <w:rPr>
          <w:rFonts w:asciiTheme="minorHAnsi" w:hAnsiTheme="minorHAnsi" w:cstheme="minorHAnsi"/>
          <w:color w:val="auto"/>
          <w:sz w:val="22"/>
          <w:szCs w:val="22"/>
        </w:rPr>
        <w:t>Stellar</w:t>
      </w:r>
      <w:proofErr w:type="gramEnd"/>
      <w:r>
        <w:rPr>
          <w:rFonts w:asciiTheme="minorHAnsi" w:hAnsiTheme="minorHAnsi" w:cstheme="minorHAnsi"/>
          <w:color w:val="auto"/>
          <w:sz w:val="22"/>
          <w:szCs w:val="22"/>
        </w:rPr>
        <w:t xml:space="preserve"> designee, outlined below, is included in this allocation. Over the next program year, OCRA and IHCDA will analyze the impact of the Housing Program and may make adjustments in future program years to ensure these funds are used in a manner that maximizes impact.  </w:t>
      </w:r>
    </w:p>
    <w:p w14:paraId="674C01A0" w14:textId="77777777" w:rsidR="00373641" w:rsidRPr="003060BB" w:rsidRDefault="00373641">
      <w:pPr>
        <w:pStyle w:val="Default"/>
        <w:jc w:val="both"/>
        <w:outlineLvl w:val="0"/>
        <w:rPr>
          <w:rFonts w:asciiTheme="minorHAnsi" w:hAnsiTheme="minorHAnsi" w:cstheme="minorHAnsi"/>
          <w:b/>
          <w:bCs/>
          <w:color w:val="auto"/>
          <w:sz w:val="22"/>
          <w:szCs w:val="22"/>
        </w:rPr>
      </w:pPr>
    </w:p>
    <w:p w14:paraId="69E753F4" w14:textId="53CF6A04" w:rsidR="00FF3739" w:rsidRPr="00BA6071" w:rsidRDefault="00DD0D1C" w:rsidP="00FF3739">
      <w:pPr>
        <w:pStyle w:val="Default"/>
        <w:jc w:val="both"/>
        <w:rPr>
          <w:rFonts w:asciiTheme="minorHAnsi" w:hAnsiTheme="minorHAnsi" w:cstheme="minorHAnsi"/>
          <w:color w:val="auto"/>
          <w:sz w:val="22"/>
          <w:szCs w:val="22"/>
        </w:rPr>
      </w:pPr>
      <w:r w:rsidRPr="00BA6071">
        <w:rPr>
          <w:rFonts w:asciiTheme="minorHAnsi" w:hAnsiTheme="minorHAnsi" w:cstheme="minorHAnsi"/>
          <w:b/>
          <w:bCs/>
          <w:color w:val="auto"/>
          <w:sz w:val="22"/>
          <w:szCs w:val="22"/>
        </w:rPr>
        <w:t>B</w:t>
      </w:r>
      <w:r w:rsidR="004E2FD6" w:rsidRPr="00BA6071">
        <w:rPr>
          <w:rFonts w:asciiTheme="minorHAnsi" w:hAnsiTheme="minorHAnsi" w:cstheme="minorHAnsi"/>
          <w:b/>
          <w:bCs/>
          <w:color w:val="auto"/>
          <w:sz w:val="22"/>
          <w:szCs w:val="22"/>
        </w:rPr>
        <w:t>. Stellar Regions</w:t>
      </w:r>
      <w:r w:rsidR="00FF3739" w:rsidRPr="00BA6071">
        <w:rPr>
          <w:rFonts w:asciiTheme="minorHAnsi" w:hAnsiTheme="minorHAnsi" w:cstheme="minorHAnsi"/>
          <w:b/>
          <w:bCs/>
          <w:color w:val="auto"/>
          <w:sz w:val="22"/>
          <w:szCs w:val="22"/>
        </w:rPr>
        <w:t xml:space="preserve"> Program: </w:t>
      </w:r>
      <w:r w:rsidR="00FF3739" w:rsidRPr="00BA6071">
        <w:rPr>
          <w:rFonts w:asciiTheme="minorHAnsi" w:hAnsiTheme="minorHAnsi" w:cstheme="minorHAnsi"/>
          <w:bCs/>
          <w:color w:val="auto"/>
          <w:sz w:val="22"/>
          <w:szCs w:val="22"/>
        </w:rPr>
        <w:t xml:space="preserve">$ </w:t>
      </w:r>
      <w:r w:rsidR="003B3C5F">
        <w:rPr>
          <w:rFonts w:asciiTheme="minorHAnsi" w:hAnsiTheme="minorHAnsi" w:cstheme="minorHAnsi"/>
          <w:bCs/>
          <w:color w:val="auto"/>
          <w:sz w:val="22"/>
          <w:szCs w:val="22"/>
        </w:rPr>
        <w:t>9</w:t>
      </w:r>
      <w:r w:rsidR="00F262A0" w:rsidRPr="00BA6071">
        <w:rPr>
          <w:rFonts w:asciiTheme="minorHAnsi" w:hAnsiTheme="minorHAnsi" w:cstheme="minorHAnsi"/>
          <w:bCs/>
          <w:color w:val="auto"/>
          <w:sz w:val="22"/>
          <w:szCs w:val="22"/>
        </w:rPr>
        <w:t>,000,000</w:t>
      </w:r>
    </w:p>
    <w:p w14:paraId="6A8CA901" w14:textId="77777777" w:rsidR="00FF3739" w:rsidRPr="00BA6071" w:rsidRDefault="00FF3739" w:rsidP="009222DD">
      <w:pPr>
        <w:pStyle w:val="Default"/>
        <w:jc w:val="both"/>
        <w:rPr>
          <w:rFonts w:asciiTheme="minorHAnsi" w:hAnsiTheme="minorHAnsi" w:cstheme="minorHAnsi"/>
          <w:b/>
          <w:bCs/>
          <w:color w:val="auto"/>
          <w:sz w:val="22"/>
          <w:szCs w:val="22"/>
        </w:rPr>
      </w:pPr>
    </w:p>
    <w:p w14:paraId="313C84C0" w14:textId="60B46B68" w:rsidR="001D5FEE" w:rsidRDefault="003B3C5F" w:rsidP="00FF3739">
      <w:pPr>
        <w:jc w:val="both"/>
        <w:rPr>
          <w:rFonts w:asciiTheme="minorHAnsi" w:hAnsiTheme="minorHAnsi" w:cstheme="minorHAnsi"/>
          <w:bCs/>
          <w:sz w:val="22"/>
          <w:szCs w:val="22"/>
        </w:rPr>
      </w:pPr>
      <w:r>
        <w:rPr>
          <w:rFonts w:asciiTheme="minorHAnsi" w:hAnsiTheme="minorHAnsi" w:cstheme="minorHAnsi"/>
          <w:bCs/>
          <w:sz w:val="22"/>
          <w:szCs w:val="22"/>
        </w:rPr>
        <w:t>OCRA will</w:t>
      </w:r>
      <w:r w:rsidR="00FF3739" w:rsidRPr="00BA6071">
        <w:rPr>
          <w:rFonts w:asciiTheme="minorHAnsi" w:hAnsiTheme="minorHAnsi" w:cstheme="minorHAnsi"/>
          <w:bCs/>
          <w:sz w:val="22"/>
          <w:szCs w:val="22"/>
        </w:rPr>
        <w:t xml:space="preserve"> </w:t>
      </w:r>
      <w:r>
        <w:rPr>
          <w:rFonts w:asciiTheme="minorHAnsi" w:hAnsiTheme="minorHAnsi" w:cstheme="minorHAnsi"/>
          <w:bCs/>
          <w:sz w:val="22"/>
          <w:szCs w:val="22"/>
        </w:rPr>
        <w:t>allocate</w:t>
      </w:r>
      <w:r w:rsidR="00FF3739" w:rsidRPr="00BA6071">
        <w:rPr>
          <w:rFonts w:asciiTheme="minorHAnsi" w:hAnsiTheme="minorHAnsi" w:cstheme="minorHAnsi"/>
          <w:bCs/>
          <w:sz w:val="22"/>
          <w:szCs w:val="22"/>
        </w:rPr>
        <w:t xml:space="preserve"> </w:t>
      </w:r>
      <w:r w:rsidR="001D5FEE" w:rsidRPr="00BA6071">
        <w:rPr>
          <w:rFonts w:asciiTheme="minorHAnsi" w:hAnsiTheme="minorHAnsi" w:cstheme="minorHAnsi"/>
          <w:bCs/>
          <w:sz w:val="22"/>
          <w:szCs w:val="22"/>
        </w:rPr>
        <w:t>$</w:t>
      </w:r>
      <w:r>
        <w:rPr>
          <w:rFonts w:asciiTheme="minorHAnsi" w:hAnsiTheme="minorHAnsi" w:cstheme="minorHAnsi"/>
          <w:bCs/>
          <w:sz w:val="22"/>
          <w:szCs w:val="22"/>
        </w:rPr>
        <w:t>9</w:t>
      </w:r>
      <w:r w:rsidR="00F262A0" w:rsidRPr="00BA6071">
        <w:rPr>
          <w:rFonts w:asciiTheme="minorHAnsi" w:hAnsiTheme="minorHAnsi" w:cstheme="minorHAnsi"/>
          <w:bCs/>
          <w:sz w:val="22"/>
          <w:szCs w:val="22"/>
        </w:rPr>
        <w:t xml:space="preserve">,000,000 </w:t>
      </w:r>
      <w:r w:rsidR="00FF3739" w:rsidRPr="00BA6071">
        <w:rPr>
          <w:rFonts w:asciiTheme="minorHAnsi" w:hAnsiTheme="minorHAnsi" w:cstheme="minorHAnsi"/>
          <w:bCs/>
          <w:sz w:val="22"/>
          <w:szCs w:val="22"/>
        </w:rPr>
        <w:t xml:space="preserve">of its FY </w:t>
      </w:r>
      <w:r w:rsidR="001D4CC1" w:rsidRPr="00BA6071">
        <w:rPr>
          <w:rFonts w:asciiTheme="minorHAnsi" w:hAnsiTheme="minorHAnsi" w:cstheme="minorHAnsi"/>
          <w:bCs/>
          <w:sz w:val="22"/>
          <w:szCs w:val="22"/>
        </w:rPr>
        <w:t>2</w:t>
      </w:r>
      <w:r>
        <w:rPr>
          <w:rFonts w:asciiTheme="minorHAnsi" w:hAnsiTheme="minorHAnsi" w:cstheme="minorHAnsi"/>
          <w:bCs/>
          <w:sz w:val="22"/>
          <w:szCs w:val="22"/>
        </w:rPr>
        <w:t xml:space="preserve">020 </w:t>
      </w:r>
      <w:r w:rsidR="00FF3739" w:rsidRPr="00BA6071">
        <w:rPr>
          <w:rFonts w:asciiTheme="minorHAnsi" w:hAnsiTheme="minorHAnsi" w:cstheme="minorHAnsi"/>
          <w:bCs/>
          <w:sz w:val="22"/>
          <w:szCs w:val="22"/>
        </w:rPr>
        <w:t>CDBG funds for th</w:t>
      </w:r>
      <w:r w:rsidR="001D5FEE" w:rsidRPr="00BA6071">
        <w:rPr>
          <w:rFonts w:asciiTheme="minorHAnsi" w:hAnsiTheme="minorHAnsi" w:cstheme="minorHAnsi"/>
          <w:bCs/>
          <w:sz w:val="22"/>
          <w:szCs w:val="22"/>
        </w:rPr>
        <w:t>e S</w:t>
      </w:r>
      <w:r w:rsidR="004E2FD6" w:rsidRPr="00BA6071">
        <w:rPr>
          <w:rFonts w:asciiTheme="minorHAnsi" w:hAnsiTheme="minorHAnsi" w:cstheme="minorHAnsi"/>
          <w:bCs/>
          <w:sz w:val="22"/>
          <w:szCs w:val="22"/>
        </w:rPr>
        <w:t xml:space="preserve">tellar </w:t>
      </w:r>
      <w:r>
        <w:rPr>
          <w:rFonts w:asciiTheme="minorHAnsi" w:hAnsiTheme="minorHAnsi" w:cstheme="minorHAnsi"/>
          <w:bCs/>
          <w:sz w:val="22"/>
          <w:szCs w:val="22"/>
        </w:rPr>
        <w:t>Region Designee</w:t>
      </w:r>
      <w:r w:rsidR="001D5FEE" w:rsidRPr="00BA6071">
        <w:rPr>
          <w:rFonts w:asciiTheme="minorHAnsi" w:hAnsiTheme="minorHAnsi" w:cstheme="minorHAnsi"/>
          <w:bCs/>
          <w:sz w:val="22"/>
          <w:szCs w:val="22"/>
        </w:rPr>
        <w:t xml:space="preserve">. Funds will be allocated to </w:t>
      </w:r>
      <w:r>
        <w:rPr>
          <w:rFonts w:asciiTheme="minorHAnsi" w:hAnsiTheme="minorHAnsi" w:cstheme="minorHAnsi"/>
          <w:bCs/>
          <w:sz w:val="22"/>
          <w:szCs w:val="22"/>
        </w:rPr>
        <w:t>the designee</w:t>
      </w:r>
      <w:r w:rsidR="001D5FEE" w:rsidRPr="00BA6071">
        <w:rPr>
          <w:rFonts w:asciiTheme="minorHAnsi" w:hAnsiTheme="minorHAnsi" w:cstheme="minorHAnsi"/>
          <w:bCs/>
          <w:sz w:val="22"/>
          <w:szCs w:val="22"/>
        </w:rPr>
        <w:t xml:space="preserve"> in the Action Plan for the fiscal year an application is anticipated</w:t>
      </w:r>
      <w:r w:rsidR="00B90B9B" w:rsidRPr="00BA6071">
        <w:rPr>
          <w:rFonts w:asciiTheme="minorHAnsi" w:hAnsiTheme="minorHAnsi" w:cstheme="minorHAnsi"/>
          <w:bCs/>
          <w:sz w:val="22"/>
          <w:szCs w:val="22"/>
        </w:rPr>
        <w:t xml:space="preserve"> from each </w:t>
      </w:r>
      <w:r>
        <w:rPr>
          <w:rFonts w:asciiTheme="minorHAnsi" w:hAnsiTheme="minorHAnsi" w:cstheme="minorHAnsi"/>
          <w:bCs/>
          <w:sz w:val="22"/>
          <w:szCs w:val="22"/>
        </w:rPr>
        <w:t xml:space="preserve">active </w:t>
      </w:r>
      <w:r w:rsidR="00B90B9B" w:rsidRPr="00BA6071">
        <w:rPr>
          <w:rFonts w:asciiTheme="minorHAnsi" w:hAnsiTheme="minorHAnsi" w:cstheme="minorHAnsi"/>
          <w:bCs/>
          <w:sz w:val="22"/>
          <w:szCs w:val="22"/>
        </w:rPr>
        <w:t>designee</w:t>
      </w:r>
      <w:r w:rsidR="001D5FEE" w:rsidRPr="00BA6071">
        <w:rPr>
          <w:rFonts w:asciiTheme="minorHAnsi" w:hAnsiTheme="minorHAnsi" w:cstheme="minorHAnsi"/>
          <w:bCs/>
          <w:sz w:val="22"/>
          <w:szCs w:val="22"/>
        </w:rPr>
        <w:t xml:space="preserve">. </w:t>
      </w:r>
      <w:r>
        <w:rPr>
          <w:rFonts w:asciiTheme="minorHAnsi" w:hAnsiTheme="minorHAnsi" w:cstheme="minorHAnsi"/>
          <w:bCs/>
          <w:sz w:val="22"/>
          <w:szCs w:val="22"/>
        </w:rPr>
        <w:t>Finalist Regions of the program will split $1,000,000 of this allocation to complete one of the projects outlined in their Regional Development Plan.</w:t>
      </w:r>
      <w:r w:rsidR="00253612">
        <w:rPr>
          <w:rFonts w:asciiTheme="minorHAnsi" w:hAnsiTheme="minorHAnsi" w:cstheme="minorHAnsi"/>
          <w:bCs/>
          <w:sz w:val="22"/>
          <w:szCs w:val="22"/>
        </w:rPr>
        <w:t xml:space="preserve"> Here is a breakdown of the </w:t>
      </w:r>
      <w:proofErr w:type="gramStart"/>
      <w:r w:rsidR="00253612">
        <w:rPr>
          <w:rFonts w:asciiTheme="minorHAnsi" w:hAnsiTheme="minorHAnsi" w:cstheme="minorHAnsi"/>
          <w:bCs/>
          <w:sz w:val="22"/>
          <w:szCs w:val="22"/>
        </w:rPr>
        <w:t>Stellar</w:t>
      </w:r>
      <w:proofErr w:type="gramEnd"/>
      <w:r w:rsidR="00253612">
        <w:rPr>
          <w:rFonts w:asciiTheme="minorHAnsi" w:hAnsiTheme="minorHAnsi" w:cstheme="minorHAnsi"/>
          <w:bCs/>
          <w:sz w:val="22"/>
          <w:szCs w:val="22"/>
        </w:rPr>
        <w:t xml:space="preserve"> allocation for FY 2019, 2020, and projected allocation for FY 2021:</w:t>
      </w:r>
    </w:p>
    <w:p w14:paraId="7F9E01CC" w14:textId="77777777" w:rsidR="00253612" w:rsidRDefault="00253612" w:rsidP="00FF3739">
      <w:pPr>
        <w:jc w:val="both"/>
        <w:rPr>
          <w:rFonts w:asciiTheme="minorHAnsi" w:hAnsiTheme="minorHAnsi" w:cstheme="minorHAnsi"/>
          <w:bCs/>
          <w:sz w:val="22"/>
          <w:szCs w:val="22"/>
        </w:rPr>
      </w:pPr>
    </w:p>
    <w:p w14:paraId="5A020D0A" w14:textId="1D1CA564" w:rsidR="00253612" w:rsidRPr="00BA6071" w:rsidRDefault="00253612" w:rsidP="00253612">
      <w:pPr>
        <w:jc w:val="center"/>
        <w:rPr>
          <w:rFonts w:asciiTheme="minorHAnsi" w:hAnsiTheme="minorHAnsi" w:cstheme="minorHAnsi"/>
          <w:bCs/>
          <w:sz w:val="22"/>
          <w:szCs w:val="22"/>
        </w:rPr>
      </w:pPr>
      <w:r w:rsidRPr="00253612">
        <w:rPr>
          <w:rFonts w:asciiTheme="minorHAnsi" w:hAnsiTheme="minorHAnsi" w:cstheme="minorHAnsi"/>
          <w:bCs/>
          <w:noProof/>
          <w:sz w:val="22"/>
          <w:szCs w:val="22"/>
        </w:rPr>
        <w:drawing>
          <wp:inline distT="0" distB="0" distL="0" distR="0" wp14:anchorId="6F01BC9A" wp14:editId="40834510">
            <wp:extent cx="1887322" cy="1382573"/>
            <wp:effectExtent l="38100" t="0" r="36830" b="82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48F8AAB" w14:textId="294DBE56" w:rsidR="00FF3739" w:rsidRPr="00BA6071" w:rsidRDefault="004E2FD6" w:rsidP="00FF3739">
      <w:pPr>
        <w:jc w:val="both"/>
        <w:rPr>
          <w:rFonts w:asciiTheme="minorHAnsi" w:hAnsiTheme="minorHAnsi" w:cstheme="minorHAnsi"/>
          <w:sz w:val="22"/>
          <w:szCs w:val="22"/>
        </w:rPr>
      </w:pPr>
      <w:r w:rsidRPr="00BA6071">
        <w:rPr>
          <w:rFonts w:asciiTheme="minorHAnsi" w:hAnsiTheme="minorHAnsi" w:cstheme="minorHAnsi"/>
          <w:sz w:val="22"/>
          <w:szCs w:val="22"/>
        </w:rPr>
        <w:t xml:space="preserve">Indiana’s Stellar </w:t>
      </w:r>
      <w:r w:rsidR="003B3C5F">
        <w:rPr>
          <w:rFonts w:asciiTheme="minorHAnsi" w:hAnsiTheme="minorHAnsi" w:cstheme="minorHAnsi"/>
          <w:sz w:val="22"/>
          <w:szCs w:val="22"/>
        </w:rPr>
        <w:t>Regions</w:t>
      </w:r>
      <w:r w:rsidR="006B210C" w:rsidRPr="00BA6071">
        <w:rPr>
          <w:rFonts w:asciiTheme="minorHAnsi" w:hAnsiTheme="minorHAnsi" w:cstheme="minorHAnsi"/>
          <w:sz w:val="22"/>
          <w:szCs w:val="22"/>
        </w:rPr>
        <w:t xml:space="preserve"> </w:t>
      </w:r>
      <w:r w:rsidR="003B3C5F">
        <w:rPr>
          <w:rFonts w:asciiTheme="minorHAnsi" w:hAnsiTheme="minorHAnsi" w:cstheme="minorHAnsi"/>
          <w:sz w:val="22"/>
          <w:szCs w:val="22"/>
        </w:rPr>
        <w:t>Program</w:t>
      </w:r>
      <w:r w:rsidR="00FF3739" w:rsidRPr="00BA6071">
        <w:rPr>
          <w:rFonts w:asciiTheme="minorHAnsi" w:hAnsiTheme="minorHAnsi" w:cstheme="minorHAnsi"/>
          <w:sz w:val="22"/>
          <w:szCs w:val="22"/>
        </w:rPr>
        <w:t xml:space="preserve"> is a collaborative effort of the Office of Community and Rural Affairs (OCRA), the Indiana Housing and Community Development Authority (IHCDA), </w:t>
      </w:r>
      <w:r w:rsidR="0065744D" w:rsidRPr="00BA6071">
        <w:rPr>
          <w:rFonts w:asciiTheme="minorHAnsi" w:hAnsiTheme="minorHAnsi" w:cstheme="minorHAnsi"/>
          <w:sz w:val="22"/>
          <w:szCs w:val="22"/>
        </w:rPr>
        <w:t>Department of Natural Resources (</w:t>
      </w:r>
      <w:proofErr w:type="spellStart"/>
      <w:r w:rsidR="0065744D" w:rsidRPr="00BA6071">
        <w:rPr>
          <w:rFonts w:asciiTheme="minorHAnsi" w:hAnsiTheme="minorHAnsi" w:cstheme="minorHAnsi"/>
          <w:sz w:val="22"/>
          <w:szCs w:val="22"/>
        </w:rPr>
        <w:t>DNR</w:t>
      </w:r>
      <w:proofErr w:type="spellEnd"/>
      <w:r w:rsidR="0065744D" w:rsidRPr="00BA6071">
        <w:rPr>
          <w:rFonts w:asciiTheme="minorHAnsi" w:hAnsiTheme="minorHAnsi" w:cstheme="minorHAnsi"/>
          <w:sz w:val="22"/>
          <w:szCs w:val="22"/>
        </w:rPr>
        <w:t>), Indiana Office of Tourism Development (</w:t>
      </w:r>
      <w:proofErr w:type="spellStart"/>
      <w:r w:rsidR="0065744D" w:rsidRPr="00BA6071">
        <w:rPr>
          <w:rFonts w:asciiTheme="minorHAnsi" w:hAnsiTheme="minorHAnsi" w:cstheme="minorHAnsi"/>
          <w:sz w:val="22"/>
          <w:szCs w:val="22"/>
        </w:rPr>
        <w:t>IOTD</w:t>
      </w:r>
      <w:proofErr w:type="spellEnd"/>
      <w:r w:rsidR="0065744D" w:rsidRPr="00BA6071">
        <w:rPr>
          <w:rFonts w:asciiTheme="minorHAnsi" w:hAnsiTheme="minorHAnsi" w:cstheme="minorHAnsi"/>
          <w:sz w:val="22"/>
          <w:szCs w:val="22"/>
        </w:rPr>
        <w:t>), Indiana Arts Commission (IAC), Department of Workforce Development (</w:t>
      </w:r>
      <w:proofErr w:type="spellStart"/>
      <w:r w:rsidR="0065744D" w:rsidRPr="00BA6071">
        <w:rPr>
          <w:rFonts w:asciiTheme="minorHAnsi" w:hAnsiTheme="minorHAnsi" w:cstheme="minorHAnsi"/>
          <w:sz w:val="22"/>
          <w:szCs w:val="22"/>
        </w:rPr>
        <w:t>DWD</w:t>
      </w:r>
      <w:proofErr w:type="spellEnd"/>
      <w:r w:rsidR="0065744D" w:rsidRPr="00BA6071">
        <w:rPr>
          <w:rFonts w:asciiTheme="minorHAnsi" w:hAnsiTheme="minorHAnsi" w:cstheme="minorHAnsi"/>
          <w:sz w:val="22"/>
          <w:szCs w:val="22"/>
        </w:rPr>
        <w:t>), Indiana Bond Bank (</w:t>
      </w:r>
      <w:proofErr w:type="spellStart"/>
      <w:r w:rsidR="0065744D" w:rsidRPr="00BA6071">
        <w:rPr>
          <w:rFonts w:asciiTheme="minorHAnsi" w:hAnsiTheme="minorHAnsi" w:cstheme="minorHAnsi"/>
          <w:sz w:val="22"/>
          <w:szCs w:val="22"/>
        </w:rPr>
        <w:t>IBB</w:t>
      </w:r>
      <w:proofErr w:type="spellEnd"/>
      <w:r w:rsidR="0065744D" w:rsidRPr="00BA6071">
        <w:rPr>
          <w:rFonts w:asciiTheme="minorHAnsi" w:hAnsiTheme="minorHAnsi" w:cstheme="minorHAnsi"/>
          <w:sz w:val="22"/>
          <w:szCs w:val="22"/>
        </w:rPr>
        <w:t>), Indiana State Department of Health (</w:t>
      </w:r>
      <w:proofErr w:type="spellStart"/>
      <w:r w:rsidR="0065744D" w:rsidRPr="00BA6071">
        <w:rPr>
          <w:rFonts w:asciiTheme="minorHAnsi" w:hAnsiTheme="minorHAnsi" w:cstheme="minorHAnsi"/>
          <w:sz w:val="22"/>
          <w:szCs w:val="22"/>
        </w:rPr>
        <w:t>ISDH</w:t>
      </w:r>
      <w:proofErr w:type="spellEnd"/>
      <w:r w:rsidR="0065744D" w:rsidRPr="00BA6071">
        <w:rPr>
          <w:rFonts w:asciiTheme="minorHAnsi" w:hAnsiTheme="minorHAnsi" w:cstheme="minorHAnsi"/>
          <w:sz w:val="22"/>
          <w:szCs w:val="22"/>
        </w:rPr>
        <w:t>), and the Indiana Department of Transportation (</w:t>
      </w:r>
      <w:proofErr w:type="spellStart"/>
      <w:r w:rsidR="0065744D" w:rsidRPr="00BA6071">
        <w:rPr>
          <w:rFonts w:asciiTheme="minorHAnsi" w:hAnsiTheme="minorHAnsi" w:cstheme="minorHAnsi"/>
          <w:sz w:val="22"/>
          <w:szCs w:val="22"/>
        </w:rPr>
        <w:t>INDOT</w:t>
      </w:r>
      <w:proofErr w:type="spellEnd"/>
      <w:r w:rsidR="0065744D" w:rsidRPr="00BA6071">
        <w:rPr>
          <w:rFonts w:asciiTheme="minorHAnsi" w:hAnsiTheme="minorHAnsi" w:cstheme="minorHAnsi"/>
          <w:sz w:val="22"/>
          <w:szCs w:val="22"/>
        </w:rPr>
        <w:t xml:space="preserve">). The Stellar </w:t>
      </w:r>
      <w:r w:rsidR="003B3C5F">
        <w:rPr>
          <w:rFonts w:asciiTheme="minorHAnsi" w:hAnsiTheme="minorHAnsi" w:cstheme="minorHAnsi"/>
          <w:sz w:val="22"/>
          <w:szCs w:val="22"/>
        </w:rPr>
        <w:t xml:space="preserve">Regions Program </w:t>
      </w:r>
      <w:r w:rsidR="00B90B9B" w:rsidRPr="00BA6071">
        <w:rPr>
          <w:rFonts w:asciiTheme="minorHAnsi" w:hAnsiTheme="minorHAnsi" w:cstheme="minorHAnsi"/>
          <w:sz w:val="22"/>
          <w:szCs w:val="22"/>
        </w:rPr>
        <w:t xml:space="preserve">seeks </w:t>
      </w:r>
      <w:r w:rsidRPr="00BA6071">
        <w:rPr>
          <w:rFonts w:asciiTheme="minorHAnsi" w:hAnsiTheme="minorHAnsi" w:cstheme="minorHAnsi"/>
          <w:sz w:val="22"/>
          <w:szCs w:val="22"/>
        </w:rPr>
        <w:t xml:space="preserve">to engage </w:t>
      </w:r>
      <w:r w:rsidR="003B3C5F">
        <w:rPr>
          <w:rFonts w:asciiTheme="minorHAnsi" w:hAnsiTheme="minorHAnsi" w:cstheme="minorHAnsi"/>
          <w:sz w:val="22"/>
          <w:szCs w:val="22"/>
        </w:rPr>
        <w:t>one (1) region</w:t>
      </w:r>
      <w:r w:rsidR="00FF3739" w:rsidRPr="00BA6071">
        <w:rPr>
          <w:rFonts w:asciiTheme="minorHAnsi" w:hAnsiTheme="minorHAnsi" w:cstheme="minorHAnsi"/>
          <w:sz w:val="22"/>
          <w:szCs w:val="22"/>
        </w:rPr>
        <w:t xml:space="preserve"> to achieve a three-year revitalization strategy that will leverage unified state investment and funding from the partnering agencies to complete projects comprehensively.  In the revitalization strategy</w:t>
      </w:r>
      <w:r w:rsidR="00B90B9B" w:rsidRPr="00BA6071">
        <w:rPr>
          <w:rFonts w:asciiTheme="minorHAnsi" w:hAnsiTheme="minorHAnsi" w:cstheme="minorHAnsi"/>
          <w:sz w:val="22"/>
          <w:szCs w:val="22"/>
        </w:rPr>
        <w:t>,</w:t>
      </w:r>
      <w:r w:rsidR="00FF3739" w:rsidRPr="00BA6071">
        <w:rPr>
          <w:rFonts w:asciiTheme="minorHAnsi" w:hAnsiTheme="minorHAnsi" w:cstheme="minorHAnsi"/>
          <w:sz w:val="22"/>
          <w:szCs w:val="22"/>
        </w:rPr>
        <w:t xml:space="preserve"> communities will identify areas of interest and types of projects, produce a schedule to complete projects, produce cost estimates, identify local match amounts, sources, and additional funding resources, indicate the level of community impact, and describe the significance each project will have on the overall comprehensive</w:t>
      </w:r>
      <w:r w:rsidR="00102AF1" w:rsidRPr="00BA6071">
        <w:rPr>
          <w:rFonts w:asciiTheme="minorHAnsi" w:hAnsiTheme="minorHAnsi" w:cstheme="minorHAnsi"/>
          <w:sz w:val="22"/>
          <w:szCs w:val="22"/>
        </w:rPr>
        <w:t xml:space="preserve"> revitalization of the region</w:t>
      </w:r>
      <w:r w:rsidR="00FF3739" w:rsidRPr="00BA6071">
        <w:rPr>
          <w:rFonts w:asciiTheme="minorHAnsi" w:hAnsiTheme="minorHAnsi" w:cstheme="minorHAnsi"/>
          <w:sz w:val="22"/>
          <w:szCs w:val="22"/>
        </w:rPr>
        <w:t>. From this revi</w:t>
      </w:r>
      <w:r w:rsidR="00102AF1" w:rsidRPr="00BA6071">
        <w:rPr>
          <w:rFonts w:asciiTheme="minorHAnsi" w:hAnsiTheme="minorHAnsi" w:cstheme="minorHAnsi"/>
          <w:sz w:val="22"/>
          <w:szCs w:val="22"/>
        </w:rPr>
        <w:t xml:space="preserve">talization strategy, regions </w:t>
      </w:r>
      <w:r w:rsidR="00FF3739" w:rsidRPr="00BA6071">
        <w:rPr>
          <w:rFonts w:asciiTheme="minorHAnsi" w:hAnsiTheme="minorHAnsi" w:cstheme="minorHAnsi"/>
          <w:sz w:val="22"/>
          <w:szCs w:val="22"/>
        </w:rPr>
        <w:t>wil</w:t>
      </w:r>
      <w:r w:rsidR="00102AF1" w:rsidRPr="00BA6071">
        <w:rPr>
          <w:rFonts w:asciiTheme="minorHAnsi" w:hAnsiTheme="minorHAnsi" w:cstheme="minorHAnsi"/>
          <w:sz w:val="22"/>
          <w:szCs w:val="22"/>
        </w:rPr>
        <w:t>l produce a three-year regional</w:t>
      </w:r>
      <w:r w:rsidR="00FF3739" w:rsidRPr="00BA6071">
        <w:rPr>
          <w:rFonts w:asciiTheme="minorHAnsi" w:hAnsiTheme="minorHAnsi" w:cstheme="minorHAnsi"/>
          <w:sz w:val="22"/>
          <w:szCs w:val="22"/>
        </w:rPr>
        <w:t xml:space="preserve"> </w:t>
      </w:r>
      <w:r w:rsidR="0065744D" w:rsidRPr="00BA6071">
        <w:rPr>
          <w:rFonts w:asciiTheme="minorHAnsi" w:hAnsiTheme="minorHAnsi" w:cstheme="minorHAnsi"/>
          <w:sz w:val="22"/>
          <w:szCs w:val="22"/>
        </w:rPr>
        <w:t xml:space="preserve">development </w:t>
      </w:r>
      <w:r w:rsidR="00FF3739" w:rsidRPr="00BA6071">
        <w:rPr>
          <w:rFonts w:asciiTheme="minorHAnsi" w:hAnsiTheme="minorHAnsi" w:cstheme="minorHAnsi"/>
          <w:sz w:val="22"/>
          <w:szCs w:val="22"/>
        </w:rPr>
        <w:t xml:space="preserve">plan which will identify capital and quality of life projects to be completed during that period.  </w:t>
      </w:r>
    </w:p>
    <w:p w14:paraId="41C7BB21" w14:textId="77777777" w:rsidR="00FF3739" w:rsidRPr="00BA6071" w:rsidRDefault="00FF3739" w:rsidP="00FF3739">
      <w:pPr>
        <w:jc w:val="both"/>
        <w:rPr>
          <w:rFonts w:asciiTheme="minorHAnsi" w:hAnsiTheme="minorHAnsi" w:cstheme="minorHAnsi"/>
          <w:sz w:val="22"/>
          <w:szCs w:val="22"/>
        </w:rPr>
      </w:pPr>
    </w:p>
    <w:p w14:paraId="2662C851" w14:textId="77777777" w:rsidR="00FF3739" w:rsidRPr="00BA6071" w:rsidRDefault="00FF3739" w:rsidP="00FF3739">
      <w:pPr>
        <w:pStyle w:val="BodyText"/>
        <w:jc w:val="left"/>
        <w:rPr>
          <w:rFonts w:asciiTheme="minorHAnsi" w:hAnsiTheme="minorHAnsi" w:cstheme="minorHAnsi"/>
          <w:b w:val="0"/>
          <w:sz w:val="22"/>
          <w:szCs w:val="22"/>
        </w:rPr>
      </w:pPr>
      <w:r w:rsidRPr="00BA6071">
        <w:rPr>
          <w:rFonts w:asciiTheme="minorHAnsi" w:hAnsiTheme="minorHAnsi" w:cstheme="minorHAnsi"/>
          <w:b w:val="0"/>
          <w:sz w:val="22"/>
          <w:szCs w:val="22"/>
        </w:rPr>
        <w:t>Evaluation and select</w:t>
      </w:r>
      <w:r w:rsidR="004E2FD6" w:rsidRPr="00BA6071">
        <w:rPr>
          <w:rFonts w:asciiTheme="minorHAnsi" w:hAnsiTheme="minorHAnsi" w:cstheme="minorHAnsi"/>
          <w:b w:val="0"/>
          <w:sz w:val="22"/>
          <w:szCs w:val="22"/>
        </w:rPr>
        <w:t>ion of the final regions</w:t>
      </w:r>
      <w:r w:rsidRPr="00BA6071">
        <w:rPr>
          <w:rFonts w:asciiTheme="minorHAnsi" w:hAnsiTheme="minorHAnsi" w:cstheme="minorHAnsi"/>
          <w:b w:val="0"/>
          <w:sz w:val="22"/>
          <w:szCs w:val="22"/>
        </w:rPr>
        <w:t xml:space="preserve"> </w:t>
      </w:r>
      <w:r w:rsidR="004168D3" w:rsidRPr="00BA6071">
        <w:rPr>
          <w:rFonts w:asciiTheme="minorHAnsi" w:hAnsiTheme="minorHAnsi" w:cstheme="minorHAnsi"/>
          <w:b w:val="0"/>
          <w:sz w:val="22"/>
          <w:szCs w:val="22"/>
        </w:rPr>
        <w:t>to</w:t>
      </w:r>
      <w:r w:rsidRPr="00BA6071">
        <w:rPr>
          <w:rFonts w:asciiTheme="minorHAnsi" w:hAnsiTheme="minorHAnsi" w:cstheme="minorHAnsi"/>
          <w:b w:val="0"/>
          <w:sz w:val="22"/>
          <w:szCs w:val="22"/>
        </w:rPr>
        <w:t xml:space="preserve"> the Stel</w:t>
      </w:r>
      <w:r w:rsidR="004E2FD6" w:rsidRPr="00BA6071">
        <w:rPr>
          <w:rFonts w:asciiTheme="minorHAnsi" w:hAnsiTheme="minorHAnsi" w:cstheme="minorHAnsi"/>
          <w:b w:val="0"/>
          <w:sz w:val="22"/>
          <w:szCs w:val="22"/>
        </w:rPr>
        <w:t>lar Regions</w:t>
      </w:r>
      <w:r w:rsidRPr="00BA6071">
        <w:rPr>
          <w:rFonts w:asciiTheme="minorHAnsi" w:hAnsiTheme="minorHAnsi" w:cstheme="minorHAnsi"/>
          <w:b w:val="0"/>
          <w:sz w:val="22"/>
          <w:szCs w:val="22"/>
        </w:rPr>
        <w:t xml:space="preserve"> Program will be based on:</w:t>
      </w:r>
    </w:p>
    <w:p w14:paraId="36AB9169" w14:textId="77777777" w:rsidR="00FF3739" w:rsidRPr="00BA6071" w:rsidRDefault="00FF3739" w:rsidP="00FF3739">
      <w:pPr>
        <w:rPr>
          <w:rFonts w:asciiTheme="minorHAnsi" w:hAnsiTheme="minorHAnsi" w:cstheme="minorHAnsi"/>
          <w:sz w:val="22"/>
          <w:szCs w:val="22"/>
        </w:rPr>
      </w:pPr>
    </w:p>
    <w:p w14:paraId="7674E63C" w14:textId="3F893801" w:rsidR="00FF3739" w:rsidRPr="009A6080" w:rsidRDefault="00FF3739" w:rsidP="00B90B9B">
      <w:pPr>
        <w:pStyle w:val="ListParagraph"/>
        <w:numPr>
          <w:ilvl w:val="0"/>
          <w:numId w:val="11"/>
        </w:numPr>
        <w:contextualSpacing/>
        <w:rPr>
          <w:rFonts w:asciiTheme="minorHAnsi" w:hAnsiTheme="minorHAnsi" w:cstheme="minorHAnsi"/>
          <w:sz w:val="22"/>
          <w:szCs w:val="22"/>
        </w:rPr>
      </w:pPr>
      <w:r w:rsidRPr="00BA6071">
        <w:rPr>
          <w:rFonts w:asciiTheme="minorHAnsi" w:hAnsiTheme="minorHAnsi" w:cstheme="minorHAnsi"/>
          <w:sz w:val="22"/>
          <w:szCs w:val="22"/>
        </w:rPr>
        <w:t xml:space="preserve">Summary of </w:t>
      </w:r>
      <w:r w:rsidR="0065744D" w:rsidRPr="00BA6071">
        <w:rPr>
          <w:rFonts w:asciiTheme="minorHAnsi" w:hAnsiTheme="minorHAnsi" w:cstheme="minorHAnsi"/>
          <w:sz w:val="22"/>
          <w:szCs w:val="22"/>
        </w:rPr>
        <w:t>the Regional Development Plan</w:t>
      </w:r>
    </w:p>
    <w:p w14:paraId="1FF5A682" w14:textId="317835C9" w:rsidR="00FF3739" w:rsidRPr="009A6080" w:rsidRDefault="00FF3739" w:rsidP="009A6080">
      <w:pPr>
        <w:pStyle w:val="ListParagraph"/>
        <w:numPr>
          <w:ilvl w:val="0"/>
          <w:numId w:val="11"/>
        </w:numPr>
        <w:contextualSpacing/>
        <w:rPr>
          <w:rFonts w:asciiTheme="minorHAnsi" w:hAnsiTheme="minorHAnsi" w:cstheme="minorHAnsi"/>
          <w:sz w:val="22"/>
          <w:szCs w:val="22"/>
        </w:rPr>
      </w:pPr>
      <w:r w:rsidRPr="00BA6071">
        <w:rPr>
          <w:rFonts w:asciiTheme="minorHAnsi" w:hAnsiTheme="minorHAnsi" w:cstheme="minorHAnsi"/>
          <w:sz w:val="22"/>
          <w:szCs w:val="22"/>
        </w:rPr>
        <w:t xml:space="preserve">Identify at least one project to be completed in each of the </w:t>
      </w:r>
      <w:r w:rsidR="003B3C5F">
        <w:rPr>
          <w:rFonts w:asciiTheme="minorHAnsi" w:hAnsiTheme="minorHAnsi" w:cstheme="minorHAnsi"/>
          <w:sz w:val="22"/>
          <w:szCs w:val="22"/>
        </w:rPr>
        <w:t>three (</w:t>
      </w:r>
      <w:r w:rsidRPr="00BA6071">
        <w:rPr>
          <w:rFonts w:asciiTheme="minorHAnsi" w:hAnsiTheme="minorHAnsi" w:cstheme="minorHAnsi"/>
          <w:sz w:val="22"/>
          <w:szCs w:val="22"/>
        </w:rPr>
        <w:t>3</w:t>
      </w:r>
      <w:r w:rsidR="003B3C5F">
        <w:rPr>
          <w:rFonts w:asciiTheme="minorHAnsi" w:hAnsiTheme="minorHAnsi" w:cstheme="minorHAnsi"/>
          <w:sz w:val="22"/>
          <w:szCs w:val="22"/>
        </w:rPr>
        <w:t>)</w:t>
      </w:r>
      <w:r w:rsidRPr="00BA6071">
        <w:rPr>
          <w:rFonts w:asciiTheme="minorHAnsi" w:hAnsiTheme="minorHAnsi" w:cstheme="minorHAnsi"/>
          <w:sz w:val="22"/>
          <w:szCs w:val="22"/>
        </w:rPr>
        <w:t xml:space="preserve"> program years. The total number of projects is solely limited to the community’s ability to successfully complete the projects; </w:t>
      </w:r>
    </w:p>
    <w:p w14:paraId="0AFFCCB8" w14:textId="15922A48" w:rsidR="00340566" w:rsidRPr="009A6080" w:rsidRDefault="00FF3739" w:rsidP="001D5FEE">
      <w:pPr>
        <w:pStyle w:val="ListParagraph"/>
        <w:numPr>
          <w:ilvl w:val="0"/>
          <w:numId w:val="11"/>
        </w:numPr>
        <w:contextualSpacing/>
        <w:rPr>
          <w:rFonts w:asciiTheme="minorHAnsi" w:hAnsiTheme="minorHAnsi" w:cstheme="minorHAnsi"/>
          <w:sz w:val="22"/>
          <w:szCs w:val="22"/>
        </w:rPr>
      </w:pPr>
      <w:r w:rsidRPr="00BA6071">
        <w:rPr>
          <w:rFonts w:asciiTheme="minorHAnsi" w:hAnsiTheme="minorHAnsi" w:cstheme="minorHAnsi"/>
          <w:sz w:val="22"/>
          <w:szCs w:val="22"/>
        </w:rPr>
        <w:t>Identify/document project cost estimates, local matc</w:t>
      </w:r>
      <w:r w:rsidR="00B90B9B" w:rsidRPr="00BA6071">
        <w:rPr>
          <w:rFonts w:asciiTheme="minorHAnsi" w:hAnsiTheme="minorHAnsi" w:cstheme="minorHAnsi"/>
          <w:sz w:val="22"/>
          <w:szCs w:val="22"/>
        </w:rPr>
        <w:t>h amounts</w:t>
      </w:r>
      <w:r w:rsidR="003B3C5F">
        <w:rPr>
          <w:rFonts w:asciiTheme="minorHAnsi" w:hAnsiTheme="minorHAnsi" w:cstheme="minorHAnsi"/>
          <w:sz w:val="22"/>
          <w:szCs w:val="22"/>
        </w:rPr>
        <w:t>,</w:t>
      </w:r>
      <w:r w:rsidR="00B90B9B" w:rsidRPr="00BA6071">
        <w:rPr>
          <w:rFonts w:asciiTheme="minorHAnsi" w:hAnsiTheme="minorHAnsi" w:cstheme="minorHAnsi"/>
          <w:sz w:val="22"/>
          <w:szCs w:val="22"/>
        </w:rPr>
        <w:t xml:space="preserve"> and sources, and</w:t>
      </w:r>
      <w:r w:rsidRPr="00BA6071">
        <w:rPr>
          <w:rFonts w:asciiTheme="minorHAnsi" w:hAnsiTheme="minorHAnsi" w:cstheme="minorHAnsi"/>
          <w:sz w:val="22"/>
          <w:szCs w:val="22"/>
        </w:rPr>
        <w:t xml:space="preserve"> funding resources.</w:t>
      </w:r>
    </w:p>
    <w:p w14:paraId="25D65B57" w14:textId="63EE8DD1" w:rsidR="00FF3739" w:rsidRPr="009A6080" w:rsidRDefault="00FF3739" w:rsidP="009A6080">
      <w:pPr>
        <w:pStyle w:val="ListParagraph"/>
        <w:numPr>
          <w:ilvl w:val="0"/>
          <w:numId w:val="11"/>
        </w:numPr>
        <w:contextualSpacing/>
        <w:rPr>
          <w:rFonts w:asciiTheme="minorHAnsi" w:hAnsiTheme="minorHAnsi" w:cstheme="minorHAnsi"/>
          <w:sz w:val="22"/>
          <w:szCs w:val="22"/>
        </w:rPr>
      </w:pPr>
      <w:r w:rsidRPr="00BA6071">
        <w:rPr>
          <w:rFonts w:asciiTheme="minorHAnsi" w:hAnsiTheme="minorHAnsi" w:cstheme="minorHAnsi"/>
          <w:sz w:val="22"/>
          <w:szCs w:val="22"/>
        </w:rPr>
        <w:t xml:space="preserve">Completion of </w:t>
      </w:r>
      <w:r w:rsidR="0065744D" w:rsidRPr="00BA6071">
        <w:rPr>
          <w:rFonts w:asciiTheme="minorHAnsi" w:hAnsiTheme="minorHAnsi" w:cstheme="minorHAnsi"/>
          <w:sz w:val="22"/>
          <w:szCs w:val="22"/>
        </w:rPr>
        <w:t>ou</w:t>
      </w:r>
      <w:r w:rsidR="00AC6B87" w:rsidRPr="00BA6071">
        <w:rPr>
          <w:rFonts w:asciiTheme="minorHAnsi" w:hAnsiTheme="minorHAnsi" w:cstheme="minorHAnsi"/>
          <w:sz w:val="22"/>
          <w:szCs w:val="22"/>
        </w:rPr>
        <w:t>t</w:t>
      </w:r>
      <w:r w:rsidR="0065744D" w:rsidRPr="00BA6071">
        <w:rPr>
          <w:rFonts w:asciiTheme="minorHAnsi" w:hAnsiTheme="minorHAnsi" w:cstheme="minorHAnsi"/>
          <w:sz w:val="22"/>
          <w:szCs w:val="22"/>
        </w:rPr>
        <w:t>lined requirements of the Stellar Designation</w:t>
      </w:r>
      <w:r w:rsidRPr="00BA6071">
        <w:rPr>
          <w:rFonts w:asciiTheme="minorHAnsi" w:hAnsiTheme="minorHAnsi" w:cstheme="minorHAnsi"/>
          <w:sz w:val="22"/>
          <w:szCs w:val="22"/>
        </w:rPr>
        <w:t>.</w:t>
      </w:r>
    </w:p>
    <w:p w14:paraId="229D802A" w14:textId="69BD1316" w:rsidR="00FF3739" w:rsidRPr="009A6080" w:rsidRDefault="00B90B9B" w:rsidP="009A6080">
      <w:pPr>
        <w:pStyle w:val="ListParagraph"/>
        <w:numPr>
          <w:ilvl w:val="0"/>
          <w:numId w:val="11"/>
        </w:numPr>
        <w:contextualSpacing/>
        <w:rPr>
          <w:rFonts w:asciiTheme="minorHAnsi" w:hAnsiTheme="minorHAnsi" w:cstheme="minorHAnsi"/>
          <w:sz w:val="22"/>
          <w:szCs w:val="22"/>
        </w:rPr>
      </w:pPr>
      <w:r w:rsidRPr="00BA6071">
        <w:rPr>
          <w:rFonts w:asciiTheme="minorHAnsi" w:hAnsiTheme="minorHAnsi" w:cstheme="minorHAnsi"/>
          <w:sz w:val="22"/>
          <w:szCs w:val="22"/>
        </w:rPr>
        <w:t>Document</w:t>
      </w:r>
      <w:r w:rsidR="003B3C5F">
        <w:rPr>
          <w:rFonts w:asciiTheme="minorHAnsi" w:hAnsiTheme="minorHAnsi" w:cstheme="minorHAnsi"/>
          <w:sz w:val="22"/>
          <w:szCs w:val="22"/>
        </w:rPr>
        <w:t xml:space="preserve"> the </w:t>
      </w:r>
      <w:r w:rsidR="00FF3739" w:rsidRPr="00BA6071">
        <w:rPr>
          <w:rFonts w:asciiTheme="minorHAnsi" w:hAnsiTheme="minorHAnsi" w:cstheme="minorHAnsi"/>
          <w:sz w:val="22"/>
          <w:szCs w:val="22"/>
        </w:rPr>
        <w:t xml:space="preserve">level of need </w:t>
      </w:r>
      <w:r w:rsidRPr="00BA6071">
        <w:rPr>
          <w:rFonts w:asciiTheme="minorHAnsi" w:hAnsiTheme="minorHAnsi" w:cstheme="minorHAnsi"/>
          <w:sz w:val="22"/>
          <w:szCs w:val="22"/>
        </w:rPr>
        <w:t>and significance of</w:t>
      </w:r>
      <w:r w:rsidR="00FF3739" w:rsidRPr="00BA6071">
        <w:rPr>
          <w:rFonts w:asciiTheme="minorHAnsi" w:hAnsiTheme="minorHAnsi" w:cstheme="minorHAnsi"/>
          <w:sz w:val="22"/>
          <w:szCs w:val="22"/>
        </w:rPr>
        <w:t xml:space="preserve"> each </w:t>
      </w:r>
      <w:r w:rsidRPr="00BA6071">
        <w:rPr>
          <w:rFonts w:asciiTheme="minorHAnsi" w:hAnsiTheme="minorHAnsi" w:cstheme="minorHAnsi"/>
          <w:sz w:val="22"/>
          <w:szCs w:val="22"/>
        </w:rPr>
        <w:t xml:space="preserve">project in overall community </w:t>
      </w:r>
      <w:r w:rsidR="00FF3739" w:rsidRPr="00BA6071">
        <w:rPr>
          <w:rFonts w:asciiTheme="minorHAnsi" w:hAnsiTheme="minorHAnsi" w:cstheme="minorHAnsi"/>
          <w:sz w:val="22"/>
          <w:szCs w:val="22"/>
        </w:rPr>
        <w:t>revitalization efforts</w:t>
      </w:r>
      <w:r w:rsidRPr="00BA6071">
        <w:rPr>
          <w:rFonts w:asciiTheme="minorHAnsi" w:hAnsiTheme="minorHAnsi" w:cstheme="minorHAnsi"/>
          <w:sz w:val="22"/>
          <w:szCs w:val="22"/>
        </w:rPr>
        <w:t>.</w:t>
      </w:r>
    </w:p>
    <w:p w14:paraId="3870FE05" w14:textId="0A042D53" w:rsidR="00FF3739" w:rsidRPr="009A6080" w:rsidRDefault="00FF3739" w:rsidP="009A6080">
      <w:pPr>
        <w:pStyle w:val="ListParagraph"/>
        <w:numPr>
          <w:ilvl w:val="0"/>
          <w:numId w:val="11"/>
        </w:numPr>
        <w:contextualSpacing/>
        <w:rPr>
          <w:rFonts w:asciiTheme="minorHAnsi" w:hAnsiTheme="minorHAnsi" w:cstheme="minorHAnsi"/>
          <w:sz w:val="22"/>
          <w:szCs w:val="22"/>
        </w:rPr>
      </w:pPr>
      <w:r w:rsidRPr="00BA6071">
        <w:rPr>
          <w:rFonts w:asciiTheme="minorHAnsi" w:hAnsiTheme="minorHAnsi" w:cstheme="minorHAnsi"/>
          <w:sz w:val="22"/>
          <w:szCs w:val="22"/>
        </w:rPr>
        <w:t>Capacity of the applicant to administer the funds;</w:t>
      </w:r>
    </w:p>
    <w:p w14:paraId="61CDE174" w14:textId="77777777" w:rsidR="00FF3739" w:rsidRPr="00BA6071" w:rsidRDefault="00FF3739" w:rsidP="005B4ADC">
      <w:pPr>
        <w:pStyle w:val="ListParagraph"/>
        <w:numPr>
          <w:ilvl w:val="0"/>
          <w:numId w:val="11"/>
        </w:numPr>
        <w:contextualSpacing/>
        <w:rPr>
          <w:rFonts w:asciiTheme="minorHAnsi" w:hAnsiTheme="minorHAnsi" w:cstheme="minorHAnsi"/>
          <w:sz w:val="22"/>
          <w:szCs w:val="22"/>
        </w:rPr>
      </w:pPr>
      <w:r w:rsidRPr="00BA6071">
        <w:rPr>
          <w:rFonts w:asciiTheme="minorHAnsi" w:hAnsiTheme="minorHAnsi" w:cstheme="minorHAnsi"/>
          <w:sz w:val="22"/>
          <w:szCs w:val="22"/>
        </w:rPr>
        <w:t>The long-term viability of the strategic community investment plan;</w:t>
      </w:r>
    </w:p>
    <w:p w14:paraId="324EFE9A" w14:textId="77777777" w:rsidR="00FF3739" w:rsidRPr="00BA6071" w:rsidRDefault="00FF3739" w:rsidP="00FF3739">
      <w:pPr>
        <w:rPr>
          <w:rFonts w:asciiTheme="minorHAnsi" w:hAnsiTheme="minorHAnsi" w:cstheme="minorHAnsi"/>
          <w:sz w:val="22"/>
          <w:szCs w:val="22"/>
        </w:rPr>
      </w:pPr>
    </w:p>
    <w:p w14:paraId="1B8A1D29" w14:textId="77777777" w:rsidR="00EB22A5" w:rsidRPr="00BA6071" w:rsidRDefault="00FF3739" w:rsidP="00EB22A5">
      <w:pPr>
        <w:pStyle w:val="Default"/>
        <w:jc w:val="both"/>
        <w:rPr>
          <w:rFonts w:asciiTheme="minorHAnsi" w:hAnsiTheme="minorHAnsi" w:cstheme="minorHAnsi"/>
          <w:color w:val="auto"/>
          <w:sz w:val="22"/>
          <w:szCs w:val="22"/>
        </w:rPr>
      </w:pPr>
      <w:r w:rsidRPr="00BA6071">
        <w:rPr>
          <w:rFonts w:asciiTheme="minorHAnsi" w:hAnsiTheme="minorHAnsi" w:cstheme="minorHAnsi"/>
          <w:color w:val="auto"/>
          <w:sz w:val="22"/>
          <w:szCs w:val="22"/>
        </w:rPr>
        <w:t xml:space="preserve">All projects funded by OCRA </w:t>
      </w:r>
      <w:r w:rsidR="00EB22A5" w:rsidRPr="00BA6071">
        <w:rPr>
          <w:rFonts w:asciiTheme="minorHAnsi" w:hAnsiTheme="minorHAnsi" w:cstheme="minorHAnsi"/>
          <w:color w:val="auto"/>
          <w:sz w:val="22"/>
          <w:szCs w:val="22"/>
        </w:rPr>
        <w:t xml:space="preserve">will be eligible for funding under a national objective of the Federal Act and requirements of 24 CFR 570.208 and 24 CFR 570.483 of applicable HUD regulations. </w:t>
      </w:r>
    </w:p>
    <w:p w14:paraId="1C8D5EC0" w14:textId="77777777" w:rsidR="00FF3739" w:rsidRPr="00BA6071" w:rsidRDefault="00FF3739" w:rsidP="009222DD">
      <w:pPr>
        <w:pStyle w:val="Default"/>
        <w:jc w:val="both"/>
        <w:rPr>
          <w:rFonts w:asciiTheme="minorHAnsi" w:hAnsiTheme="minorHAnsi" w:cstheme="minorHAnsi"/>
          <w:bCs/>
          <w:color w:val="auto"/>
          <w:sz w:val="22"/>
          <w:szCs w:val="22"/>
        </w:rPr>
      </w:pPr>
    </w:p>
    <w:p w14:paraId="7678AFB5" w14:textId="77777777" w:rsidR="00EB22A5" w:rsidRPr="003060BB" w:rsidRDefault="00EB22A5" w:rsidP="00EB22A5">
      <w:pPr>
        <w:pStyle w:val="Default"/>
        <w:jc w:val="both"/>
        <w:rPr>
          <w:rFonts w:asciiTheme="minorHAnsi" w:hAnsiTheme="minorHAnsi" w:cstheme="minorHAnsi"/>
          <w:color w:val="auto"/>
          <w:sz w:val="22"/>
          <w:szCs w:val="22"/>
        </w:rPr>
      </w:pPr>
      <w:r w:rsidRPr="00BA6071">
        <w:rPr>
          <w:rFonts w:asciiTheme="minorHAnsi" w:hAnsiTheme="minorHAnsi" w:cstheme="minorHAnsi"/>
          <w:bCs/>
          <w:color w:val="auto"/>
          <w:sz w:val="22"/>
          <w:szCs w:val="22"/>
        </w:rPr>
        <w:t xml:space="preserve">All projects funded by IHCDA with CDBG funds </w:t>
      </w:r>
      <w:r w:rsidRPr="00BA6071">
        <w:rPr>
          <w:rFonts w:asciiTheme="minorHAnsi" w:hAnsiTheme="minorHAnsi" w:cstheme="minorHAnsi"/>
          <w:color w:val="auto"/>
          <w:sz w:val="22"/>
          <w:szCs w:val="22"/>
        </w:rPr>
        <w:t xml:space="preserve">will be eligible for funding under a national objective of the Federal Act and requirements of 24 CFR 570.208 and 24 CFR 570.483 of applicable HUD regulations.   All projects funded by IHCDA with HOME, </w:t>
      </w:r>
      <w:proofErr w:type="spellStart"/>
      <w:r w:rsidRPr="00BA6071">
        <w:rPr>
          <w:rFonts w:asciiTheme="minorHAnsi" w:hAnsiTheme="minorHAnsi" w:cstheme="minorHAnsi"/>
          <w:color w:val="auto"/>
          <w:sz w:val="22"/>
          <w:szCs w:val="22"/>
        </w:rPr>
        <w:t>ESG</w:t>
      </w:r>
      <w:proofErr w:type="spellEnd"/>
      <w:r w:rsidRPr="00BA6071">
        <w:rPr>
          <w:rFonts w:asciiTheme="minorHAnsi" w:hAnsiTheme="minorHAnsi" w:cstheme="minorHAnsi"/>
          <w:color w:val="auto"/>
          <w:sz w:val="22"/>
          <w:szCs w:val="22"/>
        </w:rPr>
        <w:t xml:space="preserve"> and/or </w:t>
      </w:r>
      <w:proofErr w:type="spellStart"/>
      <w:r w:rsidRPr="00BA6071">
        <w:rPr>
          <w:rFonts w:asciiTheme="minorHAnsi" w:hAnsiTheme="minorHAnsi" w:cstheme="minorHAnsi"/>
          <w:color w:val="auto"/>
          <w:sz w:val="22"/>
          <w:szCs w:val="22"/>
        </w:rPr>
        <w:t>HOPWA</w:t>
      </w:r>
      <w:proofErr w:type="spellEnd"/>
      <w:r w:rsidRPr="00BA6071">
        <w:rPr>
          <w:rFonts w:asciiTheme="minorHAnsi" w:hAnsiTheme="minorHAnsi" w:cstheme="minorHAnsi"/>
          <w:color w:val="auto"/>
          <w:sz w:val="22"/>
          <w:szCs w:val="22"/>
        </w:rPr>
        <w:t xml:space="preserve"> funds will meet the specific requirements set forth by those programs.</w:t>
      </w:r>
    </w:p>
    <w:p w14:paraId="08F96AF4" w14:textId="77777777" w:rsidR="009222DD" w:rsidRDefault="009222DD">
      <w:pPr>
        <w:pStyle w:val="Default"/>
        <w:jc w:val="both"/>
        <w:rPr>
          <w:rFonts w:asciiTheme="minorHAnsi" w:hAnsiTheme="minorHAnsi" w:cstheme="minorHAnsi"/>
          <w:b/>
          <w:bCs/>
          <w:color w:val="auto"/>
          <w:sz w:val="22"/>
          <w:szCs w:val="22"/>
        </w:rPr>
      </w:pPr>
    </w:p>
    <w:p w14:paraId="3659D16E" w14:textId="746D4E5E" w:rsidR="00BF026E" w:rsidRPr="003060BB" w:rsidRDefault="00BF026E" w:rsidP="00BF026E">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C</w:t>
      </w:r>
      <w:r w:rsidRPr="003060BB">
        <w:rPr>
          <w:rFonts w:asciiTheme="minorHAnsi" w:hAnsiTheme="minorHAnsi" w:cstheme="minorHAnsi"/>
          <w:b/>
          <w:bCs/>
          <w:color w:val="auto"/>
          <w:sz w:val="22"/>
          <w:szCs w:val="22"/>
        </w:rPr>
        <w:t xml:space="preserve">. Blight Clearance Program: </w:t>
      </w:r>
      <w:r w:rsidRPr="003060BB">
        <w:rPr>
          <w:rFonts w:asciiTheme="minorHAnsi" w:hAnsiTheme="minorHAnsi" w:cstheme="minorHAnsi"/>
          <w:bCs/>
          <w:color w:val="auto"/>
          <w:sz w:val="22"/>
          <w:szCs w:val="22"/>
        </w:rPr>
        <w:t>$</w:t>
      </w:r>
      <w:r w:rsidR="00F71B02">
        <w:rPr>
          <w:rFonts w:asciiTheme="minorHAnsi" w:hAnsiTheme="minorHAnsi" w:cstheme="minorHAnsi"/>
          <w:bCs/>
          <w:color w:val="auto"/>
          <w:sz w:val="22"/>
          <w:szCs w:val="22"/>
        </w:rPr>
        <w:t>750</w:t>
      </w:r>
      <w:r w:rsidRPr="003060BB">
        <w:rPr>
          <w:rFonts w:asciiTheme="minorHAnsi" w:hAnsiTheme="minorHAnsi" w:cstheme="minorHAnsi"/>
          <w:bCs/>
          <w:color w:val="auto"/>
          <w:sz w:val="22"/>
          <w:szCs w:val="22"/>
        </w:rPr>
        <w:t>,000</w:t>
      </w:r>
    </w:p>
    <w:p w14:paraId="2EC42B6C" w14:textId="77777777" w:rsidR="00BF026E" w:rsidRPr="003060BB" w:rsidRDefault="00BF026E" w:rsidP="00BF026E">
      <w:pPr>
        <w:pStyle w:val="Default"/>
        <w:jc w:val="both"/>
        <w:rPr>
          <w:rFonts w:asciiTheme="minorHAnsi" w:hAnsiTheme="minorHAnsi" w:cstheme="minorHAnsi"/>
          <w:b/>
          <w:bCs/>
          <w:color w:val="auto"/>
          <w:sz w:val="22"/>
          <w:szCs w:val="22"/>
        </w:rPr>
      </w:pPr>
    </w:p>
    <w:p w14:paraId="36C2AC7F" w14:textId="162D3A5B" w:rsidR="00BF026E" w:rsidRPr="003060BB" w:rsidRDefault="00BF026E" w:rsidP="00BF026E">
      <w:pPr>
        <w:pStyle w:val="Default"/>
        <w:jc w:val="both"/>
        <w:rPr>
          <w:rFonts w:asciiTheme="minorHAnsi" w:hAnsiTheme="minorHAnsi" w:cstheme="minorHAnsi"/>
          <w:color w:val="auto"/>
          <w:sz w:val="22"/>
          <w:szCs w:val="22"/>
        </w:rPr>
      </w:pPr>
      <w:r>
        <w:rPr>
          <w:rFonts w:asciiTheme="minorHAnsi" w:hAnsiTheme="minorHAnsi" w:cstheme="minorHAnsi"/>
          <w:bCs/>
          <w:color w:val="auto"/>
          <w:sz w:val="22"/>
          <w:szCs w:val="22"/>
        </w:rPr>
        <w:t>OCRA will allocate</w:t>
      </w:r>
      <w:r w:rsidRPr="003060BB">
        <w:rPr>
          <w:rFonts w:asciiTheme="minorHAnsi" w:hAnsiTheme="minorHAnsi" w:cstheme="minorHAnsi"/>
          <w:bCs/>
          <w:color w:val="auto"/>
          <w:sz w:val="22"/>
          <w:szCs w:val="22"/>
        </w:rPr>
        <w:t xml:space="preserve"> $</w:t>
      </w:r>
      <w:r w:rsidR="00F71B02">
        <w:rPr>
          <w:rFonts w:asciiTheme="minorHAnsi" w:hAnsiTheme="minorHAnsi" w:cstheme="minorHAnsi"/>
          <w:bCs/>
          <w:color w:val="auto"/>
          <w:sz w:val="22"/>
          <w:szCs w:val="22"/>
        </w:rPr>
        <w:t>750</w:t>
      </w:r>
      <w:r w:rsidRPr="003060BB">
        <w:rPr>
          <w:rFonts w:asciiTheme="minorHAnsi" w:hAnsiTheme="minorHAnsi" w:cstheme="minorHAnsi"/>
          <w:bCs/>
          <w:color w:val="auto"/>
          <w:sz w:val="22"/>
          <w:szCs w:val="22"/>
        </w:rPr>
        <w:t xml:space="preserve">,000 of its FY </w:t>
      </w:r>
      <w:r>
        <w:rPr>
          <w:rFonts w:asciiTheme="minorHAnsi" w:hAnsiTheme="minorHAnsi" w:cstheme="minorHAnsi"/>
          <w:bCs/>
          <w:color w:val="auto"/>
          <w:sz w:val="22"/>
          <w:szCs w:val="22"/>
        </w:rPr>
        <w:t>2020</w:t>
      </w:r>
      <w:r w:rsidRPr="003060BB">
        <w:rPr>
          <w:rFonts w:asciiTheme="minorHAnsi" w:hAnsiTheme="minorHAnsi" w:cstheme="minorHAnsi"/>
          <w:bCs/>
          <w:color w:val="auto"/>
          <w:sz w:val="22"/>
          <w:szCs w:val="22"/>
        </w:rPr>
        <w:t xml:space="preserve"> CDBG funds for the Blight Clearance Program (</w:t>
      </w:r>
      <w:proofErr w:type="spellStart"/>
      <w:r w:rsidRPr="003060BB">
        <w:rPr>
          <w:rFonts w:asciiTheme="minorHAnsi" w:hAnsiTheme="minorHAnsi" w:cstheme="minorHAnsi"/>
          <w:bCs/>
          <w:color w:val="auto"/>
          <w:sz w:val="22"/>
          <w:szCs w:val="22"/>
        </w:rPr>
        <w:t>BCP</w:t>
      </w:r>
      <w:proofErr w:type="spellEnd"/>
      <w:r w:rsidRPr="003060BB">
        <w:rPr>
          <w:rFonts w:asciiTheme="minorHAnsi" w:hAnsiTheme="minorHAnsi" w:cstheme="minorHAnsi"/>
          <w:bCs/>
          <w:color w:val="auto"/>
          <w:sz w:val="22"/>
          <w:szCs w:val="22"/>
        </w:rPr>
        <w:t xml:space="preserve">). </w:t>
      </w:r>
      <w:r>
        <w:rPr>
          <w:rFonts w:asciiTheme="minorHAnsi" w:hAnsiTheme="minorHAnsi" w:cstheme="minorHAnsi"/>
          <w:color w:val="auto"/>
          <w:sz w:val="22"/>
          <w:szCs w:val="22"/>
        </w:rPr>
        <w:t>OCRA</w:t>
      </w:r>
      <w:r w:rsidRPr="003060BB">
        <w:rPr>
          <w:rFonts w:asciiTheme="minorHAnsi" w:hAnsiTheme="minorHAnsi" w:cstheme="minorHAnsi"/>
          <w:color w:val="auto"/>
          <w:sz w:val="22"/>
          <w:szCs w:val="22"/>
        </w:rPr>
        <w:t xml:space="preserve"> will award such grants</w:t>
      </w:r>
      <w:r>
        <w:rPr>
          <w:rFonts w:asciiTheme="minorHAnsi" w:hAnsiTheme="minorHAnsi" w:cstheme="minorHAnsi"/>
          <w:color w:val="auto"/>
          <w:sz w:val="22"/>
          <w:szCs w:val="22"/>
        </w:rPr>
        <w:t xml:space="preserve"> that meet the minimum scoring criteria outlined in Attachment D on a monthly basis. </w:t>
      </w:r>
      <w:r>
        <w:rPr>
          <w:rFonts w:asciiTheme="minorHAnsi" w:hAnsiTheme="minorHAnsi" w:cstheme="minorHAnsi"/>
          <w:sz w:val="22"/>
          <w:szCs w:val="22"/>
        </w:rPr>
        <w:t xml:space="preserve">The </w:t>
      </w:r>
      <w:proofErr w:type="spellStart"/>
      <w:r>
        <w:rPr>
          <w:rFonts w:asciiTheme="minorHAnsi" w:hAnsiTheme="minorHAnsi" w:cstheme="minorHAnsi"/>
          <w:sz w:val="22"/>
          <w:szCs w:val="22"/>
        </w:rPr>
        <w:t>BCP</w:t>
      </w:r>
      <w:proofErr w:type="spellEnd"/>
      <w:r w:rsidRPr="003060BB">
        <w:rPr>
          <w:rFonts w:asciiTheme="minorHAnsi" w:hAnsiTheme="minorHAnsi" w:cstheme="minorHAnsi"/>
          <w:sz w:val="22"/>
          <w:szCs w:val="22"/>
        </w:rPr>
        <w:t xml:space="preserve"> shall have a maxim</w:t>
      </w:r>
      <w:r>
        <w:rPr>
          <w:rFonts w:asciiTheme="minorHAnsi" w:hAnsiTheme="minorHAnsi" w:cstheme="minorHAnsi"/>
          <w:sz w:val="22"/>
          <w:szCs w:val="22"/>
        </w:rPr>
        <w:t xml:space="preserve">um grant amount of $500,000. </w:t>
      </w:r>
      <w:r>
        <w:rPr>
          <w:rFonts w:asciiTheme="minorHAnsi" w:hAnsiTheme="minorHAnsi" w:cstheme="minorHAnsi"/>
          <w:color w:val="auto"/>
          <w:sz w:val="22"/>
          <w:szCs w:val="22"/>
        </w:rPr>
        <w:t>T</w:t>
      </w:r>
      <w:r w:rsidRPr="003060BB">
        <w:rPr>
          <w:rFonts w:asciiTheme="minorHAnsi" w:hAnsiTheme="minorHAnsi" w:cstheme="minorHAnsi"/>
          <w:color w:val="auto"/>
          <w:sz w:val="22"/>
          <w:szCs w:val="22"/>
        </w:rPr>
        <w:t xml:space="preserve">he amount of CDBG funds granted will be </w:t>
      </w:r>
      <w:r>
        <w:rPr>
          <w:rFonts w:asciiTheme="minorHAnsi" w:hAnsiTheme="minorHAnsi" w:cstheme="minorHAnsi"/>
          <w:color w:val="auto"/>
          <w:sz w:val="22"/>
          <w:szCs w:val="22"/>
        </w:rPr>
        <w:t>limited to</w:t>
      </w:r>
      <w:r w:rsidRPr="003060BB">
        <w:rPr>
          <w:rFonts w:asciiTheme="minorHAnsi" w:hAnsiTheme="minorHAnsi" w:cstheme="minorHAnsi"/>
          <w:color w:val="auto"/>
          <w:sz w:val="22"/>
          <w:szCs w:val="22"/>
        </w:rPr>
        <w:t xml:space="preserve"> $5,000 cost per project beneficiary</w:t>
      </w:r>
      <w:r>
        <w:rPr>
          <w:rFonts w:asciiTheme="minorHAnsi" w:hAnsiTheme="minorHAnsi" w:cstheme="minorHAnsi"/>
          <w:color w:val="auto"/>
          <w:sz w:val="22"/>
          <w:szCs w:val="22"/>
        </w:rPr>
        <w:t>.</w:t>
      </w:r>
      <w:r>
        <w:rPr>
          <w:rFonts w:asciiTheme="minorHAnsi" w:hAnsiTheme="minorHAnsi" w:cstheme="minorHAnsi"/>
          <w:sz w:val="22"/>
          <w:szCs w:val="22"/>
        </w:rPr>
        <w:t xml:space="preserve"> </w:t>
      </w:r>
      <w:r w:rsidRPr="003060BB">
        <w:rPr>
          <w:rFonts w:asciiTheme="minorHAnsi" w:hAnsiTheme="minorHAnsi" w:cstheme="minorHAnsi"/>
          <w:sz w:val="22"/>
          <w:szCs w:val="22"/>
        </w:rPr>
        <w:t xml:space="preserve">Matching funds of at least 10% </w:t>
      </w:r>
      <w:r>
        <w:rPr>
          <w:rFonts w:asciiTheme="minorHAnsi" w:hAnsiTheme="minorHAnsi" w:cstheme="minorHAnsi"/>
          <w:sz w:val="22"/>
          <w:szCs w:val="22"/>
        </w:rPr>
        <w:t xml:space="preserve">of the total project cost </w:t>
      </w:r>
      <w:r w:rsidRPr="003060BB">
        <w:rPr>
          <w:rFonts w:asciiTheme="minorHAnsi" w:hAnsiTheme="minorHAnsi" w:cstheme="minorHAnsi"/>
          <w:sz w:val="22"/>
          <w:szCs w:val="22"/>
        </w:rPr>
        <w:t>are required for all this program.</w:t>
      </w:r>
    </w:p>
    <w:p w14:paraId="65604AF1" w14:textId="77777777" w:rsidR="00BF026E" w:rsidRPr="003060BB" w:rsidRDefault="00BF026E" w:rsidP="00BF026E">
      <w:pPr>
        <w:pStyle w:val="Default"/>
        <w:jc w:val="both"/>
        <w:rPr>
          <w:rFonts w:asciiTheme="minorHAnsi" w:hAnsiTheme="minorHAnsi" w:cstheme="minorHAnsi"/>
          <w:color w:val="auto"/>
          <w:sz w:val="22"/>
          <w:szCs w:val="22"/>
        </w:rPr>
      </w:pPr>
    </w:p>
    <w:p w14:paraId="40DB4102" w14:textId="01D0CDFC" w:rsidR="00BF026E" w:rsidRPr="00BF026E" w:rsidRDefault="00BF026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Applicants can be awarded for multiple applications until the total of those applications reaches the $500,000 maximum grant amount. At that time, the applicant becomes ineligible for </w:t>
      </w:r>
      <w:proofErr w:type="spellStart"/>
      <w:r>
        <w:rPr>
          <w:rFonts w:asciiTheme="minorHAnsi" w:hAnsiTheme="minorHAnsi" w:cstheme="minorHAnsi"/>
          <w:color w:val="auto"/>
          <w:sz w:val="22"/>
          <w:szCs w:val="22"/>
        </w:rPr>
        <w:t>BCP</w:t>
      </w:r>
      <w:proofErr w:type="spellEnd"/>
      <w:r>
        <w:rPr>
          <w:rFonts w:asciiTheme="minorHAnsi" w:hAnsiTheme="minorHAnsi" w:cstheme="minorHAnsi"/>
          <w:color w:val="auto"/>
          <w:sz w:val="22"/>
          <w:szCs w:val="22"/>
        </w:rPr>
        <w:t xml:space="preserve"> for a five (5) year period. OCRA will no assign penalty points to </w:t>
      </w:r>
      <w:proofErr w:type="spellStart"/>
      <w:r>
        <w:rPr>
          <w:rFonts w:asciiTheme="minorHAnsi" w:hAnsiTheme="minorHAnsi" w:cstheme="minorHAnsi"/>
          <w:color w:val="auto"/>
          <w:sz w:val="22"/>
          <w:szCs w:val="22"/>
        </w:rPr>
        <w:t>BCP</w:t>
      </w:r>
      <w:proofErr w:type="spellEnd"/>
      <w:r>
        <w:rPr>
          <w:rFonts w:asciiTheme="minorHAnsi" w:hAnsiTheme="minorHAnsi" w:cstheme="minorHAnsi"/>
          <w:color w:val="auto"/>
          <w:sz w:val="22"/>
          <w:szCs w:val="22"/>
        </w:rPr>
        <w:t xml:space="preserve"> applications. </w:t>
      </w:r>
    </w:p>
    <w:p w14:paraId="5D8E8D9A" w14:textId="77777777" w:rsidR="00BF026E" w:rsidRPr="003060BB" w:rsidRDefault="00BF026E">
      <w:pPr>
        <w:pStyle w:val="Default"/>
        <w:jc w:val="both"/>
        <w:rPr>
          <w:rFonts w:asciiTheme="minorHAnsi" w:hAnsiTheme="minorHAnsi" w:cstheme="minorHAnsi"/>
          <w:b/>
          <w:bCs/>
          <w:color w:val="auto"/>
          <w:sz w:val="22"/>
          <w:szCs w:val="22"/>
        </w:rPr>
      </w:pPr>
    </w:p>
    <w:p w14:paraId="6388D566" w14:textId="711E522E" w:rsidR="004B5D32" w:rsidRPr="003060BB" w:rsidRDefault="00DD0D1C" w:rsidP="004B5D32">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D</w:t>
      </w:r>
      <w:r w:rsidR="004B5D32" w:rsidRPr="003060BB">
        <w:rPr>
          <w:rFonts w:asciiTheme="minorHAnsi" w:hAnsiTheme="minorHAnsi" w:cstheme="minorHAnsi"/>
          <w:b/>
          <w:bCs/>
          <w:color w:val="auto"/>
          <w:sz w:val="22"/>
          <w:szCs w:val="22"/>
        </w:rPr>
        <w:t xml:space="preserve">.  </w:t>
      </w:r>
      <w:r w:rsidR="00026974" w:rsidRPr="003060BB">
        <w:rPr>
          <w:rFonts w:asciiTheme="minorHAnsi" w:hAnsiTheme="minorHAnsi" w:cstheme="minorHAnsi"/>
          <w:b/>
          <w:bCs/>
          <w:color w:val="auto"/>
          <w:sz w:val="22"/>
          <w:szCs w:val="22"/>
        </w:rPr>
        <w:t>Main Street</w:t>
      </w:r>
      <w:r w:rsidR="004B5D32" w:rsidRPr="003060BB">
        <w:rPr>
          <w:rFonts w:asciiTheme="minorHAnsi" w:hAnsiTheme="minorHAnsi" w:cstheme="minorHAnsi"/>
          <w:b/>
          <w:bCs/>
          <w:color w:val="auto"/>
          <w:sz w:val="22"/>
          <w:szCs w:val="22"/>
        </w:rPr>
        <w:t xml:space="preserve"> Revitalization Program:  </w:t>
      </w:r>
      <w:r w:rsidR="004B5D32" w:rsidRPr="003060BB">
        <w:rPr>
          <w:rFonts w:asciiTheme="minorHAnsi" w:hAnsiTheme="minorHAnsi" w:cstheme="minorHAnsi"/>
          <w:bCs/>
          <w:color w:val="auto"/>
          <w:sz w:val="22"/>
          <w:szCs w:val="22"/>
        </w:rPr>
        <w:t>$</w:t>
      </w:r>
      <w:r w:rsidR="001D4CC1">
        <w:rPr>
          <w:rFonts w:asciiTheme="minorHAnsi" w:hAnsiTheme="minorHAnsi" w:cstheme="minorHAnsi"/>
          <w:bCs/>
          <w:color w:val="auto"/>
          <w:sz w:val="22"/>
          <w:szCs w:val="22"/>
        </w:rPr>
        <w:t>1</w:t>
      </w:r>
      <w:r w:rsidR="00620BCD" w:rsidRPr="003060BB">
        <w:rPr>
          <w:rFonts w:asciiTheme="minorHAnsi" w:hAnsiTheme="minorHAnsi" w:cstheme="minorHAnsi"/>
          <w:bCs/>
          <w:color w:val="auto"/>
          <w:sz w:val="22"/>
          <w:szCs w:val="22"/>
        </w:rPr>
        <w:t>,</w:t>
      </w:r>
      <w:r w:rsidR="00F71B02">
        <w:rPr>
          <w:rFonts w:asciiTheme="minorHAnsi" w:hAnsiTheme="minorHAnsi" w:cstheme="minorHAnsi"/>
          <w:bCs/>
          <w:color w:val="auto"/>
          <w:sz w:val="22"/>
          <w:szCs w:val="22"/>
        </w:rPr>
        <w:t>2</w:t>
      </w:r>
      <w:r w:rsidR="00620BCD" w:rsidRPr="003060BB">
        <w:rPr>
          <w:rFonts w:asciiTheme="minorHAnsi" w:hAnsiTheme="minorHAnsi" w:cstheme="minorHAnsi"/>
          <w:bCs/>
          <w:color w:val="auto"/>
          <w:sz w:val="22"/>
          <w:szCs w:val="22"/>
        </w:rPr>
        <w:t>00</w:t>
      </w:r>
      <w:r w:rsidR="004B5D32" w:rsidRPr="003060BB">
        <w:rPr>
          <w:rFonts w:asciiTheme="minorHAnsi" w:hAnsiTheme="minorHAnsi" w:cstheme="minorHAnsi"/>
          <w:bCs/>
          <w:color w:val="auto"/>
          <w:sz w:val="22"/>
          <w:szCs w:val="22"/>
        </w:rPr>
        <w:t>,000</w:t>
      </w:r>
      <w:r w:rsidR="004B5D32" w:rsidRPr="003060BB">
        <w:rPr>
          <w:rFonts w:asciiTheme="minorHAnsi" w:hAnsiTheme="minorHAnsi" w:cstheme="minorHAnsi"/>
          <w:b/>
          <w:bCs/>
          <w:color w:val="auto"/>
          <w:sz w:val="22"/>
          <w:szCs w:val="22"/>
        </w:rPr>
        <w:t xml:space="preserve"> </w:t>
      </w:r>
    </w:p>
    <w:p w14:paraId="136FA431" w14:textId="77777777" w:rsidR="004B5D32" w:rsidRPr="003060BB" w:rsidRDefault="004B5D32" w:rsidP="004B5D32">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3CFAA220" w14:textId="7FE2EAF4" w:rsidR="00DE6D0B" w:rsidRPr="003060BB" w:rsidRDefault="00F71B02" w:rsidP="00AD237A">
      <w:pPr>
        <w:pStyle w:val="Default"/>
        <w:jc w:val="both"/>
        <w:rPr>
          <w:rFonts w:asciiTheme="minorHAnsi" w:hAnsiTheme="minorHAnsi" w:cstheme="minorHAnsi"/>
          <w:color w:val="auto"/>
          <w:sz w:val="22"/>
          <w:szCs w:val="22"/>
        </w:rPr>
      </w:pPr>
      <w:r>
        <w:rPr>
          <w:rFonts w:asciiTheme="minorHAnsi" w:hAnsiTheme="minorHAnsi" w:cstheme="minorHAnsi"/>
          <w:bCs/>
          <w:color w:val="auto"/>
          <w:sz w:val="22"/>
          <w:szCs w:val="22"/>
        </w:rPr>
        <w:t>OCRA will allocate $1,2</w:t>
      </w:r>
      <w:r w:rsidR="00DE6D0B" w:rsidRPr="003060BB">
        <w:rPr>
          <w:rFonts w:asciiTheme="minorHAnsi" w:hAnsiTheme="minorHAnsi" w:cstheme="minorHAnsi"/>
          <w:bCs/>
          <w:color w:val="auto"/>
          <w:sz w:val="22"/>
          <w:szCs w:val="22"/>
        </w:rPr>
        <w:t xml:space="preserve">00,000 of its FY </w:t>
      </w:r>
      <w:r w:rsidR="003B3C5F">
        <w:rPr>
          <w:rFonts w:asciiTheme="minorHAnsi" w:hAnsiTheme="minorHAnsi" w:cstheme="minorHAnsi"/>
          <w:bCs/>
          <w:color w:val="auto"/>
          <w:sz w:val="22"/>
          <w:szCs w:val="22"/>
        </w:rPr>
        <w:t>2020</w:t>
      </w:r>
      <w:r w:rsidR="00DE6D0B" w:rsidRPr="003060BB">
        <w:rPr>
          <w:rFonts w:asciiTheme="minorHAnsi" w:hAnsiTheme="minorHAnsi" w:cstheme="minorHAnsi"/>
          <w:bCs/>
          <w:color w:val="auto"/>
          <w:sz w:val="22"/>
          <w:szCs w:val="22"/>
        </w:rPr>
        <w:t xml:space="preserve"> CDBG funds for the Main Street Revitalization Program (</w:t>
      </w:r>
      <w:proofErr w:type="spellStart"/>
      <w:r w:rsidR="00DE6D0B" w:rsidRPr="003060BB">
        <w:rPr>
          <w:rFonts w:asciiTheme="minorHAnsi" w:hAnsiTheme="minorHAnsi" w:cstheme="minorHAnsi"/>
          <w:bCs/>
          <w:color w:val="auto"/>
          <w:sz w:val="22"/>
          <w:szCs w:val="22"/>
        </w:rPr>
        <w:t>MSRP</w:t>
      </w:r>
      <w:proofErr w:type="spellEnd"/>
      <w:r w:rsidR="00DE6D0B" w:rsidRPr="003060BB">
        <w:rPr>
          <w:rFonts w:asciiTheme="minorHAnsi" w:hAnsiTheme="minorHAnsi" w:cstheme="minorHAnsi"/>
          <w:bCs/>
          <w:color w:val="auto"/>
          <w:sz w:val="22"/>
          <w:szCs w:val="22"/>
        </w:rPr>
        <w:t xml:space="preserve">). </w:t>
      </w:r>
    </w:p>
    <w:p w14:paraId="762A738C" w14:textId="77777777" w:rsidR="00DE6D0B" w:rsidRPr="003060BB" w:rsidRDefault="00DE6D0B" w:rsidP="00AD237A">
      <w:pPr>
        <w:pStyle w:val="Default"/>
        <w:jc w:val="both"/>
        <w:rPr>
          <w:rFonts w:asciiTheme="minorHAnsi" w:hAnsiTheme="minorHAnsi" w:cstheme="minorHAnsi"/>
          <w:color w:val="auto"/>
          <w:sz w:val="22"/>
          <w:szCs w:val="22"/>
        </w:rPr>
      </w:pPr>
    </w:p>
    <w:p w14:paraId="559FBE77" w14:textId="20F19F88" w:rsidR="00AD237A" w:rsidRPr="003060BB" w:rsidRDefault="003B3C5F" w:rsidP="00AD237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OCRA</w:t>
      </w:r>
      <w:r w:rsidR="004B5D32" w:rsidRPr="003060BB">
        <w:rPr>
          <w:rFonts w:asciiTheme="minorHAnsi" w:hAnsiTheme="minorHAnsi" w:cstheme="minorHAnsi"/>
          <w:color w:val="auto"/>
          <w:sz w:val="22"/>
          <w:szCs w:val="22"/>
        </w:rPr>
        <w:t xml:space="preserve"> will award </w:t>
      </w:r>
      <w:proofErr w:type="spellStart"/>
      <w:r w:rsidR="00612902">
        <w:rPr>
          <w:rFonts w:asciiTheme="minorHAnsi" w:hAnsiTheme="minorHAnsi" w:cstheme="minorHAnsi"/>
          <w:color w:val="auto"/>
          <w:sz w:val="22"/>
          <w:szCs w:val="22"/>
        </w:rPr>
        <w:t>MSRP</w:t>
      </w:r>
      <w:proofErr w:type="spellEnd"/>
      <w:r w:rsidR="004B5D32" w:rsidRPr="003060BB">
        <w:rPr>
          <w:rFonts w:asciiTheme="minorHAnsi" w:hAnsiTheme="minorHAnsi" w:cstheme="minorHAnsi"/>
          <w:color w:val="auto"/>
          <w:sz w:val="22"/>
          <w:szCs w:val="22"/>
        </w:rPr>
        <w:t xml:space="preserve"> grants to eligible applicants to assist Indiana communities with </w:t>
      </w:r>
      <w:r>
        <w:rPr>
          <w:rFonts w:asciiTheme="minorHAnsi" w:hAnsiTheme="minorHAnsi" w:cstheme="minorHAnsi"/>
          <w:color w:val="auto"/>
          <w:sz w:val="22"/>
          <w:szCs w:val="22"/>
        </w:rPr>
        <w:t xml:space="preserve">streetscape and façade </w:t>
      </w:r>
      <w:r w:rsidR="004B5D32" w:rsidRPr="003060BB">
        <w:rPr>
          <w:rFonts w:asciiTheme="minorHAnsi" w:hAnsiTheme="minorHAnsi" w:cstheme="minorHAnsi"/>
          <w:color w:val="auto"/>
          <w:sz w:val="22"/>
          <w:szCs w:val="22"/>
        </w:rPr>
        <w:t>activities</w:t>
      </w:r>
      <w:r w:rsidR="0088503C" w:rsidRPr="003060BB">
        <w:rPr>
          <w:rFonts w:asciiTheme="minorHAnsi" w:hAnsiTheme="minorHAnsi" w:cstheme="minorHAnsi"/>
          <w:color w:val="auto"/>
          <w:sz w:val="22"/>
          <w:szCs w:val="22"/>
        </w:rPr>
        <w:t xml:space="preserve"> intended to revitalize their downtown area</w:t>
      </w:r>
      <w:r w:rsidR="004B5D32" w:rsidRPr="003060BB">
        <w:rPr>
          <w:rFonts w:asciiTheme="minorHAnsi" w:hAnsiTheme="minorHAnsi" w:cstheme="minorHAnsi"/>
          <w:color w:val="auto"/>
          <w:sz w:val="22"/>
          <w:szCs w:val="22"/>
        </w:rPr>
        <w:t>.</w:t>
      </w:r>
      <w:r w:rsidR="008D2A87" w:rsidRPr="003060BB">
        <w:rPr>
          <w:rFonts w:asciiTheme="minorHAnsi" w:hAnsiTheme="minorHAnsi" w:cstheme="minorHAnsi"/>
          <w:color w:val="auto"/>
          <w:sz w:val="22"/>
          <w:szCs w:val="22"/>
        </w:rPr>
        <w:t xml:space="preserve">  Each applicant must </w:t>
      </w:r>
      <w:r w:rsidR="00AD237A" w:rsidRPr="003060BB">
        <w:rPr>
          <w:rFonts w:asciiTheme="minorHAnsi" w:hAnsiTheme="minorHAnsi" w:cstheme="minorHAnsi"/>
          <w:color w:val="auto"/>
          <w:sz w:val="22"/>
          <w:szCs w:val="22"/>
        </w:rPr>
        <w:t>meet the following prerequisites:</w:t>
      </w:r>
    </w:p>
    <w:p w14:paraId="6C5AB7C4" w14:textId="77777777" w:rsidR="009147A6" w:rsidRPr="003060BB" w:rsidRDefault="009147A6" w:rsidP="009147A6">
      <w:pPr>
        <w:pStyle w:val="Default"/>
        <w:jc w:val="both"/>
        <w:rPr>
          <w:rFonts w:asciiTheme="minorHAnsi" w:hAnsiTheme="minorHAnsi" w:cstheme="minorHAnsi"/>
          <w:color w:val="auto"/>
          <w:sz w:val="22"/>
          <w:szCs w:val="22"/>
        </w:rPr>
      </w:pPr>
    </w:p>
    <w:p w14:paraId="40091DC3" w14:textId="77777777" w:rsidR="003B3C5F" w:rsidRDefault="009147A6" w:rsidP="009147A6">
      <w:pPr>
        <w:pStyle w:val="Default"/>
        <w:numPr>
          <w:ilvl w:val="0"/>
          <w:numId w:val="15"/>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Have a designated Indiana Main Street Organization</w:t>
      </w:r>
      <w:r w:rsidR="003B3C5F">
        <w:rPr>
          <w:rFonts w:asciiTheme="minorHAnsi" w:hAnsiTheme="minorHAnsi" w:cstheme="minorHAnsi"/>
          <w:color w:val="auto"/>
          <w:sz w:val="22"/>
          <w:szCs w:val="22"/>
        </w:rPr>
        <w:t xml:space="preserve"> that:</w:t>
      </w:r>
    </w:p>
    <w:p w14:paraId="78DF6B5C" w14:textId="5ACA8982" w:rsidR="003B3C5F" w:rsidRDefault="003B3C5F" w:rsidP="003B3C5F">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is nationally </w:t>
      </w:r>
      <w:r w:rsidR="0055080C">
        <w:rPr>
          <w:rFonts w:asciiTheme="minorHAnsi" w:hAnsiTheme="minorHAnsi" w:cstheme="minorHAnsi"/>
          <w:color w:val="auto"/>
          <w:sz w:val="22"/>
          <w:szCs w:val="22"/>
        </w:rPr>
        <w:t>accredited</w:t>
      </w:r>
      <w:r>
        <w:rPr>
          <w:rFonts w:asciiTheme="minorHAnsi" w:hAnsiTheme="minorHAnsi" w:cstheme="minorHAnsi"/>
          <w:color w:val="auto"/>
          <w:sz w:val="22"/>
          <w:szCs w:val="22"/>
        </w:rPr>
        <w:t>, or</w:t>
      </w:r>
    </w:p>
    <w:p w14:paraId="6F48C08D" w14:textId="251CA09F" w:rsidR="009147A6" w:rsidRPr="003060BB" w:rsidRDefault="003B3C5F" w:rsidP="003B3C5F">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is a traditional Indiana Main Street that is at least three (3) years old</w:t>
      </w:r>
      <w:r w:rsidR="009147A6" w:rsidRPr="003060BB">
        <w:rPr>
          <w:rFonts w:asciiTheme="minorHAnsi" w:hAnsiTheme="minorHAnsi" w:cstheme="minorHAnsi"/>
          <w:color w:val="auto"/>
          <w:sz w:val="22"/>
          <w:szCs w:val="22"/>
        </w:rPr>
        <w:t xml:space="preserve">; </w:t>
      </w:r>
    </w:p>
    <w:p w14:paraId="550FE638" w14:textId="0A6030EE" w:rsidR="009147A6" w:rsidRPr="003060BB" w:rsidRDefault="009147A6" w:rsidP="009147A6">
      <w:pPr>
        <w:pStyle w:val="Default"/>
        <w:numPr>
          <w:ilvl w:val="0"/>
          <w:numId w:val="15"/>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The Main Street Organ</w:t>
      </w:r>
      <w:r w:rsidR="00612902">
        <w:rPr>
          <w:rFonts w:asciiTheme="minorHAnsi" w:hAnsiTheme="minorHAnsi" w:cstheme="minorHAnsi"/>
          <w:color w:val="auto"/>
          <w:sz w:val="22"/>
          <w:szCs w:val="22"/>
        </w:rPr>
        <w:t>ization</w:t>
      </w:r>
      <w:r w:rsidR="003B3C5F">
        <w:rPr>
          <w:rFonts w:asciiTheme="minorHAnsi" w:hAnsiTheme="minorHAnsi" w:cstheme="minorHAnsi"/>
          <w:color w:val="auto"/>
          <w:sz w:val="22"/>
          <w:szCs w:val="22"/>
        </w:rPr>
        <w:t xml:space="preserve"> is in good standing and has me</w:t>
      </w:r>
      <w:r w:rsidR="00612902">
        <w:rPr>
          <w:rFonts w:asciiTheme="minorHAnsi" w:hAnsiTheme="minorHAnsi" w:cstheme="minorHAnsi"/>
          <w:color w:val="auto"/>
          <w:sz w:val="22"/>
          <w:szCs w:val="22"/>
        </w:rPr>
        <w:t>t</w:t>
      </w:r>
      <w:r w:rsidRPr="003060BB">
        <w:rPr>
          <w:rFonts w:asciiTheme="minorHAnsi" w:hAnsiTheme="minorHAnsi" w:cstheme="minorHAnsi"/>
          <w:color w:val="auto"/>
          <w:sz w:val="22"/>
          <w:szCs w:val="22"/>
        </w:rPr>
        <w:t xml:space="preserve"> all the reporting requirements;</w:t>
      </w:r>
    </w:p>
    <w:p w14:paraId="5DFFDC11" w14:textId="7F63C17C" w:rsidR="009147A6" w:rsidRPr="003060BB" w:rsidRDefault="009147A6" w:rsidP="009147A6">
      <w:pPr>
        <w:pStyle w:val="Default"/>
        <w:numPr>
          <w:ilvl w:val="0"/>
          <w:numId w:val="15"/>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Main Street Organization has attended all required workshops associated with the Indiana Main Street Program during past </w:t>
      </w:r>
      <w:r w:rsidR="003B3C5F">
        <w:rPr>
          <w:rFonts w:asciiTheme="minorHAnsi" w:hAnsiTheme="minorHAnsi" w:cstheme="minorHAnsi"/>
          <w:color w:val="auto"/>
          <w:sz w:val="22"/>
          <w:szCs w:val="22"/>
        </w:rPr>
        <w:t xml:space="preserve">calendar </w:t>
      </w:r>
      <w:r w:rsidRPr="003060BB">
        <w:rPr>
          <w:rFonts w:asciiTheme="minorHAnsi" w:hAnsiTheme="minorHAnsi" w:cstheme="minorHAnsi"/>
          <w:color w:val="auto"/>
          <w:sz w:val="22"/>
          <w:szCs w:val="22"/>
        </w:rPr>
        <w:t xml:space="preserve">year; </w:t>
      </w:r>
    </w:p>
    <w:p w14:paraId="3BAA5D54" w14:textId="77777777" w:rsidR="009147A6" w:rsidRPr="003060BB" w:rsidRDefault="009147A6" w:rsidP="009147A6">
      <w:pPr>
        <w:pStyle w:val="ListParagraph"/>
        <w:numPr>
          <w:ilvl w:val="0"/>
          <w:numId w:val="15"/>
        </w:numPr>
        <w:rPr>
          <w:rFonts w:asciiTheme="minorHAnsi" w:hAnsiTheme="minorHAnsi" w:cstheme="minorHAnsi"/>
          <w:sz w:val="22"/>
          <w:szCs w:val="22"/>
        </w:rPr>
      </w:pPr>
      <w:r w:rsidRPr="003060BB">
        <w:rPr>
          <w:rFonts w:asciiTheme="minorHAnsi" w:hAnsiTheme="minorHAnsi" w:cstheme="minorHAnsi"/>
          <w:sz w:val="22"/>
          <w:szCs w:val="22"/>
        </w:rPr>
        <w:t xml:space="preserve">The Main Street organization is functioning within the Main Street 4 Point Approach of Organization, Design, Economic </w:t>
      </w:r>
      <w:r w:rsidR="006B210C">
        <w:rPr>
          <w:rFonts w:asciiTheme="minorHAnsi" w:hAnsiTheme="minorHAnsi" w:cstheme="minorHAnsi"/>
          <w:sz w:val="22"/>
          <w:szCs w:val="22"/>
        </w:rPr>
        <w:t>Vitality</w:t>
      </w:r>
      <w:r w:rsidRPr="003060BB">
        <w:rPr>
          <w:rFonts w:asciiTheme="minorHAnsi" w:hAnsiTheme="minorHAnsi" w:cstheme="minorHAnsi"/>
          <w:sz w:val="22"/>
          <w:szCs w:val="22"/>
        </w:rPr>
        <w:t xml:space="preserve">, and Promotion;  </w:t>
      </w:r>
    </w:p>
    <w:p w14:paraId="11CB419A" w14:textId="77777777" w:rsidR="009147A6" w:rsidRPr="003060BB" w:rsidRDefault="009147A6" w:rsidP="009147A6">
      <w:pPr>
        <w:pStyle w:val="ListParagraph"/>
        <w:numPr>
          <w:ilvl w:val="0"/>
          <w:numId w:val="15"/>
        </w:numPr>
        <w:rPr>
          <w:rFonts w:asciiTheme="minorHAnsi" w:hAnsiTheme="minorHAnsi" w:cstheme="minorHAnsi"/>
          <w:sz w:val="22"/>
          <w:szCs w:val="22"/>
        </w:rPr>
      </w:pPr>
      <w:r w:rsidRPr="003060BB">
        <w:rPr>
          <w:rFonts w:asciiTheme="minorHAnsi" w:hAnsiTheme="minorHAnsi" w:cstheme="minorHAnsi"/>
          <w:sz w:val="22"/>
          <w:szCs w:val="22"/>
        </w:rPr>
        <w:t>The Main Street organization has current Work Plans for each of its Committees that have been submitted to Indiana Main Street;</w:t>
      </w:r>
    </w:p>
    <w:p w14:paraId="3DA05B81" w14:textId="5AEA4D6D" w:rsidR="00F262A0" w:rsidRPr="003060BB" w:rsidRDefault="009147A6" w:rsidP="004F4E85">
      <w:pPr>
        <w:pStyle w:val="Default"/>
        <w:numPr>
          <w:ilvl w:val="0"/>
          <w:numId w:val="15"/>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Community has completed a downtown revitalization plan within the past five </w:t>
      </w:r>
      <w:r w:rsidR="003B3C5F">
        <w:rPr>
          <w:rFonts w:asciiTheme="minorHAnsi" w:hAnsiTheme="minorHAnsi" w:cstheme="minorHAnsi"/>
          <w:color w:val="auto"/>
          <w:sz w:val="22"/>
          <w:szCs w:val="22"/>
        </w:rPr>
        <w:t xml:space="preserve">(5) </w:t>
      </w:r>
      <w:r w:rsidRPr="003060BB">
        <w:rPr>
          <w:rFonts w:asciiTheme="minorHAnsi" w:hAnsiTheme="minorHAnsi" w:cstheme="minorHAnsi"/>
          <w:color w:val="auto"/>
          <w:sz w:val="22"/>
          <w:szCs w:val="22"/>
        </w:rPr>
        <w:t xml:space="preserve">years that meets </w:t>
      </w:r>
      <w:proofErr w:type="spellStart"/>
      <w:r w:rsidRPr="003060BB">
        <w:rPr>
          <w:rFonts w:asciiTheme="minorHAnsi" w:hAnsiTheme="minorHAnsi" w:cstheme="minorHAnsi"/>
          <w:color w:val="auto"/>
          <w:sz w:val="22"/>
          <w:szCs w:val="22"/>
        </w:rPr>
        <w:t>OCRA’s</w:t>
      </w:r>
      <w:proofErr w:type="spellEnd"/>
      <w:r w:rsidRPr="003060BB">
        <w:rPr>
          <w:rFonts w:asciiTheme="minorHAnsi" w:hAnsiTheme="minorHAnsi" w:cstheme="minorHAnsi"/>
          <w:color w:val="auto"/>
          <w:sz w:val="22"/>
          <w:szCs w:val="22"/>
        </w:rPr>
        <w:t xml:space="preserve"> Minimum </w:t>
      </w:r>
      <w:r w:rsidR="003B3C5F">
        <w:rPr>
          <w:rFonts w:asciiTheme="minorHAnsi" w:hAnsiTheme="minorHAnsi" w:cstheme="minorHAnsi"/>
          <w:color w:val="auto"/>
          <w:sz w:val="22"/>
          <w:szCs w:val="22"/>
        </w:rPr>
        <w:t>Plan</w:t>
      </w:r>
      <w:r w:rsidRPr="003060BB">
        <w:rPr>
          <w:rFonts w:asciiTheme="minorHAnsi" w:hAnsiTheme="minorHAnsi" w:cstheme="minorHAnsi"/>
          <w:color w:val="auto"/>
          <w:sz w:val="22"/>
          <w:szCs w:val="22"/>
        </w:rPr>
        <w:t xml:space="preserve"> Requirements.</w:t>
      </w:r>
      <w:r w:rsidR="00F262A0" w:rsidRPr="003060BB">
        <w:rPr>
          <w:rFonts w:asciiTheme="minorHAnsi" w:hAnsiTheme="minorHAnsi" w:cstheme="minorHAnsi"/>
          <w:color w:val="auto"/>
          <w:sz w:val="22"/>
          <w:szCs w:val="22"/>
        </w:rPr>
        <w:t xml:space="preserve"> If a community has an alternative plan that meets </w:t>
      </w:r>
      <w:proofErr w:type="spellStart"/>
      <w:r w:rsidR="00F262A0" w:rsidRPr="003060BB">
        <w:rPr>
          <w:rFonts w:asciiTheme="minorHAnsi" w:hAnsiTheme="minorHAnsi" w:cstheme="minorHAnsi"/>
          <w:color w:val="auto"/>
          <w:sz w:val="22"/>
          <w:szCs w:val="22"/>
        </w:rPr>
        <w:t>OCRA’s</w:t>
      </w:r>
      <w:proofErr w:type="spellEnd"/>
      <w:r w:rsidR="00F262A0" w:rsidRPr="003060BB">
        <w:rPr>
          <w:rFonts w:asciiTheme="minorHAnsi" w:hAnsiTheme="minorHAnsi" w:cstheme="minorHAnsi"/>
          <w:color w:val="auto"/>
          <w:sz w:val="22"/>
          <w:szCs w:val="22"/>
        </w:rPr>
        <w:t xml:space="preserve"> Minimum </w:t>
      </w:r>
      <w:r w:rsidR="003B3C5F">
        <w:rPr>
          <w:rFonts w:asciiTheme="minorHAnsi" w:hAnsiTheme="minorHAnsi" w:cstheme="minorHAnsi"/>
          <w:color w:val="auto"/>
          <w:sz w:val="22"/>
          <w:szCs w:val="22"/>
        </w:rPr>
        <w:t>Plan</w:t>
      </w:r>
      <w:r w:rsidR="00F262A0" w:rsidRPr="003060BB">
        <w:rPr>
          <w:rFonts w:asciiTheme="minorHAnsi" w:hAnsiTheme="minorHAnsi" w:cstheme="minorHAnsi"/>
          <w:color w:val="auto"/>
          <w:sz w:val="22"/>
          <w:szCs w:val="22"/>
        </w:rPr>
        <w:t xml:space="preserve"> Requirements for a downtown revitalization plan, they can use that alternative plan with approval from the CDBG Program Director.</w:t>
      </w:r>
    </w:p>
    <w:p w14:paraId="4BE3444C" w14:textId="6368FC5C" w:rsidR="004F4E85" w:rsidRPr="003060BB" w:rsidRDefault="003B3C5F" w:rsidP="004F4E85">
      <w:pPr>
        <w:pStyle w:val="Default"/>
        <w:numPr>
          <w:ilvl w:val="0"/>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00F262A0" w:rsidRPr="003060BB">
        <w:rPr>
          <w:rFonts w:asciiTheme="minorHAnsi" w:hAnsiTheme="minorHAnsi" w:cstheme="minorHAnsi"/>
          <w:color w:val="auto"/>
          <w:sz w:val="22"/>
          <w:szCs w:val="22"/>
        </w:rPr>
        <w:t>he</w:t>
      </w:r>
      <w:r w:rsidR="004F4E85" w:rsidRPr="003060BB">
        <w:rPr>
          <w:rFonts w:asciiTheme="minorHAnsi" w:hAnsiTheme="minorHAnsi" w:cstheme="minorHAnsi"/>
          <w:color w:val="auto"/>
          <w:sz w:val="22"/>
          <w:szCs w:val="22"/>
        </w:rPr>
        <w:t xml:space="preserve"> Indiana Main Street Organization</w:t>
      </w:r>
      <w:r>
        <w:rPr>
          <w:rFonts w:asciiTheme="minorHAnsi" w:hAnsiTheme="minorHAnsi" w:cstheme="minorHAnsi"/>
          <w:color w:val="auto"/>
          <w:sz w:val="22"/>
          <w:szCs w:val="22"/>
        </w:rPr>
        <w:t xml:space="preserve"> has been involved in the project development process for the application and there is a plan for their continued involvement if awarded</w:t>
      </w:r>
      <w:r w:rsidR="00B00398" w:rsidRPr="003060BB">
        <w:rPr>
          <w:rFonts w:asciiTheme="minorHAnsi" w:hAnsiTheme="minorHAnsi" w:cstheme="minorHAnsi"/>
          <w:color w:val="auto"/>
          <w:sz w:val="22"/>
          <w:szCs w:val="22"/>
        </w:rPr>
        <w:t>.</w:t>
      </w:r>
    </w:p>
    <w:p w14:paraId="68BFE8AE" w14:textId="77777777" w:rsidR="008D2A87" w:rsidRPr="003060BB" w:rsidRDefault="008D2A87" w:rsidP="004B5D32">
      <w:pPr>
        <w:pStyle w:val="Default"/>
        <w:jc w:val="both"/>
        <w:rPr>
          <w:rFonts w:asciiTheme="minorHAnsi" w:hAnsiTheme="minorHAnsi" w:cstheme="minorHAnsi"/>
          <w:color w:val="auto"/>
          <w:sz w:val="22"/>
          <w:szCs w:val="22"/>
        </w:rPr>
      </w:pPr>
    </w:p>
    <w:p w14:paraId="7073DF3E" w14:textId="6C4513D8" w:rsidR="003B3C5F" w:rsidRPr="003B3C5F" w:rsidRDefault="003B3C5F" w:rsidP="003B3C5F">
      <w:pPr>
        <w:pStyle w:val="Default"/>
        <w:jc w:val="both"/>
        <w:rPr>
          <w:rFonts w:asciiTheme="minorHAnsi" w:hAnsiTheme="minorHAnsi" w:cstheme="minorHAnsi"/>
          <w:sz w:val="22"/>
          <w:szCs w:val="22"/>
        </w:rPr>
      </w:pPr>
      <w:r w:rsidRPr="003060BB">
        <w:rPr>
          <w:rFonts w:asciiTheme="minorHAnsi" w:hAnsiTheme="minorHAnsi" w:cstheme="minorHAnsi"/>
          <w:color w:val="auto"/>
          <w:sz w:val="22"/>
          <w:szCs w:val="22"/>
        </w:rPr>
        <w:t xml:space="preserve">Applications will be accepted </w:t>
      </w:r>
      <w:r>
        <w:rPr>
          <w:rFonts w:asciiTheme="minorHAnsi" w:hAnsiTheme="minorHAnsi" w:cstheme="minorHAnsi"/>
          <w:color w:val="auto"/>
          <w:sz w:val="22"/>
          <w:szCs w:val="22"/>
        </w:rPr>
        <w:t xml:space="preserve">in rounds </w:t>
      </w:r>
      <w:r w:rsidRPr="003060BB">
        <w:rPr>
          <w:rFonts w:asciiTheme="minorHAnsi" w:hAnsiTheme="minorHAnsi" w:cstheme="minorHAnsi"/>
          <w:color w:val="auto"/>
          <w:sz w:val="22"/>
          <w:szCs w:val="22"/>
        </w:rPr>
        <w:t>and awards will</w:t>
      </w:r>
      <w:r>
        <w:rPr>
          <w:rFonts w:asciiTheme="minorHAnsi" w:hAnsiTheme="minorHAnsi" w:cstheme="minorHAnsi"/>
          <w:color w:val="auto"/>
          <w:sz w:val="22"/>
          <w:szCs w:val="22"/>
        </w:rPr>
        <w:t xml:space="preserve"> be made on a competitive </w:t>
      </w:r>
      <w:r w:rsidRPr="003060BB">
        <w:rPr>
          <w:rFonts w:asciiTheme="minorHAnsi" w:hAnsiTheme="minorHAnsi" w:cstheme="minorHAnsi"/>
          <w:color w:val="auto"/>
          <w:sz w:val="22"/>
          <w:szCs w:val="22"/>
        </w:rPr>
        <w:t xml:space="preserve">basis.  </w:t>
      </w:r>
      <w:r w:rsidRPr="003060BB">
        <w:rPr>
          <w:rFonts w:asciiTheme="minorHAnsi" w:hAnsiTheme="minorHAnsi" w:cstheme="minorHAnsi"/>
          <w:sz w:val="22"/>
          <w:szCs w:val="22"/>
        </w:rPr>
        <w:t xml:space="preserve">The specific threshold criteria and basis </w:t>
      </w:r>
      <w:r>
        <w:rPr>
          <w:rFonts w:asciiTheme="minorHAnsi" w:hAnsiTheme="minorHAnsi" w:cstheme="minorHAnsi"/>
          <w:sz w:val="22"/>
          <w:szCs w:val="22"/>
        </w:rPr>
        <w:t xml:space="preserve">for scoring </w:t>
      </w:r>
      <w:r w:rsidRPr="003060BB">
        <w:rPr>
          <w:rFonts w:asciiTheme="minorHAnsi" w:hAnsiTheme="minorHAnsi" w:cstheme="minorHAnsi"/>
          <w:sz w:val="22"/>
          <w:szCs w:val="22"/>
        </w:rPr>
        <w:t>are provided in A</w:t>
      </w:r>
      <w:r>
        <w:rPr>
          <w:rFonts w:asciiTheme="minorHAnsi" w:hAnsiTheme="minorHAnsi" w:cstheme="minorHAnsi"/>
          <w:sz w:val="22"/>
          <w:szCs w:val="22"/>
        </w:rPr>
        <w:t xml:space="preserve">ttachment C and D hereto. The </w:t>
      </w:r>
      <w:proofErr w:type="spellStart"/>
      <w:r>
        <w:rPr>
          <w:rFonts w:asciiTheme="minorHAnsi" w:hAnsiTheme="minorHAnsi" w:cstheme="minorHAnsi"/>
          <w:sz w:val="22"/>
          <w:szCs w:val="22"/>
        </w:rPr>
        <w:t>MSRP</w:t>
      </w:r>
      <w:proofErr w:type="spellEnd"/>
      <w:r w:rsidRPr="003060BB">
        <w:rPr>
          <w:rFonts w:asciiTheme="minorHAnsi" w:hAnsiTheme="minorHAnsi" w:cstheme="minorHAnsi"/>
          <w:sz w:val="22"/>
          <w:szCs w:val="22"/>
        </w:rPr>
        <w:t xml:space="preserve"> shall have a maxim</w:t>
      </w:r>
      <w:r>
        <w:rPr>
          <w:rFonts w:asciiTheme="minorHAnsi" w:hAnsiTheme="minorHAnsi" w:cstheme="minorHAnsi"/>
          <w:sz w:val="22"/>
          <w:szCs w:val="22"/>
        </w:rPr>
        <w:t xml:space="preserve">um grant amount of $600,000. </w:t>
      </w:r>
      <w:r>
        <w:rPr>
          <w:rFonts w:asciiTheme="minorHAnsi" w:hAnsiTheme="minorHAnsi" w:cstheme="minorHAnsi"/>
          <w:color w:val="auto"/>
          <w:sz w:val="22"/>
          <w:szCs w:val="22"/>
        </w:rPr>
        <w:t>T</w:t>
      </w:r>
      <w:r w:rsidRPr="003060BB">
        <w:rPr>
          <w:rFonts w:asciiTheme="minorHAnsi" w:hAnsiTheme="minorHAnsi" w:cstheme="minorHAnsi"/>
          <w:color w:val="auto"/>
          <w:sz w:val="22"/>
          <w:szCs w:val="22"/>
        </w:rPr>
        <w:t xml:space="preserve">he amount of CDBG funds granted will be </w:t>
      </w:r>
      <w:r>
        <w:rPr>
          <w:rFonts w:asciiTheme="minorHAnsi" w:hAnsiTheme="minorHAnsi" w:cstheme="minorHAnsi"/>
          <w:color w:val="auto"/>
          <w:sz w:val="22"/>
          <w:szCs w:val="22"/>
        </w:rPr>
        <w:t>limited to</w:t>
      </w:r>
      <w:r w:rsidRPr="003060BB">
        <w:rPr>
          <w:rFonts w:asciiTheme="minorHAnsi" w:hAnsiTheme="minorHAnsi" w:cstheme="minorHAnsi"/>
          <w:color w:val="auto"/>
          <w:sz w:val="22"/>
          <w:szCs w:val="22"/>
        </w:rPr>
        <w:t xml:space="preserve"> $5,000 cost per project beneficiary</w:t>
      </w:r>
      <w:r>
        <w:rPr>
          <w:rFonts w:asciiTheme="minorHAnsi" w:hAnsiTheme="minorHAnsi" w:cstheme="minorHAnsi"/>
          <w:color w:val="auto"/>
          <w:sz w:val="22"/>
          <w:szCs w:val="22"/>
        </w:rPr>
        <w:t>.</w:t>
      </w:r>
      <w:r w:rsidR="00F71B02">
        <w:rPr>
          <w:rFonts w:asciiTheme="minorHAnsi" w:hAnsiTheme="minorHAnsi" w:cstheme="minorHAnsi"/>
          <w:sz w:val="22"/>
          <w:szCs w:val="22"/>
        </w:rPr>
        <w:t xml:space="preserve"> Matching funds of at least 2</w:t>
      </w:r>
      <w:r w:rsidRPr="003060BB">
        <w:rPr>
          <w:rFonts w:asciiTheme="minorHAnsi" w:hAnsiTheme="minorHAnsi" w:cstheme="minorHAnsi"/>
          <w:sz w:val="22"/>
          <w:szCs w:val="22"/>
        </w:rPr>
        <w:t>0%</w:t>
      </w:r>
      <w:r w:rsidR="00F71B02">
        <w:rPr>
          <w:rFonts w:asciiTheme="minorHAnsi" w:hAnsiTheme="minorHAnsi" w:cstheme="minorHAnsi"/>
          <w:sz w:val="22"/>
          <w:szCs w:val="22"/>
        </w:rPr>
        <w:t xml:space="preserve"> for streetscape project and 30% for façade projects</w:t>
      </w:r>
      <w:r w:rsidRPr="003060BB">
        <w:rPr>
          <w:rFonts w:asciiTheme="minorHAnsi" w:hAnsiTheme="minorHAnsi" w:cstheme="minorHAnsi"/>
          <w:sz w:val="22"/>
          <w:szCs w:val="22"/>
        </w:rPr>
        <w:t xml:space="preserve"> </w:t>
      </w:r>
      <w:r>
        <w:rPr>
          <w:rFonts w:asciiTheme="minorHAnsi" w:hAnsiTheme="minorHAnsi" w:cstheme="minorHAnsi"/>
          <w:sz w:val="22"/>
          <w:szCs w:val="22"/>
        </w:rPr>
        <w:t xml:space="preserve">of the total project cost </w:t>
      </w:r>
      <w:r w:rsidRPr="003060BB">
        <w:rPr>
          <w:rFonts w:asciiTheme="minorHAnsi" w:hAnsiTheme="minorHAnsi" w:cstheme="minorHAnsi"/>
          <w:sz w:val="22"/>
          <w:szCs w:val="22"/>
        </w:rPr>
        <w:t>are required for all this program.</w:t>
      </w:r>
    </w:p>
    <w:p w14:paraId="28483EBE" w14:textId="77777777" w:rsidR="003B3C5F" w:rsidRDefault="003B3C5F" w:rsidP="004B5D32">
      <w:pPr>
        <w:pStyle w:val="Default"/>
        <w:jc w:val="both"/>
        <w:rPr>
          <w:rFonts w:asciiTheme="minorHAnsi" w:hAnsiTheme="minorHAnsi" w:cstheme="minorHAnsi"/>
          <w:color w:val="auto"/>
          <w:sz w:val="22"/>
          <w:szCs w:val="22"/>
        </w:rPr>
      </w:pPr>
    </w:p>
    <w:p w14:paraId="35BA326F" w14:textId="492F5481" w:rsidR="003B3C5F" w:rsidRDefault="003B3C5F" w:rsidP="004B5D3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To encourage communities and Main Street organizations to achieve National Main Street Accreditation, OCRA will set aside $600,000 of this allocation for projects that come from communities that have nationally-</w:t>
      </w:r>
      <w:r w:rsidR="0055080C">
        <w:rPr>
          <w:rFonts w:asciiTheme="minorHAnsi" w:hAnsiTheme="minorHAnsi" w:cstheme="minorHAnsi"/>
          <w:color w:val="auto"/>
          <w:sz w:val="22"/>
          <w:szCs w:val="22"/>
        </w:rPr>
        <w:t>accredited</w:t>
      </w:r>
      <w:r>
        <w:rPr>
          <w:rFonts w:asciiTheme="minorHAnsi" w:hAnsiTheme="minorHAnsi" w:cstheme="minorHAnsi"/>
          <w:color w:val="auto"/>
          <w:sz w:val="22"/>
          <w:szCs w:val="22"/>
        </w:rPr>
        <w:t xml:space="preserve"> Main Street Organizations. </w:t>
      </w:r>
    </w:p>
    <w:p w14:paraId="432DAF4E" w14:textId="77777777" w:rsidR="003B3C5F" w:rsidRDefault="003B3C5F" w:rsidP="004B5D32">
      <w:pPr>
        <w:pStyle w:val="Default"/>
        <w:jc w:val="both"/>
        <w:rPr>
          <w:rFonts w:asciiTheme="minorHAnsi" w:hAnsiTheme="minorHAnsi" w:cstheme="minorHAnsi"/>
          <w:color w:val="auto"/>
          <w:sz w:val="22"/>
          <w:szCs w:val="22"/>
        </w:rPr>
      </w:pPr>
    </w:p>
    <w:p w14:paraId="254E4995" w14:textId="1A7483E8" w:rsidR="001D4CC1" w:rsidRDefault="003B3C5F" w:rsidP="004B5D3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Grantees</w:t>
      </w:r>
      <w:r w:rsidR="001D4CC1">
        <w:rPr>
          <w:rFonts w:asciiTheme="minorHAnsi" w:hAnsiTheme="minorHAnsi" w:cstheme="minorHAnsi"/>
          <w:color w:val="auto"/>
          <w:sz w:val="22"/>
          <w:szCs w:val="22"/>
        </w:rPr>
        <w:t xml:space="preserve"> must ensure that local Indiana Main Street Organization </w:t>
      </w:r>
      <w:r w:rsidR="00FE0DC1">
        <w:rPr>
          <w:rFonts w:asciiTheme="minorHAnsi" w:hAnsiTheme="minorHAnsi" w:cstheme="minorHAnsi"/>
          <w:color w:val="auto"/>
          <w:sz w:val="22"/>
          <w:szCs w:val="22"/>
        </w:rPr>
        <w:t>remains</w:t>
      </w:r>
      <w:r w:rsidR="001D4CC1">
        <w:rPr>
          <w:rFonts w:asciiTheme="minorHAnsi" w:hAnsiTheme="minorHAnsi" w:cstheme="minorHAnsi"/>
          <w:color w:val="auto"/>
          <w:sz w:val="22"/>
          <w:szCs w:val="22"/>
        </w:rPr>
        <w:t xml:space="preserve"> in </w:t>
      </w:r>
      <w:r w:rsidR="00FE0DC1">
        <w:rPr>
          <w:rFonts w:asciiTheme="minorHAnsi" w:hAnsiTheme="minorHAnsi" w:cstheme="minorHAnsi"/>
          <w:color w:val="auto"/>
          <w:sz w:val="22"/>
          <w:szCs w:val="22"/>
        </w:rPr>
        <w:t xml:space="preserve">good standing with OCRA until the completion of the project. If the local Indiana Main Street Organization falls out of good standing then deobligation or repayments of CDBG funds is possible. </w:t>
      </w:r>
    </w:p>
    <w:p w14:paraId="038770D7" w14:textId="77777777" w:rsidR="00630462" w:rsidRDefault="00630462" w:rsidP="00942DE0">
      <w:pPr>
        <w:pStyle w:val="Default"/>
        <w:jc w:val="both"/>
        <w:rPr>
          <w:rFonts w:asciiTheme="minorHAnsi" w:hAnsiTheme="minorHAnsi" w:cstheme="minorHAnsi"/>
          <w:b/>
          <w:bCs/>
          <w:color w:val="auto"/>
          <w:sz w:val="22"/>
          <w:szCs w:val="22"/>
        </w:rPr>
      </w:pPr>
    </w:p>
    <w:p w14:paraId="5104D42A" w14:textId="653F6132" w:rsidR="00BF026E" w:rsidRPr="003060BB" w:rsidRDefault="00BF026E" w:rsidP="00BF026E">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E</w:t>
      </w:r>
      <w:r w:rsidRPr="003060BB">
        <w:rPr>
          <w:rFonts w:asciiTheme="minorHAnsi" w:hAnsiTheme="minorHAnsi" w:cstheme="minorHAnsi"/>
          <w:b/>
          <w:color w:val="auto"/>
          <w:sz w:val="22"/>
          <w:szCs w:val="22"/>
        </w:rPr>
        <w:t xml:space="preserve">.  Public Facilities Program: </w:t>
      </w:r>
      <w:r w:rsidRPr="003060BB">
        <w:rPr>
          <w:rFonts w:asciiTheme="minorHAnsi" w:hAnsiTheme="minorHAnsi" w:cstheme="minorHAnsi"/>
          <w:color w:val="auto"/>
          <w:sz w:val="22"/>
          <w:szCs w:val="22"/>
        </w:rPr>
        <w:t>$</w:t>
      </w:r>
      <w:r w:rsidR="00F71B02">
        <w:rPr>
          <w:rFonts w:asciiTheme="minorHAnsi" w:hAnsiTheme="minorHAnsi" w:cstheme="minorHAnsi"/>
          <w:color w:val="auto"/>
          <w:sz w:val="22"/>
          <w:szCs w:val="22"/>
        </w:rPr>
        <w:t>2</w:t>
      </w:r>
      <w:r>
        <w:rPr>
          <w:rFonts w:asciiTheme="minorHAnsi" w:hAnsiTheme="minorHAnsi" w:cstheme="minorHAnsi"/>
          <w:color w:val="auto"/>
          <w:sz w:val="22"/>
          <w:szCs w:val="22"/>
        </w:rPr>
        <w:t>,0</w:t>
      </w:r>
      <w:r w:rsidRPr="003060BB">
        <w:rPr>
          <w:rFonts w:asciiTheme="minorHAnsi" w:hAnsiTheme="minorHAnsi" w:cstheme="minorHAnsi"/>
          <w:color w:val="auto"/>
          <w:sz w:val="22"/>
          <w:szCs w:val="22"/>
        </w:rPr>
        <w:t>00,000</w:t>
      </w:r>
    </w:p>
    <w:p w14:paraId="414C40B3" w14:textId="77777777" w:rsidR="00BF026E" w:rsidRPr="003060BB" w:rsidRDefault="00BF026E" w:rsidP="00BF026E">
      <w:pPr>
        <w:pStyle w:val="Default"/>
        <w:jc w:val="both"/>
        <w:rPr>
          <w:rFonts w:asciiTheme="minorHAnsi" w:hAnsiTheme="minorHAnsi" w:cstheme="minorHAnsi"/>
          <w:color w:val="auto"/>
          <w:sz w:val="22"/>
          <w:szCs w:val="22"/>
        </w:rPr>
      </w:pPr>
    </w:p>
    <w:p w14:paraId="255AED05" w14:textId="1F06775B" w:rsidR="00BF026E" w:rsidRPr="003060BB" w:rsidRDefault="00BF026E" w:rsidP="00BF026E">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OCRA will allocate</w:t>
      </w:r>
      <w:r w:rsidRPr="003060BB">
        <w:rPr>
          <w:rFonts w:asciiTheme="minorHAnsi" w:hAnsiTheme="minorHAnsi" w:cstheme="minorHAnsi"/>
          <w:bCs/>
          <w:color w:val="auto"/>
          <w:sz w:val="22"/>
          <w:szCs w:val="22"/>
        </w:rPr>
        <w:t xml:space="preserve"> $</w:t>
      </w:r>
      <w:r w:rsidR="00F71B02">
        <w:rPr>
          <w:rFonts w:asciiTheme="minorHAnsi" w:hAnsiTheme="minorHAnsi" w:cstheme="minorHAnsi"/>
          <w:bCs/>
          <w:color w:val="auto"/>
          <w:sz w:val="22"/>
          <w:szCs w:val="22"/>
        </w:rPr>
        <w:t>2</w:t>
      </w:r>
      <w:r>
        <w:rPr>
          <w:rFonts w:asciiTheme="minorHAnsi" w:hAnsiTheme="minorHAnsi" w:cstheme="minorHAnsi"/>
          <w:bCs/>
          <w:color w:val="auto"/>
          <w:sz w:val="22"/>
          <w:szCs w:val="22"/>
        </w:rPr>
        <w:t>,0</w:t>
      </w:r>
      <w:r w:rsidRPr="003060BB">
        <w:rPr>
          <w:rFonts w:asciiTheme="minorHAnsi" w:hAnsiTheme="minorHAnsi" w:cstheme="minorHAnsi"/>
          <w:bCs/>
          <w:color w:val="auto"/>
          <w:sz w:val="22"/>
          <w:szCs w:val="22"/>
        </w:rPr>
        <w:t xml:space="preserve">00,000 of its FY </w:t>
      </w:r>
      <w:r>
        <w:rPr>
          <w:rFonts w:asciiTheme="minorHAnsi" w:hAnsiTheme="minorHAnsi" w:cstheme="minorHAnsi"/>
          <w:bCs/>
          <w:color w:val="auto"/>
          <w:sz w:val="22"/>
          <w:szCs w:val="22"/>
        </w:rPr>
        <w:t>2020</w:t>
      </w:r>
      <w:r w:rsidRPr="003060BB">
        <w:rPr>
          <w:rFonts w:asciiTheme="minorHAnsi" w:hAnsiTheme="minorHAnsi" w:cstheme="minorHAnsi"/>
          <w:bCs/>
          <w:color w:val="auto"/>
          <w:sz w:val="22"/>
          <w:szCs w:val="22"/>
        </w:rPr>
        <w:t xml:space="preserve"> CDBG funds for the Public Facilities Program (</w:t>
      </w:r>
      <w:proofErr w:type="spellStart"/>
      <w:r w:rsidRPr="003060BB">
        <w:rPr>
          <w:rFonts w:asciiTheme="minorHAnsi" w:hAnsiTheme="minorHAnsi" w:cstheme="minorHAnsi"/>
          <w:bCs/>
          <w:color w:val="auto"/>
          <w:sz w:val="22"/>
          <w:szCs w:val="22"/>
        </w:rPr>
        <w:t>PFP</w:t>
      </w:r>
      <w:proofErr w:type="spellEnd"/>
      <w:r w:rsidRPr="003060BB">
        <w:rPr>
          <w:rFonts w:asciiTheme="minorHAnsi" w:hAnsiTheme="minorHAnsi" w:cstheme="minorHAnsi"/>
          <w:bCs/>
          <w:color w:val="auto"/>
          <w:sz w:val="22"/>
          <w:szCs w:val="22"/>
        </w:rPr>
        <w:t xml:space="preserve">). </w:t>
      </w:r>
    </w:p>
    <w:p w14:paraId="2C439210" w14:textId="77777777" w:rsidR="00BF026E" w:rsidRPr="003060BB" w:rsidRDefault="00BF026E" w:rsidP="00BF026E">
      <w:pPr>
        <w:pStyle w:val="Default"/>
        <w:jc w:val="both"/>
        <w:rPr>
          <w:rFonts w:asciiTheme="minorHAnsi" w:hAnsiTheme="minorHAnsi" w:cstheme="minorHAnsi"/>
          <w:bCs/>
          <w:color w:val="auto"/>
          <w:sz w:val="22"/>
          <w:szCs w:val="22"/>
        </w:rPr>
      </w:pPr>
    </w:p>
    <w:p w14:paraId="62D6443D" w14:textId="65B208B6" w:rsidR="00BF026E" w:rsidRPr="00BF026E" w:rsidRDefault="00BF026E" w:rsidP="00BF026E">
      <w:pPr>
        <w:rPr>
          <w:rFonts w:asciiTheme="minorHAnsi" w:hAnsiTheme="minorHAnsi" w:cstheme="minorHAnsi"/>
          <w:sz w:val="22"/>
          <w:szCs w:val="22"/>
        </w:rPr>
      </w:pPr>
      <w:r w:rsidRPr="003060BB">
        <w:rPr>
          <w:rFonts w:asciiTheme="minorHAnsi" w:hAnsiTheme="minorHAnsi" w:cstheme="minorHAnsi"/>
          <w:sz w:val="22"/>
          <w:szCs w:val="22"/>
        </w:rPr>
        <w:t xml:space="preserve">Applications will be accepted </w:t>
      </w:r>
      <w:r>
        <w:rPr>
          <w:rFonts w:asciiTheme="minorHAnsi" w:hAnsiTheme="minorHAnsi" w:cstheme="minorHAnsi"/>
          <w:sz w:val="22"/>
          <w:szCs w:val="22"/>
        </w:rPr>
        <w:t xml:space="preserve">in rounds </w:t>
      </w:r>
      <w:r w:rsidRPr="003060BB">
        <w:rPr>
          <w:rFonts w:asciiTheme="minorHAnsi" w:hAnsiTheme="minorHAnsi" w:cstheme="minorHAnsi"/>
          <w:sz w:val="22"/>
          <w:szCs w:val="22"/>
        </w:rPr>
        <w:t>and awards will</w:t>
      </w:r>
      <w:r>
        <w:rPr>
          <w:rFonts w:asciiTheme="minorHAnsi" w:hAnsiTheme="minorHAnsi" w:cstheme="minorHAnsi"/>
          <w:sz w:val="22"/>
          <w:szCs w:val="22"/>
        </w:rPr>
        <w:t xml:space="preserve"> be made on a competitive </w:t>
      </w:r>
      <w:r w:rsidRPr="003060BB">
        <w:rPr>
          <w:rFonts w:asciiTheme="minorHAnsi" w:hAnsiTheme="minorHAnsi" w:cstheme="minorHAnsi"/>
          <w:sz w:val="22"/>
          <w:szCs w:val="22"/>
        </w:rPr>
        <w:t xml:space="preserve">basis.  The specific threshold criteria and basis </w:t>
      </w:r>
      <w:r>
        <w:rPr>
          <w:rFonts w:asciiTheme="minorHAnsi" w:hAnsiTheme="minorHAnsi" w:cstheme="minorHAnsi"/>
          <w:sz w:val="22"/>
          <w:szCs w:val="22"/>
        </w:rPr>
        <w:t xml:space="preserve">for scoring </w:t>
      </w:r>
      <w:r w:rsidRPr="003060BB">
        <w:rPr>
          <w:rFonts w:asciiTheme="minorHAnsi" w:hAnsiTheme="minorHAnsi" w:cstheme="minorHAnsi"/>
          <w:sz w:val="22"/>
          <w:szCs w:val="22"/>
        </w:rPr>
        <w:t>are provided in A</w:t>
      </w:r>
      <w:r>
        <w:rPr>
          <w:rFonts w:asciiTheme="minorHAnsi" w:hAnsiTheme="minorHAnsi" w:cstheme="minorHAnsi"/>
          <w:sz w:val="22"/>
          <w:szCs w:val="22"/>
        </w:rPr>
        <w:t xml:space="preserve">ttachment C and D hereto. The </w:t>
      </w:r>
      <w:proofErr w:type="spellStart"/>
      <w:r>
        <w:rPr>
          <w:rFonts w:asciiTheme="minorHAnsi" w:hAnsiTheme="minorHAnsi" w:cstheme="minorHAnsi"/>
          <w:sz w:val="22"/>
          <w:szCs w:val="22"/>
        </w:rPr>
        <w:t>PFP</w:t>
      </w:r>
      <w:proofErr w:type="spellEnd"/>
      <w:r w:rsidRPr="003060BB">
        <w:rPr>
          <w:rFonts w:asciiTheme="minorHAnsi" w:hAnsiTheme="minorHAnsi" w:cstheme="minorHAnsi"/>
          <w:sz w:val="22"/>
          <w:szCs w:val="22"/>
        </w:rPr>
        <w:t xml:space="preserve"> shall have a maxim</w:t>
      </w:r>
      <w:r w:rsidR="00F71B02">
        <w:rPr>
          <w:rFonts w:asciiTheme="minorHAnsi" w:hAnsiTheme="minorHAnsi" w:cstheme="minorHAnsi"/>
          <w:sz w:val="22"/>
          <w:szCs w:val="22"/>
        </w:rPr>
        <w:t>um grant amount of $5</w:t>
      </w:r>
      <w:r>
        <w:rPr>
          <w:rFonts w:asciiTheme="minorHAnsi" w:hAnsiTheme="minorHAnsi" w:cstheme="minorHAnsi"/>
          <w:sz w:val="22"/>
          <w:szCs w:val="22"/>
        </w:rPr>
        <w:t>00,000. T</w:t>
      </w:r>
      <w:r w:rsidRPr="003060BB">
        <w:rPr>
          <w:rFonts w:asciiTheme="minorHAnsi" w:hAnsiTheme="minorHAnsi" w:cstheme="minorHAnsi"/>
          <w:sz w:val="22"/>
          <w:szCs w:val="22"/>
        </w:rPr>
        <w:t xml:space="preserve">he amount of CDBG funds granted will be </w:t>
      </w:r>
      <w:r>
        <w:rPr>
          <w:rFonts w:asciiTheme="minorHAnsi" w:hAnsiTheme="minorHAnsi" w:cstheme="minorHAnsi"/>
          <w:sz w:val="22"/>
          <w:szCs w:val="22"/>
        </w:rPr>
        <w:t>limited to</w:t>
      </w:r>
      <w:r w:rsidRPr="003060BB">
        <w:rPr>
          <w:rFonts w:asciiTheme="minorHAnsi" w:hAnsiTheme="minorHAnsi" w:cstheme="minorHAnsi"/>
          <w:sz w:val="22"/>
          <w:szCs w:val="22"/>
        </w:rPr>
        <w:t xml:space="preserve"> $5,000 cost per project beneficiary</w:t>
      </w:r>
      <w:r w:rsidR="00F71B02">
        <w:rPr>
          <w:rFonts w:asciiTheme="minorHAnsi" w:hAnsiTheme="minorHAnsi" w:cstheme="minorHAnsi"/>
          <w:sz w:val="22"/>
          <w:szCs w:val="22"/>
        </w:rPr>
        <w:t>. Matching funds of at least 1</w:t>
      </w:r>
      <w:r w:rsidRPr="003060BB">
        <w:rPr>
          <w:rFonts w:asciiTheme="minorHAnsi" w:hAnsiTheme="minorHAnsi" w:cstheme="minorHAnsi"/>
          <w:sz w:val="22"/>
          <w:szCs w:val="22"/>
        </w:rPr>
        <w:t xml:space="preserve">0% </w:t>
      </w:r>
      <w:r>
        <w:rPr>
          <w:rFonts w:asciiTheme="minorHAnsi" w:hAnsiTheme="minorHAnsi" w:cstheme="minorHAnsi"/>
          <w:sz w:val="22"/>
          <w:szCs w:val="22"/>
        </w:rPr>
        <w:t xml:space="preserve">of the total project cost </w:t>
      </w:r>
      <w:r w:rsidRPr="003060BB">
        <w:rPr>
          <w:rFonts w:asciiTheme="minorHAnsi" w:hAnsiTheme="minorHAnsi" w:cstheme="minorHAnsi"/>
          <w:sz w:val="22"/>
          <w:szCs w:val="22"/>
        </w:rPr>
        <w:t>are required for all this program.</w:t>
      </w:r>
    </w:p>
    <w:p w14:paraId="775DC187" w14:textId="77777777" w:rsidR="00BF026E" w:rsidRPr="003060BB" w:rsidRDefault="00BF026E" w:rsidP="00942DE0">
      <w:pPr>
        <w:pStyle w:val="Default"/>
        <w:jc w:val="both"/>
        <w:rPr>
          <w:rFonts w:asciiTheme="minorHAnsi" w:hAnsiTheme="minorHAnsi" w:cstheme="minorHAnsi"/>
          <w:b/>
          <w:bCs/>
          <w:color w:val="auto"/>
          <w:sz w:val="22"/>
          <w:szCs w:val="22"/>
        </w:rPr>
      </w:pPr>
    </w:p>
    <w:p w14:paraId="7E009F66" w14:textId="446278EE" w:rsidR="00942DE0" w:rsidRPr="003060BB" w:rsidRDefault="00BF026E" w:rsidP="00942DE0">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F</w:t>
      </w:r>
      <w:r w:rsidR="00942DE0" w:rsidRPr="003060BB">
        <w:rPr>
          <w:rFonts w:asciiTheme="minorHAnsi" w:hAnsiTheme="minorHAnsi" w:cstheme="minorHAnsi"/>
          <w:b/>
          <w:bCs/>
          <w:color w:val="auto"/>
          <w:sz w:val="22"/>
          <w:szCs w:val="22"/>
        </w:rPr>
        <w:t xml:space="preserve">. </w:t>
      </w:r>
      <w:r w:rsidR="00F71B02">
        <w:rPr>
          <w:rFonts w:asciiTheme="minorHAnsi" w:hAnsiTheme="minorHAnsi" w:cstheme="minorHAnsi"/>
          <w:b/>
          <w:bCs/>
          <w:color w:val="auto"/>
          <w:sz w:val="22"/>
          <w:szCs w:val="22"/>
        </w:rPr>
        <w:t>Wastewater Drinking Water</w:t>
      </w:r>
      <w:r w:rsidR="00942DE0" w:rsidRPr="003060BB">
        <w:rPr>
          <w:rFonts w:asciiTheme="minorHAnsi" w:hAnsiTheme="minorHAnsi" w:cstheme="minorHAnsi"/>
          <w:b/>
          <w:bCs/>
          <w:color w:val="auto"/>
          <w:sz w:val="22"/>
          <w:szCs w:val="22"/>
        </w:rPr>
        <w:t xml:space="preserve">: </w:t>
      </w:r>
      <w:r w:rsidR="00942DE0" w:rsidRPr="003060BB">
        <w:rPr>
          <w:rFonts w:asciiTheme="minorHAnsi" w:hAnsiTheme="minorHAnsi" w:cstheme="minorHAnsi"/>
          <w:bCs/>
          <w:color w:val="auto"/>
          <w:sz w:val="22"/>
          <w:szCs w:val="22"/>
        </w:rPr>
        <w:t xml:space="preserve">$ </w:t>
      </w:r>
      <w:r w:rsidR="007E2653" w:rsidRPr="003060BB">
        <w:rPr>
          <w:rFonts w:asciiTheme="minorHAnsi" w:hAnsiTheme="minorHAnsi" w:cstheme="minorHAnsi"/>
          <w:bCs/>
          <w:color w:val="auto"/>
          <w:sz w:val="22"/>
          <w:szCs w:val="22"/>
        </w:rPr>
        <w:t>1</w:t>
      </w:r>
      <w:r w:rsidR="00F71B02">
        <w:rPr>
          <w:rFonts w:asciiTheme="minorHAnsi" w:hAnsiTheme="minorHAnsi" w:cstheme="minorHAnsi"/>
          <w:bCs/>
          <w:color w:val="auto"/>
          <w:sz w:val="22"/>
          <w:szCs w:val="22"/>
        </w:rPr>
        <w:t>0</w:t>
      </w:r>
      <w:r w:rsidR="007E2653" w:rsidRPr="003060BB">
        <w:rPr>
          <w:rFonts w:asciiTheme="minorHAnsi" w:hAnsiTheme="minorHAnsi" w:cstheme="minorHAnsi"/>
          <w:bCs/>
          <w:color w:val="auto"/>
          <w:sz w:val="22"/>
          <w:szCs w:val="22"/>
        </w:rPr>
        <w:t>,</w:t>
      </w:r>
      <w:r w:rsidR="00F71B02">
        <w:rPr>
          <w:rFonts w:asciiTheme="minorHAnsi" w:hAnsiTheme="minorHAnsi" w:cstheme="minorHAnsi"/>
          <w:bCs/>
          <w:color w:val="auto"/>
          <w:sz w:val="22"/>
          <w:szCs w:val="22"/>
        </w:rPr>
        <w:t>5</w:t>
      </w:r>
      <w:r w:rsidR="007E2653" w:rsidRPr="003060BB">
        <w:rPr>
          <w:rFonts w:asciiTheme="minorHAnsi" w:hAnsiTheme="minorHAnsi" w:cstheme="minorHAnsi"/>
          <w:bCs/>
          <w:color w:val="auto"/>
          <w:sz w:val="22"/>
          <w:szCs w:val="22"/>
        </w:rPr>
        <w:t>00</w:t>
      </w:r>
      <w:r w:rsidR="00A81FFB" w:rsidRPr="003060BB">
        <w:rPr>
          <w:rFonts w:asciiTheme="minorHAnsi" w:hAnsiTheme="minorHAnsi" w:cstheme="minorHAnsi"/>
          <w:bCs/>
          <w:color w:val="auto"/>
          <w:sz w:val="22"/>
          <w:szCs w:val="22"/>
        </w:rPr>
        <w:t>,000</w:t>
      </w:r>
    </w:p>
    <w:p w14:paraId="78F00E34" w14:textId="77777777" w:rsidR="00942DE0" w:rsidRPr="003060BB" w:rsidRDefault="00942DE0" w:rsidP="00942DE0">
      <w:pPr>
        <w:pStyle w:val="Default"/>
        <w:jc w:val="both"/>
        <w:rPr>
          <w:rFonts w:asciiTheme="minorHAnsi" w:hAnsiTheme="minorHAnsi" w:cstheme="minorHAnsi"/>
          <w:b/>
          <w:bCs/>
          <w:color w:val="auto"/>
          <w:sz w:val="22"/>
          <w:szCs w:val="22"/>
        </w:rPr>
      </w:pPr>
    </w:p>
    <w:p w14:paraId="2C5DCE5D" w14:textId="4F57510E" w:rsidR="00942DE0" w:rsidRPr="003060BB" w:rsidRDefault="003B3C5F" w:rsidP="00942DE0">
      <w:pPr>
        <w:jc w:val="both"/>
        <w:rPr>
          <w:rFonts w:asciiTheme="minorHAnsi" w:hAnsiTheme="minorHAnsi" w:cstheme="minorHAnsi"/>
          <w:bCs/>
          <w:sz w:val="22"/>
          <w:szCs w:val="22"/>
        </w:rPr>
      </w:pPr>
      <w:r>
        <w:rPr>
          <w:rFonts w:asciiTheme="minorHAnsi" w:hAnsiTheme="minorHAnsi" w:cstheme="minorHAnsi"/>
          <w:bCs/>
          <w:sz w:val="22"/>
          <w:szCs w:val="22"/>
        </w:rPr>
        <w:t>OCRA will allocate</w:t>
      </w:r>
      <w:r w:rsidR="00942DE0" w:rsidRPr="003060BB">
        <w:rPr>
          <w:rFonts w:asciiTheme="minorHAnsi" w:hAnsiTheme="minorHAnsi" w:cstheme="minorHAnsi"/>
          <w:bCs/>
          <w:sz w:val="22"/>
          <w:szCs w:val="22"/>
        </w:rPr>
        <w:t xml:space="preserve"> $</w:t>
      </w:r>
      <w:r w:rsidR="00C92B71" w:rsidRPr="003060BB">
        <w:rPr>
          <w:rFonts w:asciiTheme="minorHAnsi" w:hAnsiTheme="minorHAnsi" w:cstheme="minorHAnsi"/>
          <w:bCs/>
          <w:sz w:val="22"/>
          <w:szCs w:val="22"/>
        </w:rPr>
        <w:t>1</w:t>
      </w:r>
      <w:r w:rsidR="00F71B02">
        <w:rPr>
          <w:rFonts w:asciiTheme="minorHAnsi" w:hAnsiTheme="minorHAnsi" w:cstheme="minorHAnsi"/>
          <w:bCs/>
          <w:sz w:val="22"/>
          <w:szCs w:val="22"/>
        </w:rPr>
        <w:t>0,5</w:t>
      </w:r>
      <w:r w:rsidR="00A81FFB" w:rsidRPr="003060BB">
        <w:rPr>
          <w:rFonts w:asciiTheme="minorHAnsi" w:hAnsiTheme="minorHAnsi" w:cstheme="minorHAnsi"/>
          <w:bCs/>
          <w:sz w:val="22"/>
          <w:szCs w:val="22"/>
        </w:rPr>
        <w:t>00,000</w:t>
      </w:r>
      <w:r w:rsidR="00942DE0" w:rsidRPr="003060BB">
        <w:rPr>
          <w:rFonts w:asciiTheme="minorHAnsi" w:hAnsiTheme="minorHAnsi" w:cstheme="minorHAnsi"/>
          <w:bCs/>
          <w:sz w:val="22"/>
          <w:szCs w:val="22"/>
        </w:rPr>
        <w:t xml:space="preserve"> of its FY </w:t>
      </w:r>
      <w:r w:rsidR="00DA7658">
        <w:rPr>
          <w:rFonts w:asciiTheme="minorHAnsi" w:hAnsiTheme="minorHAnsi" w:cstheme="minorHAnsi"/>
          <w:bCs/>
          <w:sz w:val="22"/>
          <w:szCs w:val="22"/>
        </w:rPr>
        <w:t>20202</w:t>
      </w:r>
      <w:r w:rsidR="00942DE0" w:rsidRPr="003060BB">
        <w:rPr>
          <w:rFonts w:asciiTheme="minorHAnsi" w:hAnsiTheme="minorHAnsi" w:cstheme="minorHAnsi"/>
          <w:bCs/>
          <w:sz w:val="22"/>
          <w:szCs w:val="22"/>
        </w:rPr>
        <w:t xml:space="preserve"> CDBG funds for the </w:t>
      </w:r>
      <w:r w:rsidR="004A054E">
        <w:rPr>
          <w:rFonts w:asciiTheme="minorHAnsi" w:hAnsiTheme="minorHAnsi" w:cstheme="minorHAnsi"/>
          <w:bCs/>
          <w:sz w:val="22"/>
          <w:szCs w:val="22"/>
        </w:rPr>
        <w:t>Wastewater Drinking Water (</w:t>
      </w:r>
      <w:proofErr w:type="spellStart"/>
      <w:r w:rsidR="004A054E">
        <w:rPr>
          <w:rFonts w:asciiTheme="minorHAnsi" w:hAnsiTheme="minorHAnsi" w:cstheme="minorHAnsi"/>
          <w:bCs/>
          <w:sz w:val="22"/>
          <w:szCs w:val="22"/>
        </w:rPr>
        <w:t>WDW</w:t>
      </w:r>
      <w:proofErr w:type="spellEnd"/>
      <w:r>
        <w:rPr>
          <w:rFonts w:asciiTheme="minorHAnsi" w:hAnsiTheme="minorHAnsi" w:cstheme="minorHAnsi"/>
          <w:bCs/>
          <w:sz w:val="22"/>
          <w:szCs w:val="22"/>
        </w:rPr>
        <w:t>)</w:t>
      </w:r>
      <w:r w:rsidR="00942DE0" w:rsidRPr="003060BB">
        <w:rPr>
          <w:rFonts w:asciiTheme="minorHAnsi" w:hAnsiTheme="minorHAnsi" w:cstheme="minorHAnsi"/>
          <w:bCs/>
          <w:sz w:val="22"/>
          <w:szCs w:val="22"/>
        </w:rPr>
        <w:t xml:space="preserve">.  </w:t>
      </w:r>
    </w:p>
    <w:p w14:paraId="25C287CD" w14:textId="77777777" w:rsidR="009757DE" w:rsidRPr="003060BB" w:rsidRDefault="009757DE" w:rsidP="00942DE0">
      <w:pPr>
        <w:jc w:val="both"/>
        <w:rPr>
          <w:rFonts w:asciiTheme="minorHAnsi" w:hAnsiTheme="minorHAnsi" w:cstheme="minorHAnsi"/>
          <w:sz w:val="22"/>
          <w:szCs w:val="22"/>
        </w:rPr>
      </w:pPr>
    </w:p>
    <w:p w14:paraId="32E077EC" w14:textId="70196615" w:rsidR="00C603E7" w:rsidRDefault="003B3C5F" w:rsidP="00FB2466">
      <w:pPr>
        <w:pStyle w:val="Default"/>
        <w:jc w:val="both"/>
        <w:rPr>
          <w:rFonts w:asciiTheme="minorHAnsi" w:hAnsiTheme="minorHAnsi" w:cstheme="minorHAnsi"/>
          <w:sz w:val="22"/>
          <w:szCs w:val="22"/>
        </w:rPr>
      </w:pPr>
      <w:r w:rsidRPr="003060BB">
        <w:rPr>
          <w:rFonts w:asciiTheme="minorHAnsi" w:hAnsiTheme="minorHAnsi" w:cstheme="minorHAnsi"/>
          <w:color w:val="auto"/>
          <w:sz w:val="22"/>
          <w:szCs w:val="22"/>
        </w:rPr>
        <w:t xml:space="preserve">Applications will be accepted </w:t>
      </w:r>
      <w:r>
        <w:rPr>
          <w:rFonts w:asciiTheme="minorHAnsi" w:hAnsiTheme="minorHAnsi" w:cstheme="minorHAnsi"/>
          <w:color w:val="auto"/>
          <w:sz w:val="22"/>
          <w:szCs w:val="22"/>
        </w:rPr>
        <w:t xml:space="preserve">in rounds </w:t>
      </w:r>
      <w:r w:rsidRPr="003060BB">
        <w:rPr>
          <w:rFonts w:asciiTheme="minorHAnsi" w:hAnsiTheme="minorHAnsi" w:cstheme="minorHAnsi"/>
          <w:color w:val="auto"/>
          <w:sz w:val="22"/>
          <w:szCs w:val="22"/>
        </w:rPr>
        <w:t>and awards will</w:t>
      </w:r>
      <w:r>
        <w:rPr>
          <w:rFonts w:asciiTheme="minorHAnsi" w:hAnsiTheme="minorHAnsi" w:cstheme="minorHAnsi"/>
          <w:color w:val="auto"/>
          <w:sz w:val="22"/>
          <w:szCs w:val="22"/>
        </w:rPr>
        <w:t xml:space="preserve"> be made on a competitive </w:t>
      </w:r>
      <w:r w:rsidRPr="003060BB">
        <w:rPr>
          <w:rFonts w:asciiTheme="minorHAnsi" w:hAnsiTheme="minorHAnsi" w:cstheme="minorHAnsi"/>
          <w:color w:val="auto"/>
          <w:sz w:val="22"/>
          <w:szCs w:val="22"/>
        </w:rPr>
        <w:t xml:space="preserve">basis.  </w:t>
      </w:r>
      <w:r w:rsidRPr="003060BB">
        <w:rPr>
          <w:rFonts w:asciiTheme="minorHAnsi" w:hAnsiTheme="minorHAnsi" w:cstheme="minorHAnsi"/>
          <w:sz w:val="22"/>
          <w:szCs w:val="22"/>
        </w:rPr>
        <w:t xml:space="preserve">The specific threshold criteria and basis </w:t>
      </w:r>
      <w:r>
        <w:rPr>
          <w:rFonts w:asciiTheme="minorHAnsi" w:hAnsiTheme="minorHAnsi" w:cstheme="minorHAnsi"/>
          <w:sz w:val="22"/>
          <w:szCs w:val="22"/>
        </w:rPr>
        <w:t xml:space="preserve">for scoring </w:t>
      </w:r>
      <w:r w:rsidRPr="003060BB">
        <w:rPr>
          <w:rFonts w:asciiTheme="minorHAnsi" w:hAnsiTheme="minorHAnsi" w:cstheme="minorHAnsi"/>
          <w:sz w:val="22"/>
          <w:szCs w:val="22"/>
        </w:rPr>
        <w:t>are provided in A</w:t>
      </w:r>
      <w:r>
        <w:rPr>
          <w:rFonts w:asciiTheme="minorHAnsi" w:hAnsiTheme="minorHAnsi" w:cstheme="minorHAnsi"/>
          <w:sz w:val="22"/>
          <w:szCs w:val="22"/>
        </w:rPr>
        <w:t>t</w:t>
      </w:r>
      <w:r w:rsidR="004A054E">
        <w:rPr>
          <w:rFonts w:asciiTheme="minorHAnsi" w:hAnsiTheme="minorHAnsi" w:cstheme="minorHAnsi"/>
          <w:sz w:val="22"/>
          <w:szCs w:val="22"/>
        </w:rPr>
        <w:t xml:space="preserve">tachment C and D hereto. </w:t>
      </w:r>
      <w:proofErr w:type="spellStart"/>
      <w:r w:rsidR="004A054E">
        <w:rPr>
          <w:rFonts w:asciiTheme="minorHAnsi" w:hAnsiTheme="minorHAnsi" w:cstheme="minorHAnsi"/>
          <w:sz w:val="22"/>
          <w:szCs w:val="22"/>
        </w:rPr>
        <w:t>WDW</w:t>
      </w:r>
      <w:proofErr w:type="spellEnd"/>
      <w:r w:rsidRPr="003060BB">
        <w:rPr>
          <w:rFonts w:asciiTheme="minorHAnsi" w:hAnsiTheme="minorHAnsi" w:cstheme="minorHAnsi"/>
          <w:sz w:val="22"/>
          <w:szCs w:val="22"/>
        </w:rPr>
        <w:t xml:space="preserve"> shall have a maxim</w:t>
      </w:r>
      <w:r>
        <w:rPr>
          <w:rFonts w:asciiTheme="minorHAnsi" w:hAnsiTheme="minorHAnsi" w:cstheme="minorHAnsi"/>
          <w:sz w:val="22"/>
          <w:szCs w:val="22"/>
        </w:rPr>
        <w:t xml:space="preserve">um grant amounts based on present combined user rates (water, wastewater, and stormwater) as shown in the matrix below. </w:t>
      </w:r>
      <w:r>
        <w:rPr>
          <w:rFonts w:asciiTheme="minorHAnsi" w:hAnsiTheme="minorHAnsi" w:cstheme="minorHAnsi"/>
          <w:color w:val="auto"/>
          <w:sz w:val="22"/>
          <w:szCs w:val="22"/>
        </w:rPr>
        <w:t>T</w:t>
      </w:r>
      <w:r w:rsidRPr="003060BB">
        <w:rPr>
          <w:rFonts w:asciiTheme="minorHAnsi" w:hAnsiTheme="minorHAnsi" w:cstheme="minorHAnsi"/>
          <w:color w:val="auto"/>
          <w:sz w:val="22"/>
          <w:szCs w:val="22"/>
        </w:rPr>
        <w:t xml:space="preserve">he amount of CDBG funds granted will be </w:t>
      </w:r>
      <w:r>
        <w:rPr>
          <w:rFonts w:asciiTheme="minorHAnsi" w:hAnsiTheme="minorHAnsi" w:cstheme="minorHAnsi"/>
          <w:color w:val="auto"/>
          <w:sz w:val="22"/>
          <w:szCs w:val="22"/>
        </w:rPr>
        <w:t>limited to</w:t>
      </w:r>
      <w:r w:rsidRPr="003060BB">
        <w:rPr>
          <w:rFonts w:asciiTheme="minorHAnsi" w:hAnsiTheme="minorHAnsi" w:cstheme="minorHAnsi"/>
          <w:color w:val="auto"/>
          <w:sz w:val="22"/>
          <w:szCs w:val="22"/>
        </w:rPr>
        <w:t xml:space="preserve"> $5,000 cost per project beneficiary</w:t>
      </w:r>
      <w:r>
        <w:rPr>
          <w:rFonts w:asciiTheme="minorHAnsi" w:hAnsiTheme="minorHAnsi" w:cstheme="minorHAnsi"/>
          <w:color w:val="auto"/>
          <w:sz w:val="22"/>
          <w:szCs w:val="22"/>
        </w:rPr>
        <w:t>.</w:t>
      </w:r>
      <w:r>
        <w:rPr>
          <w:rFonts w:asciiTheme="minorHAnsi" w:hAnsiTheme="minorHAnsi" w:cstheme="minorHAnsi"/>
          <w:sz w:val="22"/>
          <w:szCs w:val="22"/>
        </w:rPr>
        <w:t xml:space="preserve"> Matching funds of at least 2</w:t>
      </w:r>
      <w:r w:rsidRPr="003060BB">
        <w:rPr>
          <w:rFonts w:asciiTheme="minorHAnsi" w:hAnsiTheme="minorHAnsi" w:cstheme="minorHAnsi"/>
          <w:sz w:val="22"/>
          <w:szCs w:val="22"/>
        </w:rPr>
        <w:t xml:space="preserve">0% </w:t>
      </w:r>
      <w:r>
        <w:rPr>
          <w:rFonts w:asciiTheme="minorHAnsi" w:hAnsiTheme="minorHAnsi" w:cstheme="minorHAnsi"/>
          <w:sz w:val="22"/>
          <w:szCs w:val="22"/>
        </w:rPr>
        <w:t xml:space="preserve">of the total project cost </w:t>
      </w:r>
      <w:r w:rsidRPr="003060BB">
        <w:rPr>
          <w:rFonts w:asciiTheme="minorHAnsi" w:hAnsiTheme="minorHAnsi" w:cstheme="minorHAnsi"/>
          <w:sz w:val="22"/>
          <w:szCs w:val="22"/>
        </w:rPr>
        <w:t>are required for all this program.</w:t>
      </w:r>
    </w:p>
    <w:p w14:paraId="68657844" w14:textId="77777777" w:rsidR="001D4CC1" w:rsidRPr="003060BB" w:rsidRDefault="001D4CC1" w:rsidP="00FB2466">
      <w:pPr>
        <w:pStyle w:val="Default"/>
        <w:jc w:val="both"/>
        <w:rPr>
          <w:rFonts w:asciiTheme="minorHAnsi" w:hAnsiTheme="minorHAnsi" w:cstheme="minorHAnsi"/>
          <w:b/>
          <w:bCs/>
          <w:color w:val="auto"/>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1194"/>
        <w:gridCol w:w="1317"/>
        <w:gridCol w:w="1307"/>
      </w:tblGrid>
      <w:tr w:rsidR="009B2E83" w:rsidRPr="003060BB" w14:paraId="6F7C1FE1" w14:textId="77777777" w:rsidTr="004F4E85">
        <w:tc>
          <w:tcPr>
            <w:tcW w:w="0" w:type="auto"/>
            <w:vMerge w:val="restart"/>
            <w:shd w:val="clear" w:color="auto" w:fill="auto"/>
            <w:vAlign w:val="center"/>
          </w:tcPr>
          <w:p w14:paraId="17C3B940" w14:textId="77777777" w:rsidR="00C603E7" w:rsidRPr="003060BB" w:rsidRDefault="00C603E7" w:rsidP="004F4E85">
            <w:pPr>
              <w:pStyle w:val="Default"/>
              <w:jc w:val="both"/>
              <w:rPr>
                <w:rFonts w:asciiTheme="minorHAnsi" w:hAnsiTheme="minorHAnsi" w:cstheme="minorHAnsi"/>
                <w:b/>
                <w:color w:val="auto"/>
                <w:sz w:val="22"/>
                <w:szCs w:val="22"/>
              </w:rPr>
            </w:pPr>
            <w:r w:rsidRPr="003060BB">
              <w:rPr>
                <w:rFonts w:asciiTheme="minorHAnsi" w:hAnsiTheme="minorHAnsi" w:cstheme="minorHAnsi"/>
                <w:b/>
                <w:color w:val="auto"/>
                <w:sz w:val="22"/>
                <w:szCs w:val="22"/>
              </w:rPr>
              <w:t>Maximum Grant Amounts</w:t>
            </w:r>
          </w:p>
        </w:tc>
        <w:tc>
          <w:tcPr>
            <w:tcW w:w="0" w:type="auto"/>
            <w:gridSpan w:val="3"/>
            <w:shd w:val="clear" w:color="auto" w:fill="auto"/>
          </w:tcPr>
          <w:p w14:paraId="4AA678FB" w14:textId="77777777" w:rsidR="00C603E7" w:rsidRPr="003060BB" w:rsidRDefault="00C603E7" w:rsidP="004F4E85">
            <w:pPr>
              <w:pStyle w:val="Default"/>
              <w:jc w:val="both"/>
              <w:rPr>
                <w:rFonts w:asciiTheme="minorHAnsi" w:hAnsiTheme="minorHAnsi" w:cstheme="minorHAnsi"/>
                <w:b/>
                <w:color w:val="auto"/>
                <w:sz w:val="22"/>
                <w:szCs w:val="22"/>
              </w:rPr>
            </w:pPr>
            <w:r w:rsidRPr="003060BB">
              <w:rPr>
                <w:rFonts w:asciiTheme="minorHAnsi" w:hAnsiTheme="minorHAnsi" w:cstheme="minorHAnsi"/>
                <w:b/>
                <w:color w:val="auto"/>
                <w:sz w:val="22"/>
                <w:szCs w:val="22"/>
              </w:rPr>
              <w:t>Rates for 4,000 gallons</w:t>
            </w:r>
          </w:p>
        </w:tc>
      </w:tr>
      <w:tr w:rsidR="009B2E83" w:rsidRPr="003060BB" w14:paraId="12DA5012" w14:textId="77777777" w:rsidTr="004F4E85">
        <w:tc>
          <w:tcPr>
            <w:tcW w:w="0" w:type="auto"/>
            <w:vMerge/>
            <w:shd w:val="clear" w:color="auto" w:fill="auto"/>
          </w:tcPr>
          <w:p w14:paraId="07DFEDC2" w14:textId="77777777" w:rsidR="00C603E7" w:rsidRPr="003060BB" w:rsidRDefault="00C603E7" w:rsidP="004F4E85">
            <w:pPr>
              <w:pStyle w:val="Default"/>
              <w:jc w:val="both"/>
              <w:rPr>
                <w:rFonts w:asciiTheme="minorHAnsi" w:hAnsiTheme="minorHAnsi" w:cstheme="minorHAnsi"/>
                <w:b/>
                <w:color w:val="auto"/>
                <w:sz w:val="22"/>
                <w:szCs w:val="22"/>
              </w:rPr>
            </w:pPr>
          </w:p>
        </w:tc>
        <w:tc>
          <w:tcPr>
            <w:tcW w:w="0" w:type="auto"/>
            <w:shd w:val="clear" w:color="auto" w:fill="auto"/>
          </w:tcPr>
          <w:p w14:paraId="34B0D80F" w14:textId="77777777" w:rsidR="00C603E7" w:rsidRPr="003060BB" w:rsidRDefault="00C603E7" w:rsidP="004F4E85">
            <w:pPr>
              <w:pStyle w:val="Default"/>
              <w:jc w:val="both"/>
              <w:rPr>
                <w:rFonts w:asciiTheme="minorHAnsi" w:hAnsiTheme="minorHAnsi" w:cstheme="minorHAnsi"/>
                <w:b/>
                <w:color w:val="auto"/>
                <w:sz w:val="22"/>
                <w:szCs w:val="22"/>
              </w:rPr>
            </w:pPr>
            <w:r w:rsidRPr="003060BB">
              <w:rPr>
                <w:rFonts w:asciiTheme="minorHAnsi" w:hAnsiTheme="minorHAnsi" w:cstheme="minorHAnsi"/>
                <w:b/>
                <w:color w:val="auto"/>
                <w:sz w:val="22"/>
                <w:szCs w:val="22"/>
              </w:rPr>
              <w:t>User Rates</w:t>
            </w:r>
          </w:p>
          <w:p w14:paraId="7F5D9435" w14:textId="17908CFA" w:rsidR="00C603E7" w:rsidRPr="003060BB" w:rsidRDefault="003B3C5F" w:rsidP="004F4E85">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(Over $7</w:t>
            </w:r>
            <w:r w:rsidR="00C603E7" w:rsidRPr="003060BB">
              <w:rPr>
                <w:rFonts w:asciiTheme="minorHAnsi" w:hAnsiTheme="minorHAnsi" w:cstheme="minorHAnsi"/>
                <w:b/>
                <w:color w:val="auto"/>
                <w:sz w:val="22"/>
                <w:szCs w:val="22"/>
              </w:rPr>
              <w:t>0)</w:t>
            </w:r>
          </w:p>
        </w:tc>
        <w:tc>
          <w:tcPr>
            <w:tcW w:w="0" w:type="auto"/>
            <w:shd w:val="clear" w:color="auto" w:fill="auto"/>
          </w:tcPr>
          <w:p w14:paraId="440BB083" w14:textId="77777777" w:rsidR="00C603E7" w:rsidRPr="003060BB" w:rsidRDefault="00C603E7" w:rsidP="004F4E85">
            <w:pPr>
              <w:pStyle w:val="Default"/>
              <w:jc w:val="both"/>
              <w:rPr>
                <w:rFonts w:asciiTheme="minorHAnsi" w:hAnsiTheme="minorHAnsi" w:cstheme="minorHAnsi"/>
                <w:b/>
                <w:color w:val="auto"/>
                <w:sz w:val="22"/>
                <w:szCs w:val="22"/>
              </w:rPr>
            </w:pPr>
            <w:r w:rsidRPr="003060BB">
              <w:rPr>
                <w:rFonts w:asciiTheme="minorHAnsi" w:hAnsiTheme="minorHAnsi" w:cstheme="minorHAnsi"/>
                <w:b/>
                <w:color w:val="auto"/>
                <w:sz w:val="22"/>
                <w:szCs w:val="22"/>
              </w:rPr>
              <w:t>User Rates</w:t>
            </w:r>
          </w:p>
          <w:p w14:paraId="0F7F63CA" w14:textId="7FFABA1D" w:rsidR="00C603E7" w:rsidRPr="003060BB" w:rsidRDefault="003B3C5F" w:rsidP="004F4E85">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($40 to $7</w:t>
            </w:r>
            <w:r w:rsidR="00C603E7" w:rsidRPr="003060BB">
              <w:rPr>
                <w:rFonts w:asciiTheme="minorHAnsi" w:hAnsiTheme="minorHAnsi" w:cstheme="minorHAnsi"/>
                <w:b/>
                <w:color w:val="auto"/>
                <w:sz w:val="22"/>
                <w:szCs w:val="22"/>
              </w:rPr>
              <w:t>0)</w:t>
            </w:r>
          </w:p>
        </w:tc>
        <w:tc>
          <w:tcPr>
            <w:tcW w:w="0" w:type="auto"/>
            <w:shd w:val="clear" w:color="auto" w:fill="auto"/>
          </w:tcPr>
          <w:p w14:paraId="2523F9D3" w14:textId="77777777" w:rsidR="00C603E7" w:rsidRPr="003060BB" w:rsidRDefault="00C603E7" w:rsidP="004F4E85">
            <w:pPr>
              <w:pStyle w:val="Default"/>
              <w:jc w:val="both"/>
              <w:rPr>
                <w:rFonts w:asciiTheme="minorHAnsi" w:hAnsiTheme="minorHAnsi" w:cstheme="minorHAnsi"/>
                <w:b/>
                <w:color w:val="auto"/>
                <w:sz w:val="22"/>
                <w:szCs w:val="22"/>
              </w:rPr>
            </w:pPr>
            <w:r w:rsidRPr="003060BB">
              <w:rPr>
                <w:rFonts w:asciiTheme="minorHAnsi" w:hAnsiTheme="minorHAnsi" w:cstheme="minorHAnsi"/>
                <w:b/>
                <w:color w:val="auto"/>
                <w:sz w:val="22"/>
                <w:szCs w:val="22"/>
              </w:rPr>
              <w:t>User Rates</w:t>
            </w:r>
          </w:p>
          <w:p w14:paraId="7033EB64" w14:textId="51CBD46D" w:rsidR="00C603E7" w:rsidRPr="003060BB" w:rsidRDefault="003B3C5F" w:rsidP="004F4E85">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(Under $4</w:t>
            </w:r>
            <w:r w:rsidR="00C603E7" w:rsidRPr="003060BB">
              <w:rPr>
                <w:rFonts w:asciiTheme="minorHAnsi" w:hAnsiTheme="minorHAnsi" w:cstheme="minorHAnsi"/>
                <w:b/>
                <w:color w:val="auto"/>
                <w:sz w:val="22"/>
                <w:szCs w:val="22"/>
              </w:rPr>
              <w:t>0)</w:t>
            </w:r>
          </w:p>
        </w:tc>
      </w:tr>
      <w:tr w:rsidR="009B2E83" w:rsidRPr="003060BB" w14:paraId="334E43F7" w14:textId="77777777" w:rsidTr="004F4E85">
        <w:tc>
          <w:tcPr>
            <w:tcW w:w="0" w:type="auto"/>
            <w:shd w:val="clear" w:color="auto" w:fill="auto"/>
          </w:tcPr>
          <w:p w14:paraId="5C3E7603" w14:textId="77777777" w:rsidR="00C603E7" w:rsidRPr="003060BB" w:rsidRDefault="00C603E7" w:rsidP="004F4E85">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Projects over $1 million in total project cost</w:t>
            </w:r>
          </w:p>
        </w:tc>
        <w:tc>
          <w:tcPr>
            <w:tcW w:w="0" w:type="auto"/>
            <w:shd w:val="clear" w:color="auto" w:fill="auto"/>
          </w:tcPr>
          <w:p w14:paraId="63424920" w14:textId="77777777" w:rsidR="00C603E7" w:rsidRPr="003060BB" w:rsidRDefault="00C603E7" w:rsidP="004F4E85">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$700,000</w:t>
            </w:r>
          </w:p>
        </w:tc>
        <w:tc>
          <w:tcPr>
            <w:tcW w:w="0" w:type="auto"/>
            <w:shd w:val="clear" w:color="auto" w:fill="auto"/>
          </w:tcPr>
          <w:p w14:paraId="00FC2A05" w14:textId="77777777" w:rsidR="00C603E7" w:rsidRPr="003060BB" w:rsidRDefault="00C603E7" w:rsidP="004F4E85">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$600,000</w:t>
            </w:r>
          </w:p>
        </w:tc>
        <w:tc>
          <w:tcPr>
            <w:tcW w:w="0" w:type="auto"/>
            <w:shd w:val="clear" w:color="auto" w:fill="auto"/>
          </w:tcPr>
          <w:p w14:paraId="64E4A9AD" w14:textId="77777777" w:rsidR="00C603E7" w:rsidRPr="003060BB" w:rsidRDefault="00C603E7" w:rsidP="004F4E85">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$550,000</w:t>
            </w:r>
          </w:p>
        </w:tc>
      </w:tr>
      <w:tr w:rsidR="009B2E83" w:rsidRPr="003060BB" w14:paraId="3DFFEBF5" w14:textId="77777777" w:rsidTr="004F4E85">
        <w:tc>
          <w:tcPr>
            <w:tcW w:w="0" w:type="auto"/>
            <w:shd w:val="clear" w:color="auto" w:fill="auto"/>
          </w:tcPr>
          <w:p w14:paraId="5C92322C" w14:textId="77777777" w:rsidR="00C603E7" w:rsidRPr="003060BB" w:rsidRDefault="00C603E7" w:rsidP="004F4E85">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Projects under $1 million in total project cost</w:t>
            </w:r>
          </w:p>
        </w:tc>
        <w:tc>
          <w:tcPr>
            <w:tcW w:w="0" w:type="auto"/>
            <w:shd w:val="clear" w:color="auto" w:fill="auto"/>
          </w:tcPr>
          <w:p w14:paraId="6F9B9AD9" w14:textId="77777777" w:rsidR="00C603E7" w:rsidRPr="003060BB" w:rsidRDefault="00C603E7" w:rsidP="004F4E85">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$600,000</w:t>
            </w:r>
          </w:p>
        </w:tc>
        <w:tc>
          <w:tcPr>
            <w:tcW w:w="0" w:type="auto"/>
            <w:shd w:val="clear" w:color="auto" w:fill="auto"/>
          </w:tcPr>
          <w:p w14:paraId="3F906101" w14:textId="77777777" w:rsidR="00C603E7" w:rsidRPr="003060BB" w:rsidRDefault="00C603E7" w:rsidP="004F4E85">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$550,000</w:t>
            </w:r>
          </w:p>
        </w:tc>
        <w:tc>
          <w:tcPr>
            <w:tcW w:w="0" w:type="auto"/>
            <w:shd w:val="clear" w:color="auto" w:fill="auto"/>
          </w:tcPr>
          <w:p w14:paraId="20E64C0A" w14:textId="77777777" w:rsidR="00C603E7" w:rsidRPr="003060BB" w:rsidRDefault="00C603E7" w:rsidP="004F4E85">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$500,000</w:t>
            </w:r>
          </w:p>
        </w:tc>
      </w:tr>
    </w:tbl>
    <w:p w14:paraId="0CFFACB0" w14:textId="77777777" w:rsidR="00942DE0" w:rsidRPr="003060BB" w:rsidRDefault="00942DE0" w:rsidP="00942DE0">
      <w:pPr>
        <w:pStyle w:val="Default"/>
        <w:jc w:val="both"/>
        <w:rPr>
          <w:rFonts w:asciiTheme="minorHAnsi" w:hAnsiTheme="minorHAnsi" w:cstheme="minorHAnsi"/>
          <w:bCs/>
          <w:color w:val="auto"/>
          <w:sz w:val="22"/>
          <w:szCs w:val="22"/>
        </w:rPr>
      </w:pPr>
    </w:p>
    <w:p w14:paraId="607A6882" w14:textId="37CDC2C8" w:rsidR="00F71B02" w:rsidRPr="003060BB" w:rsidRDefault="00F71B02" w:rsidP="00F71B02">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E</w:t>
      </w:r>
      <w:r w:rsidRPr="003060BB">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Stormwater Improvements</w:t>
      </w:r>
      <w:r w:rsidRPr="003060BB">
        <w:rPr>
          <w:rFonts w:asciiTheme="minorHAnsi" w:hAnsiTheme="minorHAnsi" w:cstheme="minorHAnsi"/>
          <w:b/>
          <w:color w:val="auto"/>
          <w:sz w:val="22"/>
          <w:szCs w:val="22"/>
        </w:rPr>
        <w:t xml:space="preserve"> Program: </w:t>
      </w:r>
      <w:r w:rsidRPr="003060BB">
        <w:rPr>
          <w:rFonts w:asciiTheme="minorHAnsi" w:hAnsiTheme="minorHAnsi" w:cstheme="minorHAnsi"/>
          <w:color w:val="auto"/>
          <w:sz w:val="22"/>
          <w:szCs w:val="22"/>
        </w:rPr>
        <w:t>$</w:t>
      </w:r>
      <w:r>
        <w:rPr>
          <w:rFonts w:asciiTheme="minorHAnsi" w:hAnsiTheme="minorHAnsi" w:cstheme="minorHAnsi"/>
          <w:color w:val="auto"/>
          <w:sz w:val="22"/>
          <w:szCs w:val="22"/>
        </w:rPr>
        <w:t>3,0</w:t>
      </w:r>
      <w:r w:rsidRPr="003060BB">
        <w:rPr>
          <w:rFonts w:asciiTheme="minorHAnsi" w:hAnsiTheme="minorHAnsi" w:cstheme="minorHAnsi"/>
          <w:color w:val="auto"/>
          <w:sz w:val="22"/>
          <w:szCs w:val="22"/>
        </w:rPr>
        <w:t>00,000</w:t>
      </w:r>
    </w:p>
    <w:p w14:paraId="53082010" w14:textId="77777777" w:rsidR="00F71B02" w:rsidRPr="003060BB" w:rsidRDefault="00F71B02" w:rsidP="00F71B02">
      <w:pPr>
        <w:pStyle w:val="Default"/>
        <w:jc w:val="both"/>
        <w:rPr>
          <w:rFonts w:asciiTheme="minorHAnsi" w:hAnsiTheme="minorHAnsi" w:cstheme="minorHAnsi"/>
          <w:color w:val="auto"/>
          <w:sz w:val="22"/>
          <w:szCs w:val="22"/>
        </w:rPr>
      </w:pPr>
    </w:p>
    <w:p w14:paraId="79C2E1AC" w14:textId="37307A9C" w:rsidR="00F71B02" w:rsidRPr="003060BB" w:rsidRDefault="00F71B02" w:rsidP="00F71B02">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OCRA will allocate</w:t>
      </w:r>
      <w:r w:rsidRPr="003060BB">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3,0</w:t>
      </w:r>
      <w:r w:rsidRPr="003060BB">
        <w:rPr>
          <w:rFonts w:asciiTheme="minorHAnsi" w:hAnsiTheme="minorHAnsi" w:cstheme="minorHAnsi"/>
          <w:bCs/>
          <w:color w:val="auto"/>
          <w:sz w:val="22"/>
          <w:szCs w:val="22"/>
        </w:rPr>
        <w:t xml:space="preserve">00,000 of its FY </w:t>
      </w:r>
      <w:r>
        <w:rPr>
          <w:rFonts w:asciiTheme="minorHAnsi" w:hAnsiTheme="minorHAnsi" w:cstheme="minorHAnsi"/>
          <w:bCs/>
          <w:color w:val="auto"/>
          <w:sz w:val="22"/>
          <w:szCs w:val="22"/>
        </w:rPr>
        <w:t>2020</w:t>
      </w:r>
      <w:r w:rsidRPr="003060BB">
        <w:rPr>
          <w:rFonts w:asciiTheme="minorHAnsi" w:hAnsiTheme="minorHAnsi" w:cstheme="minorHAnsi"/>
          <w:bCs/>
          <w:color w:val="auto"/>
          <w:sz w:val="22"/>
          <w:szCs w:val="22"/>
        </w:rPr>
        <w:t xml:space="preserve"> CDBG funds for the </w:t>
      </w:r>
      <w:r>
        <w:rPr>
          <w:rFonts w:asciiTheme="minorHAnsi" w:hAnsiTheme="minorHAnsi" w:cstheme="minorHAnsi"/>
          <w:bCs/>
          <w:color w:val="auto"/>
          <w:sz w:val="22"/>
          <w:szCs w:val="22"/>
        </w:rPr>
        <w:t>Stormwater Improvements Program (SIP).</w:t>
      </w:r>
      <w:r w:rsidRPr="003060BB">
        <w:rPr>
          <w:rFonts w:asciiTheme="minorHAnsi" w:hAnsiTheme="minorHAnsi" w:cstheme="minorHAnsi"/>
          <w:bCs/>
          <w:color w:val="auto"/>
          <w:sz w:val="22"/>
          <w:szCs w:val="22"/>
        </w:rPr>
        <w:t xml:space="preserve"> </w:t>
      </w:r>
    </w:p>
    <w:p w14:paraId="445877D9" w14:textId="77777777" w:rsidR="00F71B02" w:rsidRPr="003060BB" w:rsidRDefault="00F71B02" w:rsidP="00F71B02">
      <w:pPr>
        <w:pStyle w:val="Default"/>
        <w:jc w:val="both"/>
        <w:rPr>
          <w:rFonts w:asciiTheme="minorHAnsi" w:hAnsiTheme="minorHAnsi" w:cstheme="minorHAnsi"/>
          <w:bCs/>
          <w:color w:val="auto"/>
          <w:sz w:val="22"/>
          <w:szCs w:val="22"/>
        </w:rPr>
      </w:pPr>
    </w:p>
    <w:p w14:paraId="10FA9D1F" w14:textId="2FD93164" w:rsidR="00F71B02" w:rsidRPr="00BF026E" w:rsidRDefault="00F71B02" w:rsidP="00F71B02">
      <w:pPr>
        <w:rPr>
          <w:rFonts w:asciiTheme="minorHAnsi" w:hAnsiTheme="minorHAnsi" w:cstheme="minorHAnsi"/>
          <w:sz w:val="22"/>
          <w:szCs w:val="22"/>
        </w:rPr>
      </w:pPr>
      <w:r w:rsidRPr="003060BB">
        <w:rPr>
          <w:rFonts w:asciiTheme="minorHAnsi" w:hAnsiTheme="minorHAnsi" w:cstheme="minorHAnsi"/>
          <w:sz w:val="22"/>
          <w:szCs w:val="22"/>
        </w:rPr>
        <w:t xml:space="preserve">Applications will be accepted </w:t>
      </w:r>
      <w:r>
        <w:rPr>
          <w:rFonts w:asciiTheme="minorHAnsi" w:hAnsiTheme="minorHAnsi" w:cstheme="minorHAnsi"/>
          <w:sz w:val="22"/>
          <w:szCs w:val="22"/>
        </w:rPr>
        <w:t xml:space="preserve">in rounds </w:t>
      </w:r>
      <w:r w:rsidRPr="003060BB">
        <w:rPr>
          <w:rFonts w:asciiTheme="minorHAnsi" w:hAnsiTheme="minorHAnsi" w:cstheme="minorHAnsi"/>
          <w:sz w:val="22"/>
          <w:szCs w:val="22"/>
        </w:rPr>
        <w:t>and awards will</w:t>
      </w:r>
      <w:r>
        <w:rPr>
          <w:rFonts w:asciiTheme="minorHAnsi" w:hAnsiTheme="minorHAnsi" w:cstheme="minorHAnsi"/>
          <w:sz w:val="22"/>
          <w:szCs w:val="22"/>
        </w:rPr>
        <w:t xml:space="preserve"> be made on a competitive </w:t>
      </w:r>
      <w:r w:rsidRPr="003060BB">
        <w:rPr>
          <w:rFonts w:asciiTheme="minorHAnsi" w:hAnsiTheme="minorHAnsi" w:cstheme="minorHAnsi"/>
          <w:sz w:val="22"/>
          <w:szCs w:val="22"/>
        </w:rPr>
        <w:t xml:space="preserve">basis.  The specific threshold criteria and basis </w:t>
      </w:r>
      <w:r>
        <w:rPr>
          <w:rFonts w:asciiTheme="minorHAnsi" w:hAnsiTheme="minorHAnsi" w:cstheme="minorHAnsi"/>
          <w:sz w:val="22"/>
          <w:szCs w:val="22"/>
        </w:rPr>
        <w:t xml:space="preserve">for scoring </w:t>
      </w:r>
      <w:r w:rsidRPr="003060BB">
        <w:rPr>
          <w:rFonts w:asciiTheme="minorHAnsi" w:hAnsiTheme="minorHAnsi" w:cstheme="minorHAnsi"/>
          <w:sz w:val="22"/>
          <w:szCs w:val="22"/>
        </w:rPr>
        <w:t>are provided in A</w:t>
      </w:r>
      <w:r>
        <w:rPr>
          <w:rFonts w:asciiTheme="minorHAnsi" w:hAnsiTheme="minorHAnsi" w:cstheme="minorHAnsi"/>
          <w:sz w:val="22"/>
          <w:szCs w:val="22"/>
        </w:rPr>
        <w:t>t</w:t>
      </w:r>
      <w:r w:rsidR="004A054E">
        <w:rPr>
          <w:rFonts w:asciiTheme="minorHAnsi" w:hAnsiTheme="minorHAnsi" w:cstheme="minorHAnsi"/>
          <w:sz w:val="22"/>
          <w:szCs w:val="22"/>
        </w:rPr>
        <w:t>tachment C and D hereto. The SIP</w:t>
      </w:r>
      <w:r w:rsidRPr="003060BB">
        <w:rPr>
          <w:rFonts w:asciiTheme="minorHAnsi" w:hAnsiTheme="minorHAnsi" w:cstheme="minorHAnsi"/>
          <w:sz w:val="22"/>
          <w:szCs w:val="22"/>
        </w:rPr>
        <w:t xml:space="preserve"> shall have a maxim</w:t>
      </w:r>
      <w:r>
        <w:rPr>
          <w:rFonts w:asciiTheme="minorHAnsi" w:hAnsiTheme="minorHAnsi" w:cstheme="minorHAnsi"/>
          <w:sz w:val="22"/>
          <w:szCs w:val="22"/>
        </w:rPr>
        <w:t>um grant amount of $600,000. T</w:t>
      </w:r>
      <w:r w:rsidRPr="003060BB">
        <w:rPr>
          <w:rFonts w:asciiTheme="minorHAnsi" w:hAnsiTheme="minorHAnsi" w:cstheme="minorHAnsi"/>
          <w:sz w:val="22"/>
          <w:szCs w:val="22"/>
        </w:rPr>
        <w:t xml:space="preserve">he amount of CDBG funds granted will be </w:t>
      </w:r>
      <w:r>
        <w:rPr>
          <w:rFonts w:asciiTheme="minorHAnsi" w:hAnsiTheme="minorHAnsi" w:cstheme="minorHAnsi"/>
          <w:sz w:val="22"/>
          <w:szCs w:val="22"/>
        </w:rPr>
        <w:t>limited to</w:t>
      </w:r>
      <w:r w:rsidRPr="003060BB">
        <w:rPr>
          <w:rFonts w:asciiTheme="minorHAnsi" w:hAnsiTheme="minorHAnsi" w:cstheme="minorHAnsi"/>
          <w:sz w:val="22"/>
          <w:szCs w:val="22"/>
        </w:rPr>
        <w:t xml:space="preserve"> $5,000 cost per project beneficiary</w:t>
      </w:r>
      <w:r>
        <w:rPr>
          <w:rFonts w:asciiTheme="minorHAnsi" w:hAnsiTheme="minorHAnsi" w:cstheme="minorHAnsi"/>
          <w:sz w:val="22"/>
          <w:szCs w:val="22"/>
        </w:rPr>
        <w:t>. Matching funds of at least 1</w:t>
      </w:r>
      <w:r w:rsidRPr="003060BB">
        <w:rPr>
          <w:rFonts w:asciiTheme="minorHAnsi" w:hAnsiTheme="minorHAnsi" w:cstheme="minorHAnsi"/>
          <w:sz w:val="22"/>
          <w:szCs w:val="22"/>
        </w:rPr>
        <w:t xml:space="preserve">0% </w:t>
      </w:r>
      <w:r>
        <w:rPr>
          <w:rFonts w:asciiTheme="minorHAnsi" w:hAnsiTheme="minorHAnsi" w:cstheme="minorHAnsi"/>
          <w:sz w:val="22"/>
          <w:szCs w:val="22"/>
        </w:rPr>
        <w:t xml:space="preserve">of the total project cost </w:t>
      </w:r>
      <w:r w:rsidRPr="003060BB">
        <w:rPr>
          <w:rFonts w:asciiTheme="minorHAnsi" w:hAnsiTheme="minorHAnsi" w:cstheme="minorHAnsi"/>
          <w:sz w:val="22"/>
          <w:szCs w:val="22"/>
        </w:rPr>
        <w:t>are required for all this program.</w:t>
      </w:r>
    </w:p>
    <w:p w14:paraId="3F26E8A2" w14:textId="77777777" w:rsidR="00F71B02" w:rsidRDefault="00F71B02" w:rsidP="00BF026E">
      <w:pPr>
        <w:pStyle w:val="Default"/>
        <w:jc w:val="both"/>
        <w:outlineLvl w:val="0"/>
        <w:rPr>
          <w:rFonts w:asciiTheme="minorHAnsi" w:hAnsiTheme="minorHAnsi" w:cstheme="minorHAnsi"/>
          <w:b/>
          <w:bCs/>
          <w:color w:val="auto"/>
          <w:sz w:val="22"/>
          <w:szCs w:val="22"/>
        </w:rPr>
      </w:pPr>
    </w:p>
    <w:p w14:paraId="52B763BF" w14:textId="77777777" w:rsidR="00F71B02" w:rsidRDefault="00F71B02" w:rsidP="00BF026E">
      <w:pPr>
        <w:pStyle w:val="Default"/>
        <w:jc w:val="both"/>
        <w:outlineLvl w:val="0"/>
        <w:rPr>
          <w:rFonts w:asciiTheme="minorHAnsi" w:hAnsiTheme="minorHAnsi" w:cstheme="minorHAnsi"/>
          <w:b/>
          <w:bCs/>
          <w:color w:val="auto"/>
          <w:sz w:val="22"/>
          <w:szCs w:val="22"/>
        </w:rPr>
      </w:pPr>
    </w:p>
    <w:p w14:paraId="21FBDDE8" w14:textId="6C173CAA" w:rsidR="00BF026E" w:rsidRPr="00DA7658" w:rsidRDefault="00BF026E" w:rsidP="00BF026E">
      <w:pPr>
        <w:pStyle w:val="Default"/>
        <w:jc w:val="both"/>
        <w:outlineLvl w:val="0"/>
        <w:rPr>
          <w:rFonts w:asciiTheme="minorHAnsi" w:hAnsiTheme="minorHAnsi" w:cstheme="minorHAnsi"/>
          <w:color w:val="auto"/>
          <w:sz w:val="22"/>
          <w:szCs w:val="22"/>
        </w:rPr>
      </w:pPr>
      <w:r w:rsidRPr="00DA7658">
        <w:rPr>
          <w:rFonts w:asciiTheme="minorHAnsi" w:hAnsiTheme="minorHAnsi" w:cstheme="minorHAnsi"/>
          <w:b/>
          <w:bCs/>
          <w:color w:val="auto"/>
          <w:sz w:val="22"/>
          <w:szCs w:val="22"/>
        </w:rPr>
        <w:t xml:space="preserve">G. Needs Responsive Fund: </w:t>
      </w:r>
      <w:r w:rsidR="00F71B02">
        <w:rPr>
          <w:rFonts w:asciiTheme="minorHAnsi" w:hAnsiTheme="minorHAnsi" w:cstheme="minorHAnsi"/>
          <w:bCs/>
          <w:color w:val="auto"/>
          <w:sz w:val="22"/>
          <w:szCs w:val="22"/>
        </w:rPr>
        <w:t>$</w:t>
      </w:r>
      <w:r w:rsidRPr="00F71B02">
        <w:rPr>
          <w:rFonts w:asciiTheme="minorHAnsi" w:hAnsiTheme="minorHAnsi" w:cstheme="minorHAnsi"/>
          <w:bCs/>
          <w:color w:val="auto"/>
          <w:sz w:val="22"/>
          <w:szCs w:val="22"/>
        </w:rPr>
        <w:t>0</w:t>
      </w:r>
    </w:p>
    <w:p w14:paraId="567CCC25" w14:textId="77777777" w:rsidR="00BF026E" w:rsidRPr="00DA7658" w:rsidRDefault="00BF026E" w:rsidP="00BF026E">
      <w:pPr>
        <w:pStyle w:val="Default"/>
        <w:jc w:val="both"/>
        <w:rPr>
          <w:rFonts w:asciiTheme="minorHAnsi" w:hAnsiTheme="minorHAnsi" w:cstheme="minorHAnsi"/>
          <w:color w:val="auto"/>
          <w:sz w:val="22"/>
          <w:szCs w:val="22"/>
        </w:rPr>
      </w:pPr>
      <w:r w:rsidRPr="00DA7658">
        <w:rPr>
          <w:rFonts w:asciiTheme="minorHAnsi" w:hAnsiTheme="minorHAnsi" w:cstheme="minorHAnsi"/>
          <w:color w:val="auto"/>
          <w:sz w:val="22"/>
          <w:szCs w:val="22"/>
        </w:rPr>
        <w:t xml:space="preserve"> </w:t>
      </w:r>
    </w:p>
    <w:p w14:paraId="657456B0" w14:textId="76CE6A25" w:rsidR="00DA7658" w:rsidRDefault="00DA7658" w:rsidP="00BF026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OCRA will allocate $</w:t>
      </w:r>
      <w:r w:rsidR="00F71B02">
        <w:rPr>
          <w:rFonts w:asciiTheme="minorHAnsi" w:hAnsiTheme="minorHAnsi" w:cstheme="minorHAnsi"/>
          <w:color w:val="auto"/>
          <w:sz w:val="22"/>
          <w:szCs w:val="22"/>
        </w:rPr>
        <w:t xml:space="preserve">0 </w:t>
      </w:r>
      <w:r>
        <w:rPr>
          <w:rFonts w:asciiTheme="minorHAnsi" w:hAnsiTheme="minorHAnsi" w:cstheme="minorHAnsi"/>
          <w:color w:val="auto"/>
          <w:sz w:val="22"/>
          <w:szCs w:val="22"/>
        </w:rPr>
        <w:t xml:space="preserve">of its FY 2020 CDBG Funds to the Needs Responsive Fund. The purpose of this fund is to allow OCRA flexibility to respond to the needs of eligible communities. Specifically, this program will allow OCRA to fund projects that are eligible activities under CDBG, but are not covered by other programs. </w:t>
      </w:r>
    </w:p>
    <w:p w14:paraId="00F7FBFF" w14:textId="77777777" w:rsidR="00DA7658" w:rsidRDefault="00DA7658" w:rsidP="00BF026E">
      <w:pPr>
        <w:pStyle w:val="Default"/>
        <w:jc w:val="both"/>
        <w:rPr>
          <w:rFonts w:asciiTheme="minorHAnsi" w:hAnsiTheme="minorHAnsi" w:cstheme="minorHAnsi"/>
          <w:color w:val="auto"/>
          <w:sz w:val="22"/>
          <w:szCs w:val="22"/>
        </w:rPr>
      </w:pPr>
    </w:p>
    <w:p w14:paraId="0CB0907F" w14:textId="399D7823" w:rsidR="00BF026E" w:rsidRPr="003060BB" w:rsidRDefault="00DA7658" w:rsidP="00BF026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OCRA</w:t>
      </w:r>
      <w:r w:rsidRPr="003060BB">
        <w:rPr>
          <w:rFonts w:asciiTheme="minorHAnsi" w:hAnsiTheme="minorHAnsi" w:cstheme="minorHAnsi"/>
          <w:color w:val="auto"/>
          <w:sz w:val="22"/>
          <w:szCs w:val="22"/>
        </w:rPr>
        <w:t xml:space="preserve"> will award such grants</w:t>
      </w:r>
      <w:r>
        <w:rPr>
          <w:rFonts w:asciiTheme="minorHAnsi" w:hAnsiTheme="minorHAnsi" w:cstheme="minorHAnsi"/>
          <w:color w:val="auto"/>
          <w:sz w:val="22"/>
          <w:szCs w:val="22"/>
        </w:rPr>
        <w:t xml:space="preserve"> that meet the minimum scoring criteria outlined in Attachment D throughout the program year. </w:t>
      </w:r>
      <w:r>
        <w:rPr>
          <w:rFonts w:asciiTheme="minorHAnsi" w:hAnsiTheme="minorHAnsi" w:cstheme="minorHAnsi"/>
          <w:sz w:val="22"/>
          <w:szCs w:val="22"/>
        </w:rPr>
        <w:t>The Needs Responsive Fund</w:t>
      </w:r>
      <w:r w:rsidRPr="003060BB">
        <w:rPr>
          <w:rFonts w:asciiTheme="minorHAnsi" w:hAnsiTheme="minorHAnsi" w:cstheme="minorHAnsi"/>
          <w:sz w:val="22"/>
          <w:szCs w:val="22"/>
        </w:rPr>
        <w:t xml:space="preserve"> shall have a maxim</w:t>
      </w:r>
      <w:r>
        <w:rPr>
          <w:rFonts w:asciiTheme="minorHAnsi" w:hAnsiTheme="minorHAnsi" w:cstheme="minorHAnsi"/>
          <w:sz w:val="22"/>
          <w:szCs w:val="22"/>
        </w:rPr>
        <w:t xml:space="preserve">um grant amount of $1,000,000. </w:t>
      </w:r>
      <w:r>
        <w:rPr>
          <w:rFonts w:asciiTheme="minorHAnsi" w:hAnsiTheme="minorHAnsi" w:cstheme="minorHAnsi"/>
          <w:color w:val="auto"/>
          <w:sz w:val="22"/>
          <w:szCs w:val="22"/>
        </w:rPr>
        <w:t>T</w:t>
      </w:r>
      <w:r w:rsidRPr="003060BB">
        <w:rPr>
          <w:rFonts w:asciiTheme="minorHAnsi" w:hAnsiTheme="minorHAnsi" w:cstheme="minorHAnsi"/>
          <w:color w:val="auto"/>
          <w:sz w:val="22"/>
          <w:szCs w:val="22"/>
        </w:rPr>
        <w:t xml:space="preserve">he amount of CDBG funds granted will be </w:t>
      </w:r>
      <w:r>
        <w:rPr>
          <w:rFonts w:asciiTheme="minorHAnsi" w:hAnsiTheme="minorHAnsi" w:cstheme="minorHAnsi"/>
          <w:color w:val="auto"/>
          <w:sz w:val="22"/>
          <w:szCs w:val="22"/>
        </w:rPr>
        <w:t>limited to</w:t>
      </w:r>
      <w:r w:rsidRPr="003060BB">
        <w:rPr>
          <w:rFonts w:asciiTheme="minorHAnsi" w:hAnsiTheme="minorHAnsi" w:cstheme="minorHAnsi"/>
          <w:color w:val="auto"/>
          <w:sz w:val="22"/>
          <w:szCs w:val="22"/>
        </w:rPr>
        <w:t xml:space="preserve"> $5,000 cost per project beneficiary</w:t>
      </w:r>
      <w:r>
        <w:rPr>
          <w:rFonts w:asciiTheme="minorHAnsi" w:hAnsiTheme="minorHAnsi" w:cstheme="minorHAnsi"/>
          <w:color w:val="auto"/>
          <w:sz w:val="22"/>
          <w:szCs w:val="22"/>
        </w:rPr>
        <w:t>.</w:t>
      </w:r>
      <w:r>
        <w:rPr>
          <w:rFonts w:asciiTheme="minorHAnsi" w:hAnsiTheme="minorHAnsi" w:cstheme="minorHAnsi"/>
          <w:sz w:val="22"/>
          <w:szCs w:val="22"/>
        </w:rPr>
        <w:t xml:space="preserve"> </w:t>
      </w:r>
      <w:r w:rsidRPr="003060BB">
        <w:rPr>
          <w:rFonts w:asciiTheme="minorHAnsi" w:hAnsiTheme="minorHAnsi" w:cstheme="minorHAnsi"/>
          <w:sz w:val="22"/>
          <w:szCs w:val="22"/>
        </w:rPr>
        <w:t xml:space="preserve">Matching funds of at least 10% </w:t>
      </w:r>
      <w:r>
        <w:rPr>
          <w:rFonts w:asciiTheme="minorHAnsi" w:hAnsiTheme="minorHAnsi" w:cstheme="minorHAnsi"/>
          <w:sz w:val="22"/>
          <w:szCs w:val="22"/>
        </w:rPr>
        <w:t xml:space="preserve">of the total project cost </w:t>
      </w:r>
      <w:r w:rsidRPr="003060BB">
        <w:rPr>
          <w:rFonts w:asciiTheme="minorHAnsi" w:hAnsiTheme="minorHAnsi" w:cstheme="minorHAnsi"/>
          <w:sz w:val="22"/>
          <w:szCs w:val="22"/>
        </w:rPr>
        <w:t>are required for all this program.</w:t>
      </w:r>
      <w:r>
        <w:rPr>
          <w:rFonts w:asciiTheme="minorHAnsi" w:hAnsiTheme="minorHAnsi" w:cstheme="minorHAnsi"/>
          <w:sz w:val="22"/>
          <w:szCs w:val="22"/>
        </w:rPr>
        <w:t xml:space="preserve"> </w:t>
      </w:r>
    </w:p>
    <w:p w14:paraId="3C1AF657" w14:textId="3A44BD2D" w:rsidR="005E43A5" w:rsidRPr="00BF026E" w:rsidRDefault="00BF026E" w:rsidP="004B5D32">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716928A4" w14:textId="0E3E7EC0" w:rsidR="00CF4BB6" w:rsidRPr="003060BB" w:rsidRDefault="00BF026E" w:rsidP="00CF4BB6">
      <w:pPr>
        <w:pStyle w:val="Default"/>
        <w:jc w:val="both"/>
        <w:outlineLvl w:val="0"/>
        <w:rPr>
          <w:rFonts w:asciiTheme="minorHAnsi" w:hAnsiTheme="minorHAnsi" w:cstheme="minorHAnsi"/>
          <w:color w:val="auto"/>
          <w:sz w:val="22"/>
          <w:szCs w:val="22"/>
        </w:rPr>
      </w:pPr>
      <w:r>
        <w:rPr>
          <w:rFonts w:asciiTheme="minorHAnsi" w:hAnsiTheme="minorHAnsi" w:cstheme="minorHAnsi"/>
          <w:b/>
          <w:bCs/>
          <w:color w:val="auto"/>
          <w:sz w:val="22"/>
          <w:szCs w:val="22"/>
        </w:rPr>
        <w:t>H</w:t>
      </w:r>
      <w:r w:rsidR="001D5FEE" w:rsidRPr="003060BB">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00CF4BB6" w:rsidRPr="003060BB">
        <w:rPr>
          <w:rFonts w:asciiTheme="minorHAnsi" w:hAnsiTheme="minorHAnsi" w:cstheme="minorHAnsi"/>
          <w:b/>
          <w:bCs/>
          <w:color w:val="auto"/>
          <w:sz w:val="22"/>
          <w:szCs w:val="22"/>
        </w:rPr>
        <w:t xml:space="preserve">Urgent Need Fund: </w:t>
      </w:r>
      <w:r w:rsidR="00CF4BB6" w:rsidRPr="00F71B02">
        <w:rPr>
          <w:rFonts w:asciiTheme="minorHAnsi" w:hAnsiTheme="minorHAnsi" w:cstheme="minorHAnsi"/>
          <w:bCs/>
          <w:color w:val="auto"/>
          <w:sz w:val="22"/>
          <w:szCs w:val="22"/>
        </w:rPr>
        <w:t>$0</w:t>
      </w:r>
      <w:r w:rsidR="00CF4BB6" w:rsidRPr="003060BB">
        <w:rPr>
          <w:rFonts w:asciiTheme="minorHAnsi" w:hAnsiTheme="minorHAnsi" w:cstheme="minorHAnsi"/>
          <w:b/>
          <w:bCs/>
          <w:color w:val="auto"/>
          <w:sz w:val="22"/>
          <w:szCs w:val="22"/>
        </w:rPr>
        <w:t xml:space="preserve"> </w:t>
      </w:r>
    </w:p>
    <w:p w14:paraId="6A490EE4" w14:textId="77777777" w:rsidR="00CF4BB6" w:rsidRPr="003060BB" w:rsidRDefault="00CF4BB6" w:rsidP="00CF4BB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0FCD2FA6" w14:textId="77777777" w:rsidR="00CF4BB6" w:rsidRPr="003060BB" w:rsidRDefault="00CF4BB6" w:rsidP="00CF4BB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Urgent Need Fund will be available to eligible applicants on a continuing basis.  These activities must be eligible for funding under the “urgent need” national objective of the Federal Act and requirements of 24 CFR 570.208 and 24 CFR 570.483 of applicable HUD regulations. </w:t>
      </w:r>
    </w:p>
    <w:p w14:paraId="4DA9BF95" w14:textId="77777777" w:rsidR="00CF4BB6" w:rsidRPr="003060BB" w:rsidRDefault="00CF4BB6" w:rsidP="00CF4BB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04278D86" w14:textId="77777777" w:rsidR="00CF4BB6" w:rsidRPr="003060BB" w:rsidRDefault="00CF4BB6" w:rsidP="00CF4BB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The Urgent Need Fund will be available to eligible applicants to meet an imminent threat to the health and safety of local populations.  The grants may be funded as made available through the Public Facilities Program or reversions when not budgeted from the annual allocation.  Special selection factors include need, proof of recent threat of a catastrophic nature, statement of declared emergency and inability to fund through other means.  Projects will be developed with the assistance of the Office of Community and Rural Affairs as a particular need arises.  To be eligible, these projects and their activities must meet the "urgent need” national objective of Section 104(b</w:t>
      </w:r>
      <w:proofErr w:type="gramStart"/>
      <w:r w:rsidRPr="003060BB">
        <w:rPr>
          <w:rFonts w:asciiTheme="minorHAnsi" w:hAnsiTheme="minorHAnsi" w:cstheme="minorHAnsi"/>
          <w:color w:val="auto"/>
          <w:sz w:val="22"/>
          <w:szCs w:val="22"/>
        </w:rPr>
        <w:t>)(</w:t>
      </w:r>
      <w:proofErr w:type="gramEnd"/>
      <w:r w:rsidRPr="003060BB">
        <w:rPr>
          <w:rFonts w:asciiTheme="minorHAnsi" w:hAnsiTheme="minorHAnsi" w:cstheme="minorHAnsi"/>
          <w:color w:val="auto"/>
          <w:sz w:val="22"/>
          <w:szCs w:val="22"/>
        </w:rPr>
        <w:t xml:space="preserve">3) of the Federal Act.  Generally, projects funded are those, which need immediate attention and are, therefore, inappropriate for consideration under </w:t>
      </w:r>
      <w:proofErr w:type="spellStart"/>
      <w:r w:rsidRPr="003060BB">
        <w:rPr>
          <w:rFonts w:asciiTheme="minorHAnsi" w:hAnsiTheme="minorHAnsi" w:cstheme="minorHAnsi"/>
          <w:color w:val="auto"/>
          <w:sz w:val="22"/>
          <w:szCs w:val="22"/>
        </w:rPr>
        <w:t>OCRA’s</w:t>
      </w:r>
      <w:proofErr w:type="spellEnd"/>
      <w:r w:rsidRPr="003060BB">
        <w:rPr>
          <w:rFonts w:asciiTheme="minorHAnsi" w:hAnsiTheme="minorHAnsi" w:cstheme="minorHAnsi"/>
          <w:color w:val="auto"/>
          <w:sz w:val="22"/>
          <w:szCs w:val="22"/>
        </w:rPr>
        <w:t xml:space="preserve"> regular programs.  The types of projects, which typically receive funding, are municipal water systems (where the supply of potable water has been threatened by severe weather conditions) and assistance with demolition or cleanup after a major fire, flood, or other natural disaster.  Although all projects will be required to meet the "urgent need" national objective, the Office of Community and Rural Affairs may choose to actually fund the project under one of the other two national objectives, if it deems it expedient to do so.  Applicants must adequately document that other financial resources are not available to meet such needs pursuant to Section 104(b</w:t>
      </w:r>
      <w:proofErr w:type="gramStart"/>
      <w:r w:rsidRPr="003060BB">
        <w:rPr>
          <w:rFonts w:asciiTheme="minorHAnsi" w:hAnsiTheme="minorHAnsi" w:cstheme="minorHAnsi"/>
          <w:color w:val="auto"/>
          <w:sz w:val="22"/>
          <w:szCs w:val="22"/>
        </w:rPr>
        <w:t>)(</w:t>
      </w:r>
      <w:proofErr w:type="gramEnd"/>
      <w:r w:rsidRPr="003060BB">
        <w:rPr>
          <w:rFonts w:asciiTheme="minorHAnsi" w:hAnsiTheme="minorHAnsi" w:cstheme="minorHAnsi"/>
          <w:color w:val="auto"/>
          <w:sz w:val="22"/>
          <w:szCs w:val="22"/>
        </w:rPr>
        <w:t xml:space="preserve">3) of the Federal Act and 24 CFR 570.483 of HUD regulations. </w:t>
      </w:r>
    </w:p>
    <w:p w14:paraId="7C6D11B6" w14:textId="77777777" w:rsidR="00CF4BB6" w:rsidRPr="003060BB" w:rsidRDefault="00CF4BB6" w:rsidP="00CF4BB6">
      <w:pPr>
        <w:pStyle w:val="Default"/>
        <w:jc w:val="both"/>
        <w:rPr>
          <w:rFonts w:asciiTheme="minorHAnsi" w:hAnsiTheme="minorHAnsi" w:cstheme="minorHAnsi"/>
          <w:color w:val="auto"/>
          <w:sz w:val="22"/>
          <w:szCs w:val="22"/>
        </w:rPr>
      </w:pPr>
    </w:p>
    <w:p w14:paraId="7F4D709E" w14:textId="77777777" w:rsidR="00CF4BB6" w:rsidRPr="003060BB" w:rsidRDefault="00CF4BB6" w:rsidP="00CF4BB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Only that portion of a project, which addresses an immediate need, should be addressed.  This is particularly true of municipal water or sewer system projects, which tend to need major reinvestment in existing plants or facilities, in addition to the correction of the immediate need.  The amount of grant award is determined by the individual circumstances surrounding the request for emergency funds.  A community may be required to provide a match through cash, debt or provision of employee labor. </w:t>
      </w:r>
    </w:p>
    <w:p w14:paraId="58E66731" w14:textId="77777777" w:rsidR="00CF4BB6" w:rsidRPr="003060BB" w:rsidRDefault="00CF4BB6" w:rsidP="00CF4BB6">
      <w:pPr>
        <w:pStyle w:val="Default"/>
        <w:jc w:val="both"/>
        <w:rPr>
          <w:rFonts w:asciiTheme="minorHAnsi" w:hAnsiTheme="minorHAnsi" w:cstheme="minorHAnsi"/>
          <w:color w:val="auto"/>
          <w:sz w:val="22"/>
          <w:szCs w:val="22"/>
        </w:rPr>
      </w:pPr>
    </w:p>
    <w:p w14:paraId="1A119E24" w14:textId="77777777" w:rsidR="00CF4BB6" w:rsidRPr="003060BB" w:rsidRDefault="00CF4BB6" w:rsidP="00CF4BB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The eligibility of any project is at the full discretion of the Office of Community and Rural Affairs.</w:t>
      </w:r>
    </w:p>
    <w:p w14:paraId="30EC8EAA" w14:textId="77777777" w:rsidR="00CF4BB6" w:rsidRDefault="00CF4BB6" w:rsidP="00CF4BB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4D158E56" w14:textId="5AD0C49E" w:rsidR="00BF026E" w:rsidRPr="003060BB" w:rsidRDefault="00BF026E" w:rsidP="00BF026E">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I. Planning Grants</w:t>
      </w:r>
      <w:r w:rsidRPr="003060BB">
        <w:rPr>
          <w:rFonts w:asciiTheme="minorHAnsi" w:hAnsiTheme="minorHAnsi" w:cstheme="minorHAnsi"/>
          <w:b/>
          <w:bCs/>
          <w:color w:val="auto"/>
          <w:sz w:val="22"/>
          <w:szCs w:val="22"/>
        </w:rPr>
        <w:t xml:space="preserve">: </w:t>
      </w:r>
      <w:r w:rsidRPr="003060BB">
        <w:rPr>
          <w:rFonts w:asciiTheme="minorHAnsi" w:hAnsiTheme="minorHAnsi" w:cstheme="minorHAnsi"/>
          <w:bCs/>
          <w:color w:val="auto"/>
          <w:sz w:val="22"/>
          <w:szCs w:val="22"/>
        </w:rPr>
        <w:t xml:space="preserve">$ </w:t>
      </w:r>
      <w:r w:rsidRPr="003060BB">
        <w:rPr>
          <w:rFonts w:asciiTheme="minorHAnsi" w:hAnsiTheme="minorHAnsi" w:cstheme="minorHAnsi"/>
          <w:color w:val="auto"/>
          <w:sz w:val="22"/>
          <w:szCs w:val="22"/>
        </w:rPr>
        <w:t>1,</w:t>
      </w:r>
      <w:r w:rsidR="00F71B02">
        <w:rPr>
          <w:rFonts w:asciiTheme="minorHAnsi" w:hAnsiTheme="minorHAnsi" w:cstheme="minorHAnsi"/>
          <w:color w:val="auto"/>
          <w:sz w:val="22"/>
          <w:szCs w:val="22"/>
        </w:rPr>
        <w:t>31</w:t>
      </w:r>
      <w:r>
        <w:rPr>
          <w:rFonts w:asciiTheme="minorHAnsi" w:hAnsiTheme="minorHAnsi" w:cstheme="minorHAnsi"/>
          <w:color w:val="auto"/>
          <w:sz w:val="22"/>
          <w:szCs w:val="22"/>
        </w:rPr>
        <w:t>0,000</w:t>
      </w:r>
    </w:p>
    <w:p w14:paraId="4F025747" w14:textId="77777777" w:rsidR="00BF026E" w:rsidRPr="003060BB" w:rsidRDefault="00BF026E" w:rsidP="00BF026E">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27DB170F" w14:textId="5A221621" w:rsidR="00BF026E" w:rsidRDefault="00BF026E" w:rsidP="00BF026E">
      <w:pPr>
        <w:pStyle w:val="Default"/>
        <w:jc w:val="both"/>
        <w:rPr>
          <w:rFonts w:asciiTheme="minorHAnsi" w:hAnsiTheme="minorHAnsi" w:cstheme="minorHAnsi"/>
          <w:sz w:val="22"/>
          <w:szCs w:val="22"/>
        </w:rPr>
      </w:pPr>
      <w:r>
        <w:rPr>
          <w:rFonts w:asciiTheme="minorHAnsi" w:hAnsiTheme="minorHAnsi" w:cstheme="minorHAnsi"/>
          <w:color w:val="auto"/>
          <w:sz w:val="22"/>
          <w:szCs w:val="22"/>
        </w:rPr>
        <w:t>OCRA</w:t>
      </w:r>
      <w:r w:rsidRPr="003060BB">
        <w:rPr>
          <w:rFonts w:asciiTheme="minorHAnsi" w:hAnsiTheme="minorHAnsi" w:cstheme="minorHAnsi"/>
          <w:color w:val="auto"/>
          <w:sz w:val="22"/>
          <w:szCs w:val="22"/>
        </w:rPr>
        <w:t xml:space="preserve"> will </w:t>
      </w:r>
      <w:r>
        <w:rPr>
          <w:rFonts w:asciiTheme="minorHAnsi" w:hAnsiTheme="minorHAnsi" w:cstheme="minorHAnsi"/>
          <w:color w:val="auto"/>
          <w:sz w:val="22"/>
          <w:szCs w:val="22"/>
        </w:rPr>
        <w:t>allocate</w:t>
      </w:r>
      <w:r w:rsidRPr="003060BB">
        <w:rPr>
          <w:rFonts w:asciiTheme="minorHAnsi" w:hAnsiTheme="minorHAnsi" w:cstheme="minorHAnsi"/>
          <w:color w:val="auto"/>
          <w:sz w:val="22"/>
          <w:szCs w:val="22"/>
        </w:rPr>
        <w:t xml:space="preserve"> $1,</w:t>
      </w:r>
      <w:r w:rsidR="00F71B02">
        <w:rPr>
          <w:rFonts w:asciiTheme="minorHAnsi" w:hAnsiTheme="minorHAnsi" w:cstheme="minorHAnsi"/>
          <w:color w:val="auto"/>
          <w:sz w:val="22"/>
          <w:szCs w:val="22"/>
        </w:rPr>
        <w:t>31</w:t>
      </w:r>
      <w:r>
        <w:rPr>
          <w:rFonts w:asciiTheme="minorHAnsi" w:hAnsiTheme="minorHAnsi" w:cstheme="minorHAnsi"/>
          <w:color w:val="auto"/>
          <w:sz w:val="22"/>
          <w:szCs w:val="22"/>
        </w:rPr>
        <w:t>0,000</w:t>
      </w:r>
      <w:r w:rsidRPr="003060BB">
        <w:rPr>
          <w:rFonts w:asciiTheme="minorHAnsi" w:hAnsiTheme="minorHAnsi" w:cstheme="minorHAnsi"/>
          <w:color w:val="auto"/>
          <w:sz w:val="22"/>
          <w:szCs w:val="22"/>
        </w:rPr>
        <w:t xml:space="preserve"> of its FY </w:t>
      </w:r>
      <w:r>
        <w:rPr>
          <w:rFonts w:asciiTheme="minorHAnsi" w:hAnsiTheme="minorHAnsi" w:cstheme="minorHAnsi"/>
          <w:color w:val="auto"/>
          <w:sz w:val="22"/>
          <w:szCs w:val="22"/>
        </w:rPr>
        <w:t>2020</w:t>
      </w:r>
      <w:r w:rsidRPr="003060BB">
        <w:rPr>
          <w:rFonts w:asciiTheme="minorHAnsi" w:hAnsiTheme="minorHAnsi" w:cstheme="minorHAnsi"/>
          <w:color w:val="auto"/>
          <w:sz w:val="22"/>
          <w:szCs w:val="22"/>
        </w:rPr>
        <w:t xml:space="preserve"> CDBG fun</w:t>
      </w:r>
      <w:r>
        <w:rPr>
          <w:rFonts w:asciiTheme="minorHAnsi" w:hAnsiTheme="minorHAnsi" w:cstheme="minorHAnsi"/>
          <w:color w:val="auto"/>
          <w:sz w:val="22"/>
          <w:szCs w:val="22"/>
        </w:rPr>
        <w:t>ds for planning-only activities</w:t>
      </w:r>
      <w:r w:rsidR="00DA7658">
        <w:rPr>
          <w:rFonts w:asciiTheme="minorHAnsi" w:hAnsiTheme="minorHAnsi" w:cstheme="minorHAnsi"/>
          <w:color w:val="auto"/>
          <w:sz w:val="22"/>
          <w:szCs w:val="22"/>
        </w:rPr>
        <w:t xml:space="preserve">.  </w:t>
      </w:r>
      <w:r>
        <w:rPr>
          <w:rFonts w:asciiTheme="minorHAnsi" w:hAnsiTheme="minorHAnsi" w:cstheme="minorHAnsi"/>
          <w:color w:val="auto"/>
          <w:sz w:val="22"/>
          <w:szCs w:val="22"/>
        </w:rPr>
        <w:t>ORCA</w:t>
      </w:r>
      <w:r w:rsidRPr="003060BB">
        <w:rPr>
          <w:rFonts w:asciiTheme="minorHAnsi" w:hAnsiTheme="minorHAnsi" w:cstheme="minorHAnsi"/>
          <w:color w:val="auto"/>
          <w:sz w:val="22"/>
          <w:szCs w:val="22"/>
        </w:rPr>
        <w:t xml:space="preserve"> will make planning-only grants to units of local government to carry out planning activities eligible under 24 CFR 570.205 </w:t>
      </w:r>
      <w:r w:rsidR="00F71B02">
        <w:rPr>
          <w:rFonts w:asciiTheme="minorHAnsi" w:hAnsiTheme="minorHAnsi" w:cstheme="minorHAnsi"/>
          <w:color w:val="auto"/>
          <w:sz w:val="22"/>
          <w:szCs w:val="22"/>
        </w:rPr>
        <w:t xml:space="preserve">of applicable HUD regulations. </w:t>
      </w:r>
      <w:r>
        <w:rPr>
          <w:rFonts w:asciiTheme="minorHAnsi" w:hAnsiTheme="minorHAnsi" w:cstheme="minorHAnsi"/>
          <w:color w:val="auto"/>
          <w:sz w:val="22"/>
          <w:szCs w:val="22"/>
        </w:rPr>
        <w:t>OCRA</w:t>
      </w:r>
      <w:r w:rsidRPr="003060BB">
        <w:rPr>
          <w:rFonts w:asciiTheme="minorHAnsi" w:hAnsiTheme="minorHAnsi" w:cstheme="minorHAnsi"/>
          <w:color w:val="auto"/>
          <w:sz w:val="22"/>
          <w:szCs w:val="22"/>
        </w:rPr>
        <w:t xml:space="preserve"> will award such grants</w:t>
      </w:r>
      <w:r>
        <w:rPr>
          <w:rFonts w:asciiTheme="minorHAnsi" w:hAnsiTheme="minorHAnsi" w:cstheme="minorHAnsi"/>
          <w:color w:val="auto"/>
          <w:sz w:val="22"/>
          <w:szCs w:val="22"/>
        </w:rPr>
        <w:t xml:space="preserve"> that meet the minimum scoring criteria outlined in Attachment D on a monthly basis. </w:t>
      </w:r>
      <w:r>
        <w:rPr>
          <w:rFonts w:asciiTheme="minorHAnsi" w:hAnsiTheme="minorHAnsi" w:cstheme="minorHAnsi"/>
          <w:sz w:val="22"/>
          <w:szCs w:val="22"/>
        </w:rPr>
        <w:t>The Planning Grant</w:t>
      </w:r>
      <w:r w:rsidRPr="003060BB">
        <w:rPr>
          <w:rFonts w:asciiTheme="minorHAnsi" w:hAnsiTheme="minorHAnsi" w:cstheme="minorHAnsi"/>
          <w:sz w:val="22"/>
          <w:szCs w:val="22"/>
        </w:rPr>
        <w:t xml:space="preserve"> program shall have a maxim</w:t>
      </w:r>
      <w:r>
        <w:rPr>
          <w:rFonts w:asciiTheme="minorHAnsi" w:hAnsiTheme="minorHAnsi" w:cstheme="minorHAnsi"/>
          <w:sz w:val="22"/>
          <w:szCs w:val="22"/>
        </w:rPr>
        <w:t xml:space="preserve">um </w:t>
      </w:r>
      <w:r w:rsidR="0010126E">
        <w:rPr>
          <w:rFonts w:asciiTheme="minorHAnsi" w:hAnsiTheme="minorHAnsi" w:cstheme="minorHAnsi"/>
          <w:sz w:val="22"/>
          <w:szCs w:val="22"/>
        </w:rPr>
        <w:t xml:space="preserve">grant amount of </w:t>
      </w:r>
      <w:r w:rsidR="0010126E" w:rsidRPr="0010126E">
        <w:rPr>
          <w:rFonts w:asciiTheme="minorHAnsi" w:hAnsiTheme="minorHAnsi" w:cstheme="minorHAnsi"/>
          <w:sz w:val="22"/>
          <w:szCs w:val="22"/>
          <w:highlight w:val="yellow"/>
        </w:rPr>
        <w:t>$90</w:t>
      </w:r>
      <w:r w:rsidRPr="0010126E">
        <w:rPr>
          <w:rFonts w:asciiTheme="minorHAnsi" w:hAnsiTheme="minorHAnsi" w:cstheme="minorHAnsi"/>
          <w:sz w:val="22"/>
          <w:szCs w:val="22"/>
          <w:highlight w:val="yellow"/>
        </w:rPr>
        <w:t>,000</w:t>
      </w:r>
      <w:r>
        <w:rPr>
          <w:rFonts w:asciiTheme="minorHAnsi" w:hAnsiTheme="minorHAnsi" w:cstheme="minorHAnsi"/>
          <w:sz w:val="22"/>
          <w:szCs w:val="22"/>
        </w:rPr>
        <w:t xml:space="preserve">. </w:t>
      </w:r>
      <w:r>
        <w:rPr>
          <w:rFonts w:asciiTheme="minorHAnsi" w:hAnsiTheme="minorHAnsi" w:cstheme="minorHAnsi"/>
          <w:color w:val="auto"/>
          <w:sz w:val="22"/>
          <w:szCs w:val="22"/>
        </w:rPr>
        <w:t>T</w:t>
      </w:r>
      <w:r w:rsidRPr="003060BB">
        <w:rPr>
          <w:rFonts w:asciiTheme="minorHAnsi" w:hAnsiTheme="minorHAnsi" w:cstheme="minorHAnsi"/>
          <w:color w:val="auto"/>
          <w:sz w:val="22"/>
          <w:szCs w:val="22"/>
        </w:rPr>
        <w:t xml:space="preserve">he amount of CDBG funds granted will be </w:t>
      </w:r>
      <w:r>
        <w:rPr>
          <w:rFonts w:asciiTheme="minorHAnsi" w:hAnsiTheme="minorHAnsi" w:cstheme="minorHAnsi"/>
          <w:color w:val="auto"/>
          <w:sz w:val="22"/>
          <w:szCs w:val="22"/>
        </w:rPr>
        <w:t>limited to</w:t>
      </w:r>
      <w:r w:rsidRPr="003060BB">
        <w:rPr>
          <w:rFonts w:asciiTheme="minorHAnsi" w:hAnsiTheme="minorHAnsi" w:cstheme="minorHAnsi"/>
          <w:color w:val="auto"/>
          <w:sz w:val="22"/>
          <w:szCs w:val="22"/>
        </w:rPr>
        <w:t xml:space="preserve"> $5,000 cost per project beneficiary</w:t>
      </w:r>
      <w:r>
        <w:rPr>
          <w:rFonts w:asciiTheme="minorHAnsi" w:hAnsiTheme="minorHAnsi" w:cstheme="minorHAnsi"/>
          <w:color w:val="auto"/>
          <w:sz w:val="22"/>
          <w:szCs w:val="22"/>
        </w:rPr>
        <w:t>.</w:t>
      </w:r>
      <w:r>
        <w:rPr>
          <w:rFonts w:asciiTheme="minorHAnsi" w:hAnsiTheme="minorHAnsi" w:cstheme="minorHAnsi"/>
          <w:sz w:val="22"/>
          <w:szCs w:val="22"/>
        </w:rPr>
        <w:t xml:space="preserve"> </w:t>
      </w:r>
      <w:r w:rsidRPr="003060BB">
        <w:rPr>
          <w:rFonts w:asciiTheme="minorHAnsi" w:hAnsiTheme="minorHAnsi" w:cstheme="minorHAnsi"/>
          <w:sz w:val="22"/>
          <w:szCs w:val="22"/>
        </w:rPr>
        <w:t xml:space="preserve">Matching funds of at least 10% </w:t>
      </w:r>
      <w:r>
        <w:rPr>
          <w:rFonts w:asciiTheme="minorHAnsi" w:hAnsiTheme="minorHAnsi" w:cstheme="minorHAnsi"/>
          <w:sz w:val="22"/>
          <w:szCs w:val="22"/>
        </w:rPr>
        <w:t xml:space="preserve">of the total project cost </w:t>
      </w:r>
      <w:r w:rsidRPr="003060BB">
        <w:rPr>
          <w:rFonts w:asciiTheme="minorHAnsi" w:hAnsiTheme="minorHAnsi" w:cstheme="minorHAnsi"/>
          <w:sz w:val="22"/>
          <w:szCs w:val="22"/>
        </w:rPr>
        <w:t>are required for all this program.</w:t>
      </w:r>
      <w:r>
        <w:rPr>
          <w:rFonts w:asciiTheme="minorHAnsi" w:hAnsiTheme="minorHAnsi" w:cstheme="minorHAnsi"/>
          <w:sz w:val="22"/>
          <w:szCs w:val="22"/>
        </w:rPr>
        <w:t xml:space="preserve"> </w:t>
      </w:r>
    </w:p>
    <w:p w14:paraId="1B10733E" w14:textId="77777777" w:rsidR="00BF026E" w:rsidRDefault="00BF026E" w:rsidP="00BF026E">
      <w:pPr>
        <w:pStyle w:val="Default"/>
        <w:jc w:val="both"/>
        <w:rPr>
          <w:rFonts w:asciiTheme="minorHAnsi" w:hAnsiTheme="minorHAnsi" w:cstheme="minorHAnsi"/>
          <w:sz w:val="22"/>
          <w:szCs w:val="22"/>
        </w:rPr>
      </w:pPr>
      <w:bookmarkStart w:id="0" w:name="_GoBack"/>
      <w:bookmarkEnd w:id="0"/>
    </w:p>
    <w:p w14:paraId="6121CE5D" w14:textId="77777777" w:rsidR="00BF026E" w:rsidRDefault="00BF026E" w:rsidP="00BF026E">
      <w:pPr>
        <w:pStyle w:val="Default"/>
        <w:jc w:val="both"/>
        <w:rPr>
          <w:rFonts w:asciiTheme="minorHAnsi" w:hAnsiTheme="minorHAnsi" w:cstheme="minorHAnsi"/>
          <w:color w:val="auto"/>
          <w:sz w:val="22"/>
          <w:szCs w:val="22"/>
        </w:rPr>
      </w:pPr>
      <w:r>
        <w:rPr>
          <w:rFonts w:asciiTheme="minorHAnsi" w:hAnsiTheme="minorHAnsi" w:cstheme="minorHAnsi"/>
          <w:sz w:val="22"/>
          <w:szCs w:val="22"/>
        </w:rPr>
        <w:t xml:space="preserve">A list of </w:t>
      </w:r>
      <w:r w:rsidRPr="003060BB">
        <w:rPr>
          <w:rFonts w:asciiTheme="minorHAnsi" w:hAnsiTheme="minorHAnsi" w:cstheme="minorHAnsi"/>
          <w:sz w:val="22"/>
          <w:szCs w:val="22"/>
        </w:rPr>
        <w:t>eligible plans and their specific max</w:t>
      </w:r>
      <w:r>
        <w:rPr>
          <w:rFonts w:asciiTheme="minorHAnsi" w:hAnsiTheme="minorHAnsi" w:cstheme="minorHAnsi"/>
          <w:sz w:val="22"/>
          <w:szCs w:val="22"/>
        </w:rPr>
        <w:t xml:space="preserve">imum grant amounts is available on </w:t>
      </w:r>
      <w:proofErr w:type="spellStart"/>
      <w:r>
        <w:rPr>
          <w:rFonts w:asciiTheme="minorHAnsi" w:hAnsiTheme="minorHAnsi" w:cstheme="minorHAnsi"/>
          <w:sz w:val="22"/>
          <w:szCs w:val="22"/>
        </w:rPr>
        <w:t>OCRA’s</w:t>
      </w:r>
      <w:proofErr w:type="spellEnd"/>
      <w:r>
        <w:rPr>
          <w:rFonts w:asciiTheme="minorHAnsi" w:hAnsiTheme="minorHAnsi" w:cstheme="minorHAnsi"/>
          <w:sz w:val="22"/>
          <w:szCs w:val="22"/>
        </w:rPr>
        <w:t xml:space="preserve"> CDBG website</w:t>
      </w:r>
      <w:r w:rsidRPr="003060BB">
        <w:rPr>
          <w:rFonts w:asciiTheme="minorHAnsi" w:hAnsiTheme="minorHAnsi" w:cstheme="minorHAnsi"/>
          <w:sz w:val="22"/>
          <w:szCs w:val="22"/>
        </w:rPr>
        <w:t>.</w:t>
      </w:r>
      <w:r w:rsidRPr="003B3C5F">
        <w:rPr>
          <w:rFonts w:asciiTheme="minorHAnsi" w:hAnsiTheme="minorHAnsi" w:cstheme="minorHAnsi"/>
          <w:sz w:val="22"/>
          <w:szCs w:val="22"/>
        </w:rPr>
        <w:t xml:space="preserve"> </w:t>
      </w:r>
      <w:r>
        <w:rPr>
          <w:rFonts w:asciiTheme="minorHAnsi" w:hAnsiTheme="minorHAnsi" w:cstheme="minorHAnsi"/>
          <w:sz w:val="22"/>
          <w:szCs w:val="22"/>
        </w:rPr>
        <w:t>The Office reserves the right to prefer one type of plan over other types of plans when making awards.</w:t>
      </w:r>
      <w:r w:rsidRPr="003060BB">
        <w:rPr>
          <w:rFonts w:asciiTheme="minorHAnsi" w:hAnsiTheme="minorHAnsi" w:cstheme="minorHAnsi"/>
          <w:sz w:val="22"/>
          <w:szCs w:val="22"/>
        </w:rPr>
        <w:t xml:space="preserve"> </w:t>
      </w:r>
    </w:p>
    <w:p w14:paraId="68F6B281" w14:textId="77777777" w:rsidR="00BF026E" w:rsidRDefault="00BF026E" w:rsidP="00BF026E">
      <w:pPr>
        <w:pStyle w:val="Default"/>
        <w:jc w:val="both"/>
        <w:rPr>
          <w:rFonts w:asciiTheme="minorHAnsi" w:hAnsiTheme="minorHAnsi" w:cstheme="minorHAnsi"/>
          <w:color w:val="auto"/>
          <w:sz w:val="22"/>
          <w:szCs w:val="22"/>
        </w:rPr>
      </w:pPr>
    </w:p>
    <w:p w14:paraId="5B2AEE35" w14:textId="77777777" w:rsidR="00BF026E" w:rsidRPr="00BF026E" w:rsidRDefault="00BF026E" w:rsidP="00BF026E">
      <w:pPr>
        <w:pStyle w:val="Default"/>
        <w:jc w:val="both"/>
        <w:rPr>
          <w:rFonts w:asciiTheme="minorHAnsi" w:hAnsiTheme="minorHAnsi" w:cstheme="minorHAnsi"/>
          <w:color w:val="auto"/>
          <w:sz w:val="22"/>
          <w:szCs w:val="22"/>
        </w:rPr>
      </w:pPr>
      <w:r w:rsidRPr="003060BB">
        <w:rPr>
          <w:rFonts w:asciiTheme="minorHAnsi" w:hAnsiTheme="minorHAnsi" w:cstheme="minorHAnsi"/>
          <w:sz w:val="22"/>
          <w:szCs w:val="22"/>
        </w:rPr>
        <w:t xml:space="preserve">The specific threshold criteria and basis </w:t>
      </w:r>
      <w:r>
        <w:rPr>
          <w:rFonts w:asciiTheme="minorHAnsi" w:hAnsiTheme="minorHAnsi" w:cstheme="minorHAnsi"/>
          <w:sz w:val="22"/>
          <w:szCs w:val="22"/>
        </w:rPr>
        <w:t>for scoring for Planning Grant</w:t>
      </w:r>
      <w:r w:rsidRPr="003060BB">
        <w:rPr>
          <w:rFonts w:asciiTheme="minorHAnsi" w:hAnsiTheme="minorHAnsi" w:cstheme="minorHAnsi"/>
          <w:sz w:val="22"/>
          <w:szCs w:val="22"/>
        </w:rPr>
        <w:t xml:space="preserve"> are provided in A</w:t>
      </w:r>
      <w:r>
        <w:rPr>
          <w:rFonts w:asciiTheme="minorHAnsi" w:hAnsiTheme="minorHAnsi" w:cstheme="minorHAnsi"/>
          <w:sz w:val="22"/>
          <w:szCs w:val="22"/>
        </w:rPr>
        <w:t xml:space="preserve">ttachment C and D hereto. </w:t>
      </w:r>
      <w:r w:rsidRPr="003060BB">
        <w:rPr>
          <w:rFonts w:asciiTheme="minorHAnsi" w:hAnsiTheme="minorHAnsi" w:cstheme="minorHAnsi"/>
          <w:color w:val="auto"/>
          <w:sz w:val="22"/>
          <w:szCs w:val="22"/>
        </w:rPr>
        <w:t xml:space="preserve">CDBG-funded planning costs will exclude final engineering and design costs related to specific activities which are eligible activities/costs under 24 CFR 570.201-204. </w:t>
      </w:r>
    </w:p>
    <w:p w14:paraId="7E29E373" w14:textId="77777777" w:rsidR="00CF4BB6" w:rsidRPr="003060BB" w:rsidRDefault="00CF4BB6" w:rsidP="004B5D32">
      <w:pPr>
        <w:pStyle w:val="Default"/>
        <w:jc w:val="both"/>
        <w:rPr>
          <w:rFonts w:asciiTheme="minorHAnsi" w:hAnsiTheme="minorHAnsi" w:cstheme="minorHAnsi"/>
          <w:b/>
          <w:bCs/>
          <w:color w:val="auto"/>
          <w:sz w:val="22"/>
          <w:szCs w:val="22"/>
        </w:rPr>
      </w:pPr>
    </w:p>
    <w:p w14:paraId="2807AEDC" w14:textId="510AB9F5" w:rsidR="00350FC6" w:rsidRPr="003060BB" w:rsidRDefault="001D4CC1" w:rsidP="004B5D32">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J</w:t>
      </w:r>
      <w:r w:rsidR="00BF026E">
        <w:rPr>
          <w:rFonts w:asciiTheme="minorHAnsi" w:hAnsiTheme="minorHAnsi" w:cstheme="minorHAnsi"/>
          <w:b/>
          <w:bCs/>
          <w:color w:val="auto"/>
          <w:sz w:val="22"/>
          <w:szCs w:val="22"/>
        </w:rPr>
        <w:t xml:space="preserve">. </w:t>
      </w:r>
      <w:r w:rsidR="00350FC6" w:rsidRPr="003060BB">
        <w:rPr>
          <w:rFonts w:asciiTheme="minorHAnsi" w:hAnsiTheme="minorHAnsi" w:cstheme="minorHAnsi"/>
          <w:b/>
          <w:bCs/>
          <w:color w:val="auto"/>
          <w:sz w:val="22"/>
          <w:szCs w:val="22"/>
        </w:rPr>
        <w:t>Technical Assistance</w:t>
      </w:r>
      <w:r w:rsidR="009222DD" w:rsidRPr="003060BB">
        <w:rPr>
          <w:rFonts w:asciiTheme="minorHAnsi" w:hAnsiTheme="minorHAnsi" w:cstheme="minorHAnsi"/>
          <w:b/>
          <w:bCs/>
          <w:color w:val="auto"/>
          <w:sz w:val="22"/>
          <w:szCs w:val="22"/>
        </w:rPr>
        <w:t xml:space="preserve"> Set-aside</w:t>
      </w:r>
      <w:r w:rsidR="00350FC6" w:rsidRPr="003060BB">
        <w:rPr>
          <w:rFonts w:asciiTheme="minorHAnsi" w:hAnsiTheme="minorHAnsi" w:cstheme="minorHAnsi"/>
          <w:b/>
          <w:bCs/>
          <w:color w:val="auto"/>
          <w:sz w:val="22"/>
          <w:szCs w:val="22"/>
        </w:rPr>
        <w:t xml:space="preserve">:  </w:t>
      </w:r>
      <w:r w:rsidR="00CB5353" w:rsidRPr="00902FDC">
        <w:rPr>
          <w:rFonts w:asciiTheme="minorHAnsi" w:hAnsiTheme="minorHAnsi" w:cstheme="minorHAnsi"/>
          <w:bCs/>
          <w:color w:val="auto"/>
          <w:sz w:val="22"/>
          <w:szCs w:val="22"/>
        </w:rPr>
        <w:t>$</w:t>
      </w:r>
      <w:r w:rsidR="00232DD7" w:rsidRPr="00902FDC">
        <w:rPr>
          <w:rFonts w:asciiTheme="minorHAnsi" w:hAnsiTheme="minorHAnsi" w:cstheme="minorHAnsi"/>
          <w:bCs/>
          <w:color w:val="auto"/>
          <w:sz w:val="22"/>
          <w:szCs w:val="22"/>
        </w:rPr>
        <w:t>20</w:t>
      </w:r>
      <w:r w:rsidR="007B3C3E" w:rsidRPr="00902FDC">
        <w:rPr>
          <w:rFonts w:asciiTheme="minorHAnsi" w:hAnsiTheme="minorHAnsi" w:cstheme="minorHAnsi"/>
          <w:bCs/>
          <w:color w:val="auto"/>
          <w:sz w:val="22"/>
          <w:szCs w:val="22"/>
        </w:rPr>
        <w:t>0</w:t>
      </w:r>
      <w:r w:rsidR="00E02923" w:rsidRPr="00902FDC">
        <w:rPr>
          <w:rFonts w:asciiTheme="minorHAnsi" w:hAnsiTheme="minorHAnsi" w:cstheme="minorHAnsi"/>
          <w:bCs/>
          <w:color w:val="auto"/>
          <w:sz w:val="22"/>
          <w:szCs w:val="22"/>
        </w:rPr>
        <w:t>,000</w:t>
      </w:r>
    </w:p>
    <w:p w14:paraId="49CBFFF8"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3227A2F6" w14:textId="346B60C6"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Pursuant to the federal Housing and Community Development Act (Federal Act), specifically Section 106(d</w:t>
      </w:r>
      <w:proofErr w:type="gramStart"/>
      <w:r w:rsidRPr="003060BB">
        <w:rPr>
          <w:rFonts w:asciiTheme="minorHAnsi" w:hAnsiTheme="minorHAnsi" w:cstheme="minorHAnsi"/>
          <w:color w:val="auto"/>
          <w:sz w:val="22"/>
          <w:szCs w:val="22"/>
        </w:rPr>
        <w:t>)(</w:t>
      </w:r>
      <w:proofErr w:type="gramEnd"/>
      <w:r w:rsidRPr="003060BB">
        <w:rPr>
          <w:rFonts w:asciiTheme="minorHAnsi" w:hAnsiTheme="minorHAnsi" w:cstheme="minorHAnsi"/>
          <w:color w:val="auto"/>
          <w:sz w:val="22"/>
          <w:szCs w:val="22"/>
        </w:rPr>
        <w:t xml:space="preserve">5), the State is authorized to set aside up to one percent (1%) of its total allocation for technical assistance activities.  The amount set aside for such Technical Assistance in the State’s FY </w:t>
      </w:r>
      <w:r w:rsidR="001D4CC1">
        <w:rPr>
          <w:rFonts w:asciiTheme="minorHAnsi" w:hAnsiTheme="minorHAnsi" w:cstheme="minorHAnsi"/>
          <w:color w:val="auto"/>
          <w:sz w:val="22"/>
          <w:szCs w:val="22"/>
        </w:rPr>
        <w:t>2019</w:t>
      </w:r>
      <w:r w:rsidRPr="003060BB">
        <w:rPr>
          <w:rFonts w:asciiTheme="minorHAnsi" w:hAnsiTheme="minorHAnsi" w:cstheme="minorHAnsi"/>
          <w:color w:val="auto"/>
          <w:sz w:val="22"/>
          <w:szCs w:val="22"/>
        </w:rPr>
        <w:t xml:space="preserve"> </w:t>
      </w:r>
      <w:r w:rsidR="00612902">
        <w:rPr>
          <w:rFonts w:asciiTheme="minorHAnsi" w:hAnsiTheme="minorHAnsi" w:cstheme="minorHAnsi"/>
          <w:color w:val="auto"/>
          <w:sz w:val="22"/>
          <w:szCs w:val="22"/>
        </w:rPr>
        <w:t xml:space="preserve">Action </w:t>
      </w:r>
      <w:r w:rsidRPr="003060BB">
        <w:rPr>
          <w:rFonts w:asciiTheme="minorHAnsi" w:hAnsiTheme="minorHAnsi" w:cstheme="minorHAnsi"/>
          <w:color w:val="auto"/>
          <w:sz w:val="22"/>
          <w:szCs w:val="22"/>
        </w:rPr>
        <w:t xml:space="preserve">Plan is </w:t>
      </w:r>
      <w:r w:rsidR="00CB5353" w:rsidRPr="003060BB">
        <w:rPr>
          <w:rFonts w:asciiTheme="minorHAnsi" w:hAnsiTheme="minorHAnsi" w:cstheme="minorHAnsi"/>
          <w:color w:val="auto"/>
          <w:sz w:val="22"/>
          <w:szCs w:val="22"/>
        </w:rPr>
        <w:t>$</w:t>
      </w:r>
      <w:r w:rsidR="00232DD7">
        <w:rPr>
          <w:rFonts w:asciiTheme="minorHAnsi" w:hAnsiTheme="minorHAnsi" w:cstheme="minorHAnsi"/>
          <w:color w:val="auto"/>
          <w:sz w:val="22"/>
          <w:szCs w:val="22"/>
        </w:rPr>
        <w:t>20</w:t>
      </w:r>
      <w:r w:rsidR="00612902">
        <w:rPr>
          <w:rFonts w:asciiTheme="minorHAnsi" w:hAnsiTheme="minorHAnsi" w:cstheme="minorHAnsi"/>
          <w:color w:val="auto"/>
          <w:sz w:val="22"/>
          <w:szCs w:val="22"/>
        </w:rPr>
        <w:t>0</w:t>
      </w:r>
      <w:r w:rsidR="00A81FFB" w:rsidRPr="003060BB">
        <w:rPr>
          <w:rFonts w:asciiTheme="minorHAnsi" w:hAnsiTheme="minorHAnsi" w:cstheme="minorHAnsi"/>
          <w:color w:val="auto"/>
          <w:sz w:val="22"/>
          <w:szCs w:val="22"/>
        </w:rPr>
        <w:t>,000</w:t>
      </w:r>
      <w:r w:rsidRPr="003060BB">
        <w:rPr>
          <w:rFonts w:asciiTheme="minorHAnsi" w:hAnsiTheme="minorHAnsi" w:cstheme="minorHAnsi"/>
          <w:color w:val="auto"/>
          <w:sz w:val="22"/>
          <w:szCs w:val="22"/>
        </w:rPr>
        <w:t xml:space="preserve">, which constitutes </w:t>
      </w:r>
      <w:r w:rsidR="00612902">
        <w:rPr>
          <w:rFonts w:asciiTheme="minorHAnsi" w:hAnsiTheme="minorHAnsi" w:cstheme="minorHAnsi"/>
          <w:color w:val="auto"/>
          <w:sz w:val="22"/>
          <w:szCs w:val="22"/>
        </w:rPr>
        <w:t xml:space="preserve">less than </w:t>
      </w:r>
      <w:r w:rsidRPr="003060BB">
        <w:rPr>
          <w:rFonts w:asciiTheme="minorHAnsi" w:hAnsiTheme="minorHAnsi" w:cstheme="minorHAnsi"/>
          <w:color w:val="auto"/>
          <w:sz w:val="22"/>
          <w:szCs w:val="22"/>
        </w:rPr>
        <w:t xml:space="preserve">one-percent (1%) of the State’s FY </w:t>
      </w:r>
      <w:r w:rsidR="00232DD7">
        <w:rPr>
          <w:rFonts w:asciiTheme="minorHAnsi" w:hAnsiTheme="minorHAnsi" w:cstheme="minorHAnsi"/>
          <w:color w:val="auto"/>
          <w:sz w:val="22"/>
          <w:szCs w:val="22"/>
        </w:rPr>
        <w:t>2020</w:t>
      </w:r>
      <w:r w:rsidRPr="003060BB">
        <w:rPr>
          <w:rFonts w:asciiTheme="minorHAnsi" w:hAnsiTheme="minorHAnsi" w:cstheme="minorHAnsi"/>
          <w:color w:val="auto"/>
          <w:sz w:val="22"/>
          <w:szCs w:val="22"/>
        </w:rPr>
        <w:t xml:space="preserve"> CDBG allocation of </w:t>
      </w:r>
      <w:r w:rsidR="00CB5353" w:rsidRPr="003060BB">
        <w:rPr>
          <w:rFonts w:asciiTheme="minorHAnsi" w:hAnsiTheme="minorHAnsi" w:cstheme="minorHAnsi"/>
          <w:color w:val="auto"/>
          <w:sz w:val="22"/>
          <w:szCs w:val="22"/>
        </w:rPr>
        <w:t>$</w:t>
      </w:r>
      <w:r w:rsidR="00612902">
        <w:rPr>
          <w:rFonts w:asciiTheme="minorHAnsi" w:hAnsiTheme="minorHAnsi" w:cstheme="minorHAnsi"/>
          <w:color w:val="auto"/>
          <w:sz w:val="22"/>
          <w:szCs w:val="22"/>
        </w:rPr>
        <w:t>30</w:t>
      </w:r>
      <w:r w:rsidR="009A6080">
        <w:rPr>
          <w:rFonts w:asciiTheme="minorHAnsi" w:hAnsiTheme="minorHAnsi" w:cstheme="minorHAnsi"/>
          <w:color w:val="auto"/>
          <w:sz w:val="22"/>
          <w:szCs w:val="22"/>
        </w:rPr>
        <w:t>,</w:t>
      </w:r>
      <w:r w:rsidR="00232DD7">
        <w:rPr>
          <w:rFonts w:asciiTheme="minorHAnsi" w:hAnsiTheme="minorHAnsi" w:cstheme="minorHAnsi"/>
          <w:color w:val="auto"/>
          <w:sz w:val="22"/>
          <w:szCs w:val="22"/>
        </w:rPr>
        <w:t>500,000</w:t>
      </w:r>
      <w:r w:rsidR="00CE65C6" w:rsidRPr="003060BB">
        <w:rPr>
          <w:rFonts w:asciiTheme="minorHAnsi" w:hAnsiTheme="minorHAnsi" w:cstheme="minorHAnsi"/>
          <w:color w:val="auto"/>
          <w:sz w:val="22"/>
          <w:szCs w:val="22"/>
        </w:rPr>
        <w:t>.</w:t>
      </w:r>
      <w:r w:rsidRPr="003060BB">
        <w:rPr>
          <w:rFonts w:asciiTheme="minorHAnsi" w:hAnsiTheme="minorHAnsi" w:cstheme="minorHAnsi"/>
          <w:color w:val="auto"/>
          <w:sz w:val="22"/>
          <w:szCs w:val="22"/>
        </w:rPr>
        <w:t xml:space="preserve"> The State of Indiana reserves the right to set aside up to one percent (1%) of open prior-year funding amounts for the costs of providing technical assistance on an as-needed basis. </w:t>
      </w:r>
    </w:p>
    <w:p w14:paraId="35A3975A"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5FF22552" w14:textId="77777777" w:rsidR="00612902"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The amount set aside for the Technical Assistance Program will not be considered a planning cost as defined under Section 105(a</w:t>
      </w:r>
      <w:proofErr w:type="gramStart"/>
      <w:r w:rsidRPr="003060BB">
        <w:rPr>
          <w:rFonts w:asciiTheme="minorHAnsi" w:hAnsiTheme="minorHAnsi" w:cstheme="minorHAnsi"/>
          <w:color w:val="auto"/>
          <w:sz w:val="22"/>
          <w:szCs w:val="22"/>
        </w:rPr>
        <w:t>)(</w:t>
      </w:r>
      <w:proofErr w:type="gramEnd"/>
      <w:r w:rsidRPr="003060BB">
        <w:rPr>
          <w:rFonts w:asciiTheme="minorHAnsi" w:hAnsiTheme="minorHAnsi" w:cstheme="minorHAnsi"/>
          <w:color w:val="auto"/>
          <w:sz w:val="22"/>
          <w:szCs w:val="22"/>
        </w:rPr>
        <w:t xml:space="preserve">12) of the Federal Act or an administrative cost as defined under Section 105(a)(13) of the Federal Act.  Accordingly, such amounts set aside for Technical Assistance will not require matching funds by the State of Indiana.  The Department reserves the right to transfer a portion or all of the funding set aside for Technical Assistance to another program hereunder as deemed appropriate by the Office of Community and Rural Affairs, in accordance with the "Program Amendments" provisions of this document.   </w:t>
      </w:r>
    </w:p>
    <w:p w14:paraId="678E9B85" w14:textId="77777777" w:rsidR="00612902" w:rsidRDefault="00612902">
      <w:pPr>
        <w:pStyle w:val="Default"/>
        <w:jc w:val="both"/>
        <w:rPr>
          <w:rFonts w:asciiTheme="minorHAnsi" w:hAnsiTheme="minorHAnsi" w:cstheme="minorHAnsi"/>
          <w:color w:val="auto"/>
          <w:sz w:val="22"/>
          <w:szCs w:val="22"/>
        </w:rPr>
      </w:pPr>
    </w:p>
    <w:p w14:paraId="64F12A43"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Technical Assistance Program is designed to provide, through direct Office of Community and Rural Affairs staff resources or by contract, training and technical assistance to units of general local government, nonprofit and for-profit entities relative to community and economic development initiatives, activities and associated project management requirements.  </w:t>
      </w:r>
      <w:r w:rsidR="00612902">
        <w:rPr>
          <w:rFonts w:asciiTheme="minorHAnsi" w:hAnsiTheme="minorHAnsi" w:cstheme="minorHAnsi"/>
          <w:color w:val="auto"/>
          <w:sz w:val="22"/>
          <w:szCs w:val="22"/>
        </w:rPr>
        <w:t xml:space="preserve">The Technical Assistance Program will also be used by the Office to conduct pilots of new programs or adjustments to current programs. </w:t>
      </w:r>
    </w:p>
    <w:p w14:paraId="12EF2A3A"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7C33BD65" w14:textId="77777777" w:rsidR="00350FC6" w:rsidRPr="003060BB" w:rsidRDefault="00350FC6">
      <w:pPr>
        <w:pStyle w:val="Default"/>
        <w:ind w:left="270" w:hanging="270"/>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1.  Distribution of the Technical Assistance Program Set-aside: </w:t>
      </w:r>
      <w:r w:rsidRPr="003060BB">
        <w:rPr>
          <w:rFonts w:asciiTheme="minorHAnsi" w:hAnsiTheme="minorHAnsi" w:cstheme="minorHAnsi"/>
          <w:color w:val="auto"/>
          <w:sz w:val="22"/>
          <w:szCs w:val="22"/>
        </w:rPr>
        <w:t xml:space="preserve"> Pursuant to HUD regulations and policy memoranda, the Office of Community and Rural Affairs may use alternative methodo</w:t>
      </w:r>
      <w:r w:rsidR="00A3632A" w:rsidRPr="003060BB">
        <w:rPr>
          <w:rFonts w:asciiTheme="minorHAnsi" w:hAnsiTheme="minorHAnsi" w:cstheme="minorHAnsi"/>
          <w:color w:val="auto"/>
          <w:sz w:val="22"/>
          <w:szCs w:val="22"/>
        </w:rPr>
        <w:t>logies for delivering technical</w:t>
      </w:r>
      <w:r w:rsidRPr="003060BB">
        <w:rPr>
          <w:rFonts w:asciiTheme="minorHAnsi" w:hAnsiTheme="minorHAnsi" w:cstheme="minorHAnsi"/>
          <w:color w:val="auto"/>
          <w:sz w:val="22"/>
          <w:szCs w:val="22"/>
        </w:rPr>
        <w:t xml:space="preserve"> assistance to units of local government and nonprofits to carry out eligible activities, to include: </w:t>
      </w:r>
    </w:p>
    <w:p w14:paraId="67F5D316"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5CAFD585" w14:textId="77777777" w:rsidR="00350FC6" w:rsidRPr="003060BB" w:rsidRDefault="00350FC6" w:rsidP="005B4ADC">
      <w:pPr>
        <w:pStyle w:val="Default"/>
        <w:numPr>
          <w:ilvl w:val="0"/>
          <w:numId w:val="4"/>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Provide the technical assistance directly with Office of Community and Rural Affairs or other State staff; </w:t>
      </w:r>
    </w:p>
    <w:p w14:paraId="609F4A0C" w14:textId="77777777" w:rsidR="00350FC6" w:rsidRPr="003060BB" w:rsidRDefault="00350FC6" w:rsidP="005B4ADC">
      <w:pPr>
        <w:pStyle w:val="Default"/>
        <w:numPr>
          <w:ilvl w:val="0"/>
          <w:numId w:val="4"/>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Hire a contractor to provide assistance; </w:t>
      </w:r>
    </w:p>
    <w:p w14:paraId="59E89C6E" w14:textId="77777777" w:rsidR="00350FC6" w:rsidRPr="003060BB" w:rsidRDefault="00350FC6" w:rsidP="005B4ADC">
      <w:pPr>
        <w:pStyle w:val="Default"/>
        <w:numPr>
          <w:ilvl w:val="0"/>
          <w:numId w:val="4"/>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Use sub</w:t>
      </w:r>
      <w:r w:rsidR="00A3632A" w:rsidRPr="003060BB">
        <w:rPr>
          <w:rFonts w:asciiTheme="minorHAnsi" w:hAnsiTheme="minorHAnsi" w:cstheme="minorHAnsi"/>
          <w:color w:val="auto"/>
          <w:sz w:val="22"/>
          <w:szCs w:val="22"/>
        </w:rPr>
        <w:t>-</w:t>
      </w:r>
      <w:r w:rsidRPr="003060BB">
        <w:rPr>
          <w:rFonts w:asciiTheme="minorHAnsi" w:hAnsiTheme="minorHAnsi" w:cstheme="minorHAnsi"/>
          <w:color w:val="auto"/>
          <w:sz w:val="22"/>
          <w:szCs w:val="22"/>
        </w:rPr>
        <w:t xml:space="preserve">recipients such as Regional Planning Organizations as providers or securers of the assistance; </w:t>
      </w:r>
    </w:p>
    <w:p w14:paraId="4BC5FB48" w14:textId="77777777" w:rsidR="00350FC6" w:rsidRPr="003060BB" w:rsidRDefault="00350FC6" w:rsidP="005B4ADC">
      <w:pPr>
        <w:pStyle w:val="Default"/>
        <w:numPr>
          <w:ilvl w:val="0"/>
          <w:numId w:val="4"/>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Directly allocate the funds to non-profits and units of general local governments to secure/contract for technical assistance. </w:t>
      </w:r>
    </w:p>
    <w:p w14:paraId="0545D266" w14:textId="77777777" w:rsidR="00350FC6" w:rsidRPr="003060BB" w:rsidRDefault="00350FC6" w:rsidP="005B4ADC">
      <w:pPr>
        <w:pStyle w:val="Default"/>
        <w:numPr>
          <w:ilvl w:val="0"/>
          <w:numId w:val="4"/>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Pay for tuition, training, and/or travel fees for specific trainees from units of general local governments  and nonprofits;  </w:t>
      </w:r>
    </w:p>
    <w:p w14:paraId="62A55357" w14:textId="77777777" w:rsidR="00350FC6" w:rsidRPr="003060BB" w:rsidRDefault="00350FC6" w:rsidP="005B4ADC">
      <w:pPr>
        <w:pStyle w:val="Default"/>
        <w:numPr>
          <w:ilvl w:val="0"/>
          <w:numId w:val="4"/>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Transfer funds to another state agency for the provision of technical assistance; and, </w:t>
      </w:r>
    </w:p>
    <w:p w14:paraId="7B7B2AF6" w14:textId="77777777" w:rsidR="00350FC6" w:rsidRPr="003060BB" w:rsidRDefault="00350FC6" w:rsidP="00CE65C6">
      <w:pPr>
        <w:pStyle w:val="Default"/>
        <w:numPr>
          <w:ilvl w:val="0"/>
          <w:numId w:val="4"/>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Contracts with state-funded institutions of higher education to provide the assistance. </w:t>
      </w:r>
    </w:p>
    <w:p w14:paraId="3F2C10F5" w14:textId="77777777" w:rsidR="00652937" w:rsidRPr="003060BB" w:rsidRDefault="00652937">
      <w:pPr>
        <w:pStyle w:val="Default"/>
        <w:ind w:left="360" w:hanging="360"/>
        <w:jc w:val="both"/>
        <w:rPr>
          <w:rFonts w:asciiTheme="minorHAnsi" w:hAnsiTheme="minorHAnsi" w:cstheme="minorHAnsi"/>
          <w:b/>
          <w:bCs/>
          <w:color w:val="auto"/>
          <w:sz w:val="22"/>
          <w:szCs w:val="22"/>
        </w:rPr>
      </w:pPr>
    </w:p>
    <w:p w14:paraId="18936EEF" w14:textId="77777777" w:rsidR="00350FC6" w:rsidRPr="003060BB" w:rsidRDefault="00350FC6">
      <w:pPr>
        <w:pStyle w:val="Default"/>
        <w:ind w:left="360" w:hanging="360"/>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2.   Ineligible Uses of the Technical Assistance Program Set-aside:  </w:t>
      </w:r>
      <w:r w:rsidRPr="003060BB">
        <w:rPr>
          <w:rFonts w:asciiTheme="minorHAnsi" w:hAnsiTheme="minorHAnsi" w:cstheme="minorHAnsi"/>
          <w:color w:val="auto"/>
          <w:sz w:val="22"/>
          <w:szCs w:val="22"/>
        </w:rPr>
        <w:t xml:space="preserve">The 1% set-aside may not be used by the Office of Community and Rural Affairs for the following activities: </w:t>
      </w:r>
    </w:p>
    <w:p w14:paraId="6B1377D3"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64E8D1E9" w14:textId="77777777" w:rsidR="00350FC6" w:rsidRPr="003060BB" w:rsidRDefault="00350FC6" w:rsidP="005B4ADC">
      <w:pPr>
        <w:pStyle w:val="Default"/>
        <w:numPr>
          <w:ilvl w:val="0"/>
          <w:numId w:val="5"/>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Local administrative expenses not related to community development; </w:t>
      </w:r>
    </w:p>
    <w:p w14:paraId="52C9C603" w14:textId="77777777" w:rsidR="00350FC6" w:rsidRPr="003060BB" w:rsidRDefault="00350FC6" w:rsidP="005B4ADC">
      <w:pPr>
        <w:pStyle w:val="Default"/>
        <w:numPr>
          <w:ilvl w:val="0"/>
          <w:numId w:val="5"/>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Any activity that </w:t>
      </w:r>
      <w:r w:rsidR="00946C6A" w:rsidRPr="003060BB">
        <w:rPr>
          <w:rFonts w:asciiTheme="minorHAnsi" w:hAnsiTheme="minorHAnsi" w:cstheme="minorHAnsi"/>
          <w:color w:val="auto"/>
          <w:sz w:val="22"/>
          <w:szCs w:val="22"/>
        </w:rPr>
        <w:t>cannot</w:t>
      </w:r>
      <w:r w:rsidRPr="003060BB">
        <w:rPr>
          <w:rFonts w:asciiTheme="minorHAnsi" w:hAnsiTheme="minorHAnsi" w:cstheme="minorHAnsi"/>
          <w:color w:val="auto"/>
          <w:sz w:val="22"/>
          <w:szCs w:val="22"/>
        </w:rPr>
        <w:t xml:space="preserve"> be documented as meeting a technical assistance need; </w:t>
      </w:r>
    </w:p>
    <w:p w14:paraId="21BE5049" w14:textId="77777777" w:rsidR="00350FC6" w:rsidRPr="003060BB" w:rsidRDefault="00350FC6" w:rsidP="005B4ADC">
      <w:pPr>
        <w:pStyle w:val="Default"/>
        <w:numPr>
          <w:ilvl w:val="0"/>
          <w:numId w:val="5"/>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General administrative activities of the State not relating to technical assistance, such as monitoring state grantees, rating and ranking State applications for CDBG assistance, and drawing funds from the Office of Community and Rural Affairs; or,     </w:t>
      </w:r>
    </w:p>
    <w:p w14:paraId="1D1AC947" w14:textId="77777777" w:rsidR="00350FC6" w:rsidRPr="003060BB" w:rsidRDefault="00350FC6" w:rsidP="005E43A5">
      <w:pPr>
        <w:pStyle w:val="Default"/>
        <w:numPr>
          <w:ilvl w:val="0"/>
          <w:numId w:val="5"/>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Activities that are meant to train State staff to perform state administrative functions, rather than to train units of general local governments and non-profits. </w:t>
      </w:r>
    </w:p>
    <w:p w14:paraId="27A86A95" w14:textId="77777777" w:rsidR="00CF4BB6" w:rsidRPr="003060BB" w:rsidRDefault="00CF4BB6">
      <w:pPr>
        <w:pStyle w:val="Default"/>
        <w:jc w:val="both"/>
        <w:rPr>
          <w:rFonts w:asciiTheme="minorHAnsi" w:hAnsiTheme="minorHAnsi" w:cstheme="minorHAnsi"/>
          <w:color w:val="auto"/>
          <w:sz w:val="22"/>
          <w:szCs w:val="22"/>
        </w:rPr>
      </w:pPr>
    </w:p>
    <w:p w14:paraId="030D9C0B" w14:textId="103AD33F" w:rsidR="00350FC6" w:rsidRDefault="001D4CC1" w:rsidP="00056CA9">
      <w:pPr>
        <w:pStyle w:val="Default"/>
        <w:jc w:val="both"/>
        <w:outlineLvl w:val="0"/>
        <w:rPr>
          <w:rFonts w:asciiTheme="minorHAnsi" w:hAnsiTheme="minorHAnsi" w:cstheme="minorHAnsi"/>
          <w:b/>
          <w:bCs/>
          <w:color w:val="auto"/>
          <w:sz w:val="22"/>
          <w:szCs w:val="22"/>
        </w:rPr>
      </w:pPr>
      <w:r>
        <w:rPr>
          <w:rFonts w:asciiTheme="minorHAnsi" w:hAnsiTheme="minorHAnsi" w:cstheme="minorHAnsi"/>
          <w:b/>
          <w:bCs/>
          <w:sz w:val="22"/>
          <w:szCs w:val="22"/>
        </w:rPr>
        <w:t>K</w:t>
      </w:r>
      <w:r w:rsidR="00350FC6" w:rsidRPr="003060BB">
        <w:rPr>
          <w:rFonts w:asciiTheme="minorHAnsi" w:hAnsiTheme="minorHAnsi" w:cstheme="minorHAnsi"/>
          <w:b/>
          <w:bCs/>
          <w:sz w:val="22"/>
          <w:szCs w:val="22"/>
        </w:rPr>
        <w:t xml:space="preserve">.  Administrative Funds Set-aside: </w:t>
      </w:r>
      <w:r w:rsidR="00CB5353" w:rsidRPr="00902FDC">
        <w:rPr>
          <w:rFonts w:asciiTheme="minorHAnsi" w:hAnsiTheme="minorHAnsi" w:cstheme="minorHAnsi"/>
          <w:bCs/>
          <w:sz w:val="22"/>
          <w:szCs w:val="22"/>
        </w:rPr>
        <w:t>$</w:t>
      </w:r>
      <w:r w:rsidR="00BF026E">
        <w:rPr>
          <w:rFonts w:asciiTheme="minorHAnsi" w:hAnsiTheme="minorHAnsi" w:cstheme="minorHAnsi"/>
          <w:sz w:val="22"/>
          <w:szCs w:val="22"/>
        </w:rPr>
        <w:t>6</w:t>
      </w:r>
      <w:r w:rsidR="00F71B02">
        <w:rPr>
          <w:rFonts w:asciiTheme="minorHAnsi" w:hAnsiTheme="minorHAnsi" w:cstheme="minorHAnsi"/>
          <w:sz w:val="22"/>
          <w:szCs w:val="22"/>
        </w:rPr>
        <w:t>35,140</w:t>
      </w:r>
      <w:r w:rsidR="00350FC6" w:rsidRPr="003060BB">
        <w:rPr>
          <w:rFonts w:asciiTheme="minorHAnsi" w:hAnsiTheme="minorHAnsi" w:cstheme="minorHAnsi"/>
          <w:b/>
          <w:bCs/>
          <w:color w:val="auto"/>
          <w:sz w:val="22"/>
          <w:szCs w:val="22"/>
        </w:rPr>
        <w:t xml:space="preserve"> </w:t>
      </w:r>
    </w:p>
    <w:p w14:paraId="19AF9A18" w14:textId="77777777" w:rsidR="00232DD7" w:rsidRPr="003060BB" w:rsidRDefault="00232DD7" w:rsidP="00056CA9">
      <w:pPr>
        <w:pStyle w:val="Default"/>
        <w:jc w:val="both"/>
        <w:outlineLvl w:val="0"/>
        <w:rPr>
          <w:rFonts w:asciiTheme="minorHAnsi" w:hAnsiTheme="minorHAnsi" w:cstheme="minorHAnsi"/>
          <w:color w:val="auto"/>
          <w:sz w:val="22"/>
          <w:szCs w:val="22"/>
        </w:rPr>
      </w:pPr>
    </w:p>
    <w:p w14:paraId="3C27F12B" w14:textId="3345BDF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State (Office of Community and Rural Affairs) will set aside </w:t>
      </w:r>
      <w:r w:rsidR="00A81FFB" w:rsidRPr="003060BB">
        <w:rPr>
          <w:rFonts w:asciiTheme="minorHAnsi" w:hAnsiTheme="minorHAnsi" w:cstheme="minorHAnsi"/>
          <w:color w:val="auto"/>
          <w:sz w:val="22"/>
          <w:szCs w:val="22"/>
        </w:rPr>
        <w:t xml:space="preserve">up to </w:t>
      </w:r>
      <w:r w:rsidR="00CB5353" w:rsidRPr="003060BB">
        <w:rPr>
          <w:rFonts w:asciiTheme="minorHAnsi" w:hAnsiTheme="minorHAnsi" w:cstheme="minorHAnsi"/>
          <w:color w:val="auto"/>
          <w:sz w:val="22"/>
          <w:szCs w:val="22"/>
        </w:rPr>
        <w:t>$</w:t>
      </w:r>
      <w:r w:rsidR="00F71B02">
        <w:rPr>
          <w:rFonts w:asciiTheme="minorHAnsi" w:hAnsiTheme="minorHAnsi" w:cstheme="minorHAnsi"/>
          <w:color w:val="auto"/>
          <w:sz w:val="22"/>
          <w:szCs w:val="22"/>
        </w:rPr>
        <w:t xml:space="preserve">635,140 </w:t>
      </w:r>
      <w:r w:rsidRPr="003060BB">
        <w:rPr>
          <w:rFonts w:asciiTheme="minorHAnsi" w:hAnsiTheme="minorHAnsi" w:cstheme="minorHAnsi"/>
          <w:color w:val="auto"/>
          <w:sz w:val="22"/>
          <w:szCs w:val="22"/>
        </w:rPr>
        <w:t xml:space="preserve">of its FY </w:t>
      </w:r>
      <w:r w:rsidR="001D4CC1">
        <w:rPr>
          <w:rFonts w:asciiTheme="minorHAnsi" w:hAnsiTheme="minorHAnsi" w:cstheme="minorHAnsi"/>
          <w:color w:val="auto"/>
          <w:sz w:val="22"/>
          <w:szCs w:val="22"/>
        </w:rPr>
        <w:t>2019</w:t>
      </w:r>
      <w:r w:rsidRPr="003060BB">
        <w:rPr>
          <w:rFonts w:asciiTheme="minorHAnsi" w:hAnsiTheme="minorHAnsi" w:cstheme="minorHAnsi"/>
          <w:color w:val="auto"/>
          <w:sz w:val="22"/>
          <w:szCs w:val="22"/>
        </w:rPr>
        <w:t xml:space="preserve"> CDBG funds for payment of costs associated with administering its State Community Development Block Grant (CDBG) Program (CFDA Number 14.228).  This amount </w:t>
      </w:r>
      <w:r w:rsidR="00CB5353" w:rsidRPr="003060BB">
        <w:rPr>
          <w:rFonts w:asciiTheme="minorHAnsi" w:hAnsiTheme="minorHAnsi" w:cstheme="minorHAnsi"/>
          <w:color w:val="auto"/>
          <w:sz w:val="22"/>
          <w:szCs w:val="22"/>
        </w:rPr>
        <w:t>(</w:t>
      </w:r>
      <w:r w:rsidR="00F71B02">
        <w:rPr>
          <w:rFonts w:asciiTheme="minorHAnsi" w:hAnsiTheme="minorHAnsi" w:cstheme="minorHAnsi"/>
          <w:color w:val="auto"/>
          <w:sz w:val="22"/>
          <w:szCs w:val="22"/>
        </w:rPr>
        <w:t>$635,140</w:t>
      </w:r>
      <w:r w:rsidR="00CB5353" w:rsidRPr="003060BB">
        <w:rPr>
          <w:rFonts w:asciiTheme="minorHAnsi" w:hAnsiTheme="minorHAnsi" w:cstheme="minorHAnsi"/>
          <w:color w:val="auto"/>
          <w:sz w:val="22"/>
          <w:szCs w:val="22"/>
        </w:rPr>
        <w:t>)</w:t>
      </w:r>
      <w:r w:rsidR="00471ECD">
        <w:rPr>
          <w:rFonts w:asciiTheme="minorHAnsi" w:hAnsiTheme="minorHAnsi" w:cstheme="minorHAnsi"/>
          <w:color w:val="auto"/>
          <w:sz w:val="22"/>
          <w:szCs w:val="22"/>
        </w:rPr>
        <w:t xml:space="preserve"> constitutes</w:t>
      </w:r>
      <w:r w:rsidR="00CE65C6" w:rsidRPr="003060BB">
        <w:rPr>
          <w:rFonts w:asciiTheme="minorHAnsi" w:hAnsiTheme="minorHAnsi" w:cstheme="minorHAnsi"/>
          <w:color w:val="auto"/>
          <w:sz w:val="22"/>
          <w:szCs w:val="22"/>
        </w:rPr>
        <w:t xml:space="preserve"> less than </w:t>
      </w:r>
      <w:r w:rsidRPr="003060BB">
        <w:rPr>
          <w:rFonts w:asciiTheme="minorHAnsi" w:hAnsiTheme="minorHAnsi" w:cstheme="minorHAnsi"/>
          <w:color w:val="auto"/>
          <w:sz w:val="22"/>
          <w:szCs w:val="22"/>
        </w:rPr>
        <w:t xml:space="preserve">two-percent (2%) of the State’s CDBG allocation </w:t>
      </w:r>
      <w:r w:rsidR="00CB5353" w:rsidRPr="003060BB">
        <w:rPr>
          <w:rFonts w:asciiTheme="minorHAnsi" w:hAnsiTheme="minorHAnsi" w:cstheme="minorHAnsi"/>
          <w:color w:val="auto"/>
          <w:sz w:val="22"/>
          <w:szCs w:val="22"/>
        </w:rPr>
        <w:t>($</w:t>
      </w:r>
      <w:r w:rsidR="00F71B02">
        <w:rPr>
          <w:rFonts w:asciiTheme="minorHAnsi" w:hAnsiTheme="minorHAnsi" w:cstheme="minorHAnsi"/>
          <w:color w:val="auto"/>
          <w:sz w:val="22"/>
          <w:szCs w:val="22"/>
        </w:rPr>
        <w:t>31</w:t>
      </w:r>
      <w:r w:rsidR="00612902">
        <w:rPr>
          <w:rFonts w:asciiTheme="minorHAnsi" w:hAnsiTheme="minorHAnsi" w:cstheme="minorHAnsi"/>
          <w:color w:val="auto"/>
          <w:sz w:val="22"/>
          <w:szCs w:val="22"/>
        </w:rPr>
        <w:t>,</w:t>
      </w:r>
      <w:r w:rsidR="00F71B02">
        <w:rPr>
          <w:rFonts w:asciiTheme="minorHAnsi" w:hAnsiTheme="minorHAnsi" w:cstheme="minorHAnsi"/>
          <w:color w:val="auto"/>
          <w:sz w:val="22"/>
          <w:szCs w:val="22"/>
        </w:rPr>
        <w:t>772,377</w:t>
      </w:r>
      <w:r w:rsidR="00CB5353" w:rsidRPr="003060BB">
        <w:rPr>
          <w:rFonts w:asciiTheme="minorHAnsi" w:hAnsiTheme="minorHAnsi" w:cstheme="minorHAnsi"/>
          <w:color w:val="auto"/>
          <w:sz w:val="22"/>
          <w:szCs w:val="22"/>
        </w:rPr>
        <w:t>)</w:t>
      </w:r>
      <w:r w:rsidR="00471ECD">
        <w:rPr>
          <w:rFonts w:asciiTheme="minorHAnsi" w:hAnsiTheme="minorHAnsi" w:cstheme="minorHAnsi"/>
          <w:color w:val="auto"/>
          <w:sz w:val="22"/>
          <w:szCs w:val="22"/>
        </w:rPr>
        <w:t>. The</w:t>
      </w:r>
      <w:r w:rsidR="00F71B02">
        <w:rPr>
          <w:rFonts w:asciiTheme="minorHAnsi" w:hAnsiTheme="minorHAnsi" w:cstheme="minorHAnsi"/>
          <w:color w:val="auto"/>
          <w:sz w:val="22"/>
          <w:szCs w:val="22"/>
        </w:rPr>
        <w:t xml:space="preserve"> amount of $535,14</w:t>
      </w:r>
      <w:r w:rsidR="00232DD7">
        <w:rPr>
          <w:rFonts w:asciiTheme="minorHAnsi" w:hAnsiTheme="minorHAnsi" w:cstheme="minorHAnsi"/>
          <w:color w:val="auto"/>
          <w:sz w:val="22"/>
          <w:szCs w:val="22"/>
        </w:rPr>
        <w:t>0</w:t>
      </w:r>
      <w:r w:rsidRPr="003060BB">
        <w:rPr>
          <w:rFonts w:asciiTheme="minorHAnsi" w:hAnsiTheme="minorHAnsi" w:cstheme="minorHAnsi"/>
          <w:color w:val="auto"/>
          <w:sz w:val="22"/>
          <w:szCs w:val="22"/>
        </w:rPr>
        <w:t xml:space="preserve"> is subject to the $1-for-$1 matching requirement o</w:t>
      </w:r>
      <w:r w:rsidR="00471ECD">
        <w:rPr>
          <w:rFonts w:asciiTheme="minorHAnsi" w:hAnsiTheme="minorHAnsi" w:cstheme="minorHAnsi"/>
          <w:color w:val="auto"/>
          <w:sz w:val="22"/>
          <w:szCs w:val="22"/>
        </w:rPr>
        <w:t>f HUD regulations.  A $100,000</w:t>
      </w:r>
      <w:r w:rsidRPr="003060BB">
        <w:rPr>
          <w:rFonts w:asciiTheme="minorHAnsi" w:hAnsiTheme="minorHAnsi" w:cstheme="minorHAnsi"/>
          <w:color w:val="auto"/>
          <w:sz w:val="22"/>
          <w:szCs w:val="22"/>
        </w:rPr>
        <w:t xml:space="preserve"> is not subject to state match</w:t>
      </w:r>
      <w:r w:rsidR="00471ECD">
        <w:rPr>
          <w:rFonts w:asciiTheme="minorHAnsi" w:hAnsiTheme="minorHAnsi" w:cstheme="minorHAnsi"/>
          <w:color w:val="auto"/>
          <w:sz w:val="22"/>
          <w:szCs w:val="22"/>
        </w:rPr>
        <w:t xml:space="preserve"> per HUD regulations</w:t>
      </w:r>
      <w:r w:rsidR="00F71B02">
        <w:rPr>
          <w:rFonts w:asciiTheme="minorHAnsi" w:hAnsiTheme="minorHAnsi" w:cstheme="minorHAnsi"/>
          <w:color w:val="auto"/>
          <w:sz w:val="22"/>
          <w:szCs w:val="22"/>
        </w:rPr>
        <w:t xml:space="preserve">.  These funds will be </w:t>
      </w:r>
      <w:r w:rsidRPr="003060BB">
        <w:rPr>
          <w:rFonts w:asciiTheme="minorHAnsi" w:hAnsiTheme="minorHAnsi" w:cstheme="minorHAnsi"/>
          <w:color w:val="auto"/>
          <w:sz w:val="22"/>
          <w:szCs w:val="22"/>
        </w:rPr>
        <w:t xml:space="preserve">used by the Office of Community and Rural Affairs for expenses associated with administering its State CDBG Program, including direct personal services and fringe benefits of applicable Office of Community and Rural Affairs staff, as well as direct and indirect expenses incurred in the proper administration of the state’s program and monitoring activities respective to CDBG grants awarded to units of local government (i.e. telephone, travel, services contractual, etc.).  These administrative funds will also be used to pay for contractors hired to assist the Office of Community and Rural Affairs in its consolidated planning activities.  </w:t>
      </w:r>
    </w:p>
    <w:p w14:paraId="635BC7AD" w14:textId="77777777" w:rsidR="004A552A" w:rsidRPr="003060BB" w:rsidRDefault="00350FC6" w:rsidP="007B3C3E">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53082C83" w14:textId="77777777" w:rsidR="00350FC6" w:rsidRPr="003060BB" w:rsidRDefault="00350FC6">
      <w:pPr>
        <w:pStyle w:val="Default"/>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PRIOR YEARS’ METHODS OF DISTRIBUTION </w:t>
      </w:r>
    </w:p>
    <w:p w14:paraId="7BA0704F"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550174EB" w14:textId="4B99E0EF"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This </w:t>
      </w:r>
      <w:r w:rsidR="00232DD7">
        <w:rPr>
          <w:rFonts w:asciiTheme="minorHAnsi" w:hAnsiTheme="minorHAnsi" w:cstheme="minorHAnsi"/>
          <w:color w:val="auto"/>
          <w:sz w:val="22"/>
          <w:szCs w:val="22"/>
        </w:rPr>
        <w:t xml:space="preserve">Annual </w:t>
      </w:r>
      <w:r w:rsidR="00471ECD">
        <w:rPr>
          <w:rFonts w:asciiTheme="minorHAnsi" w:hAnsiTheme="minorHAnsi" w:cstheme="minorHAnsi"/>
          <w:color w:val="auto"/>
          <w:sz w:val="22"/>
          <w:szCs w:val="22"/>
        </w:rPr>
        <w:t>Action Plan and</w:t>
      </w:r>
      <w:r w:rsidRPr="003060BB">
        <w:rPr>
          <w:rFonts w:asciiTheme="minorHAnsi" w:hAnsiTheme="minorHAnsi" w:cstheme="minorHAnsi"/>
          <w:color w:val="auto"/>
          <w:sz w:val="22"/>
          <w:szCs w:val="22"/>
        </w:rPr>
        <w:t xml:space="preserve"> statement of Method of Distribution is intended to amend all prior </w:t>
      </w:r>
      <w:r w:rsidR="00471ECD">
        <w:rPr>
          <w:rFonts w:asciiTheme="minorHAnsi" w:hAnsiTheme="minorHAnsi" w:cstheme="minorHAnsi"/>
          <w:color w:val="auto"/>
          <w:sz w:val="22"/>
          <w:szCs w:val="22"/>
        </w:rPr>
        <w:t xml:space="preserve">Consolidated and Action </w:t>
      </w:r>
      <w:r w:rsidRPr="003060BB">
        <w:rPr>
          <w:rFonts w:asciiTheme="minorHAnsi" w:hAnsiTheme="minorHAnsi" w:cstheme="minorHAnsi"/>
          <w:color w:val="auto"/>
          <w:sz w:val="22"/>
          <w:szCs w:val="22"/>
        </w:rPr>
        <w:t>Plans for grant years where funds are still available to reflect the new program designs.  The Methods of Distribution described in this document will be in effect commencing on Ju</w:t>
      </w:r>
      <w:r w:rsidR="00B351C6" w:rsidRPr="003060BB">
        <w:rPr>
          <w:rFonts w:asciiTheme="minorHAnsi" w:hAnsiTheme="minorHAnsi" w:cstheme="minorHAnsi"/>
          <w:color w:val="auto"/>
          <w:sz w:val="22"/>
          <w:szCs w:val="22"/>
        </w:rPr>
        <w:t>ly</w:t>
      </w:r>
      <w:r w:rsidRPr="003060BB">
        <w:rPr>
          <w:rFonts w:asciiTheme="minorHAnsi" w:hAnsiTheme="minorHAnsi" w:cstheme="minorHAnsi"/>
          <w:color w:val="auto"/>
          <w:sz w:val="22"/>
          <w:szCs w:val="22"/>
        </w:rPr>
        <w:t xml:space="preserve"> 1, </w:t>
      </w:r>
      <w:r w:rsidR="00232DD7">
        <w:rPr>
          <w:rFonts w:asciiTheme="minorHAnsi" w:hAnsiTheme="minorHAnsi" w:cstheme="minorHAnsi"/>
          <w:color w:val="auto"/>
          <w:sz w:val="22"/>
          <w:szCs w:val="22"/>
        </w:rPr>
        <w:t>2020</w:t>
      </w:r>
      <w:r w:rsidRPr="003060BB">
        <w:rPr>
          <w:rFonts w:asciiTheme="minorHAnsi" w:hAnsiTheme="minorHAnsi" w:cstheme="minorHAnsi"/>
          <w:color w:val="auto"/>
          <w:sz w:val="22"/>
          <w:szCs w:val="22"/>
        </w:rPr>
        <w:t xml:space="preserve">, and ending </w:t>
      </w:r>
      <w:r w:rsidR="00B351C6" w:rsidRPr="003060BB">
        <w:rPr>
          <w:rFonts w:asciiTheme="minorHAnsi" w:hAnsiTheme="minorHAnsi" w:cstheme="minorHAnsi"/>
          <w:color w:val="auto"/>
          <w:sz w:val="22"/>
          <w:szCs w:val="22"/>
        </w:rPr>
        <w:t>June 30</w:t>
      </w:r>
      <w:r w:rsidRPr="003060BB">
        <w:rPr>
          <w:rFonts w:asciiTheme="minorHAnsi" w:hAnsiTheme="minorHAnsi" w:cstheme="minorHAnsi"/>
          <w:color w:val="auto"/>
          <w:sz w:val="22"/>
          <w:szCs w:val="22"/>
        </w:rPr>
        <w:t xml:space="preserve">, </w:t>
      </w:r>
      <w:r w:rsidR="00232DD7">
        <w:rPr>
          <w:rFonts w:asciiTheme="minorHAnsi" w:hAnsiTheme="minorHAnsi" w:cstheme="minorHAnsi"/>
          <w:color w:val="auto"/>
          <w:sz w:val="22"/>
          <w:szCs w:val="22"/>
        </w:rPr>
        <w:t>201</w:t>
      </w:r>
      <w:r w:rsidR="00471ECD">
        <w:rPr>
          <w:rFonts w:asciiTheme="minorHAnsi" w:hAnsiTheme="minorHAnsi" w:cstheme="minorHAnsi"/>
          <w:color w:val="auto"/>
          <w:sz w:val="22"/>
          <w:szCs w:val="22"/>
        </w:rPr>
        <w:t>0</w:t>
      </w:r>
      <w:r w:rsidRPr="003060BB">
        <w:rPr>
          <w:rFonts w:asciiTheme="minorHAnsi" w:hAnsiTheme="minorHAnsi" w:cstheme="minorHAnsi"/>
          <w:color w:val="auto"/>
          <w:sz w:val="22"/>
          <w:szCs w:val="22"/>
        </w:rPr>
        <w:t xml:space="preserve">, unless subsequently amended, for all FY </w:t>
      </w:r>
      <w:r w:rsidR="00232DD7">
        <w:rPr>
          <w:rFonts w:asciiTheme="minorHAnsi" w:hAnsiTheme="minorHAnsi" w:cstheme="minorHAnsi"/>
          <w:color w:val="auto"/>
          <w:sz w:val="22"/>
          <w:szCs w:val="22"/>
        </w:rPr>
        <w:t>2020</w:t>
      </w:r>
      <w:r w:rsidRPr="003060BB">
        <w:rPr>
          <w:rFonts w:asciiTheme="minorHAnsi" w:hAnsiTheme="minorHAnsi" w:cstheme="minorHAnsi"/>
          <w:color w:val="auto"/>
          <w:sz w:val="22"/>
          <w:szCs w:val="22"/>
        </w:rPr>
        <w:t xml:space="preserve"> CDBG funds as well as remaining residual balances of previous years’ funding allocations, as may be amended from time to time subject to the provisions governin</w:t>
      </w:r>
      <w:r w:rsidR="005E43A5" w:rsidRPr="003060BB">
        <w:rPr>
          <w:rFonts w:asciiTheme="minorHAnsi" w:hAnsiTheme="minorHAnsi" w:cstheme="minorHAnsi"/>
          <w:color w:val="auto"/>
          <w:sz w:val="22"/>
          <w:szCs w:val="22"/>
        </w:rPr>
        <w:t>g “Program Amendments” herein.</w:t>
      </w:r>
      <w:r w:rsidRPr="003060BB">
        <w:rPr>
          <w:rFonts w:asciiTheme="minorHAnsi" w:hAnsiTheme="minorHAnsi" w:cstheme="minorHAnsi"/>
          <w:color w:val="auto"/>
          <w:sz w:val="22"/>
          <w:szCs w:val="22"/>
        </w:rPr>
        <w:t xml:space="preserve">   </w:t>
      </w:r>
    </w:p>
    <w:p w14:paraId="33EF3CB4"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15957DF5" w14:textId="230DCF96" w:rsidR="00F71B02" w:rsidRDefault="005E43A5">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In the case that prior years’</w:t>
      </w:r>
      <w:r w:rsidR="00350FC6" w:rsidRPr="003060BB">
        <w:rPr>
          <w:rFonts w:asciiTheme="minorHAnsi" w:hAnsiTheme="minorHAnsi" w:cstheme="minorHAnsi"/>
          <w:color w:val="auto"/>
          <w:sz w:val="22"/>
          <w:szCs w:val="22"/>
        </w:rPr>
        <w:t xml:space="preserve"> funds should become available, they will be placed in </w:t>
      </w:r>
      <w:r w:rsidR="00C230DF" w:rsidRPr="003060BB">
        <w:rPr>
          <w:rFonts w:asciiTheme="minorHAnsi" w:hAnsiTheme="minorHAnsi" w:cstheme="minorHAnsi"/>
          <w:color w:val="auto"/>
          <w:sz w:val="22"/>
          <w:szCs w:val="22"/>
        </w:rPr>
        <w:t>any of the currently open programs</w:t>
      </w:r>
      <w:r w:rsidRPr="003060BB">
        <w:rPr>
          <w:rFonts w:asciiTheme="minorHAnsi" w:hAnsiTheme="minorHAnsi" w:cstheme="minorHAnsi"/>
          <w:color w:val="auto"/>
          <w:sz w:val="22"/>
          <w:szCs w:val="22"/>
        </w:rPr>
        <w:t xml:space="preserve"> and become subject to the requirements and allowances set forth in this plan. </w:t>
      </w:r>
      <w:r w:rsidR="00350FC6" w:rsidRPr="003060BB">
        <w:rPr>
          <w:rFonts w:asciiTheme="minorHAnsi" w:hAnsiTheme="minorHAnsi" w:cstheme="minorHAnsi"/>
          <w:color w:val="auto"/>
          <w:sz w:val="22"/>
          <w:szCs w:val="22"/>
        </w:rPr>
        <w:t xml:space="preserve">Non-expended funds, which revert from the financial settlement of projects funded from other programs, will be placed in </w:t>
      </w:r>
      <w:r w:rsidR="00C230DF" w:rsidRPr="003060BB">
        <w:rPr>
          <w:rFonts w:asciiTheme="minorHAnsi" w:hAnsiTheme="minorHAnsi" w:cstheme="minorHAnsi"/>
          <w:color w:val="auto"/>
          <w:sz w:val="22"/>
          <w:szCs w:val="22"/>
        </w:rPr>
        <w:t>any open program for use in that ongoing program</w:t>
      </w:r>
      <w:r w:rsidR="00232DD7">
        <w:rPr>
          <w:rFonts w:asciiTheme="minorHAnsi" w:hAnsiTheme="minorHAnsi" w:cstheme="minorHAnsi"/>
          <w:color w:val="auto"/>
          <w:sz w:val="22"/>
          <w:szCs w:val="22"/>
        </w:rPr>
        <w:t>.</w:t>
      </w:r>
    </w:p>
    <w:p w14:paraId="03179C52" w14:textId="77777777" w:rsidR="00CF4A8B" w:rsidRDefault="00CF4A8B">
      <w:pPr>
        <w:pStyle w:val="Default"/>
        <w:jc w:val="both"/>
        <w:rPr>
          <w:rFonts w:asciiTheme="minorHAnsi" w:hAnsiTheme="minorHAnsi" w:cstheme="minorHAnsi"/>
          <w:color w:val="auto"/>
          <w:sz w:val="22"/>
          <w:szCs w:val="22"/>
        </w:rPr>
      </w:pPr>
    </w:p>
    <w:p w14:paraId="3BD49CAD" w14:textId="088E5019" w:rsidR="00CF4A8B" w:rsidRDefault="00CF4A8B">
      <w:pPr>
        <w:pStyle w:val="Default"/>
        <w:jc w:val="both"/>
        <w:rPr>
          <w:rFonts w:asciiTheme="minorHAnsi" w:hAnsiTheme="minorHAnsi" w:cstheme="minorHAnsi"/>
          <w:color w:val="auto"/>
          <w:sz w:val="22"/>
          <w:szCs w:val="22"/>
        </w:rPr>
      </w:pPr>
      <w:r w:rsidRPr="0010126E">
        <w:rPr>
          <w:rFonts w:asciiTheme="minorHAnsi" w:hAnsiTheme="minorHAnsi" w:cstheme="minorHAnsi"/>
          <w:color w:val="auto"/>
          <w:sz w:val="22"/>
          <w:szCs w:val="22"/>
          <w:highlight w:val="yellow"/>
        </w:rPr>
        <w:t xml:space="preserve">Due to the </w:t>
      </w:r>
      <w:proofErr w:type="spellStart"/>
      <w:r w:rsidRPr="0010126E">
        <w:rPr>
          <w:rFonts w:asciiTheme="minorHAnsi" w:hAnsiTheme="minorHAnsi" w:cstheme="minorHAnsi"/>
          <w:color w:val="auto"/>
          <w:sz w:val="22"/>
          <w:szCs w:val="22"/>
          <w:highlight w:val="yellow"/>
        </w:rPr>
        <w:t>COVID</w:t>
      </w:r>
      <w:proofErr w:type="spellEnd"/>
      <w:r w:rsidRPr="0010126E">
        <w:rPr>
          <w:rFonts w:asciiTheme="minorHAnsi" w:hAnsiTheme="minorHAnsi" w:cstheme="minorHAnsi"/>
          <w:color w:val="auto"/>
          <w:sz w:val="22"/>
          <w:szCs w:val="22"/>
          <w:highlight w:val="yellow"/>
        </w:rPr>
        <w:t xml:space="preserve">-19, the scoring criteria outlined in this document will not take effect until January 1, 2021. </w:t>
      </w:r>
      <w:r w:rsidR="0010126E" w:rsidRPr="0010126E">
        <w:rPr>
          <w:rFonts w:asciiTheme="minorHAnsi" w:hAnsiTheme="minorHAnsi" w:cstheme="minorHAnsi"/>
          <w:color w:val="auto"/>
          <w:sz w:val="22"/>
          <w:szCs w:val="22"/>
          <w:highlight w:val="yellow"/>
        </w:rPr>
        <w:t xml:space="preserve">Until that time, </w:t>
      </w:r>
      <w:r w:rsidRPr="0010126E">
        <w:rPr>
          <w:rFonts w:asciiTheme="minorHAnsi" w:hAnsiTheme="minorHAnsi" w:cstheme="minorHAnsi"/>
          <w:color w:val="auto"/>
          <w:sz w:val="22"/>
          <w:szCs w:val="22"/>
          <w:highlight w:val="yellow"/>
        </w:rPr>
        <w:t>OCRA will continue to use the scoring criteria outlined</w:t>
      </w:r>
      <w:r w:rsidR="0010126E">
        <w:rPr>
          <w:rFonts w:asciiTheme="minorHAnsi" w:hAnsiTheme="minorHAnsi" w:cstheme="minorHAnsi"/>
          <w:color w:val="auto"/>
          <w:sz w:val="22"/>
          <w:szCs w:val="22"/>
          <w:highlight w:val="yellow"/>
        </w:rPr>
        <w:t xml:space="preserve"> in Indiana’s </w:t>
      </w:r>
      <w:r w:rsidRPr="0010126E">
        <w:rPr>
          <w:rFonts w:asciiTheme="minorHAnsi" w:hAnsiTheme="minorHAnsi" w:cstheme="minorHAnsi"/>
          <w:color w:val="auto"/>
          <w:sz w:val="22"/>
          <w:szCs w:val="22"/>
          <w:highlight w:val="yellow"/>
        </w:rPr>
        <w:t>original FY 2019 Action Plan</w:t>
      </w:r>
      <w:r w:rsidR="0010126E" w:rsidRPr="0010126E">
        <w:rPr>
          <w:rFonts w:asciiTheme="minorHAnsi" w:hAnsiTheme="minorHAnsi" w:cstheme="minorHAnsi"/>
          <w:color w:val="auto"/>
          <w:sz w:val="22"/>
          <w:szCs w:val="22"/>
          <w:highlight w:val="yellow"/>
        </w:rPr>
        <w:t>.</w:t>
      </w:r>
    </w:p>
    <w:p w14:paraId="0BB98F58" w14:textId="47E13D6E" w:rsidR="00350FC6" w:rsidRPr="003060BB" w:rsidRDefault="00350FC6">
      <w:pPr>
        <w:pStyle w:val="Default"/>
        <w:jc w:val="both"/>
        <w:rPr>
          <w:rFonts w:asciiTheme="minorHAnsi" w:hAnsiTheme="minorHAnsi" w:cstheme="minorHAnsi"/>
          <w:color w:val="auto"/>
          <w:sz w:val="22"/>
          <w:szCs w:val="22"/>
        </w:rPr>
      </w:pPr>
    </w:p>
    <w:p w14:paraId="68BCCA01" w14:textId="7F379BDB" w:rsidR="00350FC6" w:rsidRPr="003060BB" w:rsidRDefault="00350FC6">
      <w:pPr>
        <w:pStyle w:val="Default"/>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APPLICATIO</w:t>
      </w:r>
      <w:r w:rsidR="003253D4">
        <w:rPr>
          <w:rFonts w:asciiTheme="minorHAnsi" w:hAnsiTheme="minorHAnsi" w:cstheme="minorHAnsi"/>
          <w:b/>
          <w:bCs/>
          <w:color w:val="auto"/>
          <w:sz w:val="22"/>
          <w:szCs w:val="22"/>
        </w:rPr>
        <w:t>N PROCESSES</w:t>
      </w:r>
    </w:p>
    <w:p w14:paraId="1F8876E8" w14:textId="4EFAF8C1" w:rsidR="003253D4"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50D9C470" w14:textId="4F04BEA2" w:rsidR="003253D4" w:rsidRDefault="00471EC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Planning Grant</w:t>
      </w:r>
      <w:r w:rsidR="003253D4">
        <w:rPr>
          <w:rFonts w:asciiTheme="minorHAnsi" w:hAnsiTheme="minorHAnsi" w:cstheme="minorHAnsi"/>
          <w:color w:val="auto"/>
          <w:sz w:val="22"/>
          <w:szCs w:val="22"/>
        </w:rPr>
        <w:t xml:space="preserve"> applications</w:t>
      </w:r>
      <w:r w:rsidR="006B145B" w:rsidRPr="003060BB">
        <w:rPr>
          <w:rFonts w:asciiTheme="minorHAnsi" w:hAnsiTheme="minorHAnsi" w:cstheme="minorHAnsi"/>
          <w:color w:val="auto"/>
          <w:sz w:val="22"/>
          <w:szCs w:val="22"/>
        </w:rPr>
        <w:t xml:space="preserve"> </w:t>
      </w:r>
      <w:r w:rsidR="003253D4">
        <w:rPr>
          <w:rFonts w:asciiTheme="minorHAnsi" w:hAnsiTheme="minorHAnsi" w:cstheme="minorHAnsi"/>
          <w:color w:val="auto"/>
          <w:sz w:val="22"/>
          <w:szCs w:val="22"/>
        </w:rPr>
        <w:t xml:space="preserve">are accepted continuously. Eligible units of local governments should first contact their regional Community </w:t>
      </w:r>
      <w:r w:rsidR="0055080C">
        <w:rPr>
          <w:rFonts w:asciiTheme="minorHAnsi" w:hAnsiTheme="minorHAnsi" w:cstheme="minorHAnsi"/>
          <w:color w:val="auto"/>
          <w:sz w:val="22"/>
          <w:szCs w:val="22"/>
        </w:rPr>
        <w:t>Liaison</w:t>
      </w:r>
      <w:r w:rsidR="003253D4">
        <w:rPr>
          <w:rFonts w:asciiTheme="minorHAnsi" w:hAnsiTheme="minorHAnsi" w:cstheme="minorHAnsi"/>
          <w:color w:val="auto"/>
          <w:sz w:val="22"/>
          <w:szCs w:val="22"/>
        </w:rPr>
        <w:t xml:space="preserve"> to discuss their interest in a planning grant. Then an initial application can be submitted for scoring. Applications received by Midnight on the 15</w:t>
      </w:r>
      <w:r w:rsidR="003253D4" w:rsidRPr="003253D4">
        <w:rPr>
          <w:rFonts w:asciiTheme="minorHAnsi" w:hAnsiTheme="minorHAnsi" w:cstheme="minorHAnsi"/>
          <w:color w:val="auto"/>
          <w:sz w:val="22"/>
          <w:szCs w:val="22"/>
          <w:vertAlign w:val="superscript"/>
        </w:rPr>
        <w:t>th</w:t>
      </w:r>
      <w:r w:rsidR="003253D4">
        <w:rPr>
          <w:rFonts w:asciiTheme="minorHAnsi" w:hAnsiTheme="minorHAnsi" w:cstheme="minorHAnsi"/>
          <w:color w:val="auto"/>
          <w:sz w:val="22"/>
          <w:szCs w:val="22"/>
        </w:rPr>
        <w:t xml:space="preserve"> of each month will be scored by the end of the month. Applications received after midnight will be scored by the end of the following month. Note planning grant applications are not considered fully submitted until a Public Hearing is completed and all </w:t>
      </w:r>
      <w:proofErr w:type="spellStart"/>
      <w:r w:rsidR="003253D4">
        <w:rPr>
          <w:rFonts w:asciiTheme="minorHAnsi" w:hAnsiTheme="minorHAnsi" w:cstheme="minorHAnsi"/>
          <w:color w:val="auto"/>
          <w:sz w:val="22"/>
          <w:szCs w:val="22"/>
        </w:rPr>
        <w:t>FEEPs</w:t>
      </w:r>
      <w:proofErr w:type="spellEnd"/>
      <w:r w:rsidR="003253D4">
        <w:rPr>
          <w:rFonts w:asciiTheme="minorHAnsi" w:hAnsiTheme="minorHAnsi" w:cstheme="minorHAnsi"/>
          <w:color w:val="auto"/>
          <w:sz w:val="22"/>
          <w:szCs w:val="22"/>
        </w:rPr>
        <w:t xml:space="preserve"> materials are submitted. </w:t>
      </w:r>
      <w:r w:rsidR="00EC6E49">
        <w:rPr>
          <w:rFonts w:asciiTheme="minorHAnsi" w:hAnsiTheme="minorHAnsi" w:cstheme="minorHAnsi"/>
          <w:color w:val="auto"/>
          <w:sz w:val="22"/>
          <w:szCs w:val="22"/>
        </w:rPr>
        <w:t xml:space="preserve">If an application meets the minimum threshold and scoring criteria it will be regarded as fundable but will not be considered awarded until the application is fully submitted. </w:t>
      </w:r>
    </w:p>
    <w:p w14:paraId="568057A5" w14:textId="77777777" w:rsidR="003253D4" w:rsidRDefault="003253D4">
      <w:pPr>
        <w:pStyle w:val="Default"/>
        <w:jc w:val="both"/>
        <w:rPr>
          <w:rFonts w:asciiTheme="minorHAnsi" w:hAnsiTheme="minorHAnsi" w:cstheme="minorHAnsi"/>
          <w:color w:val="auto"/>
          <w:sz w:val="22"/>
          <w:szCs w:val="22"/>
        </w:rPr>
      </w:pPr>
    </w:p>
    <w:p w14:paraId="34CA8A0A" w14:textId="730EDB8F" w:rsidR="00EC6E49" w:rsidRDefault="00EC6E4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Blight Clearance Program (</w:t>
      </w:r>
      <w:proofErr w:type="spellStart"/>
      <w:r>
        <w:rPr>
          <w:rFonts w:asciiTheme="minorHAnsi" w:hAnsiTheme="minorHAnsi" w:cstheme="minorHAnsi"/>
          <w:color w:val="auto"/>
          <w:sz w:val="22"/>
          <w:szCs w:val="22"/>
        </w:rPr>
        <w:t>BCP</w:t>
      </w:r>
      <w:proofErr w:type="spellEnd"/>
      <w:r>
        <w:rPr>
          <w:rFonts w:asciiTheme="minorHAnsi" w:hAnsiTheme="minorHAnsi" w:cstheme="minorHAnsi"/>
          <w:color w:val="auto"/>
          <w:sz w:val="22"/>
          <w:szCs w:val="22"/>
        </w:rPr>
        <w:t>) applications</w:t>
      </w:r>
      <w:r w:rsidR="006B145B" w:rsidRPr="003060BB">
        <w:rPr>
          <w:rFonts w:asciiTheme="minorHAnsi" w:hAnsiTheme="minorHAnsi" w:cstheme="minorHAnsi"/>
          <w:color w:val="auto"/>
          <w:sz w:val="22"/>
          <w:szCs w:val="22"/>
        </w:rPr>
        <w:t xml:space="preserve"> </w:t>
      </w:r>
      <w:r>
        <w:rPr>
          <w:rFonts w:asciiTheme="minorHAnsi" w:hAnsiTheme="minorHAnsi" w:cstheme="minorHAnsi"/>
          <w:color w:val="auto"/>
          <w:sz w:val="22"/>
          <w:szCs w:val="22"/>
        </w:rPr>
        <w:t>will also be accepted continuously with those submitted by Midnight on the 15</w:t>
      </w:r>
      <w:r w:rsidRPr="00EC6E49">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of each month being scored by the end of the month. Unlike the Planning Grant applications, </w:t>
      </w:r>
      <w:proofErr w:type="spellStart"/>
      <w:r>
        <w:rPr>
          <w:rFonts w:asciiTheme="minorHAnsi" w:hAnsiTheme="minorHAnsi" w:cstheme="minorHAnsi"/>
          <w:color w:val="auto"/>
          <w:sz w:val="22"/>
          <w:szCs w:val="22"/>
        </w:rPr>
        <w:t>BCP</w:t>
      </w:r>
      <w:proofErr w:type="spellEnd"/>
      <w:r>
        <w:rPr>
          <w:rFonts w:asciiTheme="minorHAnsi" w:hAnsiTheme="minorHAnsi" w:cstheme="minorHAnsi"/>
          <w:color w:val="auto"/>
          <w:sz w:val="22"/>
          <w:szCs w:val="22"/>
        </w:rPr>
        <w:t xml:space="preserve"> applications go through a two-state process that mimics the process used for grant programs done via rounds. Specifics on that process can be found below. </w:t>
      </w:r>
    </w:p>
    <w:p w14:paraId="01AA402D" w14:textId="77777777" w:rsidR="00EC6E49" w:rsidRDefault="00EC6E49">
      <w:pPr>
        <w:pStyle w:val="Default"/>
        <w:jc w:val="both"/>
        <w:rPr>
          <w:rFonts w:asciiTheme="minorHAnsi" w:hAnsiTheme="minorHAnsi" w:cstheme="minorHAnsi"/>
          <w:color w:val="auto"/>
          <w:sz w:val="22"/>
          <w:szCs w:val="22"/>
        </w:rPr>
      </w:pPr>
    </w:p>
    <w:p w14:paraId="7AE16FE3" w14:textId="3A489A40" w:rsidR="00EC6E49" w:rsidRDefault="00471EC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Stellar Regions </w:t>
      </w:r>
      <w:r w:rsidR="00A57C76" w:rsidRPr="003060BB">
        <w:rPr>
          <w:rFonts w:asciiTheme="minorHAnsi" w:hAnsiTheme="minorHAnsi" w:cstheme="minorHAnsi"/>
          <w:color w:val="auto"/>
          <w:sz w:val="22"/>
          <w:szCs w:val="22"/>
        </w:rPr>
        <w:t>Program</w:t>
      </w:r>
      <w:r w:rsidR="00CE65C6" w:rsidRPr="003060BB">
        <w:rPr>
          <w:rFonts w:asciiTheme="minorHAnsi" w:hAnsiTheme="minorHAnsi" w:cstheme="minorHAnsi"/>
          <w:color w:val="auto"/>
          <w:sz w:val="22"/>
          <w:szCs w:val="22"/>
        </w:rPr>
        <w:t xml:space="preserve"> </w:t>
      </w:r>
      <w:r w:rsidR="00EC6E49">
        <w:rPr>
          <w:rFonts w:asciiTheme="minorHAnsi" w:hAnsiTheme="minorHAnsi" w:cstheme="minorHAnsi"/>
          <w:color w:val="auto"/>
          <w:sz w:val="22"/>
          <w:szCs w:val="22"/>
        </w:rPr>
        <w:t>is a</w:t>
      </w:r>
      <w:r w:rsidR="00A15AE9" w:rsidRPr="003060BB">
        <w:rPr>
          <w:rFonts w:asciiTheme="minorHAnsi" w:hAnsiTheme="minorHAnsi" w:cstheme="minorHAnsi"/>
          <w:color w:val="auto"/>
          <w:sz w:val="22"/>
          <w:szCs w:val="22"/>
        </w:rPr>
        <w:t xml:space="preserve"> single competitive application process</w:t>
      </w:r>
      <w:r w:rsidR="00EC6E49">
        <w:rPr>
          <w:rFonts w:asciiTheme="minorHAnsi" w:hAnsiTheme="minorHAnsi" w:cstheme="minorHAnsi"/>
          <w:color w:val="auto"/>
          <w:sz w:val="22"/>
          <w:szCs w:val="22"/>
        </w:rPr>
        <w:t xml:space="preserve"> over the course of a calendar year</w:t>
      </w:r>
      <w:r w:rsidR="00350FC6" w:rsidRPr="003060BB">
        <w:rPr>
          <w:rFonts w:asciiTheme="minorHAnsi" w:hAnsiTheme="minorHAnsi" w:cstheme="minorHAnsi"/>
          <w:color w:val="auto"/>
          <w:sz w:val="22"/>
          <w:szCs w:val="22"/>
        </w:rPr>
        <w:t>.</w:t>
      </w:r>
      <w:r w:rsidR="00EC6E49">
        <w:rPr>
          <w:rFonts w:asciiTheme="minorHAnsi" w:hAnsiTheme="minorHAnsi" w:cstheme="minorHAnsi"/>
          <w:color w:val="auto"/>
          <w:sz w:val="22"/>
          <w:szCs w:val="22"/>
        </w:rPr>
        <w:t xml:space="preserve"> Interested applicants submit a Letter of Intent from which up to six (6) finalists are selected by the partner organizations. Finalists take part in numerous capacity-building, teamwork, and planning activities throug</w:t>
      </w:r>
      <w:r w:rsidR="0055080C">
        <w:rPr>
          <w:rFonts w:asciiTheme="minorHAnsi" w:hAnsiTheme="minorHAnsi" w:cstheme="minorHAnsi"/>
          <w:color w:val="auto"/>
          <w:sz w:val="22"/>
          <w:szCs w:val="22"/>
        </w:rPr>
        <w:t>hout the year as they build their</w:t>
      </w:r>
      <w:r w:rsidR="00EC6E49">
        <w:rPr>
          <w:rFonts w:asciiTheme="minorHAnsi" w:hAnsiTheme="minorHAnsi" w:cstheme="minorHAnsi"/>
          <w:color w:val="auto"/>
          <w:sz w:val="22"/>
          <w:szCs w:val="22"/>
        </w:rPr>
        <w:t xml:space="preserve"> Regional Development Plan (RDP). Each finalist must an RDP and present before the partner organizations. The partner organizations the Designee based on consensus. </w:t>
      </w:r>
    </w:p>
    <w:p w14:paraId="2E398A27" w14:textId="77777777" w:rsidR="00EC6E49" w:rsidRDefault="00EC6E49">
      <w:pPr>
        <w:pStyle w:val="Default"/>
        <w:jc w:val="both"/>
        <w:rPr>
          <w:rFonts w:asciiTheme="minorHAnsi" w:hAnsiTheme="minorHAnsi" w:cstheme="minorHAnsi"/>
          <w:color w:val="auto"/>
          <w:sz w:val="22"/>
          <w:szCs w:val="22"/>
        </w:rPr>
      </w:pPr>
    </w:p>
    <w:p w14:paraId="33D06C88" w14:textId="24089235" w:rsidR="00A57C76" w:rsidRPr="003060BB" w:rsidRDefault="00A57C7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The application process for the Public Facilities Program (</w:t>
      </w:r>
      <w:proofErr w:type="spellStart"/>
      <w:r w:rsidRPr="003060BB">
        <w:rPr>
          <w:rFonts w:asciiTheme="minorHAnsi" w:hAnsiTheme="minorHAnsi" w:cstheme="minorHAnsi"/>
          <w:color w:val="auto"/>
          <w:sz w:val="22"/>
          <w:szCs w:val="22"/>
        </w:rPr>
        <w:t>PFP</w:t>
      </w:r>
      <w:proofErr w:type="spellEnd"/>
      <w:r w:rsidRPr="003060BB">
        <w:rPr>
          <w:rFonts w:asciiTheme="minorHAnsi" w:hAnsiTheme="minorHAnsi" w:cstheme="minorHAnsi"/>
          <w:color w:val="auto"/>
          <w:sz w:val="22"/>
          <w:szCs w:val="22"/>
        </w:rPr>
        <w:t>), Stormwater Improvements Program (SIP),</w:t>
      </w:r>
      <w:r w:rsidR="00EC6E49">
        <w:rPr>
          <w:rFonts w:asciiTheme="minorHAnsi" w:hAnsiTheme="minorHAnsi" w:cstheme="minorHAnsi"/>
          <w:color w:val="auto"/>
          <w:sz w:val="22"/>
          <w:szCs w:val="22"/>
        </w:rPr>
        <w:t xml:space="preserve"> </w:t>
      </w:r>
      <w:r w:rsidR="00CE65C6" w:rsidRPr="003060BB">
        <w:rPr>
          <w:rFonts w:asciiTheme="minorHAnsi" w:hAnsiTheme="minorHAnsi" w:cstheme="minorHAnsi"/>
          <w:color w:val="auto"/>
          <w:sz w:val="22"/>
          <w:szCs w:val="22"/>
        </w:rPr>
        <w:t>the Main Street Revitalization Program (</w:t>
      </w:r>
      <w:proofErr w:type="spellStart"/>
      <w:r w:rsidR="00CE65C6" w:rsidRPr="003060BB">
        <w:rPr>
          <w:rFonts w:asciiTheme="minorHAnsi" w:hAnsiTheme="minorHAnsi" w:cstheme="minorHAnsi"/>
          <w:color w:val="auto"/>
          <w:sz w:val="22"/>
          <w:szCs w:val="22"/>
        </w:rPr>
        <w:t>MSRP</w:t>
      </w:r>
      <w:proofErr w:type="spellEnd"/>
      <w:r w:rsidR="00CE65C6" w:rsidRPr="003060BB">
        <w:rPr>
          <w:rFonts w:asciiTheme="minorHAnsi" w:hAnsiTheme="minorHAnsi" w:cstheme="minorHAnsi"/>
          <w:color w:val="auto"/>
          <w:sz w:val="22"/>
          <w:szCs w:val="22"/>
        </w:rPr>
        <w:t>),</w:t>
      </w:r>
      <w:r w:rsidR="00EC6E49">
        <w:rPr>
          <w:rFonts w:asciiTheme="minorHAnsi" w:hAnsiTheme="minorHAnsi" w:cstheme="minorHAnsi"/>
          <w:color w:val="auto"/>
          <w:sz w:val="22"/>
          <w:szCs w:val="22"/>
        </w:rPr>
        <w:t xml:space="preserve"> and the </w:t>
      </w:r>
      <w:r w:rsidR="008F0EE8">
        <w:rPr>
          <w:rFonts w:asciiTheme="minorHAnsi" w:hAnsiTheme="minorHAnsi" w:cstheme="minorHAnsi"/>
          <w:color w:val="auto"/>
          <w:sz w:val="22"/>
          <w:szCs w:val="22"/>
        </w:rPr>
        <w:t>Wastewater Drinking Water (</w:t>
      </w:r>
      <w:proofErr w:type="spellStart"/>
      <w:r w:rsidR="008F0EE8">
        <w:rPr>
          <w:rFonts w:asciiTheme="minorHAnsi" w:hAnsiTheme="minorHAnsi" w:cstheme="minorHAnsi"/>
          <w:color w:val="auto"/>
          <w:sz w:val="22"/>
          <w:szCs w:val="22"/>
        </w:rPr>
        <w:t>WDW</w:t>
      </w:r>
      <w:proofErr w:type="spellEnd"/>
      <w:r w:rsidR="00EC6E49">
        <w:rPr>
          <w:rFonts w:asciiTheme="minorHAnsi" w:hAnsiTheme="minorHAnsi" w:cstheme="minorHAnsi"/>
          <w:color w:val="auto"/>
          <w:sz w:val="22"/>
          <w:szCs w:val="22"/>
        </w:rPr>
        <w:t>)</w:t>
      </w:r>
      <w:r w:rsidR="00CE65C6" w:rsidRPr="003060B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 xml:space="preserve">will be </w:t>
      </w:r>
      <w:r w:rsidR="006B145B" w:rsidRPr="003060BB">
        <w:rPr>
          <w:rFonts w:asciiTheme="minorHAnsi" w:hAnsiTheme="minorHAnsi" w:cstheme="minorHAnsi"/>
          <w:color w:val="auto"/>
          <w:sz w:val="22"/>
          <w:szCs w:val="22"/>
        </w:rPr>
        <w:t xml:space="preserve">a two-stage </w:t>
      </w:r>
      <w:r w:rsidRPr="003060BB">
        <w:rPr>
          <w:rFonts w:asciiTheme="minorHAnsi" w:hAnsiTheme="minorHAnsi" w:cstheme="minorHAnsi"/>
          <w:color w:val="auto"/>
          <w:sz w:val="22"/>
          <w:szCs w:val="22"/>
        </w:rPr>
        <w:t xml:space="preserve">competitive application process held twice </w:t>
      </w:r>
      <w:r w:rsidR="00A30B34" w:rsidRPr="003060BB">
        <w:rPr>
          <w:rFonts w:asciiTheme="minorHAnsi" w:hAnsiTheme="minorHAnsi" w:cstheme="minorHAnsi"/>
          <w:color w:val="auto"/>
          <w:sz w:val="22"/>
          <w:szCs w:val="22"/>
        </w:rPr>
        <w:t>each</w:t>
      </w:r>
      <w:r w:rsidRPr="003060BB">
        <w:rPr>
          <w:rFonts w:asciiTheme="minorHAnsi" w:hAnsiTheme="minorHAnsi" w:cstheme="minorHAnsi"/>
          <w:color w:val="auto"/>
          <w:sz w:val="22"/>
          <w:szCs w:val="22"/>
        </w:rPr>
        <w:t xml:space="preserve"> calendar year</w:t>
      </w:r>
      <w:r w:rsidR="00EC6E49">
        <w:rPr>
          <w:rFonts w:asciiTheme="minorHAnsi" w:hAnsiTheme="minorHAnsi" w:cstheme="minorHAnsi"/>
          <w:color w:val="auto"/>
          <w:sz w:val="22"/>
          <w:szCs w:val="22"/>
        </w:rPr>
        <w:t xml:space="preserve"> with a third-</w:t>
      </w:r>
      <w:r w:rsidR="00471ECD">
        <w:rPr>
          <w:rFonts w:asciiTheme="minorHAnsi" w:hAnsiTheme="minorHAnsi" w:cstheme="minorHAnsi"/>
          <w:color w:val="auto"/>
          <w:sz w:val="22"/>
          <w:szCs w:val="22"/>
        </w:rPr>
        <w:t>round possible</w:t>
      </w:r>
      <w:r w:rsidRPr="003060BB">
        <w:rPr>
          <w:rFonts w:asciiTheme="minorHAnsi" w:hAnsiTheme="minorHAnsi" w:cstheme="minorHAnsi"/>
          <w:color w:val="auto"/>
          <w:sz w:val="22"/>
          <w:szCs w:val="22"/>
        </w:rPr>
        <w:t xml:space="preserve">. </w:t>
      </w:r>
    </w:p>
    <w:p w14:paraId="5DE07A2A" w14:textId="77777777" w:rsidR="005E43A5" w:rsidRPr="003060BB" w:rsidRDefault="005E43A5">
      <w:pPr>
        <w:pStyle w:val="Default"/>
        <w:jc w:val="both"/>
        <w:rPr>
          <w:rFonts w:asciiTheme="minorHAnsi" w:hAnsiTheme="minorHAnsi" w:cstheme="minorHAnsi"/>
          <w:color w:val="auto"/>
          <w:sz w:val="22"/>
          <w:szCs w:val="22"/>
        </w:rPr>
      </w:pPr>
    </w:p>
    <w:p w14:paraId="13D695FD" w14:textId="18E0CC19" w:rsidR="00EC6E49" w:rsidRPr="003060BB" w:rsidRDefault="001F3EB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For grant program</w:t>
      </w:r>
      <w:r w:rsidR="007B3C3E" w:rsidRPr="003060BB">
        <w:rPr>
          <w:rFonts w:asciiTheme="minorHAnsi" w:hAnsiTheme="minorHAnsi" w:cstheme="minorHAnsi"/>
          <w:color w:val="auto"/>
          <w:sz w:val="22"/>
          <w:szCs w:val="22"/>
        </w:rPr>
        <w:t>s</w:t>
      </w:r>
      <w:r w:rsidRPr="003060BB">
        <w:rPr>
          <w:rFonts w:asciiTheme="minorHAnsi" w:hAnsiTheme="minorHAnsi" w:cstheme="minorHAnsi"/>
          <w:color w:val="auto"/>
          <w:sz w:val="22"/>
          <w:szCs w:val="22"/>
        </w:rPr>
        <w:t xml:space="preserve"> with a two-stage process, e</w:t>
      </w:r>
      <w:r w:rsidR="00350FC6" w:rsidRPr="003060BB">
        <w:rPr>
          <w:rFonts w:asciiTheme="minorHAnsi" w:hAnsiTheme="minorHAnsi" w:cstheme="minorHAnsi"/>
          <w:color w:val="auto"/>
          <w:sz w:val="22"/>
          <w:szCs w:val="22"/>
        </w:rPr>
        <w:t>ligible applicants will first submit a</w:t>
      </w:r>
      <w:r w:rsidR="007B3C3E" w:rsidRPr="003060BB">
        <w:rPr>
          <w:rFonts w:asciiTheme="minorHAnsi" w:hAnsiTheme="minorHAnsi" w:cstheme="minorHAnsi"/>
          <w:color w:val="auto"/>
          <w:sz w:val="22"/>
          <w:szCs w:val="22"/>
        </w:rPr>
        <w:t>n</w:t>
      </w:r>
      <w:r w:rsidR="00350FC6" w:rsidRPr="003060BB">
        <w:rPr>
          <w:rFonts w:asciiTheme="minorHAnsi" w:hAnsiTheme="minorHAnsi" w:cstheme="minorHAnsi"/>
          <w:color w:val="auto"/>
          <w:sz w:val="22"/>
          <w:szCs w:val="22"/>
        </w:rPr>
        <w:t xml:space="preserve"> </w:t>
      </w:r>
      <w:r w:rsidR="007B3C3E" w:rsidRPr="003060BB">
        <w:rPr>
          <w:rFonts w:asciiTheme="minorHAnsi" w:hAnsiTheme="minorHAnsi" w:cstheme="minorHAnsi"/>
          <w:color w:val="auto"/>
          <w:sz w:val="22"/>
          <w:szCs w:val="22"/>
        </w:rPr>
        <w:t xml:space="preserve">abbreviated </w:t>
      </w:r>
      <w:r w:rsidR="00471ECD">
        <w:rPr>
          <w:rFonts w:asciiTheme="minorHAnsi" w:hAnsiTheme="minorHAnsi" w:cstheme="minorHAnsi"/>
          <w:color w:val="auto"/>
          <w:sz w:val="22"/>
          <w:szCs w:val="22"/>
        </w:rPr>
        <w:t>proposal</w:t>
      </w:r>
      <w:r w:rsidR="00350FC6" w:rsidRPr="003060BB">
        <w:rPr>
          <w:rFonts w:asciiTheme="minorHAnsi" w:hAnsiTheme="minorHAnsi" w:cstheme="minorHAnsi"/>
          <w:color w:val="auto"/>
          <w:sz w:val="22"/>
          <w:szCs w:val="22"/>
        </w:rPr>
        <w:t>.  After submitting</w:t>
      </w:r>
      <w:r w:rsidR="00471ECD">
        <w:rPr>
          <w:rFonts w:asciiTheme="minorHAnsi" w:hAnsiTheme="minorHAnsi" w:cstheme="minorHAnsi"/>
          <w:color w:val="auto"/>
          <w:sz w:val="22"/>
          <w:szCs w:val="22"/>
        </w:rPr>
        <w:t xml:space="preserve"> a</w:t>
      </w:r>
      <w:r w:rsidR="00350FC6" w:rsidRPr="003060BB">
        <w:rPr>
          <w:rFonts w:asciiTheme="minorHAnsi" w:hAnsiTheme="minorHAnsi" w:cstheme="minorHAnsi"/>
          <w:color w:val="auto"/>
          <w:sz w:val="22"/>
          <w:szCs w:val="22"/>
        </w:rPr>
        <w:t xml:space="preserve"> proposal, eligible projects under the Federal Act will be invited to submit a full application.  For each program, the full application will be reviewed and evaluated.  </w:t>
      </w:r>
      <w:r w:rsidR="00EC6E49">
        <w:rPr>
          <w:rFonts w:asciiTheme="minorHAnsi" w:hAnsiTheme="minorHAnsi" w:cstheme="minorHAnsi"/>
          <w:color w:val="auto"/>
          <w:sz w:val="22"/>
          <w:szCs w:val="22"/>
        </w:rPr>
        <w:t>OCRA</w:t>
      </w:r>
      <w:r w:rsidR="00350FC6" w:rsidRPr="003060BB">
        <w:rPr>
          <w:rFonts w:asciiTheme="minorHAnsi" w:hAnsiTheme="minorHAnsi" w:cstheme="minorHAnsi"/>
          <w:color w:val="auto"/>
          <w:sz w:val="22"/>
          <w:szCs w:val="22"/>
        </w:rPr>
        <w:t xml:space="preserve">, as applicable, will provide technical assistance to the communities </w:t>
      </w:r>
      <w:r w:rsidR="003A5FC8" w:rsidRPr="003060BB">
        <w:rPr>
          <w:rFonts w:asciiTheme="minorHAnsi" w:hAnsiTheme="minorHAnsi" w:cstheme="minorHAnsi"/>
          <w:color w:val="auto"/>
          <w:sz w:val="22"/>
          <w:szCs w:val="22"/>
        </w:rPr>
        <w:t xml:space="preserve">in the development of </w:t>
      </w:r>
      <w:r w:rsidR="00350FC6" w:rsidRPr="003060BB">
        <w:rPr>
          <w:rFonts w:asciiTheme="minorHAnsi" w:hAnsiTheme="minorHAnsi" w:cstheme="minorHAnsi"/>
          <w:color w:val="auto"/>
          <w:sz w:val="22"/>
          <w:szCs w:val="22"/>
        </w:rPr>
        <w:t>full applications</w:t>
      </w:r>
      <w:r w:rsidR="00A51593">
        <w:rPr>
          <w:rFonts w:asciiTheme="minorHAnsi" w:hAnsiTheme="minorHAnsi" w:cstheme="minorHAnsi"/>
          <w:color w:val="auto"/>
          <w:sz w:val="22"/>
          <w:szCs w:val="22"/>
        </w:rPr>
        <w:t xml:space="preserve"> and require an in-person site visit with the community prior to application</w:t>
      </w:r>
      <w:r w:rsidR="00EC6E49">
        <w:rPr>
          <w:rFonts w:asciiTheme="minorHAnsi" w:hAnsiTheme="minorHAnsi" w:cstheme="minorHAnsi"/>
          <w:color w:val="auto"/>
          <w:sz w:val="22"/>
          <w:szCs w:val="22"/>
        </w:rPr>
        <w:t>.</w:t>
      </w:r>
    </w:p>
    <w:p w14:paraId="42D6D213"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4645FFBD" w14:textId="455B0981"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An eligible applicant may submit only one application </w:t>
      </w:r>
      <w:r w:rsidR="00EC6E49">
        <w:rPr>
          <w:rFonts w:asciiTheme="minorHAnsi" w:hAnsiTheme="minorHAnsi" w:cstheme="minorHAnsi"/>
          <w:color w:val="auto"/>
          <w:sz w:val="22"/>
          <w:szCs w:val="22"/>
        </w:rPr>
        <w:t xml:space="preserve">at a time.  OCRA </w:t>
      </w:r>
      <w:r w:rsidRPr="003060BB">
        <w:rPr>
          <w:rFonts w:asciiTheme="minorHAnsi" w:hAnsiTheme="minorHAnsi" w:cstheme="minorHAnsi"/>
          <w:color w:val="auto"/>
          <w:sz w:val="22"/>
          <w:szCs w:val="22"/>
        </w:rPr>
        <w:t xml:space="preserve">reserves the right to </w:t>
      </w:r>
      <w:r w:rsidR="00735F42" w:rsidRPr="003060BB">
        <w:rPr>
          <w:rFonts w:asciiTheme="minorHAnsi" w:hAnsiTheme="minorHAnsi" w:cstheme="minorHAnsi"/>
          <w:color w:val="auto"/>
          <w:sz w:val="22"/>
          <w:szCs w:val="22"/>
        </w:rPr>
        <w:t xml:space="preserve">deny </w:t>
      </w:r>
      <w:r w:rsidR="00EC6E49">
        <w:rPr>
          <w:rFonts w:asciiTheme="minorHAnsi" w:hAnsiTheme="minorHAnsi" w:cstheme="minorHAnsi"/>
          <w:color w:val="auto"/>
          <w:sz w:val="22"/>
          <w:szCs w:val="22"/>
        </w:rPr>
        <w:t>applications lacking credible readiness to proceed.</w:t>
      </w:r>
    </w:p>
    <w:p w14:paraId="0670D187" w14:textId="77777777" w:rsidR="00CF4BB6" w:rsidRPr="003060BB" w:rsidRDefault="00CF4BB6" w:rsidP="00CF51A8">
      <w:pPr>
        <w:pStyle w:val="Default"/>
        <w:jc w:val="both"/>
        <w:rPr>
          <w:rFonts w:asciiTheme="minorHAnsi" w:hAnsiTheme="minorHAnsi" w:cstheme="minorHAnsi"/>
          <w:color w:val="auto"/>
          <w:sz w:val="22"/>
          <w:szCs w:val="22"/>
        </w:rPr>
      </w:pPr>
    </w:p>
    <w:p w14:paraId="3122CFAE" w14:textId="77777777" w:rsidR="00350FC6" w:rsidRPr="003060BB" w:rsidRDefault="00350FC6" w:rsidP="00CF51A8">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OTHER REQUIREMENTS</w:t>
      </w:r>
      <w:r w:rsidRPr="003060BB">
        <w:rPr>
          <w:rFonts w:asciiTheme="minorHAnsi" w:hAnsiTheme="minorHAnsi" w:cstheme="minorHAnsi"/>
          <w:color w:val="auto"/>
          <w:sz w:val="22"/>
          <w:szCs w:val="22"/>
        </w:rPr>
        <w:t xml:space="preserve"> </w:t>
      </w:r>
    </w:p>
    <w:p w14:paraId="1F86236D"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7809BE92" w14:textId="25C054EF"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While administrative responsibility for the Small Cities CDBG program has been assumed by the State of Indiana, the State is still bound by the statutory requirements of the applicable legislation passed by Congress, as well as federal regulations promulgated by the U. S. Department of Housing and Urban Development (HUD) respective to the State’s CDBG pro</w:t>
      </w:r>
      <w:r w:rsidR="009A6080">
        <w:rPr>
          <w:rFonts w:asciiTheme="minorHAnsi" w:hAnsiTheme="minorHAnsi" w:cstheme="minorHAnsi"/>
          <w:color w:val="auto"/>
          <w:sz w:val="22"/>
          <w:szCs w:val="22"/>
        </w:rPr>
        <w:t>gram as codified under Title 24 of the</w:t>
      </w:r>
      <w:r w:rsidRPr="003060BB">
        <w:rPr>
          <w:rFonts w:asciiTheme="minorHAnsi" w:hAnsiTheme="minorHAnsi" w:cstheme="minorHAnsi"/>
          <w:color w:val="auto"/>
          <w:sz w:val="22"/>
          <w:szCs w:val="22"/>
        </w:rPr>
        <w:t xml:space="preserve"> Code of the Federal Register</w:t>
      </w:r>
      <w:r w:rsidR="009A6080">
        <w:rPr>
          <w:rFonts w:asciiTheme="minorHAnsi" w:hAnsiTheme="minorHAnsi" w:cstheme="minorHAnsi"/>
          <w:color w:val="auto"/>
          <w:sz w:val="22"/>
          <w:szCs w:val="22"/>
        </w:rPr>
        <w:t>, and with consideration to non-regulatory guidance from HUD</w:t>
      </w:r>
      <w:r w:rsidRPr="003060BB">
        <w:rPr>
          <w:rFonts w:asciiTheme="minorHAnsi" w:hAnsiTheme="minorHAnsi" w:cstheme="minorHAnsi"/>
          <w:color w:val="auto"/>
          <w:sz w:val="22"/>
          <w:szCs w:val="22"/>
        </w:rPr>
        <w:t xml:space="preserve">.  HUD has passed on these responsibilities and requirements to the State and the State is required to provide adequate evidence to HUD that it is carrying out its legal responsibilities under these statutes. </w:t>
      </w:r>
    </w:p>
    <w:p w14:paraId="28E0ED2A"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57F71D21" w14:textId="609FDCCD"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As a result of the Federal Act, applicant</w:t>
      </w:r>
      <w:r w:rsidR="00EC6E49">
        <w:rPr>
          <w:rFonts w:asciiTheme="minorHAnsi" w:hAnsiTheme="minorHAnsi" w:cstheme="minorHAnsi"/>
          <w:color w:val="auto"/>
          <w:sz w:val="22"/>
          <w:szCs w:val="22"/>
        </w:rPr>
        <w:t xml:space="preserve">s who receive funds through </w:t>
      </w:r>
      <w:proofErr w:type="spellStart"/>
      <w:r w:rsidR="00EC6E49">
        <w:rPr>
          <w:rFonts w:asciiTheme="minorHAnsi" w:hAnsiTheme="minorHAnsi" w:cstheme="minorHAnsi"/>
          <w:color w:val="auto"/>
          <w:sz w:val="22"/>
          <w:szCs w:val="22"/>
        </w:rPr>
        <w:t>OCRA’s</w:t>
      </w:r>
      <w:proofErr w:type="spellEnd"/>
      <w:r w:rsidR="00EC6E49">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 xml:space="preserve">selection process will be required to maintain a plan for minimizing displacement of persons as a result of activities assisted with CDBG funds and to assist persons actually displaced as a result of such activities.  Applicants are required to provide reasonable benefits to any person involuntarily and permanently displaced as a result of the use of assistance under this program to acquire or substantially rehabilitate property.  The State has adopted standards for determining reasonable relocation benefits in accordance with HUD regulations. </w:t>
      </w:r>
    </w:p>
    <w:p w14:paraId="3E254FA8" w14:textId="77777777" w:rsidR="004A552A"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386DC39D"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CDBG “Program Income” may be generated as a result of grant implementation.  The State of Indiana may enter into an agreement with the grantee in which program income is retained by the grantee for eligible activities.  Federal guidelines require that program income be spent prior to requesting additional draw downs.  Expenditure of such funds requires prior approval from the Office of Community and Rural Affairs (OCRA).  The State (Office of Community and Rural Affairs) will follow HUD regulations set forth under 24 CFR 570.489(e) respective to the definition and expenditure of CDBG Program Income. </w:t>
      </w:r>
    </w:p>
    <w:p w14:paraId="65F620DF"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2E57E5C0"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All statutory requirements will become the responsibility of the recipient as part of the terms and conditions of grant award.  Assurances relative to specific statutory requirements will be required as part of the application package and funding agreement.  Grant recipients will be required to secure and retain certain information, provide reports and document actions as a condition to receiving funds from the program.  Grant management techniques and program requirements are explained in the </w:t>
      </w:r>
      <w:proofErr w:type="spellStart"/>
      <w:r w:rsidRPr="003060BB">
        <w:rPr>
          <w:rFonts w:asciiTheme="minorHAnsi" w:hAnsiTheme="minorHAnsi" w:cstheme="minorHAnsi"/>
          <w:color w:val="auto"/>
          <w:sz w:val="22"/>
          <w:szCs w:val="22"/>
        </w:rPr>
        <w:t>OCRA’s</w:t>
      </w:r>
      <w:proofErr w:type="spellEnd"/>
      <w:r w:rsidRPr="003060BB">
        <w:rPr>
          <w:rFonts w:asciiTheme="minorHAnsi" w:hAnsiTheme="minorHAnsi" w:cstheme="minorHAnsi"/>
          <w:color w:val="auto"/>
          <w:sz w:val="22"/>
          <w:szCs w:val="22"/>
        </w:rPr>
        <w:t xml:space="preserve"> CDBG </w:t>
      </w:r>
      <w:r w:rsidR="007B4ACA">
        <w:rPr>
          <w:rFonts w:asciiTheme="minorHAnsi" w:hAnsiTheme="minorHAnsi" w:cstheme="minorHAnsi"/>
          <w:color w:val="auto"/>
          <w:sz w:val="22"/>
          <w:szCs w:val="22"/>
        </w:rPr>
        <w:t>Handbook</w:t>
      </w:r>
      <w:r w:rsidRPr="003060BB">
        <w:rPr>
          <w:rFonts w:asciiTheme="minorHAnsi" w:hAnsiTheme="minorHAnsi" w:cstheme="minorHAnsi"/>
          <w:color w:val="auto"/>
          <w:sz w:val="22"/>
          <w:szCs w:val="22"/>
        </w:rPr>
        <w:t xml:space="preserve">, which is </w:t>
      </w:r>
      <w:r w:rsidR="007B4ACA">
        <w:rPr>
          <w:rFonts w:asciiTheme="minorHAnsi" w:hAnsiTheme="minorHAnsi" w:cstheme="minorHAnsi"/>
          <w:color w:val="auto"/>
          <w:sz w:val="22"/>
          <w:szCs w:val="22"/>
        </w:rPr>
        <w:t>posted on the Office’s website</w:t>
      </w:r>
      <w:r w:rsidRPr="003060BB">
        <w:rPr>
          <w:rFonts w:asciiTheme="minorHAnsi" w:hAnsiTheme="minorHAnsi" w:cstheme="minorHAnsi"/>
          <w:color w:val="auto"/>
          <w:sz w:val="22"/>
          <w:szCs w:val="22"/>
        </w:rPr>
        <w:t xml:space="preserve">. </w:t>
      </w:r>
    </w:p>
    <w:p w14:paraId="7D15CF50"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48BF24BA"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Revisions to the Federal Act have mandated additional citizen participation requirements for the State and its grantees.  The State has adopted a written Citizen Participation Plan, which is available for interested citizens to review.  Applicants must certify to the State that they are following a detailed Citizen Participation Plan which meets Title I requirements.  Technical assistance will be provided by the Office of Community and Rural Affairs to assist program applicants in meeting citizen participation requirements. </w:t>
      </w:r>
    </w:p>
    <w:p w14:paraId="67F0C65D"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1AF6D2FA"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State has required each applicant for CDBG funds to certify that it has identified its housing and community development needs, including those of low and moderate income persons and the activities to be undertaken to meet those needs. </w:t>
      </w:r>
    </w:p>
    <w:p w14:paraId="0A087799" w14:textId="398B2A76" w:rsidR="00F71B02" w:rsidRDefault="00350FC6" w:rsidP="005E43A5">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2AE8B3EE" w14:textId="77777777" w:rsidR="00F71B02" w:rsidRDefault="00F71B02">
      <w:pPr>
        <w:rPr>
          <w:rFonts w:asciiTheme="minorHAnsi" w:hAnsiTheme="minorHAnsi" w:cstheme="minorHAnsi"/>
          <w:sz w:val="22"/>
          <w:szCs w:val="22"/>
        </w:rPr>
      </w:pPr>
      <w:r>
        <w:rPr>
          <w:rFonts w:asciiTheme="minorHAnsi" w:hAnsiTheme="minorHAnsi" w:cstheme="minorHAnsi"/>
          <w:sz w:val="22"/>
          <w:szCs w:val="22"/>
        </w:rPr>
        <w:br w:type="page"/>
      </w:r>
    </w:p>
    <w:p w14:paraId="29222BBD" w14:textId="77777777" w:rsidR="00350FC6" w:rsidRPr="003060BB" w:rsidRDefault="00350FC6">
      <w:pPr>
        <w:pStyle w:val="Default"/>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INDIANA OFFICE OF COMMUNITY AND RURAL AFFAIRS (OCRA)</w:t>
      </w:r>
      <w:r w:rsidRPr="003060BB">
        <w:rPr>
          <w:rFonts w:asciiTheme="minorHAnsi" w:hAnsiTheme="minorHAnsi" w:cstheme="minorHAnsi"/>
          <w:color w:val="auto"/>
          <w:sz w:val="22"/>
          <w:szCs w:val="22"/>
        </w:rPr>
        <w:t xml:space="preserve"> </w:t>
      </w:r>
    </w:p>
    <w:p w14:paraId="1EF4AA03"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2B2AEFFC" w14:textId="29DAAC2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The Indiana Office of Community and Rural Affairs intends to provide the maximum technical assistance possible for all of the programs to be funded from the CDB</w:t>
      </w:r>
      <w:r w:rsidR="00A30B34" w:rsidRPr="003060BB">
        <w:rPr>
          <w:rFonts w:asciiTheme="minorHAnsi" w:hAnsiTheme="minorHAnsi" w:cstheme="minorHAnsi"/>
          <w:color w:val="auto"/>
          <w:sz w:val="22"/>
          <w:szCs w:val="22"/>
        </w:rPr>
        <w:t>G program.  Lieutenant Governor</w:t>
      </w:r>
      <w:r w:rsidR="00DA7658">
        <w:rPr>
          <w:rFonts w:asciiTheme="minorHAnsi" w:hAnsiTheme="minorHAnsi" w:cstheme="minorHAnsi"/>
          <w:color w:val="auto"/>
          <w:sz w:val="22"/>
          <w:szCs w:val="22"/>
        </w:rPr>
        <w:t xml:space="preserve"> heads OCRA</w:t>
      </w:r>
      <w:r w:rsidRPr="003060BB">
        <w:rPr>
          <w:rFonts w:asciiTheme="minorHAnsi" w:hAnsiTheme="minorHAnsi" w:cstheme="minorHAnsi"/>
          <w:color w:val="auto"/>
          <w:sz w:val="22"/>
          <w:szCs w:val="22"/>
        </w:rPr>
        <w:t>.  Principal responsibility fo</w:t>
      </w:r>
      <w:r w:rsidR="007B4ACA">
        <w:rPr>
          <w:rFonts w:asciiTheme="minorHAnsi" w:hAnsiTheme="minorHAnsi" w:cstheme="minorHAnsi"/>
          <w:color w:val="auto"/>
          <w:sz w:val="22"/>
          <w:szCs w:val="22"/>
        </w:rPr>
        <w:t>r the CDBG program is vested in the</w:t>
      </w:r>
      <w:r w:rsidR="00A30B34" w:rsidRPr="003060BB">
        <w:rPr>
          <w:rFonts w:asciiTheme="minorHAnsi" w:hAnsiTheme="minorHAnsi" w:cstheme="minorHAnsi"/>
          <w:color w:val="auto"/>
          <w:sz w:val="22"/>
          <w:szCs w:val="22"/>
        </w:rPr>
        <w:t xml:space="preserve"> Executive Director of OCRA.</w:t>
      </w:r>
      <w:r w:rsidR="001B555D" w:rsidRPr="003060BB">
        <w:rPr>
          <w:rFonts w:asciiTheme="minorHAnsi" w:hAnsiTheme="minorHAnsi" w:cstheme="minorHAnsi"/>
          <w:color w:val="auto"/>
          <w:sz w:val="22"/>
          <w:szCs w:val="22"/>
        </w:rPr>
        <w:t xml:space="preserve"> </w:t>
      </w:r>
      <w:r w:rsidR="00DA7658">
        <w:rPr>
          <w:rFonts w:asciiTheme="minorHAnsi" w:hAnsiTheme="minorHAnsi" w:cstheme="minorHAnsi"/>
          <w:color w:val="auto"/>
          <w:sz w:val="22"/>
          <w:szCs w:val="22"/>
        </w:rPr>
        <w:t xml:space="preserve">OCRA </w:t>
      </w:r>
      <w:r w:rsidRPr="003060BB">
        <w:rPr>
          <w:rFonts w:asciiTheme="minorHAnsi" w:hAnsiTheme="minorHAnsi" w:cstheme="minorHAnsi"/>
          <w:color w:val="auto"/>
          <w:sz w:val="22"/>
          <w:szCs w:val="22"/>
        </w:rPr>
        <w:t>also has the responsibility of administering compliance activities respective to CDBG grants awarded to units of local government</w:t>
      </w:r>
      <w:r w:rsidR="001B555D" w:rsidRPr="003060BB">
        <w:rPr>
          <w:rFonts w:asciiTheme="minorHAnsi" w:hAnsiTheme="minorHAnsi" w:cstheme="minorHAnsi"/>
          <w:color w:val="auto"/>
          <w:sz w:val="22"/>
          <w:szCs w:val="22"/>
        </w:rPr>
        <w:t xml:space="preserve"> through a partnership with the Grant Services Division of the Lieutenant Governor’s business office</w:t>
      </w:r>
      <w:r w:rsidRPr="003060BB">
        <w:rPr>
          <w:rFonts w:asciiTheme="minorHAnsi" w:hAnsiTheme="minorHAnsi" w:cstheme="minorHAnsi"/>
          <w:color w:val="auto"/>
          <w:sz w:val="22"/>
          <w:szCs w:val="22"/>
        </w:rPr>
        <w:t xml:space="preserve">. </w:t>
      </w:r>
    </w:p>
    <w:p w14:paraId="2945678C"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66A226E5" w14:textId="2E98508B"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Primary responsibility for providing “outreach” and technical assistanc</w:t>
      </w:r>
      <w:r w:rsidR="007B4ACA">
        <w:rPr>
          <w:rFonts w:asciiTheme="minorHAnsi" w:hAnsiTheme="minorHAnsi" w:cstheme="minorHAnsi"/>
          <w:color w:val="auto"/>
          <w:sz w:val="22"/>
          <w:szCs w:val="22"/>
        </w:rPr>
        <w:t>e for the Stellar Regions</w:t>
      </w:r>
      <w:r w:rsidR="009A0EC1" w:rsidRPr="003060BB">
        <w:rPr>
          <w:rFonts w:asciiTheme="minorHAnsi" w:hAnsiTheme="minorHAnsi" w:cstheme="minorHAnsi"/>
          <w:color w:val="auto"/>
          <w:sz w:val="22"/>
          <w:szCs w:val="22"/>
        </w:rPr>
        <w:t xml:space="preserve"> Program, Main Street Revitalization Fund</w:t>
      </w:r>
      <w:r w:rsidR="00C16975" w:rsidRPr="003060BB">
        <w:rPr>
          <w:rFonts w:asciiTheme="minorHAnsi" w:hAnsiTheme="minorHAnsi" w:cstheme="minorHAnsi"/>
          <w:color w:val="auto"/>
          <w:sz w:val="22"/>
          <w:szCs w:val="22"/>
        </w:rPr>
        <w:t xml:space="preserve">, </w:t>
      </w:r>
      <w:r w:rsidR="008F0EE8">
        <w:rPr>
          <w:rFonts w:asciiTheme="minorHAnsi" w:hAnsiTheme="minorHAnsi" w:cstheme="minorHAnsi"/>
          <w:color w:val="auto"/>
          <w:sz w:val="22"/>
          <w:szCs w:val="22"/>
        </w:rPr>
        <w:t xml:space="preserve">Stormwater Improvement </w:t>
      </w:r>
      <w:r w:rsidR="00DA7658">
        <w:rPr>
          <w:rFonts w:asciiTheme="minorHAnsi" w:hAnsiTheme="minorHAnsi" w:cstheme="minorHAnsi"/>
          <w:color w:val="auto"/>
          <w:sz w:val="22"/>
          <w:szCs w:val="22"/>
        </w:rPr>
        <w:t>Program</w:t>
      </w:r>
      <w:r w:rsidR="00C16975" w:rsidRPr="003060BB">
        <w:rPr>
          <w:rFonts w:asciiTheme="minorHAnsi" w:hAnsiTheme="minorHAnsi" w:cstheme="minorHAnsi"/>
          <w:color w:val="auto"/>
          <w:sz w:val="22"/>
          <w:szCs w:val="22"/>
        </w:rPr>
        <w:t>,</w:t>
      </w:r>
      <w:r w:rsidR="008F0EE8">
        <w:rPr>
          <w:rFonts w:asciiTheme="minorHAnsi" w:hAnsiTheme="minorHAnsi" w:cstheme="minorHAnsi"/>
          <w:color w:val="auto"/>
          <w:sz w:val="22"/>
          <w:szCs w:val="22"/>
        </w:rPr>
        <w:t xml:space="preserve"> </w:t>
      </w:r>
      <w:proofErr w:type="gramStart"/>
      <w:r w:rsidR="008F0EE8">
        <w:rPr>
          <w:rFonts w:asciiTheme="minorHAnsi" w:hAnsiTheme="minorHAnsi" w:cstheme="minorHAnsi"/>
          <w:color w:val="auto"/>
          <w:sz w:val="22"/>
          <w:szCs w:val="22"/>
        </w:rPr>
        <w:t>Wastewater</w:t>
      </w:r>
      <w:proofErr w:type="gramEnd"/>
      <w:r w:rsidR="008F0EE8">
        <w:rPr>
          <w:rFonts w:asciiTheme="minorHAnsi" w:hAnsiTheme="minorHAnsi" w:cstheme="minorHAnsi"/>
          <w:color w:val="auto"/>
          <w:sz w:val="22"/>
          <w:szCs w:val="22"/>
        </w:rPr>
        <w:t xml:space="preserve"> Drinking Water,</w:t>
      </w:r>
      <w:r w:rsidR="00C16975" w:rsidRPr="003060BB">
        <w:rPr>
          <w:rFonts w:asciiTheme="minorHAnsi" w:hAnsiTheme="minorHAnsi" w:cstheme="minorHAnsi"/>
          <w:color w:val="auto"/>
          <w:sz w:val="22"/>
          <w:szCs w:val="22"/>
        </w:rPr>
        <w:t xml:space="preserve"> Publi</w:t>
      </w:r>
      <w:r w:rsidR="00DA7658">
        <w:rPr>
          <w:rFonts w:asciiTheme="minorHAnsi" w:hAnsiTheme="minorHAnsi" w:cstheme="minorHAnsi"/>
          <w:color w:val="auto"/>
          <w:sz w:val="22"/>
          <w:szCs w:val="22"/>
        </w:rPr>
        <w:t>c Facilities Program</w:t>
      </w:r>
      <w:r w:rsidR="007B4ACA">
        <w:rPr>
          <w:rFonts w:asciiTheme="minorHAnsi" w:hAnsiTheme="minorHAnsi" w:cstheme="minorHAnsi"/>
          <w:color w:val="auto"/>
          <w:sz w:val="22"/>
          <w:szCs w:val="22"/>
        </w:rPr>
        <w:t>, and Planning Grants</w:t>
      </w:r>
      <w:r w:rsidRPr="003060BB">
        <w:rPr>
          <w:rFonts w:asciiTheme="minorHAnsi" w:hAnsiTheme="minorHAnsi" w:cstheme="minorHAnsi"/>
          <w:color w:val="auto"/>
          <w:sz w:val="22"/>
          <w:szCs w:val="22"/>
        </w:rPr>
        <w:t xml:space="preserve"> process resides with the </w:t>
      </w:r>
      <w:r w:rsidR="00DA7658">
        <w:rPr>
          <w:rFonts w:asciiTheme="minorHAnsi" w:hAnsiTheme="minorHAnsi" w:cstheme="minorHAnsi"/>
          <w:color w:val="auto"/>
          <w:sz w:val="22"/>
          <w:szCs w:val="22"/>
        </w:rPr>
        <w:t>OCRA</w:t>
      </w:r>
      <w:r w:rsidRPr="003060BB">
        <w:rPr>
          <w:rFonts w:asciiTheme="minorHAnsi" w:hAnsiTheme="minorHAnsi" w:cstheme="minorHAnsi"/>
          <w:color w:val="auto"/>
          <w:sz w:val="22"/>
          <w:szCs w:val="22"/>
        </w:rPr>
        <w:t xml:space="preserve">.  Primary responsibility for providing “outreach” and technical assistance for the Housing award process resides with the Indiana Housing &amp; Community Development Authority who will act as the administrative agent on behalf of the </w:t>
      </w:r>
      <w:r w:rsidR="00DA7658">
        <w:rPr>
          <w:rFonts w:asciiTheme="minorHAnsi" w:hAnsiTheme="minorHAnsi" w:cstheme="minorHAnsi"/>
          <w:color w:val="auto"/>
          <w:sz w:val="22"/>
          <w:szCs w:val="22"/>
        </w:rPr>
        <w:t>OCRA</w:t>
      </w:r>
      <w:r w:rsidRPr="003060BB">
        <w:rPr>
          <w:rFonts w:asciiTheme="minorHAnsi" w:hAnsiTheme="minorHAnsi" w:cstheme="minorHAnsi"/>
          <w:color w:val="auto"/>
          <w:sz w:val="22"/>
          <w:szCs w:val="22"/>
        </w:rPr>
        <w:t xml:space="preserve">. </w:t>
      </w:r>
    </w:p>
    <w:p w14:paraId="75BB1281"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24C1CD9C" w14:textId="333C3065"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w:t>
      </w:r>
      <w:r w:rsidR="00DA7658">
        <w:rPr>
          <w:rFonts w:asciiTheme="minorHAnsi" w:hAnsiTheme="minorHAnsi" w:cstheme="minorHAnsi"/>
          <w:color w:val="auto"/>
          <w:sz w:val="22"/>
          <w:szCs w:val="22"/>
        </w:rPr>
        <w:t xml:space="preserve">LG’s </w:t>
      </w:r>
      <w:r w:rsidRPr="003060BB">
        <w:rPr>
          <w:rFonts w:asciiTheme="minorHAnsi" w:hAnsiTheme="minorHAnsi" w:cstheme="minorHAnsi"/>
          <w:color w:val="auto"/>
          <w:sz w:val="22"/>
          <w:szCs w:val="22"/>
        </w:rPr>
        <w:t xml:space="preserve">Business Office will provide internal fiscal support </w:t>
      </w:r>
      <w:r w:rsidR="007B4ACA">
        <w:rPr>
          <w:rFonts w:asciiTheme="minorHAnsi" w:hAnsiTheme="minorHAnsi" w:cstheme="minorHAnsi"/>
          <w:color w:val="auto"/>
          <w:sz w:val="22"/>
          <w:szCs w:val="22"/>
        </w:rPr>
        <w:t>services for program activities</w:t>
      </w:r>
      <w:r w:rsidR="009222DD" w:rsidRPr="003060BB">
        <w:rPr>
          <w:rFonts w:asciiTheme="minorHAnsi" w:hAnsiTheme="minorHAnsi" w:cstheme="minorHAnsi"/>
          <w:color w:val="auto"/>
          <w:sz w:val="22"/>
          <w:szCs w:val="22"/>
        </w:rPr>
        <w:t xml:space="preserve">.  The </w:t>
      </w:r>
      <w:r w:rsidR="00DA7658">
        <w:rPr>
          <w:rFonts w:asciiTheme="minorHAnsi" w:hAnsiTheme="minorHAnsi" w:cstheme="minorHAnsi"/>
          <w:color w:val="auto"/>
          <w:sz w:val="22"/>
          <w:szCs w:val="22"/>
        </w:rPr>
        <w:t xml:space="preserve">OCRA </w:t>
      </w:r>
      <w:r w:rsidRPr="003060BB">
        <w:rPr>
          <w:rFonts w:asciiTheme="minorHAnsi" w:hAnsiTheme="minorHAnsi" w:cstheme="minorHAnsi"/>
          <w:color w:val="auto"/>
          <w:sz w:val="22"/>
          <w:szCs w:val="22"/>
        </w:rPr>
        <w:t>has the responsibilit</w:t>
      </w:r>
      <w:r w:rsidR="00DA7658">
        <w:rPr>
          <w:rFonts w:asciiTheme="minorHAnsi" w:hAnsiTheme="minorHAnsi" w:cstheme="minorHAnsi"/>
          <w:color w:val="auto"/>
          <w:sz w:val="22"/>
          <w:szCs w:val="22"/>
        </w:rPr>
        <w:t>y</w:t>
      </w:r>
      <w:r w:rsidRPr="003060BB">
        <w:rPr>
          <w:rFonts w:asciiTheme="minorHAnsi" w:hAnsiTheme="minorHAnsi" w:cstheme="minorHAnsi"/>
          <w:color w:val="auto"/>
          <w:sz w:val="22"/>
          <w:szCs w:val="22"/>
        </w:rPr>
        <w:t xml:space="preserve"> for </w:t>
      </w:r>
      <w:r w:rsidR="00DA7658">
        <w:rPr>
          <w:rFonts w:asciiTheme="minorHAnsi" w:hAnsiTheme="minorHAnsi" w:cstheme="minorHAnsi"/>
          <w:color w:val="auto"/>
          <w:sz w:val="22"/>
          <w:szCs w:val="22"/>
        </w:rPr>
        <w:t xml:space="preserve">the </w:t>
      </w:r>
      <w:r w:rsidR="007B4ACA" w:rsidRPr="003060BB">
        <w:rPr>
          <w:rFonts w:asciiTheme="minorHAnsi" w:hAnsiTheme="minorHAnsi" w:cstheme="minorHAnsi"/>
          <w:color w:val="auto"/>
          <w:sz w:val="22"/>
          <w:szCs w:val="22"/>
        </w:rPr>
        <w:t>development of the Consolidated Plan and the CAPER</w:t>
      </w:r>
      <w:r w:rsidR="007B4ACA">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 xml:space="preserve">CDBG program management, compliance and financial monitoring of all CDBG programs.  The Indiana State Board of Accounts pursuant to </w:t>
      </w:r>
      <w:r w:rsidR="00C230DF" w:rsidRPr="003060BB">
        <w:rPr>
          <w:rFonts w:asciiTheme="minorHAnsi" w:hAnsiTheme="minorHAnsi" w:cstheme="minorHAnsi"/>
          <w:color w:val="auto"/>
          <w:sz w:val="22"/>
          <w:szCs w:val="22"/>
        </w:rPr>
        <w:t>2 CFR 200</w:t>
      </w:r>
      <w:r w:rsidRPr="003060BB">
        <w:rPr>
          <w:rFonts w:asciiTheme="minorHAnsi" w:hAnsiTheme="minorHAnsi" w:cstheme="minorHAnsi"/>
          <w:color w:val="auto"/>
          <w:sz w:val="22"/>
          <w:szCs w:val="22"/>
        </w:rPr>
        <w:t xml:space="preserve"> will conduct audits.  Potential applicants should contact the </w:t>
      </w:r>
      <w:r w:rsidR="00DA7658">
        <w:rPr>
          <w:rFonts w:asciiTheme="minorHAnsi" w:hAnsiTheme="minorHAnsi" w:cstheme="minorHAnsi"/>
          <w:color w:val="auto"/>
          <w:sz w:val="22"/>
          <w:szCs w:val="22"/>
        </w:rPr>
        <w:t>OCRA</w:t>
      </w:r>
      <w:r w:rsidRPr="003060BB">
        <w:rPr>
          <w:rFonts w:asciiTheme="minorHAnsi" w:hAnsiTheme="minorHAnsi" w:cstheme="minorHAnsi"/>
          <w:color w:val="auto"/>
          <w:sz w:val="22"/>
          <w:szCs w:val="22"/>
        </w:rPr>
        <w:t xml:space="preserve"> with any questions or inquiries they may have concern</w:t>
      </w:r>
      <w:r w:rsidR="00DA7658">
        <w:rPr>
          <w:rFonts w:asciiTheme="minorHAnsi" w:hAnsiTheme="minorHAnsi" w:cstheme="minorHAnsi"/>
          <w:color w:val="auto"/>
          <w:sz w:val="22"/>
          <w:szCs w:val="22"/>
        </w:rPr>
        <w:t>ing these or any other programs.</w:t>
      </w:r>
    </w:p>
    <w:p w14:paraId="39F99F22"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385A9D70"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Information regarding the past use of CDBG funds is available at the: </w:t>
      </w:r>
    </w:p>
    <w:p w14:paraId="0756B379"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242FDE02" w14:textId="77777777" w:rsidR="00350FC6" w:rsidRPr="003060BB" w:rsidRDefault="00350FC6">
      <w:pPr>
        <w:pStyle w:val="Default"/>
        <w:jc w:val="center"/>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Indiana Office of Community and Rural Affairs </w:t>
      </w:r>
    </w:p>
    <w:p w14:paraId="5B64BD47" w14:textId="77777777" w:rsidR="00350FC6" w:rsidRPr="003060BB" w:rsidRDefault="00C230DF">
      <w:pPr>
        <w:pStyle w:val="Default"/>
        <w:jc w:val="center"/>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CDBG </w:t>
      </w:r>
      <w:r w:rsidR="00497DBD" w:rsidRPr="003060BB">
        <w:rPr>
          <w:rFonts w:asciiTheme="minorHAnsi" w:hAnsiTheme="minorHAnsi" w:cstheme="minorHAnsi"/>
          <w:b/>
          <w:bCs/>
          <w:color w:val="auto"/>
          <w:sz w:val="22"/>
          <w:szCs w:val="22"/>
        </w:rPr>
        <w:t xml:space="preserve">Program </w:t>
      </w:r>
      <w:r w:rsidR="00C603E7" w:rsidRPr="003060BB">
        <w:rPr>
          <w:rFonts w:asciiTheme="minorHAnsi" w:hAnsiTheme="minorHAnsi" w:cstheme="minorHAnsi"/>
          <w:b/>
          <w:bCs/>
          <w:color w:val="auto"/>
          <w:sz w:val="22"/>
          <w:szCs w:val="22"/>
        </w:rPr>
        <w:t>Director</w:t>
      </w:r>
    </w:p>
    <w:p w14:paraId="42BE42BB" w14:textId="77777777" w:rsidR="00350FC6" w:rsidRPr="003060BB" w:rsidRDefault="00350FC6">
      <w:pPr>
        <w:pStyle w:val="Default"/>
        <w:jc w:val="center"/>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One North Capitol, Suite 600 </w:t>
      </w:r>
    </w:p>
    <w:p w14:paraId="1812D607" w14:textId="77777777" w:rsidR="00350FC6" w:rsidRPr="003060BB" w:rsidRDefault="00350FC6">
      <w:pPr>
        <w:pStyle w:val="Default"/>
        <w:jc w:val="center"/>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Indianapolis, Indiana 46204-2288 </w:t>
      </w:r>
    </w:p>
    <w:p w14:paraId="25A99912" w14:textId="77777777" w:rsidR="00350FC6" w:rsidRPr="003060BB" w:rsidRDefault="00350FC6">
      <w:pPr>
        <w:pStyle w:val="Default"/>
        <w:jc w:val="center"/>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Telephone: 1-800-824-2476 </w:t>
      </w:r>
    </w:p>
    <w:p w14:paraId="766208CC" w14:textId="77777777" w:rsidR="00350FC6" w:rsidRPr="003060BB" w:rsidRDefault="00350FC6">
      <w:pPr>
        <w:pStyle w:val="Default"/>
        <w:jc w:val="center"/>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FAX: (317) 233-6503</w:t>
      </w:r>
      <w:r w:rsidRPr="003060BB">
        <w:rPr>
          <w:rFonts w:asciiTheme="minorHAnsi" w:hAnsiTheme="minorHAnsi" w:cstheme="minorHAnsi"/>
          <w:color w:val="auto"/>
          <w:sz w:val="22"/>
          <w:szCs w:val="22"/>
        </w:rPr>
        <w:t xml:space="preserve"> </w:t>
      </w:r>
    </w:p>
    <w:p w14:paraId="29F88255" w14:textId="77777777" w:rsidR="00350FC6" w:rsidRPr="003060BB" w:rsidRDefault="00350FC6">
      <w:pPr>
        <w:pStyle w:val="Default"/>
        <w:jc w:val="right"/>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br w:type="page"/>
        <w:t xml:space="preserve">ATTACHMENT A </w:t>
      </w:r>
    </w:p>
    <w:p w14:paraId="3DACB30C"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255DA7BB" w14:textId="77777777" w:rsidR="00350FC6" w:rsidRPr="003060BB" w:rsidRDefault="00350FC6" w:rsidP="00A57C76">
      <w:pPr>
        <w:pStyle w:val="Default"/>
        <w:jc w:val="center"/>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DEFINITIONS</w:t>
      </w:r>
      <w:r w:rsidRPr="003060BB">
        <w:rPr>
          <w:rFonts w:asciiTheme="minorHAnsi" w:hAnsiTheme="minorHAnsi" w:cstheme="minorHAnsi"/>
          <w:color w:val="auto"/>
          <w:sz w:val="22"/>
          <w:szCs w:val="22"/>
        </w:rPr>
        <w:t xml:space="preserve"> </w:t>
      </w:r>
    </w:p>
    <w:p w14:paraId="71092CAD" w14:textId="77777777" w:rsidR="00DA7658"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1B38FEE7" w14:textId="0803DB6B" w:rsidR="00350FC6" w:rsidRPr="003060BB" w:rsidRDefault="00DA7658">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Low- and Moderate-I</w:t>
      </w:r>
      <w:r w:rsidR="00350FC6" w:rsidRPr="003060BB">
        <w:rPr>
          <w:rFonts w:asciiTheme="minorHAnsi" w:hAnsiTheme="minorHAnsi" w:cstheme="minorHAnsi"/>
          <w:b/>
          <w:bCs/>
          <w:color w:val="auto"/>
          <w:sz w:val="22"/>
          <w:szCs w:val="22"/>
        </w:rPr>
        <w:t>ncome</w:t>
      </w:r>
      <w:r w:rsidR="00350FC6" w:rsidRPr="003060BB">
        <w:rPr>
          <w:rFonts w:asciiTheme="minorHAnsi" w:hAnsiTheme="minorHAnsi" w:cstheme="minorHAnsi"/>
          <w:color w:val="auto"/>
          <w:sz w:val="22"/>
          <w:szCs w:val="22"/>
        </w:rPr>
        <w:t xml:space="preserve"> - is defined as 80% of the median family income (adjusted by size) for each county.  For a county applicant, this is defined as 80% of the median income for the state.  The income limits shall be as defined by the U. S. Department of Housing and Urban Development Section 8 Income Guidelines for “low</w:t>
      </w:r>
      <w:r>
        <w:rPr>
          <w:rFonts w:asciiTheme="minorHAnsi" w:hAnsiTheme="minorHAnsi" w:cstheme="minorHAnsi"/>
          <w:color w:val="auto"/>
          <w:sz w:val="22"/>
          <w:szCs w:val="22"/>
        </w:rPr>
        <w:t>-</w:t>
      </w:r>
      <w:r w:rsidR="00350FC6" w:rsidRPr="003060BB">
        <w:rPr>
          <w:rFonts w:asciiTheme="minorHAnsi" w:hAnsiTheme="minorHAnsi" w:cstheme="minorHAnsi"/>
          <w:color w:val="auto"/>
          <w:sz w:val="22"/>
          <w:szCs w:val="22"/>
        </w:rPr>
        <w:t>income families.”  Certain persons are considered to be “presumptively” low and moderate</w:t>
      </w:r>
      <w:r>
        <w:rPr>
          <w:rFonts w:asciiTheme="minorHAnsi" w:hAnsiTheme="minorHAnsi" w:cstheme="minorHAnsi"/>
          <w:color w:val="auto"/>
          <w:sz w:val="22"/>
          <w:szCs w:val="22"/>
        </w:rPr>
        <w:t>-</w:t>
      </w:r>
      <w:r w:rsidR="00350FC6" w:rsidRPr="003060BB">
        <w:rPr>
          <w:rFonts w:asciiTheme="minorHAnsi" w:hAnsiTheme="minorHAnsi" w:cstheme="minorHAnsi"/>
          <w:color w:val="auto"/>
          <w:sz w:val="22"/>
          <w:szCs w:val="22"/>
        </w:rPr>
        <w:t>income persons as set forth under 24 CFR 570.208(a</w:t>
      </w:r>
      <w:proofErr w:type="gramStart"/>
      <w:r w:rsidR="00350FC6" w:rsidRPr="003060BB">
        <w:rPr>
          <w:rFonts w:asciiTheme="minorHAnsi" w:hAnsiTheme="minorHAnsi" w:cstheme="minorHAnsi"/>
          <w:color w:val="auto"/>
          <w:sz w:val="22"/>
          <w:szCs w:val="22"/>
        </w:rPr>
        <w:t>)(</w:t>
      </w:r>
      <w:proofErr w:type="gramEnd"/>
      <w:r w:rsidR="00350FC6" w:rsidRPr="003060BB">
        <w:rPr>
          <w:rFonts w:asciiTheme="minorHAnsi" w:hAnsiTheme="minorHAnsi" w:cstheme="minorHAnsi"/>
          <w:color w:val="auto"/>
          <w:sz w:val="22"/>
          <w:szCs w:val="22"/>
        </w:rPr>
        <w:t xml:space="preserve">2); inquiries as to such presumptive categories should be directed to the </w:t>
      </w:r>
      <w:r w:rsidR="00C603E7" w:rsidRPr="003060BB">
        <w:rPr>
          <w:rFonts w:asciiTheme="minorHAnsi" w:hAnsiTheme="minorHAnsi" w:cstheme="minorHAnsi"/>
          <w:color w:val="auto"/>
          <w:sz w:val="22"/>
          <w:szCs w:val="22"/>
        </w:rPr>
        <w:t xml:space="preserve">CDBG Program Director. </w:t>
      </w:r>
    </w:p>
    <w:p w14:paraId="749796CB"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7680D065" w14:textId="6FBD93C9"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Matching funds</w:t>
      </w:r>
      <w:r w:rsidRPr="003060BB">
        <w:rPr>
          <w:rFonts w:asciiTheme="minorHAnsi" w:hAnsiTheme="minorHAnsi" w:cstheme="minorHAnsi"/>
          <w:color w:val="auto"/>
          <w:sz w:val="22"/>
          <w:szCs w:val="22"/>
        </w:rPr>
        <w:t xml:space="preserve"> - local public or private sector in-kind services, cash or debt allocated to the CDBG project.  The level of local matching funds </w:t>
      </w:r>
      <w:r w:rsidR="00BD164B" w:rsidRPr="003060BB">
        <w:rPr>
          <w:rFonts w:asciiTheme="minorHAnsi" w:hAnsiTheme="minorHAnsi" w:cstheme="minorHAnsi"/>
          <w:color w:val="auto"/>
          <w:sz w:val="22"/>
          <w:szCs w:val="22"/>
        </w:rPr>
        <w:t xml:space="preserve">required </w:t>
      </w:r>
      <w:r w:rsidRPr="003060BB">
        <w:rPr>
          <w:rFonts w:asciiTheme="minorHAnsi" w:hAnsiTheme="minorHAnsi" w:cstheme="minorHAnsi"/>
          <w:color w:val="auto"/>
          <w:sz w:val="22"/>
          <w:szCs w:val="22"/>
        </w:rPr>
        <w:t xml:space="preserve">for </w:t>
      </w:r>
      <w:r w:rsidR="00BD164B" w:rsidRPr="003060BB">
        <w:rPr>
          <w:rFonts w:asciiTheme="minorHAnsi" w:hAnsiTheme="minorHAnsi" w:cstheme="minorHAnsi"/>
          <w:color w:val="auto"/>
          <w:sz w:val="22"/>
          <w:szCs w:val="22"/>
        </w:rPr>
        <w:t>CDBG</w:t>
      </w:r>
      <w:r w:rsidR="00216B5A" w:rsidRPr="003060B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 xml:space="preserve">projects </w:t>
      </w:r>
      <w:r w:rsidR="00BD164B" w:rsidRPr="003060BB">
        <w:rPr>
          <w:rFonts w:asciiTheme="minorHAnsi" w:hAnsiTheme="minorHAnsi" w:cstheme="minorHAnsi"/>
          <w:color w:val="auto"/>
          <w:sz w:val="22"/>
          <w:szCs w:val="22"/>
        </w:rPr>
        <w:t>based on</w:t>
      </w:r>
      <w:r w:rsidR="00DA7658">
        <w:rPr>
          <w:rFonts w:asciiTheme="minorHAnsi" w:hAnsiTheme="minorHAnsi" w:cstheme="minorHAnsi"/>
          <w:color w:val="auto"/>
          <w:sz w:val="22"/>
          <w:szCs w:val="22"/>
        </w:rPr>
        <w:t xml:space="preserve"> each program. </w:t>
      </w:r>
      <w:r w:rsidRPr="003060BB">
        <w:rPr>
          <w:rFonts w:asciiTheme="minorHAnsi" w:hAnsiTheme="minorHAnsi" w:cstheme="minorHAnsi"/>
          <w:color w:val="auto"/>
          <w:sz w:val="22"/>
          <w:szCs w:val="22"/>
        </w:rPr>
        <w:t>This percentage is computed by adding the proposed grant amo</w:t>
      </w:r>
      <w:r w:rsidR="00DA7658">
        <w:rPr>
          <w:rFonts w:asciiTheme="minorHAnsi" w:hAnsiTheme="minorHAnsi" w:cstheme="minorHAnsi"/>
          <w:color w:val="auto"/>
          <w:sz w:val="22"/>
          <w:szCs w:val="22"/>
        </w:rPr>
        <w:t>unt and the local matching</w:t>
      </w:r>
      <w:r w:rsidRPr="003060BB">
        <w:rPr>
          <w:rFonts w:asciiTheme="minorHAnsi" w:hAnsiTheme="minorHAnsi" w:cstheme="minorHAnsi"/>
          <w:color w:val="auto"/>
          <w:sz w:val="22"/>
          <w:szCs w:val="22"/>
        </w:rPr>
        <w:t xml:space="preserve"> amount, and dividing the local matching funds amount by the total sum of the two amounts.  The </w:t>
      </w:r>
      <w:r w:rsidR="00BD164B" w:rsidRPr="003060BB">
        <w:rPr>
          <w:rFonts w:asciiTheme="minorHAnsi" w:hAnsiTheme="minorHAnsi" w:cstheme="minorHAnsi"/>
          <w:color w:val="auto"/>
          <w:sz w:val="22"/>
          <w:szCs w:val="22"/>
        </w:rPr>
        <w:t>definition of match</w:t>
      </w:r>
      <w:r w:rsidRPr="003060BB">
        <w:rPr>
          <w:rFonts w:asciiTheme="minorHAnsi" w:hAnsiTheme="minorHAnsi" w:cstheme="minorHAnsi"/>
          <w:color w:val="auto"/>
          <w:sz w:val="22"/>
          <w:szCs w:val="22"/>
        </w:rPr>
        <w:t xml:space="preserve"> include</w:t>
      </w:r>
      <w:r w:rsidR="00BD164B" w:rsidRPr="003060BB">
        <w:rPr>
          <w:rFonts w:asciiTheme="minorHAnsi" w:hAnsiTheme="minorHAnsi" w:cstheme="minorHAnsi"/>
          <w:color w:val="auto"/>
          <w:sz w:val="22"/>
          <w:szCs w:val="22"/>
        </w:rPr>
        <w:t>s</w:t>
      </w:r>
      <w:r w:rsidRPr="003060BB">
        <w:rPr>
          <w:rFonts w:asciiTheme="minorHAnsi" w:hAnsiTheme="minorHAnsi" w:cstheme="minorHAnsi"/>
          <w:color w:val="auto"/>
          <w:sz w:val="22"/>
          <w:szCs w:val="22"/>
        </w:rPr>
        <w:t xml:space="preserve"> a maximum of 5% pre-approved and validated in-kind contributions.  The balance of the </w:t>
      </w:r>
      <w:r w:rsidR="00BD164B" w:rsidRPr="003060BB">
        <w:rPr>
          <w:rFonts w:asciiTheme="minorHAnsi" w:hAnsiTheme="minorHAnsi" w:cstheme="minorHAnsi"/>
          <w:color w:val="auto"/>
          <w:sz w:val="22"/>
          <w:szCs w:val="22"/>
        </w:rPr>
        <w:t>match requirement</w:t>
      </w:r>
      <w:r w:rsidRPr="003060BB">
        <w:rPr>
          <w:rFonts w:asciiTheme="minorHAnsi" w:hAnsiTheme="minorHAnsi" w:cstheme="minorHAnsi"/>
          <w:color w:val="auto"/>
          <w:sz w:val="22"/>
          <w:szCs w:val="22"/>
        </w:rPr>
        <w:t xml:space="preserve"> must be in the form of either cash or debt.  Any in-kind over and above the specified 5% may be designated as local effort.  </w:t>
      </w:r>
      <w:r w:rsidR="00BD164B" w:rsidRPr="003060BB">
        <w:rPr>
          <w:rFonts w:asciiTheme="minorHAnsi" w:hAnsiTheme="minorHAnsi" w:cstheme="minorHAnsi"/>
          <w:color w:val="auto"/>
          <w:sz w:val="22"/>
          <w:szCs w:val="22"/>
        </w:rPr>
        <w:t>Other f</w:t>
      </w:r>
      <w:r w:rsidRPr="003060BB">
        <w:rPr>
          <w:rFonts w:asciiTheme="minorHAnsi" w:hAnsiTheme="minorHAnsi" w:cstheme="minorHAnsi"/>
          <w:color w:val="auto"/>
          <w:sz w:val="22"/>
          <w:szCs w:val="22"/>
        </w:rPr>
        <w:t>und</w:t>
      </w:r>
      <w:r w:rsidR="00DA7658">
        <w:rPr>
          <w:rFonts w:asciiTheme="minorHAnsi" w:hAnsiTheme="minorHAnsi" w:cstheme="minorHAnsi"/>
          <w:color w:val="auto"/>
          <w:sz w:val="22"/>
          <w:szCs w:val="22"/>
        </w:rPr>
        <w:t xml:space="preserve">s provided to applicants by OCRA </w:t>
      </w:r>
      <w:r w:rsidRPr="003060BB">
        <w:rPr>
          <w:rFonts w:asciiTheme="minorHAnsi" w:hAnsiTheme="minorHAnsi" w:cstheme="minorHAnsi"/>
          <w:color w:val="auto"/>
          <w:sz w:val="22"/>
          <w:szCs w:val="22"/>
        </w:rPr>
        <w:t xml:space="preserve">are not eligible for use as matching funds.   </w:t>
      </w:r>
    </w:p>
    <w:p w14:paraId="46C7AD33" w14:textId="77777777" w:rsidR="00350FC6" w:rsidRPr="003060BB" w:rsidRDefault="00350FC6">
      <w:pPr>
        <w:pStyle w:val="Default"/>
        <w:jc w:val="both"/>
        <w:rPr>
          <w:rFonts w:asciiTheme="minorHAnsi" w:hAnsiTheme="minorHAnsi" w:cstheme="minorHAnsi"/>
          <w:color w:val="auto"/>
          <w:sz w:val="22"/>
          <w:szCs w:val="22"/>
        </w:rPr>
      </w:pPr>
    </w:p>
    <w:p w14:paraId="754C56C4" w14:textId="18E85B64" w:rsidR="00350FC6" w:rsidRPr="003060BB" w:rsidRDefault="00C603E7">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Proposal</w:t>
      </w:r>
      <w:r w:rsidR="00A81FFB" w:rsidRPr="003060BB">
        <w:rPr>
          <w:rFonts w:asciiTheme="minorHAnsi" w:hAnsiTheme="minorHAnsi" w:cstheme="minorHAnsi"/>
          <w:b/>
          <w:bCs/>
          <w:color w:val="auto"/>
          <w:sz w:val="22"/>
          <w:szCs w:val="22"/>
        </w:rPr>
        <w:t xml:space="preserve"> </w:t>
      </w:r>
      <w:r w:rsidR="00350FC6" w:rsidRPr="003060BB">
        <w:rPr>
          <w:rFonts w:asciiTheme="minorHAnsi" w:hAnsiTheme="minorHAnsi" w:cstheme="minorHAnsi"/>
          <w:color w:val="auto"/>
          <w:sz w:val="22"/>
          <w:szCs w:val="22"/>
        </w:rPr>
        <w:t xml:space="preserve">- A document submitted by a community which briefly outlines the proposed project, the principal parties, and the project budget and how the proposed project will meet a goal of the Federal Act. </w:t>
      </w:r>
      <w:r w:rsidR="00DA7658">
        <w:rPr>
          <w:rFonts w:asciiTheme="minorHAnsi" w:hAnsiTheme="minorHAnsi" w:cstheme="minorHAnsi"/>
          <w:color w:val="auto"/>
          <w:sz w:val="22"/>
          <w:szCs w:val="22"/>
        </w:rPr>
        <w:t xml:space="preserve">OCRA encourages </w:t>
      </w:r>
      <w:r w:rsidR="0055080C">
        <w:rPr>
          <w:rFonts w:asciiTheme="minorHAnsi" w:hAnsiTheme="minorHAnsi" w:cstheme="minorHAnsi"/>
          <w:color w:val="auto"/>
          <w:sz w:val="22"/>
          <w:szCs w:val="22"/>
        </w:rPr>
        <w:t>communities</w:t>
      </w:r>
      <w:r w:rsidR="00DA7658">
        <w:rPr>
          <w:rFonts w:asciiTheme="minorHAnsi" w:hAnsiTheme="minorHAnsi" w:cstheme="minorHAnsi"/>
          <w:color w:val="auto"/>
          <w:sz w:val="22"/>
          <w:szCs w:val="22"/>
        </w:rPr>
        <w:t xml:space="preserve"> to submit a proposal that is basically a draft of the application.</w:t>
      </w:r>
      <w:r w:rsidR="00350FC6" w:rsidRPr="003060BB">
        <w:rPr>
          <w:rFonts w:asciiTheme="minorHAnsi" w:hAnsiTheme="minorHAnsi" w:cstheme="minorHAnsi"/>
          <w:color w:val="auto"/>
          <w:sz w:val="22"/>
          <w:szCs w:val="22"/>
        </w:rPr>
        <w:t xml:space="preserve"> </w:t>
      </w:r>
    </w:p>
    <w:p w14:paraId="0CA983DC"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5E343CB4" w14:textId="32233DB4"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Reversions</w:t>
      </w:r>
      <w:r w:rsidRPr="003060BB">
        <w:rPr>
          <w:rFonts w:asciiTheme="minorHAnsi" w:hAnsiTheme="minorHAnsi" w:cstheme="minorHAnsi"/>
          <w:color w:val="auto"/>
          <w:sz w:val="22"/>
          <w:szCs w:val="22"/>
        </w:rPr>
        <w:t xml:space="preserve"> - Funds placed under contract with a community but not expended for the granted purpose because expenses were less than anticipated and/or the project was amended or canceled and such funds were returned to </w:t>
      </w:r>
      <w:r w:rsidR="00DA7658">
        <w:rPr>
          <w:rFonts w:asciiTheme="minorHAnsi" w:hAnsiTheme="minorHAnsi" w:cstheme="minorHAnsi"/>
          <w:color w:val="auto"/>
          <w:sz w:val="22"/>
          <w:szCs w:val="22"/>
        </w:rPr>
        <w:t>OCRA</w:t>
      </w:r>
      <w:r w:rsidRPr="003060BB">
        <w:rPr>
          <w:rFonts w:asciiTheme="minorHAnsi" w:hAnsiTheme="minorHAnsi" w:cstheme="minorHAnsi"/>
          <w:color w:val="auto"/>
          <w:sz w:val="22"/>
          <w:szCs w:val="22"/>
        </w:rPr>
        <w:t xml:space="preserve"> upon financial settlement of the project. </w:t>
      </w:r>
    </w:p>
    <w:p w14:paraId="15099E8F"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2D148D45" w14:textId="549BDCFD" w:rsidR="00350FC6"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Slums or Blight </w:t>
      </w:r>
      <w:r w:rsidRPr="003060BB">
        <w:rPr>
          <w:rFonts w:asciiTheme="minorHAnsi" w:hAnsiTheme="minorHAnsi" w:cstheme="minorHAnsi"/>
          <w:color w:val="auto"/>
          <w:sz w:val="22"/>
          <w:szCs w:val="22"/>
        </w:rPr>
        <w:t xml:space="preserve">- an area/parcel which:  (1) meets a definition of a slum, blighted, deteriorated, or deteriorating area under state or local law (Title 36-7-1-3 of Indiana Code); and (2) meets the requirements for “area basis” slum or blighted conditions pursuant to 24 CFR 570.208(b)(1) and 24 CFR 570.483(c)(1), or “spot basis” blighted conditions pursuant to 24 CFR 570.208(b)(2) and 24 CFR 570.483(c)(2). </w:t>
      </w:r>
      <w:r w:rsidR="00DA7658">
        <w:rPr>
          <w:rFonts w:asciiTheme="minorHAnsi" w:hAnsiTheme="minorHAnsi" w:cstheme="minorHAnsi"/>
          <w:color w:val="auto"/>
          <w:sz w:val="22"/>
          <w:szCs w:val="22"/>
        </w:rPr>
        <w:t>More Specifically, OCRA defines blight as:</w:t>
      </w:r>
    </w:p>
    <w:p w14:paraId="7A79BD3C" w14:textId="77777777" w:rsidR="00DA7658" w:rsidRDefault="00DA7658">
      <w:pPr>
        <w:pStyle w:val="Default"/>
        <w:jc w:val="both"/>
        <w:rPr>
          <w:rFonts w:asciiTheme="minorHAnsi" w:hAnsiTheme="minorHAnsi" w:cstheme="minorHAnsi"/>
          <w:color w:val="auto"/>
          <w:sz w:val="22"/>
          <w:szCs w:val="22"/>
        </w:rPr>
      </w:pPr>
    </w:p>
    <w:p w14:paraId="2389C3F2" w14:textId="77777777" w:rsidR="00DA7658" w:rsidRPr="00DA7658" w:rsidRDefault="00DA7658" w:rsidP="00DA7658">
      <w:pPr>
        <w:pStyle w:val="Default"/>
        <w:ind w:left="720"/>
        <w:jc w:val="both"/>
        <w:rPr>
          <w:rFonts w:asciiTheme="minorHAnsi" w:hAnsiTheme="minorHAnsi" w:cstheme="minorHAnsi"/>
          <w:sz w:val="22"/>
          <w:szCs w:val="22"/>
        </w:rPr>
      </w:pPr>
      <w:r w:rsidRPr="00DA7658">
        <w:rPr>
          <w:rFonts w:asciiTheme="minorHAnsi" w:hAnsiTheme="minorHAnsi" w:cstheme="minorHAnsi"/>
          <w:sz w:val="22"/>
          <w:szCs w:val="22"/>
        </w:rPr>
        <w:t>An area possessing a substantial amount of buildings (public or privately owned), and or public improvements which demonstrate:</w:t>
      </w:r>
    </w:p>
    <w:p w14:paraId="772EE265" w14:textId="77777777" w:rsidR="00DA7658" w:rsidRPr="00DA7658" w:rsidRDefault="00DA7658" w:rsidP="00DA7658">
      <w:pPr>
        <w:pStyle w:val="Default"/>
        <w:ind w:left="720" w:firstLine="720"/>
        <w:jc w:val="both"/>
        <w:rPr>
          <w:rFonts w:asciiTheme="minorHAnsi" w:hAnsiTheme="minorHAnsi" w:cstheme="minorHAnsi"/>
          <w:sz w:val="22"/>
          <w:szCs w:val="22"/>
        </w:rPr>
      </w:pPr>
      <w:r w:rsidRPr="00DA7658">
        <w:rPr>
          <w:rFonts w:asciiTheme="minorHAnsi" w:hAnsiTheme="minorHAnsi" w:cstheme="minorHAnsi"/>
          <w:sz w:val="22"/>
          <w:szCs w:val="22"/>
        </w:rPr>
        <w:t>1. General deterioration, seen through:</w:t>
      </w:r>
    </w:p>
    <w:p w14:paraId="5CB02178" w14:textId="77777777" w:rsidR="00DA7658" w:rsidRPr="00DA7658" w:rsidRDefault="00DA7658" w:rsidP="00DA7658">
      <w:pPr>
        <w:pStyle w:val="Default"/>
        <w:ind w:left="1440" w:firstLine="720"/>
        <w:jc w:val="both"/>
        <w:rPr>
          <w:rFonts w:asciiTheme="minorHAnsi" w:hAnsiTheme="minorHAnsi" w:cstheme="minorHAnsi"/>
          <w:sz w:val="22"/>
          <w:szCs w:val="22"/>
        </w:rPr>
      </w:pPr>
      <w:r w:rsidRPr="00DA7658">
        <w:rPr>
          <w:rFonts w:asciiTheme="minorHAnsi" w:hAnsiTheme="minorHAnsi" w:cstheme="minorHAnsi"/>
          <w:sz w:val="22"/>
          <w:szCs w:val="22"/>
        </w:rPr>
        <w:t>a. Neglect or lack of maintenance on the property; or</w:t>
      </w:r>
    </w:p>
    <w:p w14:paraId="6C00DE45" w14:textId="77777777" w:rsidR="00DA7658" w:rsidRPr="00DA7658" w:rsidRDefault="00DA7658" w:rsidP="00DA7658">
      <w:pPr>
        <w:pStyle w:val="Default"/>
        <w:ind w:left="2160"/>
        <w:jc w:val="both"/>
        <w:rPr>
          <w:rFonts w:asciiTheme="minorHAnsi" w:hAnsiTheme="minorHAnsi" w:cstheme="minorHAnsi"/>
          <w:sz w:val="22"/>
          <w:szCs w:val="22"/>
        </w:rPr>
      </w:pPr>
      <w:r w:rsidRPr="00DA7658">
        <w:rPr>
          <w:rFonts w:asciiTheme="minorHAnsi" w:hAnsiTheme="minorHAnsi" w:cstheme="minorHAnsi"/>
          <w:sz w:val="22"/>
          <w:szCs w:val="22"/>
        </w:rPr>
        <w:t>b. Facilities of plumbing, heating, sewage, and/or others that have been disconnected, destroyed, removed, or rendered inadequate; or</w:t>
      </w:r>
    </w:p>
    <w:p w14:paraId="11971F57" w14:textId="77777777" w:rsidR="00DA7658" w:rsidRDefault="00DA7658" w:rsidP="00DA7658">
      <w:pPr>
        <w:pStyle w:val="Default"/>
        <w:ind w:left="2160"/>
        <w:jc w:val="both"/>
        <w:rPr>
          <w:rFonts w:asciiTheme="minorHAnsi" w:hAnsiTheme="minorHAnsi" w:cstheme="minorHAnsi"/>
          <w:sz w:val="22"/>
          <w:szCs w:val="22"/>
        </w:rPr>
      </w:pPr>
      <w:r w:rsidRPr="00DA7658">
        <w:rPr>
          <w:rFonts w:asciiTheme="minorHAnsi" w:hAnsiTheme="minorHAnsi" w:cstheme="minorHAnsi"/>
          <w:sz w:val="22"/>
          <w:szCs w:val="22"/>
        </w:rPr>
        <w:t>c. Impaired structural condition, making the building(s) unsafe to a person or property (IC 36-7-9-4); or</w:t>
      </w:r>
      <w:r>
        <w:rPr>
          <w:rFonts w:asciiTheme="minorHAnsi" w:hAnsiTheme="minorHAnsi" w:cstheme="minorHAnsi"/>
          <w:sz w:val="22"/>
          <w:szCs w:val="22"/>
        </w:rPr>
        <w:t xml:space="preserve"> </w:t>
      </w:r>
    </w:p>
    <w:p w14:paraId="791C13BF" w14:textId="6D9A10A3" w:rsidR="00DA7658" w:rsidRPr="00DA7658" w:rsidRDefault="00DA7658" w:rsidP="00DA7658">
      <w:pPr>
        <w:pStyle w:val="Default"/>
        <w:ind w:left="2160"/>
        <w:jc w:val="both"/>
        <w:rPr>
          <w:rFonts w:asciiTheme="minorHAnsi" w:hAnsiTheme="minorHAnsi" w:cstheme="minorHAnsi"/>
          <w:sz w:val="22"/>
          <w:szCs w:val="22"/>
        </w:rPr>
      </w:pPr>
      <w:r>
        <w:rPr>
          <w:rFonts w:asciiTheme="minorHAnsi" w:hAnsiTheme="minorHAnsi" w:cstheme="minorHAnsi"/>
          <w:sz w:val="22"/>
          <w:szCs w:val="22"/>
        </w:rPr>
        <w:t>d. A</w:t>
      </w:r>
      <w:r w:rsidRPr="00DA7658">
        <w:rPr>
          <w:rFonts w:asciiTheme="minorHAnsi" w:hAnsiTheme="minorHAnsi" w:cstheme="minorHAnsi"/>
          <w:sz w:val="22"/>
          <w:szCs w:val="22"/>
        </w:rPr>
        <w:t>ny combination of these factors</w:t>
      </w:r>
    </w:p>
    <w:p w14:paraId="452E8FE1" w14:textId="77777777" w:rsidR="00DA7658" w:rsidRPr="00DA7658" w:rsidRDefault="00DA7658" w:rsidP="00DA7658">
      <w:pPr>
        <w:pStyle w:val="Default"/>
        <w:ind w:left="1440"/>
        <w:jc w:val="both"/>
        <w:rPr>
          <w:rFonts w:asciiTheme="minorHAnsi" w:hAnsiTheme="minorHAnsi" w:cstheme="minorHAnsi"/>
          <w:sz w:val="22"/>
          <w:szCs w:val="22"/>
        </w:rPr>
      </w:pPr>
      <w:r w:rsidRPr="00DA7658">
        <w:rPr>
          <w:rFonts w:asciiTheme="minorHAnsi" w:hAnsiTheme="minorHAnsi" w:cstheme="minorHAnsi"/>
          <w:sz w:val="22"/>
          <w:szCs w:val="22"/>
        </w:rPr>
        <w:t>2. Significant noncompliance with current building code, safety code, health code, fire code, state statute, or local ordinance, as seen by:</w:t>
      </w:r>
    </w:p>
    <w:p w14:paraId="26529091" w14:textId="77777777" w:rsidR="00DA7658" w:rsidRPr="00DA7658" w:rsidRDefault="00DA7658" w:rsidP="00DA7658">
      <w:pPr>
        <w:pStyle w:val="Default"/>
        <w:ind w:left="1440" w:firstLine="720"/>
        <w:jc w:val="both"/>
        <w:rPr>
          <w:rFonts w:asciiTheme="minorHAnsi" w:hAnsiTheme="minorHAnsi" w:cstheme="minorHAnsi"/>
          <w:sz w:val="22"/>
          <w:szCs w:val="22"/>
        </w:rPr>
      </w:pPr>
      <w:r w:rsidRPr="00DA7658">
        <w:rPr>
          <w:rFonts w:asciiTheme="minorHAnsi" w:hAnsiTheme="minorHAnsi" w:cstheme="minorHAnsi"/>
          <w:sz w:val="22"/>
          <w:szCs w:val="22"/>
        </w:rPr>
        <w:t>a. Excessive vacancy and/or abandonment of properties; or</w:t>
      </w:r>
    </w:p>
    <w:p w14:paraId="4880DEBF" w14:textId="77777777" w:rsidR="00DA7658" w:rsidRPr="00DA7658" w:rsidRDefault="00DA7658" w:rsidP="00DA7658">
      <w:pPr>
        <w:pStyle w:val="Default"/>
        <w:ind w:left="1440" w:firstLine="720"/>
        <w:jc w:val="both"/>
        <w:rPr>
          <w:rFonts w:asciiTheme="minorHAnsi" w:hAnsiTheme="minorHAnsi" w:cstheme="minorHAnsi"/>
          <w:sz w:val="22"/>
          <w:szCs w:val="22"/>
        </w:rPr>
      </w:pPr>
      <w:r w:rsidRPr="00DA7658">
        <w:rPr>
          <w:rFonts w:asciiTheme="minorHAnsi" w:hAnsiTheme="minorHAnsi" w:cstheme="minorHAnsi"/>
          <w:sz w:val="22"/>
          <w:szCs w:val="22"/>
        </w:rPr>
        <w:t>b. Environmental hazards; or</w:t>
      </w:r>
    </w:p>
    <w:p w14:paraId="12EE1796" w14:textId="77777777" w:rsidR="00DA7658" w:rsidRPr="00DA7658" w:rsidRDefault="00DA7658" w:rsidP="00DA7658">
      <w:pPr>
        <w:pStyle w:val="Default"/>
        <w:ind w:left="1440" w:firstLine="720"/>
        <w:jc w:val="both"/>
        <w:rPr>
          <w:rFonts w:asciiTheme="minorHAnsi" w:hAnsiTheme="minorHAnsi" w:cstheme="minorHAnsi"/>
          <w:sz w:val="22"/>
          <w:szCs w:val="22"/>
        </w:rPr>
      </w:pPr>
      <w:r w:rsidRPr="00DA7658">
        <w:rPr>
          <w:rFonts w:asciiTheme="minorHAnsi" w:hAnsiTheme="minorHAnsi" w:cstheme="minorHAnsi"/>
          <w:sz w:val="22"/>
          <w:szCs w:val="22"/>
        </w:rPr>
        <w:t>c. Fire hazards; or</w:t>
      </w:r>
    </w:p>
    <w:p w14:paraId="530B92EF" w14:textId="77777777" w:rsidR="00DA7658" w:rsidRPr="00DA7658" w:rsidRDefault="00DA7658" w:rsidP="00DA7658">
      <w:pPr>
        <w:pStyle w:val="Default"/>
        <w:ind w:left="1440" w:firstLine="720"/>
        <w:jc w:val="both"/>
        <w:rPr>
          <w:rFonts w:asciiTheme="minorHAnsi" w:hAnsiTheme="minorHAnsi" w:cstheme="minorHAnsi"/>
          <w:sz w:val="22"/>
          <w:szCs w:val="22"/>
        </w:rPr>
      </w:pPr>
      <w:r w:rsidRPr="00DA7658">
        <w:rPr>
          <w:rFonts w:asciiTheme="minorHAnsi" w:hAnsiTheme="minorHAnsi" w:cstheme="minorHAnsi"/>
          <w:sz w:val="22"/>
          <w:szCs w:val="22"/>
        </w:rPr>
        <w:t>d. Lack of ventilation, light, or sanitary facilities; or</w:t>
      </w:r>
    </w:p>
    <w:p w14:paraId="7E10B290" w14:textId="0292F397" w:rsidR="00DA7658" w:rsidRPr="00DA7658" w:rsidRDefault="00DA7658" w:rsidP="00DA7658">
      <w:pPr>
        <w:pStyle w:val="Default"/>
        <w:ind w:left="1440" w:firstLine="720"/>
        <w:jc w:val="both"/>
        <w:rPr>
          <w:rFonts w:asciiTheme="minorHAnsi" w:hAnsiTheme="minorHAnsi" w:cstheme="minorHAnsi"/>
          <w:sz w:val="22"/>
          <w:szCs w:val="22"/>
        </w:rPr>
      </w:pPr>
      <w:proofErr w:type="gramStart"/>
      <w:r>
        <w:rPr>
          <w:rFonts w:asciiTheme="minorHAnsi" w:hAnsiTheme="minorHAnsi" w:cstheme="minorHAnsi"/>
          <w:sz w:val="22"/>
          <w:szCs w:val="22"/>
        </w:rPr>
        <w:t>e</w:t>
      </w:r>
      <w:proofErr w:type="gramEnd"/>
      <w:r>
        <w:rPr>
          <w:rFonts w:asciiTheme="minorHAnsi" w:hAnsiTheme="minorHAnsi" w:cstheme="minorHAnsi"/>
          <w:sz w:val="22"/>
          <w:szCs w:val="22"/>
        </w:rPr>
        <w:t xml:space="preserve">. </w:t>
      </w:r>
      <w:r w:rsidRPr="00DA7658">
        <w:rPr>
          <w:rFonts w:asciiTheme="minorHAnsi" w:hAnsiTheme="minorHAnsi" w:cstheme="minorHAnsi"/>
          <w:sz w:val="22"/>
          <w:szCs w:val="22"/>
        </w:rPr>
        <w:t>any combination of these factors</w:t>
      </w:r>
    </w:p>
    <w:p w14:paraId="619F330D" w14:textId="77777777" w:rsidR="00DA7658" w:rsidRPr="00DA7658" w:rsidRDefault="00DA7658" w:rsidP="00DA7658">
      <w:pPr>
        <w:pStyle w:val="Default"/>
        <w:ind w:left="1440"/>
        <w:jc w:val="both"/>
        <w:rPr>
          <w:rFonts w:asciiTheme="minorHAnsi" w:hAnsiTheme="minorHAnsi" w:cstheme="minorHAnsi"/>
          <w:sz w:val="22"/>
          <w:szCs w:val="22"/>
        </w:rPr>
      </w:pPr>
      <w:r w:rsidRPr="00DA7658">
        <w:rPr>
          <w:rFonts w:asciiTheme="minorHAnsi" w:hAnsiTheme="minorHAnsi" w:cstheme="minorHAnsi"/>
          <w:sz w:val="22"/>
          <w:szCs w:val="22"/>
        </w:rPr>
        <w:t>3. Building(s) are conducive to ill health, transmission of disease, infant mortality, juvenile delinquency, increased criminal activity compared to other areas, and detrimental to public health, safety, morals, or welfare through any of the following conditions:</w:t>
      </w:r>
    </w:p>
    <w:p w14:paraId="33765390" w14:textId="77777777" w:rsidR="00DA7658" w:rsidRPr="00DA7658" w:rsidRDefault="00DA7658" w:rsidP="00DA7658">
      <w:pPr>
        <w:pStyle w:val="Default"/>
        <w:ind w:left="1440" w:firstLine="720"/>
        <w:jc w:val="both"/>
        <w:rPr>
          <w:rFonts w:asciiTheme="minorHAnsi" w:hAnsiTheme="minorHAnsi" w:cstheme="minorHAnsi"/>
          <w:sz w:val="22"/>
          <w:szCs w:val="22"/>
        </w:rPr>
      </w:pPr>
      <w:r w:rsidRPr="00DA7658">
        <w:rPr>
          <w:rFonts w:asciiTheme="minorHAnsi" w:hAnsiTheme="minorHAnsi" w:cstheme="minorHAnsi"/>
          <w:sz w:val="22"/>
          <w:szCs w:val="22"/>
        </w:rPr>
        <w:t>a. Age; or</w:t>
      </w:r>
    </w:p>
    <w:p w14:paraId="5D708CFC" w14:textId="77777777" w:rsidR="00DA7658" w:rsidRPr="00DA7658" w:rsidRDefault="00DA7658" w:rsidP="00DA7658">
      <w:pPr>
        <w:pStyle w:val="Default"/>
        <w:ind w:left="1440" w:firstLine="720"/>
        <w:jc w:val="both"/>
        <w:rPr>
          <w:rFonts w:asciiTheme="minorHAnsi" w:hAnsiTheme="minorHAnsi" w:cstheme="minorHAnsi"/>
          <w:sz w:val="22"/>
          <w:szCs w:val="22"/>
        </w:rPr>
      </w:pPr>
      <w:r w:rsidRPr="00DA7658">
        <w:rPr>
          <w:rFonts w:asciiTheme="minorHAnsi" w:hAnsiTheme="minorHAnsi" w:cstheme="minorHAnsi"/>
          <w:sz w:val="22"/>
          <w:szCs w:val="22"/>
        </w:rPr>
        <w:t>b. Dilapidation; or</w:t>
      </w:r>
    </w:p>
    <w:p w14:paraId="41DD78F0" w14:textId="77777777" w:rsidR="00DA7658" w:rsidRPr="00DA7658" w:rsidRDefault="00DA7658" w:rsidP="00DA7658">
      <w:pPr>
        <w:pStyle w:val="Default"/>
        <w:ind w:left="1440" w:firstLine="720"/>
        <w:jc w:val="both"/>
        <w:rPr>
          <w:rFonts w:asciiTheme="minorHAnsi" w:hAnsiTheme="minorHAnsi" w:cstheme="minorHAnsi"/>
          <w:sz w:val="22"/>
          <w:szCs w:val="22"/>
        </w:rPr>
      </w:pPr>
      <w:r w:rsidRPr="00DA7658">
        <w:rPr>
          <w:rFonts w:asciiTheme="minorHAnsi" w:hAnsiTheme="minorHAnsi" w:cstheme="minorHAnsi"/>
          <w:sz w:val="22"/>
          <w:szCs w:val="22"/>
        </w:rPr>
        <w:t>c. Overcrowding of structures and/or high density population; or</w:t>
      </w:r>
    </w:p>
    <w:p w14:paraId="68755D69" w14:textId="77777777" w:rsidR="00DA7658" w:rsidRPr="00DA7658" w:rsidRDefault="00DA7658" w:rsidP="00DA7658">
      <w:pPr>
        <w:pStyle w:val="Default"/>
        <w:ind w:left="1440" w:firstLine="720"/>
        <w:jc w:val="both"/>
        <w:rPr>
          <w:rFonts w:asciiTheme="minorHAnsi" w:hAnsiTheme="minorHAnsi" w:cstheme="minorHAnsi"/>
          <w:sz w:val="22"/>
          <w:szCs w:val="22"/>
        </w:rPr>
      </w:pPr>
      <w:r w:rsidRPr="00DA7658">
        <w:rPr>
          <w:rFonts w:asciiTheme="minorHAnsi" w:hAnsiTheme="minorHAnsi" w:cstheme="minorHAnsi"/>
          <w:sz w:val="22"/>
          <w:szCs w:val="22"/>
        </w:rPr>
        <w:t>d. Excessive land coverage; or</w:t>
      </w:r>
    </w:p>
    <w:p w14:paraId="798D7742" w14:textId="77777777" w:rsidR="00DA7658" w:rsidRPr="00DA7658" w:rsidRDefault="00DA7658" w:rsidP="00DA7658">
      <w:pPr>
        <w:pStyle w:val="Default"/>
        <w:ind w:left="2160"/>
        <w:jc w:val="both"/>
        <w:rPr>
          <w:rFonts w:asciiTheme="minorHAnsi" w:hAnsiTheme="minorHAnsi" w:cstheme="minorHAnsi"/>
          <w:sz w:val="22"/>
          <w:szCs w:val="22"/>
        </w:rPr>
      </w:pPr>
      <w:r w:rsidRPr="00DA7658">
        <w:rPr>
          <w:rFonts w:asciiTheme="minorHAnsi" w:hAnsiTheme="minorHAnsi" w:cstheme="minorHAnsi"/>
          <w:sz w:val="22"/>
          <w:szCs w:val="22"/>
        </w:rPr>
        <w:t>e. Impairment of overall economic vitality of community through declines in property value, substantially lower property value than surrounding community areas; or</w:t>
      </w:r>
    </w:p>
    <w:p w14:paraId="43251151" w14:textId="2F5A18C3" w:rsidR="00DA7658" w:rsidRPr="00DA7658" w:rsidRDefault="00DA7658" w:rsidP="00DA7658">
      <w:pPr>
        <w:pStyle w:val="Default"/>
        <w:ind w:left="1440" w:firstLine="720"/>
        <w:jc w:val="both"/>
        <w:rPr>
          <w:rFonts w:asciiTheme="minorHAnsi" w:hAnsiTheme="minorHAnsi" w:cstheme="minorHAnsi"/>
          <w:sz w:val="22"/>
          <w:szCs w:val="22"/>
        </w:rPr>
      </w:pPr>
      <w:proofErr w:type="gramStart"/>
      <w:r>
        <w:rPr>
          <w:rFonts w:asciiTheme="minorHAnsi" w:hAnsiTheme="minorHAnsi" w:cstheme="minorHAnsi"/>
          <w:sz w:val="22"/>
          <w:szCs w:val="22"/>
        </w:rPr>
        <w:t>f</w:t>
      </w:r>
      <w:proofErr w:type="gramEnd"/>
      <w:r>
        <w:rPr>
          <w:rFonts w:asciiTheme="minorHAnsi" w:hAnsiTheme="minorHAnsi" w:cstheme="minorHAnsi"/>
          <w:sz w:val="22"/>
          <w:szCs w:val="22"/>
        </w:rPr>
        <w:t xml:space="preserve">. </w:t>
      </w:r>
      <w:r w:rsidRPr="00DA7658">
        <w:rPr>
          <w:rFonts w:asciiTheme="minorHAnsi" w:hAnsiTheme="minorHAnsi" w:cstheme="minorHAnsi"/>
          <w:sz w:val="22"/>
          <w:szCs w:val="22"/>
        </w:rPr>
        <w:t>any combination of these factors</w:t>
      </w:r>
    </w:p>
    <w:p w14:paraId="087C6830" w14:textId="2E74BD91" w:rsidR="00350FC6" w:rsidRPr="003060BB" w:rsidRDefault="00350FC6">
      <w:pPr>
        <w:pStyle w:val="Default"/>
        <w:jc w:val="both"/>
        <w:rPr>
          <w:rFonts w:asciiTheme="minorHAnsi" w:hAnsiTheme="minorHAnsi" w:cstheme="minorHAnsi"/>
          <w:color w:val="auto"/>
          <w:sz w:val="22"/>
          <w:szCs w:val="22"/>
        </w:rPr>
      </w:pPr>
    </w:p>
    <w:p w14:paraId="27B59DEE"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Urgent Need</w:t>
      </w:r>
      <w:r w:rsidRPr="003060BB">
        <w:rPr>
          <w:rFonts w:asciiTheme="minorHAnsi" w:hAnsiTheme="minorHAnsi" w:cstheme="minorHAnsi"/>
          <w:color w:val="auto"/>
          <w:sz w:val="22"/>
          <w:szCs w:val="22"/>
        </w:rPr>
        <w:t xml:space="preserve"> - is defined as a serious and immediate threat to health and welfare of the community.  The Chief Elected Official must certify that an emergency condition exists and requires immediate resolution and that alternative sources of financing are not available.  An application for CDBG funding under the “urgent need” CDBG national objective must adhere to all requirements for same set forth under 24 CFR 570.208(c) and 24 CFR 570.483(d). </w:t>
      </w:r>
    </w:p>
    <w:p w14:paraId="78D33DCE" w14:textId="29DBBECA" w:rsidR="00DA7658"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6E331064" w14:textId="77777777" w:rsidR="00DA7658" w:rsidRDefault="00DA7658">
      <w:pPr>
        <w:rPr>
          <w:rFonts w:asciiTheme="minorHAnsi" w:hAnsiTheme="minorHAnsi" w:cstheme="minorHAnsi"/>
          <w:sz w:val="22"/>
          <w:szCs w:val="22"/>
        </w:rPr>
      </w:pPr>
      <w:r>
        <w:rPr>
          <w:rFonts w:asciiTheme="minorHAnsi" w:hAnsiTheme="minorHAnsi" w:cstheme="minorHAnsi"/>
          <w:sz w:val="22"/>
          <w:szCs w:val="22"/>
        </w:rPr>
        <w:br w:type="page"/>
      </w:r>
    </w:p>
    <w:p w14:paraId="52A518D2" w14:textId="77777777" w:rsidR="00350FC6" w:rsidRPr="003060BB" w:rsidRDefault="00350FC6">
      <w:pPr>
        <w:pStyle w:val="Default"/>
        <w:jc w:val="right"/>
        <w:outlineLvl w:val="0"/>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r w:rsidRPr="003060BB">
        <w:rPr>
          <w:rFonts w:asciiTheme="minorHAnsi" w:hAnsiTheme="minorHAnsi" w:cstheme="minorHAnsi"/>
          <w:b/>
          <w:bCs/>
          <w:color w:val="auto"/>
          <w:sz w:val="22"/>
          <w:szCs w:val="22"/>
        </w:rPr>
        <w:t xml:space="preserve">ATTACHMENT B </w:t>
      </w:r>
    </w:p>
    <w:p w14:paraId="22B60449" w14:textId="77777777" w:rsidR="00350FC6" w:rsidRPr="003060BB" w:rsidRDefault="00350FC6">
      <w:pPr>
        <w:pStyle w:val="Default"/>
        <w:ind w:hanging="144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3BCF2FC0" w14:textId="77777777" w:rsidR="00350FC6" w:rsidRPr="003060BB" w:rsidRDefault="00350FC6">
      <w:pPr>
        <w:pStyle w:val="Default"/>
        <w:jc w:val="center"/>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DISPLACEMENT PLAN</w:t>
      </w:r>
      <w:r w:rsidRPr="003060BB">
        <w:rPr>
          <w:rFonts w:asciiTheme="minorHAnsi" w:hAnsiTheme="minorHAnsi" w:cstheme="minorHAnsi"/>
          <w:color w:val="auto"/>
          <w:sz w:val="22"/>
          <w:szCs w:val="22"/>
        </w:rPr>
        <w:t xml:space="preserve"> </w:t>
      </w:r>
    </w:p>
    <w:p w14:paraId="16679A51"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1F97C66E"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1CA43BDC" w14:textId="77777777" w:rsidR="00350FC6" w:rsidRPr="003060BB" w:rsidRDefault="00350FC6" w:rsidP="005E43A5">
      <w:pPr>
        <w:pStyle w:val="Default"/>
        <w:numPr>
          <w:ilvl w:val="1"/>
          <w:numId w:val="4"/>
        </w:numPr>
        <w:tabs>
          <w:tab w:val="clear" w:pos="1440"/>
          <w:tab w:val="num" w:pos="360"/>
        </w:tabs>
        <w:ind w:left="36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State shall fund only those applications, which present projects and activities, which will result in the displacement of as few persons or businesses as necessary to meet the goals and objectives of the state and local CDBG-assisted program. </w:t>
      </w:r>
    </w:p>
    <w:p w14:paraId="63992EDA" w14:textId="77777777" w:rsidR="00350FC6" w:rsidRPr="003060BB" w:rsidRDefault="00350FC6" w:rsidP="005E43A5">
      <w:pPr>
        <w:pStyle w:val="Default"/>
        <w:ind w:firstLine="45"/>
        <w:jc w:val="both"/>
        <w:rPr>
          <w:rFonts w:asciiTheme="minorHAnsi" w:hAnsiTheme="minorHAnsi" w:cstheme="minorHAnsi"/>
          <w:color w:val="auto"/>
          <w:sz w:val="22"/>
          <w:szCs w:val="22"/>
        </w:rPr>
      </w:pPr>
    </w:p>
    <w:p w14:paraId="06A7496D" w14:textId="77777777" w:rsidR="00350FC6" w:rsidRPr="003060BB" w:rsidRDefault="00350FC6" w:rsidP="005E43A5">
      <w:pPr>
        <w:pStyle w:val="Default"/>
        <w:numPr>
          <w:ilvl w:val="1"/>
          <w:numId w:val="4"/>
        </w:numPr>
        <w:tabs>
          <w:tab w:val="clear" w:pos="1440"/>
          <w:tab w:val="num" w:pos="360"/>
        </w:tabs>
        <w:ind w:left="36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State will use this criterion as one of the guidelines for project selection and funding. </w:t>
      </w:r>
    </w:p>
    <w:p w14:paraId="5AB8811C" w14:textId="77777777" w:rsidR="00350FC6" w:rsidRPr="003060BB" w:rsidRDefault="00350FC6" w:rsidP="005E43A5">
      <w:pPr>
        <w:pStyle w:val="Default"/>
        <w:ind w:firstLine="45"/>
        <w:jc w:val="both"/>
        <w:rPr>
          <w:rFonts w:asciiTheme="minorHAnsi" w:hAnsiTheme="minorHAnsi" w:cstheme="minorHAnsi"/>
          <w:color w:val="auto"/>
          <w:sz w:val="22"/>
          <w:szCs w:val="22"/>
        </w:rPr>
      </w:pPr>
    </w:p>
    <w:p w14:paraId="733DF6F2" w14:textId="77777777" w:rsidR="00350FC6" w:rsidRPr="003060BB" w:rsidRDefault="00350FC6" w:rsidP="005E43A5">
      <w:pPr>
        <w:pStyle w:val="Default"/>
        <w:numPr>
          <w:ilvl w:val="1"/>
          <w:numId w:val="4"/>
        </w:numPr>
        <w:tabs>
          <w:tab w:val="clear" w:pos="1440"/>
          <w:tab w:val="num" w:pos="360"/>
        </w:tabs>
        <w:ind w:left="36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State will require all funded communities to certify that the funded project is minimizing displacement. </w:t>
      </w:r>
    </w:p>
    <w:p w14:paraId="2B3791B5" w14:textId="77777777" w:rsidR="00350FC6" w:rsidRPr="003060BB" w:rsidRDefault="00350FC6" w:rsidP="005E43A5">
      <w:pPr>
        <w:pStyle w:val="Default"/>
        <w:ind w:firstLine="45"/>
        <w:jc w:val="both"/>
        <w:rPr>
          <w:rFonts w:asciiTheme="minorHAnsi" w:hAnsiTheme="minorHAnsi" w:cstheme="minorHAnsi"/>
          <w:color w:val="auto"/>
          <w:sz w:val="22"/>
          <w:szCs w:val="22"/>
        </w:rPr>
      </w:pPr>
    </w:p>
    <w:p w14:paraId="0DDDA6E5" w14:textId="77777777" w:rsidR="00350FC6" w:rsidRPr="003060BB" w:rsidRDefault="00350FC6" w:rsidP="005E43A5">
      <w:pPr>
        <w:pStyle w:val="Default"/>
        <w:numPr>
          <w:ilvl w:val="1"/>
          <w:numId w:val="4"/>
        </w:numPr>
        <w:tabs>
          <w:tab w:val="clear" w:pos="1440"/>
          <w:tab w:val="num" w:pos="360"/>
        </w:tabs>
        <w:ind w:left="36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State will require all funded communities to maintain a local plan for minimizing displacement of persons or businesses as a result of CDBG funded activities, pursuant to the federal Uniform Relocation and Acquisitions Policies Act of 1970, as amended. </w:t>
      </w:r>
    </w:p>
    <w:p w14:paraId="0B586660" w14:textId="77777777" w:rsidR="00350FC6" w:rsidRPr="003060BB" w:rsidRDefault="00350FC6" w:rsidP="005E43A5">
      <w:pPr>
        <w:pStyle w:val="Default"/>
        <w:ind w:firstLine="45"/>
        <w:jc w:val="both"/>
        <w:rPr>
          <w:rFonts w:asciiTheme="minorHAnsi" w:hAnsiTheme="minorHAnsi" w:cstheme="minorHAnsi"/>
          <w:color w:val="auto"/>
          <w:sz w:val="22"/>
          <w:szCs w:val="22"/>
        </w:rPr>
      </w:pPr>
    </w:p>
    <w:p w14:paraId="595C39C7" w14:textId="77777777" w:rsidR="00350FC6" w:rsidRPr="003060BB" w:rsidRDefault="00350FC6" w:rsidP="005E43A5">
      <w:pPr>
        <w:pStyle w:val="Default"/>
        <w:numPr>
          <w:ilvl w:val="1"/>
          <w:numId w:val="4"/>
        </w:numPr>
        <w:tabs>
          <w:tab w:val="clear" w:pos="1440"/>
          <w:tab w:val="num" w:pos="360"/>
        </w:tabs>
        <w:ind w:left="36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State will require that all CDBG funded communities provide assistance to all persons displaced as a result of CDBG funded activities. </w:t>
      </w:r>
    </w:p>
    <w:p w14:paraId="42217D61" w14:textId="77777777" w:rsidR="00350FC6" w:rsidRPr="003060BB" w:rsidRDefault="00350FC6" w:rsidP="005E43A5">
      <w:pPr>
        <w:pStyle w:val="Default"/>
        <w:ind w:firstLine="45"/>
        <w:jc w:val="both"/>
        <w:rPr>
          <w:rFonts w:asciiTheme="minorHAnsi" w:hAnsiTheme="minorHAnsi" w:cstheme="minorHAnsi"/>
          <w:color w:val="auto"/>
          <w:sz w:val="22"/>
          <w:szCs w:val="22"/>
        </w:rPr>
      </w:pPr>
    </w:p>
    <w:p w14:paraId="19D3D645" w14:textId="77777777" w:rsidR="00350FC6" w:rsidRPr="003060BB" w:rsidRDefault="00350FC6" w:rsidP="005E43A5">
      <w:pPr>
        <w:pStyle w:val="Default"/>
        <w:numPr>
          <w:ilvl w:val="1"/>
          <w:numId w:val="4"/>
        </w:numPr>
        <w:tabs>
          <w:tab w:val="clear" w:pos="1440"/>
          <w:tab w:val="num" w:pos="360"/>
        </w:tabs>
        <w:ind w:left="36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State will require each funded community to provide reasonable benefits to any person involuntarily and permanently displaced as a result of the CDBG funded program. </w:t>
      </w:r>
    </w:p>
    <w:p w14:paraId="6ECFDB59" w14:textId="77777777" w:rsidR="00350FC6" w:rsidRPr="003060BB" w:rsidRDefault="00350FC6" w:rsidP="00A57C7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371ECDB5" w14:textId="77777777" w:rsidR="00E266AD" w:rsidRPr="003060BB" w:rsidRDefault="00350FC6" w:rsidP="00E266AD">
      <w:pPr>
        <w:pStyle w:val="Default"/>
        <w:jc w:val="right"/>
        <w:outlineLvl w:val="0"/>
        <w:rPr>
          <w:rFonts w:asciiTheme="minorHAnsi" w:hAnsiTheme="minorHAnsi" w:cstheme="minorHAnsi"/>
          <w:b/>
          <w:bCs/>
          <w:color w:val="auto"/>
          <w:sz w:val="22"/>
          <w:szCs w:val="22"/>
        </w:rPr>
      </w:pPr>
      <w:r w:rsidRPr="003060BB">
        <w:rPr>
          <w:rFonts w:asciiTheme="minorHAnsi" w:hAnsiTheme="minorHAnsi" w:cstheme="minorHAnsi"/>
          <w:b/>
          <w:bCs/>
          <w:color w:val="auto"/>
          <w:sz w:val="22"/>
          <w:szCs w:val="22"/>
        </w:rPr>
        <w:br w:type="page"/>
      </w:r>
    </w:p>
    <w:p w14:paraId="33C673A5" w14:textId="77777777" w:rsidR="00E266AD" w:rsidRPr="003060BB" w:rsidRDefault="00E266AD" w:rsidP="00E266AD">
      <w:pPr>
        <w:pStyle w:val="Default"/>
        <w:jc w:val="right"/>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ATTACHMENT C </w:t>
      </w:r>
    </w:p>
    <w:p w14:paraId="5F4F4114" w14:textId="77777777" w:rsidR="00E266AD" w:rsidRPr="003060BB" w:rsidRDefault="00E266AD" w:rsidP="00E266AD">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7E8088AF" w14:textId="77777777" w:rsidR="00E266AD" w:rsidRPr="003060BB" w:rsidRDefault="00E266AD" w:rsidP="00E266AD">
      <w:pPr>
        <w:pStyle w:val="Default"/>
        <w:jc w:val="center"/>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GENERAL SELECTION CRITERIA </w:t>
      </w:r>
    </w:p>
    <w:p w14:paraId="24089B69" w14:textId="77777777" w:rsidR="00E266AD" w:rsidRPr="003060BB" w:rsidRDefault="00E266AD" w:rsidP="00E266AD">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79291427" w14:textId="3109BB50" w:rsidR="00E266AD" w:rsidRPr="003060BB" w:rsidRDefault="00E266AD" w:rsidP="00E266AD">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The Office of Community and Rural Affairs (OCRA) will consider the following general criteria when evaluating a project proposal.  Although projects will be reviewed for this information at the proposal stage, no project will be eliminated from consideration if the criteria are not met.  Instead, the community will be alerted to the problem(s) identified.  Communities must have corrected any identified deficiencies by the time of application submission for that project to be considered for funding. </w:t>
      </w:r>
    </w:p>
    <w:p w14:paraId="37F70F2F" w14:textId="77777777" w:rsidR="00E266AD" w:rsidRPr="003060BB" w:rsidRDefault="00E266AD" w:rsidP="00E266AD">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1C0E5106" w14:textId="77777777" w:rsidR="00E266AD" w:rsidRPr="003060BB" w:rsidRDefault="00E266AD" w:rsidP="00E266AD">
      <w:pPr>
        <w:pStyle w:val="Default"/>
        <w:ind w:left="450" w:hanging="450"/>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A.  General Criteria</w:t>
      </w:r>
      <w:r w:rsidRPr="003060BB">
        <w:rPr>
          <w:rFonts w:asciiTheme="minorHAnsi" w:hAnsiTheme="minorHAnsi" w:cstheme="minorHAnsi"/>
          <w:color w:val="auto"/>
          <w:sz w:val="22"/>
          <w:szCs w:val="22"/>
        </w:rPr>
        <w:t xml:space="preserve"> </w:t>
      </w:r>
      <w:r w:rsidRPr="003060BB">
        <w:rPr>
          <w:rFonts w:asciiTheme="minorHAnsi" w:hAnsiTheme="minorHAnsi" w:cstheme="minorHAnsi"/>
          <w:b/>
          <w:bCs/>
          <w:color w:val="auto"/>
          <w:sz w:val="22"/>
          <w:szCs w:val="22"/>
        </w:rPr>
        <w:t xml:space="preserve">(all programs - see exception for program income and housing projects through the IHCDA in 7 below): </w:t>
      </w:r>
    </w:p>
    <w:p w14:paraId="6C470993" w14:textId="77777777" w:rsidR="00E266AD" w:rsidRPr="003060BB" w:rsidRDefault="00E266AD" w:rsidP="00E266AD">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7C4747A8" w14:textId="77777777" w:rsidR="00E266AD" w:rsidRPr="003060BB"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applicant must be a legally constituted general purpose unit of local government and eligible to apply for the state program. </w:t>
      </w:r>
    </w:p>
    <w:p w14:paraId="5594F097" w14:textId="77777777" w:rsidR="00E266AD" w:rsidRPr="003060BB" w:rsidRDefault="00E266AD" w:rsidP="00E266AD">
      <w:pPr>
        <w:pStyle w:val="Default"/>
        <w:ind w:firstLine="45"/>
        <w:jc w:val="both"/>
        <w:rPr>
          <w:rFonts w:asciiTheme="minorHAnsi" w:hAnsiTheme="minorHAnsi" w:cstheme="minorHAnsi"/>
          <w:color w:val="auto"/>
          <w:sz w:val="22"/>
          <w:szCs w:val="22"/>
        </w:rPr>
      </w:pPr>
    </w:p>
    <w:p w14:paraId="4DDEB4BC" w14:textId="77777777" w:rsidR="00E266AD" w:rsidRPr="003060BB"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applicant must possess the legal capacity to carry out the proposed program. </w:t>
      </w:r>
    </w:p>
    <w:p w14:paraId="73C86F01" w14:textId="77777777" w:rsidR="00E266AD" w:rsidRPr="003060BB" w:rsidRDefault="00E266AD" w:rsidP="00E266AD">
      <w:pPr>
        <w:pStyle w:val="Default"/>
        <w:ind w:firstLine="45"/>
        <w:jc w:val="both"/>
        <w:rPr>
          <w:rFonts w:asciiTheme="minorHAnsi" w:hAnsiTheme="minorHAnsi" w:cstheme="minorHAnsi"/>
          <w:color w:val="auto"/>
          <w:sz w:val="22"/>
          <w:szCs w:val="22"/>
        </w:rPr>
      </w:pPr>
    </w:p>
    <w:p w14:paraId="6B5769FA" w14:textId="77777777" w:rsidR="00E266AD" w:rsidRPr="003060BB"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If the applicant has previously received funds under CDBG, they must have successfully carried out the program.  An applicant must not have any overdue closeout reports, State Board of Accounts audit findings or unresolved OCRA/IHCDA monitoring findings (where the community is responsible for resolution.)  Any determination of “overdue” is solely at the discretion of the Indiana Office of Community and Rural Affairs. </w:t>
      </w:r>
    </w:p>
    <w:p w14:paraId="13899C53" w14:textId="77777777" w:rsidR="00E266AD" w:rsidRPr="003060BB" w:rsidRDefault="00E266AD" w:rsidP="00E266AD">
      <w:pPr>
        <w:pStyle w:val="Default"/>
        <w:ind w:firstLine="45"/>
        <w:jc w:val="both"/>
        <w:rPr>
          <w:rFonts w:asciiTheme="minorHAnsi" w:hAnsiTheme="minorHAnsi" w:cstheme="minorHAnsi"/>
          <w:color w:val="auto"/>
          <w:sz w:val="22"/>
          <w:szCs w:val="22"/>
        </w:rPr>
      </w:pPr>
    </w:p>
    <w:p w14:paraId="213EE369" w14:textId="77777777" w:rsidR="00E266AD" w:rsidRPr="003060BB"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An applicant must not have any overdue CDBG semi-annual Grantee Performance Reports, subrecipient reports or other reporting requirements of the OCRA/IHCDA.  Any determination of “overdue” is solely at the discretion of the Indiana Office of Community and Rural Affairs. </w:t>
      </w:r>
    </w:p>
    <w:p w14:paraId="04A70306" w14:textId="77777777" w:rsidR="00E266AD" w:rsidRPr="003060BB" w:rsidRDefault="00E266AD" w:rsidP="00E266AD">
      <w:pPr>
        <w:pStyle w:val="Default"/>
        <w:ind w:firstLine="60"/>
        <w:jc w:val="both"/>
        <w:rPr>
          <w:rFonts w:asciiTheme="minorHAnsi" w:hAnsiTheme="minorHAnsi" w:cstheme="minorHAnsi"/>
          <w:color w:val="auto"/>
          <w:sz w:val="22"/>
          <w:szCs w:val="22"/>
        </w:rPr>
      </w:pPr>
    </w:p>
    <w:p w14:paraId="162BA26C" w14:textId="77777777" w:rsidR="00E266AD" w:rsidRPr="003060BB"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applicant must clearly show the manner in which the proposed project will meet one of the three national  CDBG objectives and meet the criteria set forth under 24 CFR 570.483. </w:t>
      </w:r>
    </w:p>
    <w:p w14:paraId="2302C747" w14:textId="77777777" w:rsidR="00E266AD" w:rsidRPr="003060BB" w:rsidRDefault="00E266AD" w:rsidP="00E266AD">
      <w:pPr>
        <w:pStyle w:val="Default"/>
        <w:ind w:firstLine="45"/>
        <w:jc w:val="both"/>
        <w:rPr>
          <w:rFonts w:asciiTheme="minorHAnsi" w:hAnsiTheme="minorHAnsi" w:cstheme="minorHAnsi"/>
          <w:color w:val="auto"/>
          <w:sz w:val="22"/>
          <w:szCs w:val="22"/>
        </w:rPr>
      </w:pPr>
    </w:p>
    <w:p w14:paraId="3CA3B18E" w14:textId="77777777" w:rsidR="00E266AD" w:rsidRPr="003060BB"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applicant must show that the proposed project is an eligible activity under the Act. </w:t>
      </w:r>
    </w:p>
    <w:p w14:paraId="6EDF685A" w14:textId="77777777" w:rsidR="00E266AD" w:rsidRPr="003060BB" w:rsidRDefault="00E266AD" w:rsidP="00E266AD">
      <w:pPr>
        <w:pStyle w:val="Default"/>
        <w:ind w:firstLine="45"/>
        <w:jc w:val="both"/>
        <w:rPr>
          <w:rFonts w:asciiTheme="minorHAnsi" w:hAnsiTheme="minorHAnsi" w:cstheme="minorHAnsi"/>
          <w:color w:val="auto"/>
          <w:sz w:val="22"/>
          <w:szCs w:val="22"/>
        </w:rPr>
      </w:pPr>
    </w:p>
    <w:p w14:paraId="0BB347C0" w14:textId="77777777" w:rsidR="00E266AD" w:rsidRPr="003060BB"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applicant must first encumber/expend all CDBG program income receipts before applying for additional grant funds from the Office of Community and Rural Affairs; EXCEPTION – these general criteria will not apply to applications made directly to the Indiana Housing &amp; Community Development Authority (IHCDA) for CDBG-funded housing projects. </w:t>
      </w:r>
    </w:p>
    <w:p w14:paraId="77D43862" w14:textId="77777777" w:rsidR="00E266AD" w:rsidRPr="003060BB" w:rsidRDefault="00E266AD" w:rsidP="00E266AD">
      <w:pPr>
        <w:pStyle w:val="ListParagraph"/>
        <w:rPr>
          <w:rFonts w:asciiTheme="minorHAnsi" w:hAnsiTheme="minorHAnsi" w:cstheme="minorHAnsi"/>
          <w:sz w:val="22"/>
          <w:szCs w:val="22"/>
        </w:rPr>
      </w:pPr>
    </w:p>
    <w:p w14:paraId="1BAD95B1" w14:textId="57490D6E" w:rsidR="00E266AD" w:rsidRPr="00437CB2"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To be eligible to apply at th</w:t>
      </w:r>
      <w:r w:rsidR="00296429">
        <w:rPr>
          <w:rFonts w:asciiTheme="minorHAnsi" w:hAnsiTheme="minorHAnsi" w:cstheme="minorHAnsi"/>
          <w:color w:val="auto"/>
          <w:sz w:val="22"/>
          <w:szCs w:val="22"/>
        </w:rPr>
        <w:t>e time of an application submission</w:t>
      </w:r>
      <w:r w:rsidRPr="003060BB">
        <w:rPr>
          <w:rFonts w:asciiTheme="minorHAnsi" w:hAnsiTheme="minorHAnsi" w:cstheme="minorHAnsi"/>
          <w:color w:val="auto"/>
          <w:sz w:val="22"/>
          <w:szCs w:val="22"/>
        </w:rPr>
        <w:t>, an applicant must not have any</w:t>
      </w:r>
      <w:r w:rsidR="00296429">
        <w:rPr>
          <w:rFonts w:asciiTheme="minorHAnsi" w:hAnsiTheme="minorHAnsi" w:cstheme="minorHAnsi"/>
          <w:color w:val="auto"/>
          <w:sz w:val="22"/>
          <w:szCs w:val="22"/>
        </w:rPr>
        <w:t xml:space="preserve"> of the following</w:t>
      </w:r>
      <w:r w:rsidRPr="003060BB">
        <w:rPr>
          <w:rFonts w:asciiTheme="minorHAnsi" w:hAnsiTheme="minorHAnsi" w:cstheme="minorHAnsi"/>
          <w:color w:val="auto"/>
          <w:sz w:val="22"/>
          <w:szCs w:val="22"/>
        </w:rPr>
        <w:t xml:space="preserve">: </w:t>
      </w:r>
    </w:p>
    <w:p w14:paraId="590E6BBF" w14:textId="4B35BD64" w:rsidR="00E266AD" w:rsidRPr="00437CB2" w:rsidRDefault="00E266AD" w:rsidP="00437CB2">
      <w:pPr>
        <w:pStyle w:val="Default"/>
        <w:numPr>
          <w:ilvl w:val="0"/>
          <w:numId w:val="7"/>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Overdue grant reports, sub-recipient reports or project closeout documents; or </w:t>
      </w:r>
    </w:p>
    <w:p w14:paraId="0A531961" w14:textId="61CD27C1" w:rsidR="00E266AD" w:rsidRPr="00437CB2" w:rsidRDefault="00A51593" w:rsidP="00437CB2">
      <w:pPr>
        <w:pStyle w:val="Default"/>
        <w:numPr>
          <w:ilvl w:val="0"/>
          <w:numId w:val="7"/>
        </w:numPr>
        <w:jc w:val="both"/>
        <w:rPr>
          <w:rFonts w:asciiTheme="minorHAnsi" w:hAnsiTheme="minorHAnsi" w:cstheme="minorHAnsi"/>
          <w:color w:val="auto"/>
          <w:sz w:val="22"/>
          <w:szCs w:val="22"/>
        </w:rPr>
      </w:pPr>
      <w:r>
        <w:rPr>
          <w:rFonts w:asciiTheme="minorHAnsi" w:hAnsiTheme="minorHAnsi" w:cstheme="minorHAnsi"/>
          <w:color w:val="auto"/>
          <w:sz w:val="22"/>
          <w:szCs w:val="22"/>
        </w:rPr>
        <w:t>More than three (3</w:t>
      </w:r>
      <w:r w:rsidR="00E266AD" w:rsidRPr="003060BB">
        <w:rPr>
          <w:rFonts w:asciiTheme="minorHAnsi" w:hAnsiTheme="minorHAnsi" w:cstheme="minorHAnsi"/>
          <w:color w:val="auto"/>
          <w:sz w:val="22"/>
          <w:szCs w:val="22"/>
        </w:rPr>
        <w:t>) CDBG grant</w:t>
      </w:r>
      <w:r w:rsidR="00296429">
        <w:rPr>
          <w:rFonts w:asciiTheme="minorHAnsi" w:hAnsiTheme="minorHAnsi" w:cstheme="minorHAnsi"/>
          <w:color w:val="auto"/>
          <w:sz w:val="22"/>
          <w:szCs w:val="22"/>
        </w:rPr>
        <w:t>s</w:t>
      </w:r>
      <w:r w:rsidR="00E266AD" w:rsidRPr="003060BB">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that are </w:t>
      </w:r>
      <w:r w:rsidRPr="003060BB">
        <w:rPr>
          <w:rFonts w:asciiTheme="minorHAnsi" w:hAnsiTheme="minorHAnsi" w:cstheme="minorHAnsi"/>
          <w:color w:val="auto"/>
          <w:sz w:val="22"/>
          <w:szCs w:val="22"/>
        </w:rPr>
        <w:t>open or pending</w:t>
      </w:r>
      <w:r>
        <w:rPr>
          <w:rFonts w:asciiTheme="minorHAnsi" w:hAnsiTheme="minorHAnsi" w:cstheme="minorHAnsi"/>
          <w:color w:val="auto"/>
          <w:sz w:val="22"/>
          <w:szCs w:val="22"/>
        </w:rPr>
        <w:t xml:space="preserve"> award</w:t>
      </w:r>
      <w:r w:rsidRPr="003060BB">
        <w:rPr>
          <w:rFonts w:asciiTheme="minorHAnsi" w:hAnsiTheme="minorHAnsi" w:cstheme="minorHAnsi"/>
          <w:color w:val="auto"/>
          <w:sz w:val="22"/>
          <w:szCs w:val="22"/>
        </w:rPr>
        <w:t xml:space="preserve"> </w:t>
      </w:r>
      <w:r w:rsidR="00E266AD" w:rsidRPr="003060BB">
        <w:rPr>
          <w:rFonts w:asciiTheme="minorHAnsi" w:hAnsiTheme="minorHAnsi" w:cstheme="minorHAnsi"/>
          <w:color w:val="auto"/>
          <w:sz w:val="22"/>
          <w:szCs w:val="22"/>
        </w:rPr>
        <w:t xml:space="preserve">(Indiana cities and </w:t>
      </w:r>
      <w:r>
        <w:rPr>
          <w:rFonts w:asciiTheme="minorHAnsi" w:hAnsiTheme="minorHAnsi" w:cstheme="minorHAnsi"/>
          <w:color w:val="auto"/>
          <w:sz w:val="22"/>
          <w:szCs w:val="22"/>
        </w:rPr>
        <w:t>incorporated towns), or four (4</w:t>
      </w:r>
      <w:r w:rsidR="00E266AD" w:rsidRPr="003060B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 xml:space="preserve">CDBG grants </w:t>
      </w:r>
      <w:r>
        <w:rPr>
          <w:rFonts w:asciiTheme="minorHAnsi" w:hAnsiTheme="minorHAnsi" w:cstheme="minorHAnsi"/>
          <w:color w:val="auto"/>
          <w:sz w:val="22"/>
          <w:szCs w:val="22"/>
        </w:rPr>
        <w:t xml:space="preserve">that are </w:t>
      </w:r>
      <w:r w:rsidR="00E266AD" w:rsidRPr="003060BB">
        <w:rPr>
          <w:rFonts w:asciiTheme="minorHAnsi" w:hAnsiTheme="minorHAnsi" w:cstheme="minorHAnsi"/>
          <w:color w:val="auto"/>
          <w:sz w:val="22"/>
          <w:szCs w:val="22"/>
        </w:rPr>
        <w:t>open or pending</w:t>
      </w:r>
      <w:r>
        <w:rPr>
          <w:rFonts w:asciiTheme="minorHAnsi" w:hAnsiTheme="minorHAnsi" w:cstheme="minorHAnsi"/>
          <w:color w:val="auto"/>
          <w:sz w:val="22"/>
          <w:szCs w:val="22"/>
        </w:rPr>
        <w:t xml:space="preserve"> award </w:t>
      </w:r>
      <w:r w:rsidR="00E266AD" w:rsidRPr="003060BB">
        <w:rPr>
          <w:rFonts w:asciiTheme="minorHAnsi" w:hAnsiTheme="minorHAnsi" w:cstheme="minorHAnsi"/>
          <w:color w:val="auto"/>
          <w:sz w:val="22"/>
          <w:szCs w:val="22"/>
        </w:rPr>
        <w:t xml:space="preserve"> (Indiana counties) from OCRA;</w:t>
      </w:r>
    </w:p>
    <w:p w14:paraId="1C3B190D" w14:textId="77B2D936" w:rsidR="00E266AD" w:rsidRPr="00612F0A" w:rsidRDefault="00E266AD" w:rsidP="00612F0A">
      <w:pPr>
        <w:pStyle w:val="Default"/>
        <w:numPr>
          <w:ilvl w:val="0"/>
          <w:numId w:val="7"/>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For those applicants with an open </w:t>
      </w:r>
      <w:proofErr w:type="spellStart"/>
      <w:r w:rsidRPr="003060BB">
        <w:rPr>
          <w:rFonts w:asciiTheme="minorHAnsi" w:hAnsiTheme="minorHAnsi" w:cstheme="minorHAnsi"/>
          <w:color w:val="auto"/>
          <w:sz w:val="22"/>
          <w:szCs w:val="22"/>
        </w:rPr>
        <w:t>MSRP</w:t>
      </w:r>
      <w:proofErr w:type="spellEnd"/>
      <w:r w:rsidRPr="003060BB">
        <w:rPr>
          <w:rFonts w:asciiTheme="minorHAnsi" w:hAnsiTheme="minorHAnsi" w:cstheme="minorHAnsi"/>
          <w:color w:val="auto"/>
          <w:sz w:val="22"/>
          <w:szCs w:val="22"/>
        </w:rPr>
        <w:t xml:space="preserve">, </w:t>
      </w:r>
      <w:proofErr w:type="spellStart"/>
      <w:r w:rsidRPr="003060BB">
        <w:rPr>
          <w:rFonts w:asciiTheme="minorHAnsi" w:hAnsiTheme="minorHAnsi" w:cstheme="minorHAnsi"/>
          <w:color w:val="auto"/>
          <w:sz w:val="22"/>
          <w:szCs w:val="22"/>
        </w:rPr>
        <w:t>WDW</w:t>
      </w:r>
      <w:proofErr w:type="spellEnd"/>
      <w:r w:rsidRPr="003060BB">
        <w:rPr>
          <w:rFonts w:asciiTheme="minorHAnsi" w:hAnsiTheme="minorHAnsi" w:cstheme="minorHAnsi"/>
          <w:color w:val="auto"/>
          <w:sz w:val="22"/>
          <w:szCs w:val="22"/>
        </w:rPr>
        <w:t xml:space="preserve">, </w:t>
      </w:r>
      <w:proofErr w:type="spellStart"/>
      <w:r w:rsidRPr="003060BB">
        <w:rPr>
          <w:rFonts w:asciiTheme="minorHAnsi" w:hAnsiTheme="minorHAnsi" w:cstheme="minorHAnsi"/>
          <w:color w:val="auto"/>
          <w:sz w:val="22"/>
          <w:szCs w:val="22"/>
        </w:rPr>
        <w:t>PFP</w:t>
      </w:r>
      <w:proofErr w:type="spellEnd"/>
      <w:r w:rsidRPr="003060BB">
        <w:rPr>
          <w:rFonts w:asciiTheme="minorHAnsi" w:hAnsiTheme="minorHAnsi" w:cstheme="minorHAnsi"/>
          <w:color w:val="auto"/>
          <w:sz w:val="22"/>
          <w:szCs w:val="22"/>
        </w:rPr>
        <w:t xml:space="preserve">, SIP or </w:t>
      </w:r>
      <w:proofErr w:type="spellStart"/>
      <w:r w:rsidRPr="003060BB">
        <w:rPr>
          <w:rFonts w:asciiTheme="minorHAnsi" w:hAnsiTheme="minorHAnsi" w:cstheme="minorHAnsi"/>
          <w:color w:val="auto"/>
          <w:sz w:val="22"/>
          <w:szCs w:val="22"/>
        </w:rPr>
        <w:t>BCP</w:t>
      </w:r>
      <w:proofErr w:type="spellEnd"/>
      <w:r w:rsidRPr="003060BB">
        <w:rPr>
          <w:rFonts w:asciiTheme="minorHAnsi" w:hAnsiTheme="minorHAnsi" w:cstheme="minorHAnsi"/>
          <w:color w:val="auto"/>
          <w:sz w:val="22"/>
          <w:szCs w:val="22"/>
        </w:rPr>
        <w:t xml:space="preserve"> a “Notice of Release of Funds and Authorization to Incur Costs”   must have been issued for the construction </w:t>
      </w:r>
      <w:r w:rsidR="00612F0A">
        <w:rPr>
          <w:rFonts w:asciiTheme="minorHAnsi" w:hAnsiTheme="minorHAnsi" w:cstheme="minorHAnsi"/>
          <w:color w:val="auto"/>
          <w:sz w:val="22"/>
          <w:szCs w:val="22"/>
        </w:rPr>
        <w:t xml:space="preserve">activities under the open </w:t>
      </w:r>
      <w:proofErr w:type="spellStart"/>
      <w:r w:rsidR="00612F0A">
        <w:rPr>
          <w:rFonts w:asciiTheme="minorHAnsi" w:hAnsiTheme="minorHAnsi" w:cstheme="minorHAnsi"/>
          <w:color w:val="auto"/>
          <w:sz w:val="22"/>
          <w:szCs w:val="22"/>
        </w:rPr>
        <w:t>MSRP</w:t>
      </w:r>
      <w:proofErr w:type="spellEnd"/>
      <w:r w:rsidRPr="003060BB">
        <w:rPr>
          <w:rFonts w:asciiTheme="minorHAnsi" w:hAnsiTheme="minorHAnsi" w:cstheme="minorHAnsi"/>
          <w:color w:val="auto"/>
          <w:sz w:val="22"/>
          <w:szCs w:val="22"/>
        </w:rPr>
        <w:t xml:space="preserve">, </w:t>
      </w:r>
      <w:proofErr w:type="spellStart"/>
      <w:r w:rsidRPr="003060BB">
        <w:rPr>
          <w:rFonts w:asciiTheme="minorHAnsi" w:hAnsiTheme="minorHAnsi" w:cstheme="minorHAnsi"/>
          <w:color w:val="auto"/>
          <w:sz w:val="22"/>
          <w:szCs w:val="22"/>
        </w:rPr>
        <w:t>WDW</w:t>
      </w:r>
      <w:proofErr w:type="spellEnd"/>
      <w:r w:rsidRPr="003060BB">
        <w:rPr>
          <w:rFonts w:asciiTheme="minorHAnsi" w:hAnsiTheme="minorHAnsi" w:cstheme="minorHAnsi"/>
          <w:color w:val="auto"/>
          <w:sz w:val="22"/>
          <w:szCs w:val="22"/>
        </w:rPr>
        <w:t xml:space="preserve">, </w:t>
      </w:r>
      <w:proofErr w:type="spellStart"/>
      <w:r w:rsidRPr="003060BB">
        <w:rPr>
          <w:rFonts w:asciiTheme="minorHAnsi" w:hAnsiTheme="minorHAnsi" w:cstheme="minorHAnsi"/>
          <w:color w:val="auto"/>
          <w:sz w:val="22"/>
          <w:szCs w:val="22"/>
        </w:rPr>
        <w:t>PFP</w:t>
      </w:r>
      <w:proofErr w:type="spellEnd"/>
      <w:r w:rsidRPr="003060BB">
        <w:rPr>
          <w:rFonts w:asciiTheme="minorHAnsi" w:hAnsiTheme="minorHAnsi" w:cstheme="minorHAnsi"/>
          <w:color w:val="auto"/>
          <w:sz w:val="22"/>
          <w:szCs w:val="22"/>
        </w:rPr>
        <w:t xml:space="preserve">, SIP or </w:t>
      </w:r>
      <w:proofErr w:type="spellStart"/>
      <w:r w:rsidRPr="003060BB">
        <w:rPr>
          <w:rFonts w:asciiTheme="minorHAnsi" w:hAnsiTheme="minorHAnsi" w:cstheme="minorHAnsi"/>
          <w:color w:val="auto"/>
          <w:sz w:val="22"/>
          <w:szCs w:val="22"/>
        </w:rPr>
        <w:t>BCP</w:t>
      </w:r>
      <w:proofErr w:type="spellEnd"/>
      <w:r w:rsidRPr="003060BB">
        <w:rPr>
          <w:rFonts w:asciiTheme="minorHAnsi" w:hAnsiTheme="minorHAnsi" w:cstheme="minorHAnsi"/>
          <w:color w:val="auto"/>
          <w:sz w:val="22"/>
          <w:szCs w:val="22"/>
        </w:rPr>
        <w:t xml:space="preserve"> contract, and a contract for construction of the principal (largest funding amount) construction line item (activity) must have been executed prior to the deadline established by OCRA for receipt of applications for funding. </w:t>
      </w:r>
    </w:p>
    <w:p w14:paraId="223CB941" w14:textId="6041929A" w:rsidR="00296429" w:rsidRDefault="00E266AD" w:rsidP="00E266AD">
      <w:pPr>
        <w:pStyle w:val="Default"/>
        <w:numPr>
          <w:ilvl w:val="0"/>
          <w:numId w:val="7"/>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For those applicants who have open Planning Fund grants, the community must have final plan approved by the Office of Community and Rural Affairs prior to submission of </w:t>
      </w:r>
      <w:proofErr w:type="spellStart"/>
      <w:r w:rsidRPr="003060BB">
        <w:rPr>
          <w:rFonts w:asciiTheme="minorHAnsi" w:hAnsiTheme="minorHAnsi" w:cstheme="minorHAnsi"/>
          <w:color w:val="auto"/>
          <w:sz w:val="22"/>
          <w:szCs w:val="22"/>
        </w:rPr>
        <w:t>MSRP</w:t>
      </w:r>
      <w:proofErr w:type="spellEnd"/>
      <w:r w:rsidRPr="003060BB">
        <w:rPr>
          <w:rFonts w:asciiTheme="minorHAnsi" w:hAnsiTheme="minorHAnsi" w:cstheme="minorHAnsi"/>
          <w:color w:val="auto"/>
          <w:sz w:val="22"/>
          <w:szCs w:val="22"/>
        </w:rPr>
        <w:t xml:space="preserve">, SIP, </w:t>
      </w:r>
      <w:proofErr w:type="spellStart"/>
      <w:r w:rsidRPr="003060BB">
        <w:rPr>
          <w:rFonts w:asciiTheme="minorHAnsi" w:hAnsiTheme="minorHAnsi" w:cstheme="minorHAnsi"/>
          <w:color w:val="auto"/>
          <w:sz w:val="22"/>
          <w:szCs w:val="22"/>
        </w:rPr>
        <w:t>WDW</w:t>
      </w:r>
      <w:proofErr w:type="spellEnd"/>
      <w:r w:rsidRPr="003060BB">
        <w:rPr>
          <w:rFonts w:asciiTheme="minorHAnsi" w:hAnsiTheme="minorHAnsi" w:cstheme="minorHAnsi"/>
          <w:color w:val="auto"/>
          <w:sz w:val="22"/>
          <w:szCs w:val="22"/>
        </w:rPr>
        <w:t xml:space="preserve">, </w:t>
      </w:r>
      <w:proofErr w:type="spellStart"/>
      <w:r w:rsidRPr="003060BB">
        <w:rPr>
          <w:rFonts w:asciiTheme="minorHAnsi" w:hAnsiTheme="minorHAnsi" w:cstheme="minorHAnsi"/>
          <w:color w:val="auto"/>
          <w:sz w:val="22"/>
          <w:szCs w:val="22"/>
        </w:rPr>
        <w:t>PFP</w:t>
      </w:r>
      <w:proofErr w:type="spellEnd"/>
      <w:r w:rsidRPr="003060BB">
        <w:rPr>
          <w:rFonts w:asciiTheme="minorHAnsi" w:hAnsiTheme="minorHAnsi" w:cstheme="minorHAnsi"/>
          <w:color w:val="auto"/>
          <w:sz w:val="22"/>
          <w:szCs w:val="22"/>
        </w:rPr>
        <w:t xml:space="preserve">, </w:t>
      </w:r>
      <w:r w:rsidR="00612F0A">
        <w:rPr>
          <w:rFonts w:asciiTheme="minorHAnsi" w:hAnsiTheme="minorHAnsi" w:cstheme="minorHAnsi"/>
          <w:color w:val="auto"/>
          <w:sz w:val="22"/>
          <w:szCs w:val="22"/>
        </w:rPr>
        <w:t xml:space="preserve">or </w:t>
      </w:r>
      <w:proofErr w:type="spellStart"/>
      <w:r w:rsidRPr="003060BB">
        <w:rPr>
          <w:rFonts w:asciiTheme="minorHAnsi" w:hAnsiTheme="minorHAnsi" w:cstheme="minorHAnsi"/>
          <w:color w:val="auto"/>
          <w:sz w:val="22"/>
          <w:szCs w:val="22"/>
        </w:rPr>
        <w:t>BCP</w:t>
      </w:r>
      <w:proofErr w:type="spellEnd"/>
      <w:r w:rsidRPr="003060BB">
        <w:rPr>
          <w:rFonts w:asciiTheme="minorHAnsi" w:hAnsiTheme="minorHAnsi" w:cstheme="minorHAnsi"/>
          <w:color w:val="auto"/>
          <w:sz w:val="22"/>
          <w:szCs w:val="22"/>
        </w:rPr>
        <w:t xml:space="preserve"> application for the project. </w:t>
      </w:r>
    </w:p>
    <w:p w14:paraId="0E9BA891" w14:textId="77777777" w:rsidR="00E266AD" w:rsidRPr="003060BB" w:rsidRDefault="00E266AD" w:rsidP="00296429">
      <w:pPr>
        <w:pStyle w:val="Default"/>
        <w:ind w:left="144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4CE59653" w14:textId="5FA433EA" w:rsidR="00E266AD" w:rsidRPr="003060BB" w:rsidRDefault="00E266AD" w:rsidP="00612F0A">
      <w:pPr>
        <w:pStyle w:val="Default"/>
        <w:ind w:left="36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9.  To be eligible to apply at the time of application submission, an applicant must not have: </w:t>
      </w:r>
    </w:p>
    <w:p w14:paraId="7E55EBA6" w14:textId="49FBE59A" w:rsidR="00E266AD" w:rsidRPr="00612F0A" w:rsidRDefault="00E266AD" w:rsidP="00612F0A">
      <w:pPr>
        <w:pStyle w:val="Default"/>
        <w:numPr>
          <w:ilvl w:val="1"/>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Any unresolved complaints filed against the applying party with the Indiana Civil Rights Commission or any other local human relations commission with jurisdiction (collectively “Commissions”)</w:t>
      </w:r>
      <w:r w:rsidRPr="003060BB">
        <w:rPr>
          <w:rStyle w:val="FootnoteReference"/>
          <w:rFonts w:asciiTheme="minorHAnsi" w:hAnsiTheme="minorHAnsi" w:cstheme="minorHAnsi"/>
          <w:color w:val="auto"/>
          <w:sz w:val="22"/>
          <w:szCs w:val="22"/>
        </w:rPr>
        <w:footnoteReference w:id="1"/>
      </w:r>
    </w:p>
    <w:p w14:paraId="0B98B5AB" w14:textId="25AA0A36" w:rsidR="00E266AD" w:rsidRPr="00612F0A" w:rsidRDefault="00E266AD" w:rsidP="00612F0A">
      <w:pPr>
        <w:pStyle w:val="Default"/>
        <w:numPr>
          <w:ilvl w:val="2"/>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 complaint during the investigation stage can be resolved for the purposes of this application if the applying party provides the response it submitted to the Commissions and provides verification that it is cooperating in the investigation. </w:t>
      </w:r>
    </w:p>
    <w:p w14:paraId="0B50AA1D" w14:textId="164BC980" w:rsidR="00E266AD" w:rsidRPr="00612F0A" w:rsidRDefault="00E266AD" w:rsidP="00E266AD">
      <w:pPr>
        <w:pStyle w:val="Default"/>
        <w:numPr>
          <w:ilvl w:val="2"/>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To resolve a complaint for the purposes of this application that has received a finding of Probable or Reasonable Cause, the complaint must be closed in a manner that includes the applying party taking a fair housing training and implementing a relevant policy to prevent future possible discriminatory incidents.  The applying party need not take the training or implement the policy prior to the application being submitted if the applying party can provide proof that it intends to complete the training and implement the policy within a reasonable period of time.  If a complaint has been closed and the closure did not include training or the implementation of a policy, then the applying party can elect to contact the Commissions to voluntarily complete training and have Commissions assist in the implementation of a relevant policy. </w:t>
      </w:r>
    </w:p>
    <w:p w14:paraId="3C0C6FB7" w14:textId="5BFC61B1" w:rsidR="00E266AD" w:rsidRPr="00437CB2" w:rsidRDefault="00E266AD" w:rsidP="00437CB2">
      <w:pPr>
        <w:pStyle w:val="Default"/>
        <w:numPr>
          <w:ilvl w:val="2"/>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To resolve a complaint that merits litigation, the applying party must submit evidence that the complaint cannot be settled </w:t>
      </w:r>
      <w:r w:rsidR="006F788D">
        <w:rPr>
          <w:rFonts w:asciiTheme="minorHAnsi" w:hAnsiTheme="minorHAnsi" w:cstheme="minorHAnsi"/>
          <w:color w:val="auto"/>
          <w:sz w:val="22"/>
          <w:szCs w:val="22"/>
        </w:rPr>
        <w:t>(i.e. settlement ask too high e</w:t>
      </w:r>
      <w:r w:rsidRPr="003060BB">
        <w:rPr>
          <w:rFonts w:asciiTheme="minorHAnsi" w:hAnsiTheme="minorHAnsi" w:cstheme="minorHAnsi"/>
          <w:color w:val="auto"/>
          <w:sz w:val="22"/>
          <w:szCs w:val="22"/>
        </w:rPr>
        <w:t>t</w:t>
      </w:r>
      <w:r w:rsidR="006F788D">
        <w:rPr>
          <w:rFonts w:asciiTheme="minorHAnsi" w:hAnsiTheme="minorHAnsi" w:cstheme="minorHAnsi"/>
          <w:color w:val="auto"/>
          <w:sz w:val="22"/>
          <w:szCs w:val="22"/>
        </w:rPr>
        <w:t>c</w:t>
      </w:r>
      <w:r w:rsidRPr="003060BB">
        <w:rPr>
          <w:rFonts w:asciiTheme="minorHAnsi" w:hAnsiTheme="minorHAnsi" w:cstheme="minorHAnsi"/>
          <w:color w:val="auto"/>
          <w:sz w:val="22"/>
          <w:szCs w:val="22"/>
        </w:rPr>
        <w:t xml:space="preserve">.) and evidence that training and a policy are not the impediments to settlement.  Possible evidence can include offer letters, statements of disputed legal questions, statements of disputed facts, statements on behalf of the Commissions that they are unwilling to settle the case, or any similar document that illustrates the case is not ripe for settlement. </w:t>
      </w:r>
    </w:p>
    <w:p w14:paraId="1453D8D0" w14:textId="6101678C" w:rsidR="00E266AD" w:rsidRPr="00437CB2" w:rsidRDefault="00E266AD" w:rsidP="00437CB2">
      <w:pPr>
        <w:pStyle w:val="Default"/>
        <w:numPr>
          <w:ilvl w:val="1"/>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An unresolved pattern of complaints filed against the applying party with the Indiana Civil Rights Commission or any other local human relations commission with jurisdiction (collectively “Commissions”)</w:t>
      </w:r>
    </w:p>
    <w:p w14:paraId="044A8AF1" w14:textId="360AA003" w:rsidR="00E266AD" w:rsidRPr="00437CB2" w:rsidRDefault="00E266AD" w:rsidP="00437CB2">
      <w:pPr>
        <w:pStyle w:val="Default"/>
        <w:numPr>
          <w:ilvl w:val="2"/>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 pattern for purposes of this application is defined as any more than an average of two complaints over a period of four years, regardless of outcome. </w:t>
      </w:r>
    </w:p>
    <w:p w14:paraId="3AC0FD84" w14:textId="77777777" w:rsidR="00E266AD" w:rsidRPr="003060BB" w:rsidRDefault="00E266AD" w:rsidP="00E266AD">
      <w:pPr>
        <w:pStyle w:val="Default"/>
        <w:numPr>
          <w:ilvl w:val="2"/>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To resolve a pattern of complaints for purposes of this application, the applying party must partner with the Commissions or other equivalent housing organization to fully review the applying party’s current policies for best practices as well as for compliance with the Indiana Fair Housing Act and Indiana Civil Rights Law.  Additionally, the applying party must show proof that the applying party intends to undergo annual fair housing training for all of its employees that regularly interact with tenants and biannual training for all supervising employees for at least one year. </w:t>
      </w:r>
    </w:p>
    <w:p w14:paraId="18CA931D" w14:textId="77777777" w:rsidR="00E266AD" w:rsidRPr="003060BB" w:rsidRDefault="00E266AD" w:rsidP="00E266AD">
      <w:pPr>
        <w:pStyle w:val="Default"/>
        <w:ind w:left="720" w:hanging="360"/>
        <w:jc w:val="both"/>
        <w:rPr>
          <w:rFonts w:asciiTheme="minorHAnsi" w:hAnsiTheme="minorHAnsi" w:cstheme="minorHAnsi"/>
          <w:color w:val="auto"/>
          <w:sz w:val="22"/>
          <w:szCs w:val="22"/>
        </w:rPr>
      </w:pPr>
    </w:p>
    <w:p w14:paraId="2E7A7110" w14:textId="77777777" w:rsidR="00E266AD" w:rsidRPr="003060BB" w:rsidRDefault="00E266AD" w:rsidP="00E266AD">
      <w:pPr>
        <w:pStyle w:val="Default"/>
        <w:ind w:left="720" w:hanging="36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10. The cost/beneficiary ratio for all CDBG funds will be maintained at $5,000.  Housing related projects are to be submitted directly to the Indiana Housing &amp; Community Development Authority (IHCDA) under its programs.</w:t>
      </w:r>
    </w:p>
    <w:p w14:paraId="2A504F20" w14:textId="77777777" w:rsidR="00E266AD" w:rsidRPr="003060BB" w:rsidRDefault="00E266AD" w:rsidP="00E266AD">
      <w:pPr>
        <w:pStyle w:val="Default"/>
        <w:ind w:left="810" w:hanging="360"/>
        <w:jc w:val="both"/>
        <w:rPr>
          <w:rFonts w:asciiTheme="minorHAnsi" w:hAnsiTheme="minorHAnsi" w:cstheme="minorHAnsi"/>
          <w:color w:val="auto"/>
          <w:sz w:val="22"/>
          <w:szCs w:val="22"/>
        </w:rPr>
      </w:pPr>
    </w:p>
    <w:p w14:paraId="65F85012" w14:textId="77777777" w:rsidR="00E266AD" w:rsidRPr="003060BB" w:rsidRDefault="00E266AD" w:rsidP="00E266AD">
      <w:pPr>
        <w:pStyle w:val="Default"/>
        <w:ind w:left="720" w:hanging="36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11. Required leveraging based on program (as measured against the CDBG project, see definitions) must be proposed.  The Indiana Office of Community and Rural Affairs may rule on the suitability and eligibility of such leveraging. </w:t>
      </w:r>
    </w:p>
    <w:p w14:paraId="0224AD64" w14:textId="77777777" w:rsidR="00E266AD" w:rsidRPr="003060BB" w:rsidRDefault="00E266AD" w:rsidP="00E266AD">
      <w:pPr>
        <w:pStyle w:val="Default"/>
        <w:ind w:left="810" w:hanging="36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541C898D" w14:textId="77777777" w:rsidR="00E266AD" w:rsidRPr="003060BB" w:rsidRDefault="00E266AD" w:rsidP="00E266AD">
      <w:pPr>
        <w:pStyle w:val="Default"/>
        <w:ind w:left="720" w:hanging="36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12. The applicant may only submit one proposal or application per round per program.  Counties may submit either for their own project or an “on-behalf-of” application for projects of other eligible applicants within the county.   However, no application will be invited from an applicant where the purpose is clearly to circumvent the “one application per round” requirement for other eligible applicants. </w:t>
      </w:r>
    </w:p>
    <w:p w14:paraId="65D5D737" w14:textId="77777777" w:rsidR="00E266AD" w:rsidRPr="003060BB" w:rsidRDefault="00E266AD" w:rsidP="00E266AD">
      <w:pPr>
        <w:pStyle w:val="Default"/>
        <w:ind w:left="720" w:hanging="36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57AE4686" w14:textId="77777777" w:rsidR="00E266AD" w:rsidRPr="003060BB" w:rsidRDefault="00E266AD" w:rsidP="00E266AD">
      <w:pPr>
        <w:pStyle w:val="Default"/>
        <w:ind w:left="720" w:hanging="36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13.  The application must be complete and submitted by the announced deadline. </w:t>
      </w:r>
    </w:p>
    <w:p w14:paraId="53D471F3" w14:textId="77777777" w:rsidR="00E266AD" w:rsidRPr="003060BB" w:rsidRDefault="00E266AD" w:rsidP="00E266AD">
      <w:pPr>
        <w:pStyle w:val="Default"/>
        <w:ind w:left="1080" w:hanging="36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18244701" w14:textId="77777777" w:rsidR="00E266AD" w:rsidRPr="003060BB" w:rsidRDefault="00E266AD" w:rsidP="00E266AD">
      <w:pPr>
        <w:pStyle w:val="Default"/>
        <w:jc w:val="both"/>
        <w:rPr>
          <w:rFonts w:asciiTheme="minorHAnsi" w:hAnsiTheme="minorHAnsi" w:cstheme="minorHAnsi"/>
          <w:color w:val="auto"/>
          <w:sz w:val="22"/>
          <w:szCs w:val="22"/>
        </w:rPr>
      </w:pPr>
    </w:p>
    <w:p w14:paraId="42C4AF08" w14:textId="10EC024D" w:rsidR="00E266AD" w:rsidRPr="003060BB" w:rsidRDefault="00E266AD" w:rsidP="00E266AD">
      <w:pPr>
        <w:pStyle w:val="Default"/>
        <w:ind w:left="297" w:hanging="306"/>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C. Housing Programs:  Refer to Method of Distribution for Indiana Housing &amp; Community Development Authority within this FY </w:t>
      </w:r>
      <w:r w:rsidR="00E3434A">
        <w:rPr>
          <w:rFonts w:asciiTheme="minorHAnsi" w:hAnsiTheme="minorHAnsi" w:cstheme="minorHAnsi"/>
          <w:b/>
          <w:bCs/>
          <w:color w:val="auto"/>
          <w:sz w:val="22"/>
          <w:szCs w:val="22"/>
        </w:rPr>
        <w:t>2020</w:t>
      </w:r>
      <w:r w:rsidRPr="003060BB">
        <w:rPr>
          <w:rFonts w:asciiTheme="minorHAnsi" w:hAnsiTheme="minorHAnsi" w:cstheme="minorHAnsi"/>
          <w:b/>
          <w:bCs/>
          <w:color w:val="auto"/>
          <w:sz w:val="22"/>
          <w:szCs w:val="22"/>
        </w:rPr>
        <w:t xml:space="preserve"> Action Plan  </w:t>
      </w:r>
    </w:p>
    <w:p w14:paraId="0E7B8C31" w14:textId="77777777" w:rsidR="00E266AD" w:rsidRPr="003060BB" w:rsidRDefault="00E266AD" w:rsidP="00E266AD">
      <w:pPr>
        <w:pStyle w:val="Default"/>
        <w:ind w:left="297" w:hanging="306"/>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34BDF5D0" w14:textId="77777777" w:rsidR="00E266AD" w:rsidRPr="003060BB" w:rsidRDefault="00E266AD" w:rsidP="00E266AD">
      <w:pPr>
        <w:pStyle w:val="Default"/>
        <w:jc w:val="right"/>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br w:type="page"/>
        <w:t xml:space="preserve">ATTACHMENT D </w:t>
      </w:r>
    </w:p>
    <w:p w14:paraId="768C075F" w14:textId="77777777" w:rsidR="00E266AD" w:rsidRPr="003060BB" w:rsidRDefault="00E266AD" w:rsidP="00E266AD">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7503CD68" w14:textId="77777777" w:rsidR="00E266AD" w:rsidRPr="003060BB" w:rsidRDefault="00E266AD" w:rsidP="00E266AD">
      <w:pPr>
        <w:pStyle w:val="Default"/>
        <w:ind w:left="1296" w:hanging="1440"/>
        <w:jc w:val="center"/>
        <w:outlineLvl w:val="0"/>
        <w:rPr>
          <w:rFonts w:asciiTheme="minorHAnsi" w:hAnsiTheme="minorHAnsi" w:cstheme="minorHAnsi"/>
          <w:b/>
          <w:bCs/>
          <w:color w:val="auto"/>
          <w:sz w:val="22"/>
          <w:szCs w:val="22"/>
        </w:rPr>
      </w:pPr>
      <w:r w:rsidRPr="003060BB">
        <w:rPr>
          <w:rFonts w:asciiTheme="minorHAnsi" w:hAnsiTheme="minorHAnsi" w:cstheme="minorHAnsi"/>
          <w:b/>
          <w:bCs/>
          <w:color w:val="auto"/>
          <w:sz w:val="22"/>
          <w:szCs w:val="22"/>
        </w:rPr>
        <w:t xml:space="preserve">GRANT EVALUATION CRITERIA </w:t>
      </w:r>
    </w:p>
    <w:p w14:paraId="2DEBFF66" w14:textId="77777777" w:rsidR="00E266AD" w:rsidRPr="003060BB" w:rsidRDefault="00E266AD" w:rsidP="00E266AD">
      <w:pPr>
        <w:pStyle w:val="Default"/>
        <w:ind w:left="1296" w:hanging="1440"/>
        <w:jc w:val="center"/>
        <w:outlineLvl w:val="0"/>
        <w:rPr>
          <w:rFonts w:asciiTheme="minorHAnsi" w:hAnsiTheme="minorHAnsi" w:cstheme="minorHAnsi"/>
          <w:b/>
          <w:bCs/>
          <w:color w:val="auto"/>
          <w:sz w:val="22"/>
          <w:szCs w:val="22"/>
        </w:rPr>
      </w:pPr>
      <w:r w:rsidRPr="003060BB">
        <w:rPr>
          <w:rFonts w:asciiTheme="minorHAnsi" w:hAnsiTheme="minorHAnsi" w:cstheme="minorHAnsi"/>
          <w:b/>
          <w:bCs/>
          <w:color w:val="auto"/>
          <w:sz w:val="22"/>
          <w:szCs w:val="22"/>
        </w:rPr>
        <w:t xml:space="preserve">700 POINTS TOTAL </w:t>
      </w:r>
    </w:p>
    <w:p w14:paraId="51B1C631" w14:textId="77777777" w:rsidR="00E266AD" w:rsidRPr="003060BB" w:rsidRDefault="00E266AD" w:rsidP="00E266AD">
      <w:pPr>
        <w:pStyle w:val="Default"/>
        <w:ind w:left="1296" w:hanging="1440"/>
        <w:jc w:val="center"/>
        <w:outlineLvl w:val="0"/>
        <w:rPr>
          <w:rFonts w:asciiTheme="minorHAnsi" w:hAnsiTheme="minorHAnsi" w:cstheme="minorHAnsi"/>
          <w:color w:val="auto"/>
          <w:sz w:val="22"/>
          <w:szCs w:val="22"/>
        </w:rPr>
      </w:pPr>
    </w:p>
    <w:p w14:paraId="2C0D3359" w14:textId="77777777" w:rsidR="00E266AD" w:rsidRPr="003060BB" w:rsidRDefault="00E266AD" w:rsidP="00E266AD">
      <w:pPr>
        <w:jc w:val="both"/>
        <w:rPr>
          <w:rFonts w:asciiTheme="minorHAnsi" w:hAnsiTheme="minorHAnsi" w:cstheme="minorHAnsi"/>
          <w:sz w:val="22"/>
          <w:szCs w:val="22"/>
        </w:rPr>
      </w:pPr>
      <w:r w:rsidRPr="003060BB">
        <w:rPr>
          <w:rFonts w:asciiTheme="minorHAnsi" w:hAnsiTheme="minorHAnsi" w:cstheme="minorHAnsi"/>
          <w:sz w:val="22"/>
          <w:szCs w:val="22"/>
        </w:rPr>
        <w:t>Applications must achieve a minimum score of 450 points to be eligible for award.</w:t>
      </w:r>
    </w:p>
    <w:p w14:paraId="1177A63E" w14:textId="77777777" w:rsidR="00E266AD" w:rsidRPr="003060BB" w:rsidRDefault="00E266AD" w:rsidP="00E266AD">
      <w:pPr>
        <w:jc w:val="both"/>
        <w:rPr>
          <w:rFonts w:asciiTheme="minorHAnsi" w:hAnsiTheme="minorHAnsi" w:cstheme="minorHAnsi"/>
          <w:sz w:val="22"/>
          <w:szCs w:val="22"/>
        </w:rPr>
      </w:pPr>
    </w:p>
    <w:p w14:paraId="363141E3" w14:textId="77777777" w:rsidR="00E266AD" w:rsidRPr="003060BB" w:rsidRDefault="00E266AD" w:rsidP="00E266AD">
      <w:pPr>
        <w:jc w:val="both"/>
        <w:rPr>
          <w:rFonts w:asciiTheme="minorHAnsi" w:hAnsiTheme="minorHAnsi" w:cstheme="minorHAnsi"/>
          <w:b/>
          <w:sz w:val="22"/>
          <w:szCs w:val="22"/>
          <w:u w:val="single"/>
        </w:rPr>
      </w:pPr>
      <w:r w:rsidRPr="003060BB">
        <w:rPr>
          <w:rFonts w:asciiTheme="minorHAnsi" w:hAnsiTheme="minorHAnsi" w:cstheme="minorHAnsi"/>
          <w:b/>
          <w:sz w:val="22"/>
          <w:szCs w:val="22"/>
          <w:u w:val="single"/>
        </w:rPr>
        <w:t>NATIONAL OBJECTIVE SCORE (100 POINTS):</w:t>
      </w:r>
    </w:p>
    <w:p w14:paraId="1AB95F22" w14:textId="77777777" w:rsidR="00E266AD" w:rsidRPr="003060BB" w:rsidRDefault="00E266AD" w:rsidP="00E266AD">
      <w:pPr>
        <w:jc w:val="both"/>
        <w:rPr>
          <w:rFonts w:asciiTheme="minorHAnsi" w:hAnsiTheme="minorHAnsi" w:cstheme="minorHAnsi"/>
          <w:sz w:val="22"/>
          <w:szCs w:val="22"/>
        </w:rPr>
      </w:pPr>
      <w:r w:rsidRPr="003060BB">
        <w:rPr>
          <w:rFonts w:asciiTheme="minorHAnsi" w:hAnsiTheme="minorHAnsi" w:cstheme="minorHAnsi"/>
          <w:sz w:val="22"/>
          <w:szCs w:val="22"/>
        </w:rPr>
        <w:t>Depending on the National Objective to be met by the project, one of the following two mechanisms will be used to calculate the score for this category.</w:t>
      </w:r>
    </w:p>
    <w:p w14:paraId="548361A2" w14:textId="77777777" w:rsidR="00E266AD" w:rsidRPr="003060BB" w:rsidRDefault="00E266AD" w:rsidP="00E266AD">
      <w:pPr>
        <w:jc w:val="both"/>
        <w:rPr>
          <w:rFonts w:asciiTheme="minorHAnsi" w:hAnsiTheme="minorHAnsi" w:cstheme="minorHAnsi"/>
          <w:sz w:val="22"/>
          <w:szCs w:val="22"/>
        </w:rPr>
      </w:pPr>
    </w:p>
    <w:p w14:paraId="4F456C3A" w14:textId="77777777" w:rsidR="00E266AD" w:rsidRPr="003060BB" w:rsidRDefault="00E266AD" w:rsidP="00E266AD">
      <w:pPr>
        <w:jc w:val="both"/>
        <w:rPr>
          <w:rFonts w:asciiTheme="minorHAnsi" w:hAnsiTheme="minorHAnsi" w:cstheme="minorHAnsi"/>
          <w:sz w:val="22"/>
          <w:szCs w:val="22"/>
        </w:rPr>
      </w:pPr>
      <w:r w:rsidRPr="003060BB">
        <w:rPr>
          <w:rFonts w:asciiTheme="minorHAnsi" w:hAnsiTheme="minorHAnsi" w:cstheme="minorHAnsi"/>
          <w:b/>
          <w:sz w:val="22"/>
          <w:szCs w:val="22"/>
        </w:rPr>
        <w:t>1. National Objective = Benefit to Low- and Moderate-Income Persons:</w:t>
      </w:r>
      <w:r w:rsidRPr="003060BB">
        <w:rPr>
          <w:rFonts w:asciiTheme="minorHAnsi" w:hAnsiTheme="minorHAnsi" w:cstheme="minorHAnsi"/>
          <w:sz w:val="22"/>
          <w:szCs w:val="22"/>
        </w:rPr>
        <w:t xml:space="preserve"> 100 points maximum awarded according to the percentage of low- and moderate-income individuals to be served by the project.  The total points given are computed as follows: </w:t>
      </w:r>
    </w:p>
    <w:p w14:paraId="3555C7E2" w14:textId="77777777" w:rsidR="00E266AD" w:rsidRPr="003060BB" w:rsidRDefault="00E266AD" w:rsidP="00E266AD">
      <w:pPr>
        <w:jc w:val="both"/>
        <w:rPr>
          <w:rFonts w:asciiTheme="minorHAnsi" w:hAnsiTheme="minorHAnsi" w:cstheme="minorHAnsi"/>
          <w:sz w:val="22"/>
          <w:szCs w:val="22"/>
        </w:rPr>
      </w:pPr>
      <w:r w:rsidRPr="003060BB">
        <w:rPr>
          <w:rFonts w:asciiTheme="minorHAnsi" w:hAnsiTheme="minorHAnsi" w:cstheme="minorHAnsi"/>
          <w:sz w:val="22"/>
          <w:szCs w:val="22"/>
        </w:rPr>
        <w:t xml:space="preserve">        </w:t>
      </w:r>
    </w:p>
    <w:p w14:paraId="36E208A3" w14:textId="77777777" w:rsidR="00E266AD" w:rsidRPr="003060BB" w:rsidRDefault="00E266AD" w:rsidP="00E266AD">
      <w:pPr>
        <w:ind w:left="720"/>
        <w:jc w:val="both"/>
        <w:rPr>
          <w:rFonts w:asciiTheme="minorHAnsi" w:hAnsiTheme="minorHAnsi" w:cstheme="minorHAnsi"/>
          <w:b/>
          <w:sz w:val="22"/>
          <w:szCs w:val="22"/>
        </w:rPr>
      </w:pPr>
      <w:r w:rsidRPr="003060BB">
        <w:rPr>
          <w:rFonts w:asciiTheme="minorHAnsi" w:hAnsiTheme="minorHAnsi" w:cstheme="minorHAnsi"/>
          <w:b/>
          <w:sz w:val="22"/>
          <w:szCs w:val="22"/>
        </w:rPr>
        <w:t>National Objective Score = % Low/Mod Beneficiaries X 1</w:t>
      </w:r>
    </w:p>
    <w:p w14:paraId="18721F66" w14:textId="77777777" w:rsidR="00E266AD" w:rsidRPr="003060BB" w:rsidRDefault="00E266AD" w:rsidP="00E266AD">
      <w:pPr>
        <w:jc w:val="both"/>
        <w:rPr>
          <w:rFonts w:asciiTheme="minorHAnsi" w:hAnsiTheme="minorHAnsi" w:cstheme="minorHAnsi"/>
          <w:sz w:val="22"/>
          <w:szCs w:val="22"/>
        </w:rPr>
      </w:pPr>
      <w:r w:rsidRPr="003060BB">
        <w:rPr>
          <w:rFonts w:asciiTheme="minorHAnsi" w:hAnsiTheme="minorHAnsi" w:cstheme="minorHAnsi"/>
          <w:sz w:val="22"/>
          <w:szCs w:val="22"/>
        </w:rPr>
        <w:t xml:space="preserve">         </w:t>
      </w:r>
    </w:p>
    <w:p w14:paraId="6D2B38C9" w14:textId="77777777" w:rsidR="00E266AD" w:rsidRPr="003060BB" w:rsidRDefault="00E266AD" w:rsidP="00E266AD">
      <w:pPr>
        <w:jc w:val="both"/>
        <w:rPr>
          <w:rFonts w:asciiTheme="minorHAnsi" w:hAnsiTheme="minorHAnsi" w:cstheme="minorHAnsi"/>
          <w:sz w:val="22"/>
          <w:szCs w:val="22"/>
        </w:rPr>
      </w:pPr>
      <w:r w:rsidRPr="003060BB">
        <w:rPr>
          <w:rFonts w:asciiTheme="minorHAnsi" w:hAnsiTheme="minorHAnsi" w:cstheme="minorHAnsi"/>
          <w:b/>
          <w:sz w:val="22"/>
          <w:szCs w:val="22"/>
        </w:rPr>
        <w:t>2. National Objective = Prevention or Elimination of Slums or Blight:</w:t>
      </w:r>
      <w:r w:rsidRPr="003060BB">
        <w:rPr>
          <w:rFonts w:asciiTheme="minorHAnsi" w:hAnsiTheme="minorHAnsi" w:cstheme="minorHAnsi"/>
          <w:sz w:val="22"/>
          <w:szCs w:val="22"/>
        </w:rPr>
        <w:t xml:space="preserve">  100 points maximum awarded based on the characteristics listed below. The total points given are computed as follows:</w:t>
      </w:r>
    </w:p>
    <w:p w14:paraId="2E2E61B8" w14:textId="77777777" w:rsidR="00E266AD" w:rsidRPr="003060BB" w:rsidRDefault="00E266AD" w:rsidP="00E266AD">
      <w:pPr>
        <w:jc w:val="both"/>
        <w:rPr>
          <w:rFonts w:asciiTheme="minorHAnsi" w:hAnsiTheme="minorHAnsi" w:cstheme="minorHAnsi"/>
          <w:sz w:val="22"/>
          <w:szCs w:val="22"/>
        </w:rPr>
      </w:pPr>
    </w:p>
    <w:p w14:paraId="44679C7F" w14:textId="77777777" w:rsidR="00E266AD" w:rsidRPr="003060BB" w:rsidRDefault="00E266AD" w:rsidP="00E266AD">
      <w:pPr>
        <w:ind w:left="720"/>
        <w:jc w:val="both"/>
        <w:rPr>
          <w:rFonts w:asciiTheme="minorHAnsi" w:hAnsiTheme="minorHAnsi" w:cstheme="minorHAnsi"/>
          <w:sz w:val="22"/>
          <w:szCs w:val="22"/>
        </w:rPr>
      </w:pPr>
      <w:r w:rsidRPr="003060BB">
        <w:rPr>
          <w:rFonts w:asciiTheme="minorHAnsi" w:hAnsiTheme="minorHAnsi" w:cstheme="minorHAnsi"/>
          <w:b/>
          <w:sz w:val="22"/>
          <w:szCs w:val="22"/>
        </w:rPr>
        <w:t xml:space="preserve">National Objective Score = (Total of the points received in each category below) </w:t>
      </w:r>
    </w:p>
    <w:p w14:paraId="55EB8702" w14:textId="77777777" w:rsidR="00E266AD" w:rsidRPr="003060BB" w:rsidRDefault="00E266AD" w:rsidP="00E266AD">
      <w:pPr>
        <w:pStyle w:val="ListParagraph"/>
        <w:numPr>
          <w:ilvl w:val="1"/>
          <w:numId w:val="26"/>
        </w:numPr>
        <w:ind w:left="1080"/>
        <w:contextualSpacing/>
        <w:jc w:val="both"/>
        <w:rPr>
          <w:rFonts w:asciiTheme="minorHAnsi" w:hAnsiTheme="minorHAnsi" w:cstheme="minorHAnsi"/>
          <w:sz w:val="22"/>
          <w:szCs w:val="22"/>
        </w:rPr>
      </w:pPr>
      <w:r w:rsidRPr="003060BB">
        <w:rPr>
          <w:rFonts w:asciiTheme="minorHAnsi" w:hAnsiTheme="minorHAnsi" w:cstheme="minorHAnsi"/>
          <w:sz w:val="22"/>
          <w:szCs w:val="22"/>
        </w:rPr>
        <w:t xml:space="preserve">Applicant has a Slum/Blight Resolution for project area (50 pts.)  </w:t>
      </w:r>
    </w:p>
    <w:p w14:paraId="47A72D85" w14:textId="77777777" w:rsidR="00E266AD" w:rsidRPr="003060BB" w:rsidRDefault="00E266AD" w:rsidP="00E266AD">
      <w:pPr>
        <w:pStyle w:val="ListParagraph"/>
        <w:numPr>
          <w:ilvl w:val="1"/>
          <w:numId w:val="26"/>
        </w:numPr>
        <w:ind w:left="1080"/>
        <w:contextualSpacing/>
        <w:jc w:val="both"/>
        <w:rPr>
          <w:rFonts w:asciiTheme="minorHAnsi" w:hAnsiTheme="minorHAnsi" w:cstheme="minorHAnsi"/>
          <w:sz w:val="22"/>
          <w:szCs w:val="22"/>
        </w:rPr>
      </w:pPr>
      <w:r w:rsidRPr="003060BB">
        <w:rPr>
          <w:rFonts w:asciiTheme="minorHAnsi" w:hAnsiTheme="minorHAnsi" w:cstheme="minorHAnsi"/>
          <w:sz w:val="22"/>
          <w:szCs w:val="22"/>
        </w:rPr>
        <w:t xml:space="preserve">The project site is a brownfield* (25 pts.)  </w:t>
      </w:r>
    </w:p>
    <w:p w14:paraId="738A2054" w14:textId="034DD9DF" w:rsidR="00E266AD" w:rsidRPr="003060BB" w:rsidRDefault="00E266AD" w:rsidP="00E266AD">
      <w:pPr>
        <w:pStyle w:val="ListParagraph"/>
        <w:numPr>
          <w:ilvl w:val="1"/>
          <w:numId w:val="26"/>
        </w:numPr>
        <w:ind w:left="1080"/>
        <w:contextualSpacing/>
        <w:jc w:val="both"/>
        <w:rPr>
          <w:rFonts w:asciiTheme="minorHAnsi" w:hAnsiTheme="minorHAnsi" w:cstheme="minorHAnsi"/>
          <w:sz w:val="22"/>
          <w:szCs w:val="22"/>
        </w:rPr>
      </w:pPr>
      <w:r w:rsidRPr="003060BB">
        <w:rPr>
          <w:rFonts w:asciiTheme="minorHAnsi" w:hAnsiTheme="minorHAnsi" w:cstheme="minorHAnsi"/>
          <w:sz w:val="22"/>
          <w:szCs w:val="22"/>
        </w:rPr>
        <w:t>The build</w:t>
      </w:r>
      <w:r w:rsidR="00BA6071">
        <w:rPr>
          <w:rFonts w:asciiTheme="minorHAnsi" w:hAnsiTheme="minorHAnsi" w:cstheme="minorHAnsi"/>
          <w:sz w:val="22"/>
          <w:szCs w:val="22"/>
        </w:rPr>
        <w:t>ing or district is listed on or is eligible for listing on the</w:t>
      </w:r>
      <w:r w:rsidRPr="003060BB">
        <w:rPr>
          <w:rFonts w:asciiTheme="minorHAnsi" w:hAnsiTheme="minorHAnsi" w:cstheme="minorHAnsi"/>
          <w:sz w:val="22"/>
          <w:szCs w:val="22"/>
        </w:rPr>
        <w:t xml:space="preserve"> Indiana or Nation</w:t>
      </w:r>
      <w:r w:rsidR="00BA6071">
        <w:rPr>
          <w:rFonts w:asciiTheme="minorHAnsi" w:hAnsiTheme="minorHAnsi" w:cstheme="minorHAnsi"/>
          <w:sz w:val="22"/>
          <w:szCs w:val="22"/>
        </w:rPr>
        <w:t>al Register of Historic Places</w:t>
      </w:r>
      <w:r w:rsidRPr="003060BB">
        <w:rPr>
          <w:rFonts w:asciiTheme="minorHAnsi" w:hAnsiTheme="minorHAnsi" w:cstheme="minorHAnsi"/>
          <w:sz w:val="22"/>
          <w:szCs w:val="22"/>
        </w:rPr>
        <w:t xml:space="preserve"> (10 pts.)</w:t>
      </w:r>
    </w:p>
    <w:p w14:paraId="4F94908F" w14:textId="77777777" w:rsidR="00E266AD" w:rsidRPr="003060BB" w:rsidRDefault="00E266AD" w:rsidP="00E266AD">
      <w:pPr>
        <w:pStyle w:val="ListParagraph"/>
        <w:numPr>
          <w:ilvl w:val="1"/>
          <w:numId w:val="26"/>
        </w:numPr>
        <w:ind w:left="1080"/>
        <w:contextualSpacing/>
        <w:jc w:val="both"/>
        <w:rPr>
          <w:rFonts w:asciiTheme="minorHAnsi" w:hAnsiTheme="minorHAnsi" w:cstheme="minorHAnsi"/>
          <w:sz w:val="22"/>
          <w:szCs w:val="22"/>
        </w:rPr>
      </w:pPr>
      <w:r w:rsidRPr="003060BB">
        <w:rPr>
          <w:rFonts w:asciiTheme="minorHAnsi" w:hAnsiTheme="minorHAnsi" w:cstheme="minorHAnsi"/>
          <w:sz w:val="22"/>
          <w:szCs w:val="22"/>
        </w:rPr>
        <w:t>The building is on the Historic Landmarks Foundation of Indiana’s “10 Most Endangered List” (15 pts.)</w:t>
      </w:r>
    </w:p>
    <w:p w14:paraId="117A8F06" w14:textId="77777777" w:rsidR="00E266AD" w:rsidRPr="003060BB" w:rsidRDefault="00E266AD" w:rsidP="00E266AD">
      <w:pPr>
        <w:ind w:left="720" w:hanging="720"/>
        <w:jc w:val="both"/>
        <w:rPr>
          <w:rFonts w:asciiTheme="minorHAnsi" w:hAnsiTheme="minorHAnsi" w:cstheme="minorHAnsi"/>
          <w:sz w:val="22"/>
          <w:szCs w:val="22"/>
        </w:rPr>
      </w:pPr>
    </w:p>
    <w:p w14:paraId="25CDA130" w14:textId="56589294" w:rsidR="00E266AD" w:rsidRPr="003060BB" w:rsidRDefault="00E266AD" w:rsidP="00E266AD">
      <w:pPr>
        <w:pStyle w:val="NormalWeb"/>
        <w:spacing w:before="0" w:after="0"/>
        <w:jc w:val="both"/>
        <w:rPr>
          <w:rFonts w:asciiTheme="minorHAnsi" w:hAnsiTheme="minorHAnsi" w:cstheme="minorHAnsi"/>
          <w:sz w:val="22"/>
          <w:szCs w:val="22"/>
        </w:rPr>
      </w:pPr>
      <w:r w:rsidRPr="003060BB">
        <w:rPr>
          <w:rFonts w:asciiTheme="minorHAnsi" w:hAnsiTheme="minorHAnsi" w:cstheme="minorHAnsi"/>
          <w:sz w:val="22"/>
          <w:szCs w:val="22"/>
        </w:rPr>
        <w:t xml:space="preserve">* The State of Indiana defines a brownfield as an industrial or commercial property that is abandoned, inactive, or underutilized, on which expansion or redevelopment is complicated due to actual or perceived environmental contamination. </w:t>
      </w:r>
      <w:r w:rsidR="00BA6071">
        <w:rPr>
          <w:rFonts w:asciiTheme="minorHAnsi" w:hAnsiTheme="minorHAnsi" w:cstheme="minorHAnsi"/>
          <w:sz w:val="22"/>
          <w:szCs w:val="22"/>
        </w:rPr>
        <w:t>P</w:t>
      </w:r>
      <w:r w:rsidR="00BA6071" w:rsidRPr="003060BB">
        <w:rPr>
          <w:rFonts w:asciiTheme="minorHAnsi" w:hAnsiTheme="minorHAnsi" w:cstheme="minorHAnsi"/>
          <w:sz w:val="22"/>
          <w:szCs w:val="22"/>
        </w:rPr>
        <w:t>oints</w:t>
      </w:r>
      <w:r w:rsidR="00BA6071">
        <w:rPr>
          <w:rFonts w:asciiTheme="minorHAnsi" w:hAnsiTheme="minorHAnsi" w:cstheme="minorHAnsi"/>
          <w:sz w:val="22"/>
          <w:szCs w:val="22"/>
        </w:rPr>
        <w:t xml:space="preserve"> are awarded for sites</w:t>
      </w:r>
      <w:r w:rsidR="00BA6071" w:rsidRPr="003060BB">
        <w:rPr>
          <w:rFonts w:asciiTheme="minorHAnsi" w:hAnsiTheme="minorHAnsi" w:cstheme="minorHAnsi"/>
          <w:sz w:val="22"/>
          <w:szCs w:val="22"/>
        </w:rPr>
        <w:t xml:space="preserve"> listed on the </w:t>
      </w:r>
      <w:proofErr w:type="spellStart"/>
      <w:r w:rsidR="00BA6071" w:rsidRPr="003060BB">
        <w:rPr>
          <w:rFonts w:asciiTheme="minorHAnsi" w:hAnsiTheme="minorHAnsi" w:cstheme="minorHAnsi"/>
          <w:sz w:val="22"/>
          <w:szCs w:val="22"/>
        </w:rPr>
        <w:t>IFA</w:t>
      </w:r>
      <w:proofErr w:type="spellEnd"/>
      <w:r w:rsidR="00BA6071" w:rsidRPr="003060BB">
        <w:rPr>
          <w:rFonts w:asciiTheme="minorHAnsi" w:hAnsiTheme="minorHAnsi" w:cstheme="minorHAnsi"/>
          <w:sz w:val="22"/>
          <w:szCs w:val="22"/>
        </w:rPr>
        <w:t xml:space="preserve"> Brownfield registry which indicates prior involvement of the Indiana Brownfield Program</w:t>
      </w:r>
      <w:r w:rsidR="00BA6071">
        <w:rPr>
          <w:rFonts w:asciiTheme="minorHAnsi" w:hAnsiTheme="minorHAnsi" w:cstheme="minorHAnsi"/>
          <w:sz w:val="22"/>
          <w:szCs w:val="22"/>
        </w:rPr>
        <w:t xml:space="preserve"> or a letter is provided from the </w:t>
      </w:r>
      <w:proofErr w:type="spellStart"/>
      <w:r w:rsidR="00BA6071">
        <w:rPr>
          <w:rFonts w:asciiTheme="minorHAnsi" w:hAnsiTheme="minorHAnsi" w:cstheme="minorHAnsi"/>
          <w:sz w:val="22"/>
          <w:szCs w:val="22"/>
        </w:rPr>
        <w:t>IFA</w:t>
      </w:r>
      <w:proofErr w:type="spellEnd"/>
      <w:r w:rsidR="00BA6071">
        <w:rPr>
          <w:rFonts w:asciiTheme="minorHAnsi" w:hAnsiTheme="minorHAnsi" w:cstheme="minorHAnsi"/>
          <w:sz w:val="22"/>
          <w:szCs w:val="22"/>
        </w:rPr>
        <w:t xml:space="preserve"> Brownfield program that states the site is a brownfield.</w:t>
      </w:r>
    </w:p>
    <w:p w14:paraId="05C55AD3" w14:textId="77777777" w:rsidR="00E266AD" w:rsidRPr="003060BB" w:rsidRDefault="00E266AD" w:rsidP="00E266AD">
      <w:pPr>
        <w:tabs>
          <w:tab w:val="left" w:pos="720"/>
        </w:tabs>
        <w:jc w:val="both"/>
        <w:rPr>
          <w:rFonts w:asciiTheme="minorHAnsi" w:hAnsiTheme="minorHAnsi" w:cstheme="minorHAnsi"/>
          <w:b/>
          <w:sz w:val="22"/>
          <w:szCs w:val="22"/>
          <w:u w:val="single"/>
        </w:rPr>
      </w:pPr>
    </w:p>
    <w:p w14:paraId="7F3A1270" w14:textId="77777777" w:rsidR="00E266AD" w:rsidRPr="003060BB" w:rsidRDefault="00E266AD" w:rsidP="00E266AD">
      <w:pPr>
        <w:tabs>
          <w:tab w:val="left" w:pos="720"/>
        </w:tabs>
        <w:jc w:val="both"/>
        <w:rPr>
          <w:rFonts w:asciiTheme="minorHAnsi" w:hAnsiTheme="minorHAnsi" w:cstheme="minorHAnsi"/>
          <w:b/>
          <w:sz w:val="22"/>
          <w:szCs w:val="22"/>
          <w:u w:val="single"/>
        </w:rPr>
      </w:pPr>
      <w:r w:rsidRPr="003060BB">
        <w:rPr>
          <w:rFonts w:asciiTheme="minorHAnsi" w:hAnsiTheme="minorHAnsi" w:cstheme="minorHAnsi"/>
          <w:b/>
          <w:sz w:val="22"/>
          <w:szCs w:val="22"/>
          <w:u w:val="single"/>
        </w:rPr>
        <w:t>COMMUNITY DISTRESS FACTORS (175 POINTS):</w:t>
      </w:r>
    </w:p>
    <w:p w14:paraId="71E23EF5" w14:textId="471DBDC9" w:rsidR="00E266AD" w:rsidRPr="003060BB" w:rsidRDefault="00E266AD" w:rsidP="00E266AD">
      <w:pPr>
        <w:tabs>
          <w:tab w:val="left" w:pos="720"/>
        </w:tabs>
        <w:jc w:val="both"/>
        <w:rPr>
          <w:rFonts w:asciiTheme="minorHAnsi" w:hAnsiTheme="minorHAnsi" w:cstheme="minorHAnsi"/>
          <w:b/>
          <w:sz w:val="22"/>
          <w:szCs w:val="22"/>
        </w:rPr>
      </w:pPr>
      <w:r w:rsidRPr="003060BB">
        <w:rPr>
          <w:rFonts w:asciiTheme="minorHAnsi" w:hAnsiTheme="minorHAnsi" w:cstheme="minorHAnsi"/>
          <w:sz w:val="22"/>
          <w:szCs w:val="22"/>
        </w:rPr>
        <w:t>Various factors are used to determi</w:t>
      </w:r>
      <w:r w:rsidR="00437CB2">
        <w:rPr>
          <w:rFonts w:asciiTheme="minorHAnsi" w:hAnsiTheme="minorHAnsi" w:cstheme="minorHAnsi"/>
          <w:sz w:val="22"/>
          <w:szCs w:val="22"/>
        </w:rPr>
        <w:t>ne the distress of a community.</w:t>
      </w:r>
      <w:r w:rsidR="008F0EE8">
        <w:rPr>
          <w:rFonts w:asciiTheme="minorHAnsi" w:hAnsiTheme="minorHAnsi" w:cstheme="minorHAnsi"/>
          <w:sz w:val="22"/>
          <w:szCs w:val="22"/>
        </w:rPr>
        <w:t xml:space="preserve"> </w:t>
      </w:r>
      <w:r w:rsidRPr="003060BB">
        <w:rPr>
          <w:rFonts w:asciiTheme="minorHAnsi" w:hAnsiTheme="minorHAnsi" w:cstheme="minorHAnsi"/>
          <w:sz w:val="22"/>
          <w:szCs w:val="22"/>
        </w:rPr>
        <w:t>OCRA has partnered with Stats Indiana, an Indiana University entity</w:t>
      </w:r>
      <w:r w:rsidR="00F71B02">
        <w:rPr>
          <w:rFonts w:asciiTheme="minorHAnsi" w:hAnsiTheme="minorHAnsi" w:cstheme="minorHAnsi"/>
          <w:sz w:val="22"/>
          <w:szCs w:val="22"/>
        </w:rPr>
        <w:t>,</w:t>
      </w:r>
      <w:r w:rsidRPr="003060BB">
        <w:rPr>
          <w:rFonts w:asciiTheme="minorHAnsi" w:hAnsiTheme="minorHAnsi" w:cstheme="minorHAnsi"/>
          <w:sz w:val="22"/>
          <w:szCs w:val="22"/>
        </w:rPr>
        <w:t xml:space="preserve"> to analyze and calculate the distress of Indiana’s small cities, towns, counties and townships. Factors used to calculate the Community Distress points used for CDBG scoring include:</w:t>
      </w:r>
    </w:p>
    <w:p w14:paraId="0F9628FB" w14:textId="77777777" w:rsidR="00E266AD" w:rsidRPr="003060BB" w:rsidRDefault="00E266AD" w:rsidP="00E266AD">
      <w:pPr>
        <w:tabs>
          <w:tab w:val="left" w:pos="720"/>
        </w:tabs>
        <w:jc w:val="both"/>
        <w:rPr>
          <w:rFonts w:asciiTheme="minorHAnsi" w:hAnsiTheme="minorHAnsi" w:cstheme="minorHAnsi"/>
          <w:b/>
          <w:sz w:val="22"/>
          <w:szCs w:val="22"/>
        </w:rPr>
      </w:pPr>
    </w:p>
    <w:p w14:paraId="0EAECEEC" w14:textId="77777777" w:rsidR="00E266AD" w:rsidRPr="003060BB" w:rsidRDefault="00E266AD" w:rsidP="00E266AD">
      <w:pPr>
        <w:tabs>
          <w:tab w:val="left" w:pos="720"/>
        </w:tabs>
        <w:jc w:val="both"/>
        <w:rPr>
          <w:rFonts w:asciiTheme="minorHAnsi" w:hAnsiTheme="minorHAnsi" w:cstheme="minorHAnsi"/>
          <w:b/>
          <w:sz w:val="22"/>
          <w:szCs w:val="22"/>
        </w:rPr>
        <w:sectPr w:rsidR="00E266AD" w:rsidRPr="003060BB" w:rsidSect="00E266AD">
          <w:headerReference w:type="default" r:id="rId13"/>
          <w:footerReference w:type="default" r:id="rId14"/>
          <w:type w:val="continuous"/>
          <w:pgSz w:w="12240" w:h="15840"/>
          <w:pgMar w:top="1440" w:right="1440" w:bottom="1440" w:left="1440" w:header="720" w:footer="720" w:gutter="0"/>
          <w:cols w:space="720"/>
          <w:docGrid w:linePitch="360"/>
        </w:sectPr>
      </w:pPr>
    </w:p>
    <w:p w14:paraId="6344EDE0" w14:textId="77777777" w:rsidR="00E266AD" w:rsidRPr="003060BB" w:rsidRDefault="00E266AD" w:rsidP="00437CB2">
      <w:pPr>
        <w:tabs>
          <w:tab w:val="left" w:pos="720"/>
        </w:tabs>
        <w:ind w:left="720"/>
        <w:jc w:val="both"/>
        <w:rPr>
          <w:rFonts w:asciiTheme="minorHAnsi" w:hAnsiTheme="minorHAnsi" w:cstheme="minorHAnsi"/>
          <w:sz w:val="22"/>
          <w:szCs w:val="22"/>
        </w:rPr>
      </w:pPr>
      <w:r w:rsidRPr="003060BB">
        <w:rPr>
          <w:rFonts w:asciiTheme="minorHAnsi" w:hAnsiTheme="minorHAnsi" w:cstheme="minorHAnsi"/>
          <w:b/>
          <w:sz w:val="22"/>
          <w:szCs w:val="22"/>
        </w:rPr>
        <w:t>Percentage of Households with Income under Poverty Level</w:t>
      </w:r>
    </w:p>
    <w:p w14:paraId="6666A8C7" w14:textId="77777777" w:rsidR="00E266AD" w:rsidRPr="003060BB" w:rsidRDefault="00E266AD" w:rsidP="00437CB2">
      <w:pPr>
        <w:numPr>
          <w:ilvl w:val="12"/>
          <w:numId w:val="0"/>
        </w:numPr>
        <w:tabs>
          <w:tab w:val="left" w:pos="720"/>
        </w:tabs>
        <w:ind w:left="720"/>
        <w:jc w:val="both"/>
        <w:rPr>
          <w:rFonts w:asciiTheme="minorHAnsi" w:hAnsiTheme="minorHAnsi" w:cstheme="minorHAnsi"/>
          <w:sz w:val="22"/>
          <w:szCs w:val="22"/>
        </w:rPr>
      </w:pPr>
      <w:r w:rsidRPr="003060BB">
        <w:rPr>
          <w:rFonts w:asciiTheme="minorHAnsi" w:hAnsiTheme="minorHAnsi" w:cstheme="minorHAnsi"/>
          <w:b/>
          <w:sz w:val="22"/>
          <w:szCs w:val="22"/>
        </w:rPr>
        <w:t xml:space="preserve">Median Household Income  </w:t>
      </w:r>
    </w:p>
    <w:p w14:paraId="0B65C48B" w14:textId="77777777" w:rsidR="00E266AD" w:rsidRPr="003060BB" w:rsidRDefault="00E266AD" w:rsidP="00437CB2">
      <w:pPr>
        <w:pStyle w:val="BodyTextIndent3"/>
        <w:numPr>
          <w:ilvl w:val="12"/>
          <w:numId w:val="0"/>
        </w:numPr>
        <w:spacing w:after="0"/>
        <w:ind w:left="720"/>
        <w:jc w:val="both"/>
        <w:rPr>
          <w:rFonts w:asciiTheme="minorHAnsi" w:hAnsiTheme="minorHAnsi" w:cstheme="minorHAnsi"/>
          <w:b/>
          <w:sz w:val="22"/>
          <w:szCs w:val="22"/>
        </w:rPr>
      </w:pPr>
      <w:r w:rsidRPr="003060BB">
        <w:rPr>
          <w:rFonts w:asciiTheme="minorHAnsi" w:hAnsiTheme="minorHAnsi" w:cstheme="minorHAnsi"/>
          <w:b/>
          <w:sz w:val="22"/>
          <w:szCs w:val="22"/>
        </w:rPr>
        <w:t>Percent of Housing Units that are Vacant</w:t>
      </w:r>
    </w:p>
    <w:p w14:paraId="5A31D1B3" w14:textId="77777777" w:rsidR="00E266AD" w:rsidRPr="003060BB" w:rsidRDefault="00E266AD" w:rsidP="00437CB2">
      <w:pPr>
        <w:pStyle w:val="BodyTextIndent3"/>
        <w:numPr>
          <w:ilvl w:val="12"/>
          <w:numId w:val="0"/>
        </w:numPr>
        <w:spacing w:after="0"/>
        <w:ind w:left="720"/>
        <w:jc w:val="both"/>
        <w:rPr>
          <w:rFonts w:asciiTheme="minorHAnsi" w:hAnsiTheme="minorHAnsi" w:cstheme="minorHAnsi"/>
          <w:b/>
          <w:sz w:val="22"/>
          <w:szCs w:val="22"/>
        </w:rPr>
      </w:pPr>
      <w:r w:rsidRPr="003060BB">
        <w:rPr>
          <w:rFonts w:asciiTheme="minorHAnsi" w:hAnsiTheme="minorHAnsi" w:cstheme="minorHAnsi"/>
          <w:b/>
          <w:sz w:val="22"/>
          <w:szCs w:val="22"/>
        </w:rPr>
        <w:t>Median Home Value</w:t>
      </w:r>
    </w:p>
    <w:p w14:paraId="4446ABA0" w14:textId="77777777" w:rsidR="00E266AD" w:rsidRPr="003060BB" w:rsidRDefault="00E266AD" w:rsidP="00437CB2">
      <w:pPr>
        <w:pStyle w:val="BodyTextIndent3"/>
        <w:numPr>
          <w:ilvl w:val="12"/>
          <w:numId w:val="0"/>
        </w:numPr>
        <w:spacing w:after="0"/>
        <w:ind w:left="720"/>
        <w:jc w:val="both"/>
        <w:rPr>
          <w:rFonts w:asciiTheme="minorHAnsi" w:hAnsiTheme="minorHAnsi" w:cstheme="minorHAnsi"/>
          <w:sz w:val="22"/>
          <w:szCs w:val="22"/>
        </w:rPr>
      </w:pPr>
      <w:r w:rsidRPr="003060BB">
        <w:rPr>
          <w:rFonts w:asciiTheme="minorHAnsi" w:hAnsiTheme="minorHAnsi" w:cstheme="minorHAnsi"/>
          <w:b/>
          <w:sz w:val="22"/>
          <w:szCs w:val="22"/>
        </w:rPr>
        <w:t>Unemployment Rate</w:t>
      </w:r>
    </w:p>
    <w:p w14:paraId="6632ECAB" w14:textId="77777777" w:rsidR="00E266AD" w:rsidRPr="003060BB" w:rsidRDefault="00E266AD" w:rsidP="00437CB2">
      <w:pPr>
        <w:numPr>
          <w:ilvl w:val="12"/>
          <w:numId w:val="0"/>
        </w:numPr>
        <w:tabs>
          <w:tab w:val="left" w:pos="720"/>
        </w:tabs>
        <w:ind w:left="720"/>
        <w:jc w:val="both"/>
        <w:rPr>
          <w:rFonts w:asciiTheme="minorHAnsi" w:hAnsiTheme="minorHAnsi" w:cstheme="minorHAnsi"/>
          <w:b/>
          <w:sz w:val="22"/>
          <w:szCs w:val="22"/>
        </w:rPr>
      </w:pPr>
      <w:r w:rsidRPr="003060BB">
        <w:rPr>
          <w:rFonts w:asciiTheme="minorHAnsi" w:hAnsiTheme="minorHAnsi" w:cstheme="minorHAnsi"/>
          <w:b/>
          <w:sz w:val="22"/>
          <w:szCs w:val="22"/>
        </w:rPr>
        <w:t>Labor Force Participation</w:t>
      </w:r>
    </w:p>
    <w:p w14:paraId="4AAE4A44" w14:textId="77777777" w:rsidR="00E266AD" w:rsidRPr="003060BB" w:rsidRDefault="00E266AD" w:rsidP="00E266AD">
      <w:pPr>
        <w:numPr>
          <w:ilvl w:val="12"/>
          <w:numId w:val="0"/>
        </w:numPr>
        <w:tabs>
          <w:tab w:val="left" w:pos="720"/>
        </w:tabs>
        <w:jc w:val="both"/>
        <w:rPr>
          <w:rFonts w:asciiTheme="minorHAnsi" w:hAnsiTheme="minorHAnsi" w:cstheme="minorHAnsi"/>
          <w:b/>
          <w:sz w:val="22"/>
          <w:szCs w:val="22"/>
        </w:rPr>
        <w:sectPr w:rsidR="00E266AD" w:rsidRPr="003060BB" w:rsidSect="00D318B9">
          <w:type w:val="continuous"/>
          <w:pgSz w:w="12240" w:h="15840"/>
          <w:pgMar w:top="1440" w:right="1440" w:bottom="1440" w:left="1440" w:header="720" w:footer="720" w:gutter="0"/>
          <w:cols w:space="720"/>
          <w:docGrid w:linePitch="360"/>
        </w:sectPr>
      </w:pPr>
    </w:p>
    <w:p w14:paraId="1B63ECFF" w14:textId="77777777" w:rsidR="00E266AD" w:rsidRPr="003060BB" w:rsidRDefault="00E266AD" w:rsidP="00E266AD">
      <w:pPr>
        <w:numPr>
          <w:ilvl w:val="12"/>
          <w:numId w:val="0"/>
        </w:numPr>
        <w:tabs>
          <w:tab w:val="left" w:pos="720"/>
        </w:tabs>
        <w:jc w:val="both"/>
        <w:rPr>
          <w:rFonts w:asciiTheme="minorHAnsi" w:hAnsiTheme="minorHAnsi" w:cstheme="minorHAnsi"/>
          <w:b/>
          <w:sz w:val="22"/>
          <w:szCs w:val="22"/>
        </w:rPr>
      </w:pPr>
    </w:p>
    <w:p w14:paraId="6387A164" w14:textId="77777777" w:rsidR="00E266AD" w:rsidRPr="003060BB" w:rsidRDefault="00E266AD" w:rsidP="00E266AD">
      <w:pPr>
        <w:numPr>
          <w:ilvl w:val="12"/>
          <w:numId w:val="0"/>
        </w:numPr>
        <w:tabs>
          <w:tab w:val="left" w:pos="720"/>
        </w:tabs>
        <w:jc w:val="both"/>
        <w:rPr>
          <w:rFonts w:asciiTheme="minorHAnsi" w:hAnsiTheme="minorHAnsi" w:cstheme="minorHAnsi"/>
          <w:sz w:val="22"/>
          <w:szCs w:val="22"/>
        </w:rPr>
      </w:pPr>
      <w:r w:rsidRPr="003060BB">
        <w:rPr>
          <w:rFonts w:asciiTheme="minorHAnsi" w:hAnsiTheme="minorHAnsi" w:cstheme="minorHAnsi"/>
          <w:sz w:val="22"/>
          <w:szCs w:val="22"/>
        </w:rPr>
        <w:t xml:space="preserve">Local government scores, which are updated and published annually, can be found at:  </w:t>
      </w:r>
      <w:hyperlink r:id="rId15" w:history="1">
        <w:r w:rsidRPr="003060BB">
          <w:rPr>
            <w:rStyle w:val="Hyperlink"/>
            <w:rFonts w:asciiTheme="minorHAnsi" w:hAnsiTheme="minorHAnsi" w:cstheme="minorHAnsi"/>
            <w:sz w:val="22"/>
            <w:szCs w:val="22"/>
          </w:rPr>
          <w:t>www.stats.indiana.edu</w:t>
        </w:r>
      </w:hyperlink>
      <w:r w:rsidRPr="003060BB">
        <w:rPr>
          <w:rFonts w:asciiTheme="minorHAnsi" w:hAnsiTheme="minorHAnsi" w:cstheme="minorHAnsi"/>
          <w:sz w:val="22"/>
          <w:szCs w:val="22"/>
        </w:rPr>
        <w:t>.</w:t>
      </w:r>
    </w:p>
    <w:p w14:paraId="6547605A" w14:textId="77777777" w:rsidR="00E266AD" w:rsidRPr="003060BB" w:rsidRDefault="00E266AD" w:rsidP="00E266AD">
      <w:pPr>
        <w:ind w:right="36"/>
        <w:jc w:val="both"/>
        <w:rPr>
          <w:rFonts w:asciiTheme="minorHAnsi" w:hAnsiTheme="minorHAnsi" w:cstheme="minorHAnsi"/>
          <w:sz w:val="22"/>
          <w:szCs w:val="22"/>
        </w:rPr>
      </w:pPr>
    </w:p>
    <w:p w14:paraId="7E485387" w14:textId="77777777" w:rsidR="00E266AD" w:rsidRPr="003060BB" w:rsidRDefault="00E266AD" w:rsidP="00E266AD">
      <w:pPr>
        <w:ind w:left="-1440" w:firstLine="1440"/>
        <w:jc w:val="both"/>
        <w:rPr>
          <w:rFonts w:asciiTheme="minorHAnsi" w:hAnsiTheme="minorHAnsi" w:cstheme="minorHAnsi"/>
          <w:sz w:val="22"/>
          <w:szCs w:val="22"/>
          <w:u w:val="single"/>
        </w:rPr>
      </w:pPr>
      <w:r w:rsidRPr="003060BB">
        <w:rPr>
          <w:rFonts w:asciiTheme="minorHAnsi" w:hAnsiTheme="minorHAnsi" w:cstheme="minorHAnsi"/>
          <w:b/>
          <w:sz w:val="22"/>
          <w:szCs w:val="22"/>
          <w:u w:val="single"/>
        </w:rPr>
        <w:t>LOCAL MATCH CONTRIBUTION (75 POINTS):</w:t>
      </w:r>
    </w:p>
    <w:p w14:paraId="37B96565" w14:textId="77777777" w:rsidR="00E266AD" w:rsidRPr="003060BB" w:rsidRDefault="00E266AD" w:rsidP="00E266AD">
      <w:pPr>
        <w:jc w:val="both"/>
        <w:rPr>
          <w:rFonts w:asciiTheme="minorHAnsi" w:hAnsiTheme="minorHAnsi" w:cstheme="minorHAnsi"/>
          <w:sz w:val="22"/>
          <w:szCs w:val="22"/>
        </w:rPr>
      </w:pPr>
      <w:r w:rsidRPr="003060BB">
        <w:rPr>
          <w:rFonts w:asciiTheme="minorHAnsi" w:hAnsiTheme="minorHAnsi" w:cstheme="minorHAnsi"/>
          <w:sz w:val="22"/>
          <w:szCs w:val="22"/>
        </w:rPr>
        <w:t>A maximum of 75 points based on the percentage of local funds devoted to the project.  This total is determined as follows:</w:t>
      </w:r>
    </w:p>
    <w:p w14:paraId="5E739733" w14:textId="77777777" w:rsidR="00E266AD" w:rsidRPr="003060BB" w:rsidRDefault="00E266AD" w:rsidP="00E266AD">
      <w:pPr>
        <w:jc w:val="both"/>
        <w:rPr>
          <w:rFonts w:asciiTheme="minorHAnsi" w:hAnsiTheme="minorHAnsi" w:cstheme="minorHAnsi"/>
          <w:sz w:val="22"/>
          <w:szCs w:val="22"/>
        </w:rPr>
      </w:pPr>
    </w:p>
    <w:p w14:paraId="137C729F" w14:textId="77777777" w:rsidR="00E266AD" w:rsidRPr="003060BB" w:rsidRDefault="00E266AD" w:rsidP="00E266AD">
      <w:pPr>
        <w:ind w:left="720"/>
        <w:jc w:val="both"/>
        <w:rPr>
          <w:rFonts w:asciiTheme="minorHAnsi" w:hAnsiTheme="minorHAnsi" w:cstheme="minorHAnsi"/>
          <w:b/>
          <w:sz w:val="22"/>
          <w:szCs w:val="22"/>
        </w:rPr>
      </w:pPr>
      <w:r w:rsidRPr="003060BB">
        <w:rPr>
          <w:rFonts w:asciiTheme="minorHAnsi" w:hAnsiTheme="minorHAnsi" w:cstheme="minorHAnsi"/>
          <w:b/>
          <w:sz w:val="22"/>
          <w:szCs w:val="22"/>
        </w:rPr>
        <w:t>Total Match Points = % Eligible Local Match X 1</w:t>
      </w:r>
    </w:p>
    <w:p w14:paraId="2845F13D" w14:textId="77777777" w:rsidR="00E266AD" w:rsidRPr="003060BB" w:rsidRDefault="00E266AD" w:rsidP="00E266AD">
      <w:pPr>
        <w:jc w:val="both"/>
        <w:rPr>
          <w:rFonts w:asciiTheme="minorHAnsi" w:hAnsiTheme="minorHAnsi" w:cstheme="minorHAnsi"/>
          <w:b/>
          <w:sz w:val="22"/>
          <w:szCs w:val="22"/>
        </w:rPr>
      </w:pPr>
    </w:p>
    <w:p w14:paraId="1E4482D6" w14:textId="77777777" w:rsidR="00E266AD" w:rsidRPr="003060BB" w:rsidRDefault="00E266AD" w:rsidP="00E266AD">
      <w:pPr>
        <w:jc w:val="both"/>
        <w:rPr>
          <w:rFonts w:asciiTheme="minorHAnsi" w:hAnsiTheme="minorHAnsi" w:cstheme="minorHAnsi"/>
          <w:sz w:val="22"/>
          <w:szCs w:val="22"/>
        </w:rPr>
      </w:pPr>
      <w:r w:rsidRPr="003060BB">
        <w:rPr>
          <w:rFonts w:asciiTheme="minorHAnsi" w:hAnsiTheme="minorHAnsi" w:cstheme="minorHAnsi"/>
          <w:sz w:val="22"/>
          <w:szCs w:val="22"/>
        </w:rPr>
        <w:t>The points total is capped at 75 points or 75% match, i.e., a project with 75% match or greater will receive 75 points.  Below 75% match, the formula calculation will apply.</w:t>
      </w:r>
    </w:p>
    <w:p w14:paraId="455BFEC5" w14:textId="77777777" w:rsidR="00E266AD" w:rsidRPr="003060BB" w:rsidRDefault="00E266AD" w:rsidP="00E266AD">
      <w:pPr>
        <w:jc w:val="both"/>
        <w:rPr>
          <w:rFonts w:asciiTheme="minorHAnsi" w:hAnsiTheme="minorHAnsi" w:cstheme="minorHAnsi"/>
          <w:sz w:val="22"/>
          <w:szCs w:val="22"/>
        </w:rPr>
      </w:pPr>
    </w:p>
    <w:p w14:paraId="754999CA" w14:textId="39EE379D" w:rsidR="00E266AD" w:rsidRPr="003060BB" w:rsidRDefault="00E266AD" w:rsidP="00E266AD">
      <w:pPr>
        <w:jc w:val="both"/>
        <w:rPr>
          <w:rFonts w:asciiTheme="minorHAnsi" w:hAnsiTheme="minorHAnsi" w:cstheme="minorHAnsi"/>
          <w:sz w:val="22"/>
          <w:szCs w:val="22"/>
        </w:rPr>
      </w:pPr>
      <w:r w:rsidRPr="003060BB">
        <w:rPr>
          <w:rFonts w:asciiTheme="minorHAnsi" w:hAnsiTheme="minorHAnsi" w:cstheme="minorHAnsi"/>
          <w:sz w:val="22"/>
          <w:szCs w:val="22"/>
        </w:rPr>
        <w:t xml:space="preserve">Eligible local match can be local cash, debt or in-kind sources.  Federal, state, and local government grants are considered eligible match.  In-kind sources may provide eligible local match for the project, but the amount that can be counted as local match is limited to 5% of the total project budget or a maximum of $25,000.  Use of in-kind donations as eligible match requires approval from the CDBG Program Director </w:t>
      </w:r>
      <w:r w:rsidR="00BA6071">
        <w:rPr>
          <w:rFonts w:asciiTheme="minorHAnsi" w:hAnsiTheme="minorHAnsi" w:cstheme="minorHAnsi"/>
          <w:sz w:val="22"/>
          <w:szCs w:val="22"/>
          <w:u w:val="single"/>
        </w:rPr>
        <w:t>approximately 2</w:t>
      </w:r>
      <w:r w:rsidRPr="003060BB">
        <w:rPr>
          <w:rFonts w:asciiTheme="minorHAnsi" w:hAnsiTheme="minorHAnsi" w:cstheme="minorHAnsi"/>
          <w:sz w:val="22"/>
          <w:szCs w:val="22"/>
          <w:u w:val="single"/>
        </w:rPr>
        <w:t xml:space="preserve"> week</w:t>
      </w:r>
      <w:r w:rsidR="00BA6071">
        <w:rPr>
          <w:rFonts w:asciiTheme="minorHAnsi" w:hAnsiTheme="minorHAnsi" w:cstheme="minorHAnsi"/>
          <w:sz w:val="22"/>
          <w:szCs w:val="22"/>
          <w:u w:val="single"/>
        </w:rPr>
        <w:t>s</w:t>
      </w:r>
      <w:r w:rsidRPr="003060BB">
        <w:rPr>
          <w:rFonts w:asciiTheme="minorHAnsi" w:hAnsiTheme="minorHAnsi" w:cstheme="minorHAnsi"/>
          <w:sz w:val="22"/>
          <w:szCs w:val="22"/>
          <w:u w:val="single"/>
        </w:rPr>
        <w:t xml:space="preserve"> prior to application submission (</w:t>
      </w:r>
      <w:r w:rsidR="00803247">
        <w:rPr>
          <w:rFonts w:asciiTheme="minorHAnsi" w:hAnsiTheme="minorHAnsi" w:cstheme="minorHAnsi"/>
          <w:sz w:val="22"/>
          <w:szCs w:val="22"/>
          <w:u w:val="single"/>
        </w:rPr>
        <w:t xml:space="preserve">date of </w:t>
      </w:r>
      <w:r w:rsidRPr="003060BB">
        <w:rPr>
          <w:rFonts w:asciiTheme="minorHAnsi" w:hAnsiTheme="minorHAnsi" w:cstheme="minorHAnsi"/>
          <w:sz w:val="22"/>
          <w:szCs w:val="22"/>
          <w:u w:val="single"/>
        </w:rPr>
        <w:t>deadline will be announced each round)</w:t>
      </w:r>
      <w:r w:rsidRPr="003060BB">
        <w:rPr>
          <w:rFonts w:asciiTheme="minorHAnsi" w:hAnsiTheme="minorHAnsi" w:cstheme="minorHAnsi"/>
          <w:sz w:val="22"/>
          <w:szCs w:val="22"/>
        </w:rPr>
        <w:t xml:space="preserve">.  </w:t>
      </w:r>
    </w:p>
    <w:p w14:paraId="239DCC80" w14:textId="77777777" w:rsidR="00E266AD" w:rsidRPr="003060BB" w:rsidRDefault="00E266AD" w:rsidP="00E266AD">
      <w:pPr>
        <w:jc w:val="both"/>
        <w:rPr>
          <w:rFonts w:asciiTheme="minorHAnsi" w:hAnsiTheme="minorHAnsi" w:cstheme="minorHAnsi"/>
          <w:b/>
          <w:sz w:val="22"/>
          <w:szCs w:val="22"/>
          <w:u w:val="single"/>
        </w:rPr>
      </w:pPr>
    </w:p>
    <w:p w14:paraId="77BB168D" w14:textId="77777777" w:rsidR="00E266AD" w:rsidRPr="003060BB" w:rsidRDefault="00E266AD" w:rsidP="00E266AD">
      <w:pPr>
        <w:jc w:val="both"/>
        <w:rPr>
          <w:rFonts w:asciiTheme="minorHAnsi" w:hAnsiTheme="minorHAnsi" w:cstheme="minorHAnsi"/>
          <w:sz w:val="22"/>
          <w:szCs w:val="22"/>
          <w:u w:val="single"/>
        </w:rPr>
      </w:pPr>
      <w:r w:rsidRPr="003060BB">
        <w:rPr>
          <w:rFonts w:asciiTheme="minorHAnsi" w:hAnsiTheme="minorHAnsi" w:cstheme="minorHAnsi"/>
          <w:b/>
          <w:sz w:val="22"/>
          <w:szCs w:val="22"/>
          <w:u w:val="single"/>
        </w:rPr>
        <w:t>PROJECT DESIGN FACTORS (300 POINTS):</w:t>
      </w:r>
    </w:p>
    <w:p w14:paraId="5F5D0712" w14:textId="77777777" w:rsidR="00E266AD" w:rsidRPr="003060BB" w:rsidRDefault="00E266AD" w:rsidP="00E266AD">
      <w:pPr>
        <w:jc w:val="both"/>
        <w:rPr>
          <w:rFonts w:asciiTheme="minorHAnsi" w:hAnsiTheme="minorHAnsi" w:cstheme="minorHAnsi"/>
          <w:sz w:val="22"/>
          <w:szCs w:val="22"/>
        </w:rPr>
      </w:pPr>
      <w:r w:rsidRPr="003060BB">
        <w:rPr>
          <w:rFonts w:asciiTheme="minorHAnsi" w:hAnsiTheme="minorHAnsi" w:cstheme="minorHAnsi"/>
          <w:sz w:val="22"/>
          <w:szCs w:val="22"/>
        </w:rPr>
        <w:t>A maximum of 300 points awarded according to the evaluation in three areas:</w:t>
      </w:r>
    </w:p>
    <w:p w14:paraId="0EE53474" w14:textId="77777777" w:rsidR="00E266AD" w:rsidRPr="003060BB" w:rsidRDefault="00E266AD" w:rsidP="00E266AD">
      <w:pPr>
        <w:jc w:val="both"/>
        <w:rPr>
          <w:rFonts w:asciiTheme="minorHAnsi" w:hAnsiTheme="minorHAnsi" w:cstheme="minorHAnsi"/>
          <w:b/>
          <w:sz w:val="22"/>
          <w:szCs w:val="22"/>
        </w:rPr>
      </w:pPr>
    </w:p>
    <w:p w14:paraId="0A1A03BC" w14:textId="77777777" w:rsidR="00E266AD" w:rsidRPr="003060BB" w:rsidRDefault="00E266AD" w:rsidP="00E266AD">
      <w:pPr>
        <w:tabs>
          <w:tab w:val="left" w:pos="360"/>
        </w:tabs>
        <w:ind w:left="720"/>
        <w:jc w:val="both"/>
        <w:rPr>
          <w:rFonts w:asciiTheme="minorHAnsi" w:hAnsiTheme="minorHAnsi" w:cstheme="minorHAnsi"/>
          <w:b/>
          <w:sz w:val="22"/>
          <w:szCs w:val="22"/>
        </w:rPr>
      </w:pPr>
      <w:r w:rsidRPr="003060BB">
        <w:rPr>
          <w:rFonts w:asciiTheme="minorHAnsi" w:hAnsiTheme="minorHAnsi" w:cstheme="minorHAnsi"/>
          <w:b/>
          <w:sz w:val="22"/>
          <w:szCs w:val="22"/>
        </w:rPr>
        <w:t xml:space="preserve">Project Description </w:t>
      </w:r>
      <w:r w:rsidRPr="003060BB">
        <w:rPr>
          <w:rFonts w:asciiTheme="minorHAnsi" w:hAnsiTheme="minorHAnsi" w:cstheme="minorHAnsi"/>
          <w:sz w:val="22"/>
          <w:szCs w:val="22"/>
        </w:rPr>
        <w:t>– Is the project clearly defined as to determine eligibility? – 50 points</w:t>
      </w:r>
    </w:p>
    <w:p w14:paraId="230E029D" w14:textId="77777777" w:rsidR="00E266AD" w:rsidRPr="003060BB" w:rsidRDefault="00E266AD" w:rsidP="00E266AD">
      <w:pPr>
        <w:tabs>
          <w:tab w:val="left" w:pos="360"/>
        </w:tabs>
        <w:ind w:left="720"/>
        <w:jc w:val="both"/>
        <w:rPr>
          <w:rFonts w:asciiTheme="minorHAnsi" w:hAnsiTheme="minorHAnsi" w:cstheme="minorHAnsi"/>
          <w:b/>
          <w:sz w:val="22"/>
          <w:szCs w:val="22"/>
        </w:rPr>
      </w:pPr>
      <w:r w:rsidRPr="003060BB">
        <w:rPr>
          <w:rFonts w:asciiTheme="minorHAnsi" w:hAnsiTheme="minorHAnsi" w:cstheme="minorHAnsi"/>
          <w:b/>
          <w:sz w:val="22"/>
          <w:szCs w:val="22"/>
        </w:rPr>
        <w:t xml:space="preserve">Project Need </w:t>
      </w:r>
      <w:r w:rsidRPr="003060BB">
        <w:rPr>
          <w:rFonts w:asciiTheme="minorHAnsi" w:hAnsiTheme="minorHAnsi" w:cstheme="minorHAnsi"/>
          <w:sz w:val="22"/>
          <w:szCs w:val="22"/>
        </w:rPr>
        <w:t>- Is the community need for this project documented and compelling? – 125 points</w:t>
      </w:r>
    </w:p>
    <w:p w14:paraId="6B87072A" w14:textId="77777777" w:rsidR="00E266AD" w:rsidRPr="003060BB" w:rsidRDefault="00E266AD" w:rsidP="00E266AD">
      <w:pPr>
        <w:tabs>
          <w:tab w:val="left" w:pos="360"/>
        </w:tabs>
        <w:ind w:left="720"/>
        <w:jc w:val="both"/>
        <w:rPr>
          <w:rFonts w:asciiTheme="minorHAnsi" w:hAnsiTheme="minorHAnsi" w:cstheme="minorHAnsi"/>
          <w:b/>
          <w:sz w:val="22"/>
          <w:szCs w:val="22"/>
        </w:rPr>
      </w:pPr>
      <w:r w:rsidRPr="003060BB">
        <w:rPr>
          <w:rFonts w:asciiTheme="minorHAnsi" w:hAnsiTheme="minorHAnsi" w:cstheme="minorHAnsi"/>
          <w:b/>
          <w:sz w:val="22"/>
          <w:szCs w:val="22"/>
        </w:rPr>
        <w:t xml:space="preserve">Financial Impact </w:t>
      </w:r>
      <w:r w:rsidRPr="003060BB">
        <w:rPr>
          <w:rFonts w:asciiTheme="minorHAnsi" w:hAnsiTheme="minorHAnsi" w:cstheme="minorHAnsi"/>
          <w:sz w:val="22"/>
          <w:szCs w:val="22"/>
        </w:rPr>
        <w:t>- Why is grant assistance necessary to complete this project? – 125 points</w:t>
      </w:r>
    </w:p>
    <w:p w14:paraId="362AD70F" w14:textId="77777777" w:rsidR="00E266AD" w:rsidRPr="003060BB" w:rsidRDefault="00E266AD" w:rsidP="00E266AD">
      <w:pPr>
        <w:jc w:val="both"/>
        <w:rPr>
          <w:rFonts w:asciiTheme="minorHAnsi" w:hAnsiTheme="minorHAnsi" w:cstheme="minorHAnsi"/>
          <w:sz w:val="22"/>
          <w:szCs w:val="22"/>
        </w:rPr>
      </w:pPr>
    </w:p>
    <w:p w14:paraId="24893D95" w14:textId="61AE9E13" w:rsidR="00E266AD" w:rsidRPr="003060BB" w:rsidRDefault="00E266AD" w:rsidP="00E266AD">
      <w:pPr>
        <w:ind w:right="36"/>
        <w:jc w:val="both"/>
        <w:rPr>
          <w:rFonts w:asciiTheme="minorHAnsi" w:hAnsiTheme="minorHAnsi" w:cstheme="minorHAnsi"/>
          <w:sz w:val="22"/>
          <w:szCs w:val="22"/>
        </w:rPr>
      </w:pPr>
      <w:r w:rsidRPr="003060BB">
        <w:rPr>
          <w:rFonts w:asciiTheme="minorHAnsi" w:hAnsiTheme="minorHAnsi" w:cstheme="minorHAnsi"/>
          <w:sz w:val="22"/>
          <w:szCs w:val="22"/>
        </w:rPr>
        <w:t>The points in these categories are awarded by the OCRA Scoring Committee when evaluating the projects</w:t>
      </w:r>
      <w:r w:rsidRPr="003060BB">
        <w:rPr>
          <w:rFonts w:asciiTheme="minorHAnsi" w:hAnsiTheme="minorHAnsi" w:cstheme="minorHAnsi"/>
          <w:b/>
          <w:sz w:val="22"/>
          <w:szCs w:val="22"/>
        </w:rPr>
        <w:t xml:space="preserve">. </w:t>
      </w:r>
      <w:r w:rsidR="00D8428A">
        <w:rPr>
          <w:rFonts w:asciiTheme="minorHAnsi" w:hAnsiTheme="minorHAnsi" w:cstheme="minorHAnsi"/>
          <w:sz w:val="22"/>
          <w:szCs w:val="22"/>
        </w:rPr>
        <w:t xml:space="preserve">Scoring questions for these categories are defined for each round and are provided to applicants that submit a proposal at the site visit. The questions are subject to change each round. </w:t>
      </w:r>
      <w:r w:rsidRPr="003060BB">
        <w:rPr>
          <w:rFonts w:asciiTheme="minorHAnsi" w:hAnsiTheme="minorHAnsi" w:cstheme="minorHAnsi"/>
          <w:b/>
          <w:sz w:val="22"/>
          <w:szCs w:val="22"/>
          <w:u w:val="single"/>
        </w:rPr>
        <w:t>Applicants should refe</w:t>
      </w:r>
      <w:r w:rsidR="00D8428A">
        <w:rPr>
          <w:rFonts w:asciiTheme="minorHAnsi" w:hAnsiTheme="minorHAnsi" w:cstheme="minorHAnsi"/>
          <w:b/>
          <w:sz w:val="22"/>
          <w:szCs w:val="22"/>
          <w:u w:val="single"/>
        </w:rPr>
        <w:t>r to the application packet,</w:t>
      </w:r>
      <w:r w:rsidRPr="003060BB">
        <w:rPr>
          <w:rFonts w:asciiTheme="minorHAnsi" w:hAnsiTheme="minorHAnsi" w:cstheme="minorHAnsi"/>
          <w:b/>
          <w:sz w:val="22"/>
          <w:szCs w:val="22"/>
          <w:u w:val="single"/>
        </w:rPr>
        <w:t xml:space="preserve"> scoring guide and </w:t>
      </w:r>
      <w:r w:rsidR="00D8428A">
        <w:rPr>
          <w:rFonts w:asciiTheme="minorHAnsi" w:hAnsiTheme="minorHAnsi" w:cstheme="minorHAnsi"/>
          <w:b/>
          <w:sz w:val="22"/>
          <w:szCs w:val="22"/>
          <w:u w:val="single"/>
        </w:rPr>
        <w:t xml:space="preserve">other resources to </w:t>
      </w:r>
      <w:r w:rsidRPr="003060BB">
        <w:rPr>
          <w:rFonts w:asciiTheme="minorHAnsi" w:hAnsiTheme="minorHAnsi" w:cstheme="minorHAnsi"/>
          <w:b/>
          <w:sz w:val="22"/>
          <w:szCs w:val="22"/>
          <w:u w:val="single"/>
        </w:rPr>
        <w:t>address all questions present</w:t>
      </w:r>
      <w:r w:rsidRPr="003060BB">
        <w:rPr>
          <w:rFonts w:asciiTheme="minorHAnsi" w:hAnsiTheme="minorHAnsi" w:cstheme="minorHAnsi"/>
          <w:b/>
          <w:sz w:val="22"/>
          <w:szCs w:val="22"/>
        </w:rPr>
        <w:t>.</w:t>
      </w:r>
      <w:r w:rsidR="00D8428A">
        <w:rPr>
          <w:rFonts w:asciiTheme="minorHAnsi" w:hAnsiTheme="minorHAnsi" w:cstheme="minorHAnsi"/>
          <w:sz w:val="22"/>
          <w:szCs w:val="22"/>
        </w:rPr>
        <w:t xml:space="preserve">  Applicants are encouraged </w:t>
      </w:r>
      <w:r w:rsidRPr="003060BB">
        <w:rPr>
          <w:rFonts w:asciiTheme="minorHAnsi" w:hAnsiTheme="minorHAnsi" w:cstheme="minorHAnsi"/>
          <w:sz w:val="22"/>
          <w:szCs w:val="22"/>
        </w:rPr>
        <w:t>work with their OCRA Community Liaison to identify ways to increase their project’s competitiveness in these areas</w:t>
      </w:r>
      <w:r w:rsidR="00D8428A">
        <w:rPr>
          <w:rFonts w:asciiTheme="minorHAnsi" w:hAnsiTheme="minorHAnsi" w:cstheme="minorHAnsi"/>
          <w:sz w:val="22"/>
          <w:szCs w:val="22"/>
        </w:rPr>
        <w:t xml:space="preserve"> and of the application as a whole</w:t>
      </w:r>
      <w:r w:rsidRPr="003060BB">
        <w:rPr>
          <w:rFonts w:asciiTheme="minorHAnsi" w:hAnsiTheme="minorHAnsi" w:cstheme="minorHAnsi"/>
          <w:sz w:val="22"/>
          <w:szCs w:val="22"/>
        </w:rPr>
        <w:t xml:space="preserve">. </w:t>
      </w:r>
    </w:p>
    <w:p w14:paraId="400C3C85" w14:textId="77777777" w:rsidR="00E266AD" w:rsidRPr="003060BB" w:rsidRDefault="00E266AD" w:rsidP="00E266AD">
      <w:pPr>
        <w:jc w:val="both"/>
        <w:rPr>
          <w:rFonts w:asciiTheme="minorHAnsi" w:hAnsiTheme="minorHAnsi" w:cstheme="minorHAnsi"/>
          <w:sz w:val="22"/>
          <w:szCs w:val="22"/>
        </w:rPr>
      </w:pPr>
    </w:p>
    <w:p w14:paraId="307A876B" w14:textId="77777777" w:rsidR="00E266AD" w:rsidRPr="003060BB" w:rsidRDefault="00E266AD" w:rsidP="00E266AD">
      <w:pPr>
        <w:jc w:val="both"/>
        <w:rPr>
          <w:rFonts w:asciiTheme="minorHAnsi" w:hAnsiTheme="minorHAnsi" w:cstheme="minorHAnsi"/>
          <w:sz w:val="22"/>
          <w:szCs w:val="22"/>
        </w:rPr>
      </w:pPr>
      <w:r w:rsidRPr="003060BB">
        <w:rPr>
          <w:rFonts w:asciiTheme="minorHAnsi" w:hAnsiTheme="minorHAnsi" w:cstheme="minorHAnsi"/>
          <w:b/>
          <w:sz w:val="22"/>
          <w:szCs w:val="22"/>
          <w:u w:val="single"/>
        </w:rPr>
        <w:t>PROGRAM SPECIFIC POINTS (50 POINTS):</w:t>
      </w:r>
    </w:p>
    <w:p w14:paraId="67A9EA30" w14:textId="551F7DF2" w:rsidR="00E266AD" w:rsidRPr="003060BB" w:rsidRDefault="00E266AD" w:rsidP="00E266AD">
      <w:pPr>
        <w:ind w:right="36"/>
        <w:jc w:val="both"/>
        <w:rPr>
          <w:rFonts w:asciiTheme="minorHAnsi" w:hAnsiTheme="minorHAnsi" w:cstheme="minorHAnsi"/>
          <w:b/>
          <w:sz w:val="22"/>
          <w:szCs w:val="22"/>
        </w:rPr>
      </w:pPr>
      <w:r w:rsidRPr="003060BB">
        <w:rPr>
          <w:rFonts w:asciiTheme="minorHAnsi" w:hAnsiTheme="minorHAnsi" w:cstheme="minorHAnsi"/>
          <w:b/>
          <w:sz w:val="22"/>
          <w:szCs w:val="22"/>
        </w:rPr>
        <w:t>Blight C</w:t>
      </w:r>
      <w:r w:rsidR="00520AAD">
        <w:rPr>
          <w:rFonts w:asciiTheme="minorHAnsi" w:hAnsiTheme="minorHAnsi" w:cstheme="minorHAnsi"/>
          <w:b/>
          <w:sz w:val="22"/>
          <w:szCs w:val="22"/>
        </w:rPr>
        <w:t>learance Program (</w:t>
      </w:r>
      <w:proofErr w:type="spellStart"/>
      <w:r w:rsidR="00520AAD">
        <w:rPr>
          <w:rFonts w:asciiTheme="minorHAnsi" w:hAnsiTheme="minorHAnsi" w:cstheme="minorHAnsi"/>
          <w:b/>
          <w:sz w:val="22"/>
          <w:szCs w:val="22"/>
        </w:rPr>
        <w:t>BCP</w:t>
      </w:r>
      <w:proofErr w:type="spellEnd"/>
      <w:r w:rsidR="00520AAD">
        <w:rPr>
          <w:rFonts w:asciiTheme="minorHAnsi" w:hAnsiTheme="minorHAnsi" w:cstheme="minorHAnsi"/>
          <w:b/>
          <w:sz w:val="22"/>
          <w:szCs w:val="22"/>
        </w:rPr>
        <w:t>)</w:t>
      </w:r>
    </w:p>
    <w:p w14:paraId="7C8A16DD" w14:textId="1D2E5954" w:rsidR="00E266AD" w:rsidRPr="003060BB" w:rsidRDefault="00E266AD" w:rsidP="00E266AD">
      <w:pPr>
        <w:pStyle w:val="ListParagraph"/>
        <w:numPr>
          <w:ilvl w:val="0"/>
          <w:numId w:val="28"/>
        </w:numPr>
        <w:ind w:right="36"/>
        <w:contextualSpacing/>
        <w:jc w:val="both"/>
        <w:rPr>
          <w:rFonts w:asciiTheme="minorHAnsi" w:hAnsiTheme="minorHAnsi" w:cstheme="minorHAnsi"/>
          <w:sz w:val="22"/>
          <w:szCs w:val="22"/>
        </w:rPr>
      </w:pPr>
      <w:proofErr w:type="spellStart"/>
      <w:r w:rsidRPr="003060BB">
        <w:rPr>
          <w:rFonts w:asciiTheme="minorHAnsi" w:hAnsiTheme="minorHAnsi" w:cstheme="minorHAnsi"/>
          <w:b/>
          <w:sz w:val="22"/>
          <w:szCs w:val="22"/>
        </w:rPr>
        <w:t>IFA</w:t>
      </w:r>
      <w:proofErr w:type="spellEnd"/>
      <w:r w:rsidRPr="003060BB">
        <w:rPr>
          <w:rFonts w:asciiTheme="minorHAnsi" w:hAnsiTheme="minorHAnsi" w:cstheme="minorHAnsi"/>
          <w:b/>
          <w:sz w:val="22"/>
          <w:szCs w:val="22"/>
        </w:rPr>
        <w:t xml:space="preserve"> Registry</w:t>
      </w:r>
      <w:r w:rsidRPr="003060BB">
        <w:rPr>
          <w:rFonts w:asciiTheme="minorHAnsi" w:hAnsiTheme="minorHAnsi" w:cstheme="minorHAnsi"/>
          <w:sz w:val="22"/>
          <w:szCs w:val="22"/>
        </w:rPr>
        <w:t xml:space="preserve"> - A maximum </w:t>
      </w:r>
      <w:r w:rsidR="00BA6071">
        <w:rPr>
          <w:rFonts w:asciiTheme="minorHAnsi" w:hAnsiTheme="minorHAnsi" w:cstheme="minorHAnsi"/>
          <w:sz w:val="22"/>
          <w:szCs w:val="22"/>
        </w:rPr>
        <w:t>of 25 points awarded for site</w:t>
      </w:r>
      <w:r w:rsidRPr="003060BB">
        <w:rPr>
          <w:rFonts w:asciiTheme="minorHAnsi" w:hAnsiTheme="minorHAnsi" w:cstheme="minorHAnsi"/>
          <w:sz w:val="22"/>
          <w:szCs w:val="22"/>
        </w:rPr>
        <w:t xml:space="preserve">s </w:t>
      </w:r>
      <w:r w:rsidR="0055080C">
        <w:rPr>
          <w:rFonts w:asciiTheme="minorHAnsi" w:hAnsiTheme="minorHAnsi" w:cstheme="minorHAnsi"/>
          <w:sz w:val="22"/>
          <w:szCs w:val="22"/>
        </w:rPr>
        <w:t>registered with the</w:t>
      </w:r>
      <w:r w:rsidRPr="003060BB">
        <w:rPr>
          <w:rFonts w:asciiTheme="minorHAnsi" w:hAnsiTheme="minorHAnsi" w:cstheme="minorHAnsi"/>
          <w:sz w:val="22"/>
          <w:szCs w:val="22"/>
        </w:rPr>
        <w:t xml:space="preserve"> </w:t>
      </w:r>
      <w:proofErr w:type="spellStart"/>
      <w:r w:rsidRPr="003060BB">
        <w:rPr>
          <w:rFonts w:asciiTheme="minorHAnsi" w:hAnsiTheme="minorHAnsi" w:cstheme="minorHAnsi"/>
          <w:sz w:val="22"/>
          <w:szCs w:val="22"/>
        </w:rPr>
        <w:t>IFA</w:t>
      </w:r>
      <w:proofErr w:type="spellEnd"/>
      <w:r w:rsidRPr="003060BB">
        <w:rPr>
          <w:rFonts w:asciiTheme="minorHAnsi" w:hAnsiTheme="minorHAnsi" w:cstheme="minorHAnsi"/>
          <w:sz w:val="22"/>
          <w:szCs w:val="22"/>
        </w:rPr>
        <w:t xml:space="preserve"> Brownfield </w:t>
      </w:r>
      <w:r w:rsidR="0055080C">
        <w:rPr>
          <w:rFonts w:asciiTheme="minorHAnsi" w:hAnsiTheme="minorHAnsi" w:cstheme="minorHAnsi"/>
          <w:sz w:val="22"/>
          <w:szCs w:val="22"/>
        </w:rPr>
        <w:t xml:space="preserve">program </w:t>
      </w:r>
      <w:r w:rsidRPr="003060BB">
        <w:rPr>
          <w:rFonts w:asciiTheme="minorHAnsi" w:hAnsiTheme="minorHAnsi" w:cstheme="minorHAnsi"/>
          <w:sz w:val="22"/>
          <w:szCs w:val="22"/>
        </w:rPr>
        <w:t>which indicates prior involvement of the Indiana Brownfield Program</w:t>
      </w:r>
      <w:r w:rsidR="00BA6071">
        <w:rPr>
          <w:rFonts w:asciiTheme="minorHAnsi" w:hAnsiTheme="minorHAnsi" w:cstheme="minorHAnsi"/>
          <w:sz w:val="22"/>
          <w:szCs w:val="22"/>
        </w:rPr>
        <w:t xml:space="preserve"> or a letter is provided from the </w:t>
      </w:r>
      <w:proofErr w:type="spellStart"/>
      <w:r w:rsidR="00BA6071">
        <w:rPr>
          <w:rFonts w:asciiTheme="minorHAnsi" w:hAnsiTheme="minorHAnsi" w:cstheme="minorHAnsi"/>
          <w:sz w:val="22"/>
          <w:szCs w:val="22"/>
        </w:rPr>
        <w:t>IFA</w:t>
      </w:r>
      <w:proofErr w:type="spellEnd"/>
      <w:r w:rsidR="00BA6071">
        <w:rPr>
          <w:rFonts w:asciiTheme="minorHAnsi" w:hAnsiTheme="minorHAnsi" w:cstheme="minorHAnsi"/>
          <w:sz w:val="22"/>
          <w:szCs w:val="22"/>
        </w:rPr>
        <w:t xml:space="preserve"> Brownfield program that states the site is a brownfield. </w:t>
      </w:r>
    </w:p>
    <w:p w14:paraId="589C1DE9" w14:textId="77777777" w:rsidR="00E266AD" w:rsidRPr="003060BB" w:rsidRDefault="00E266AD" w:rsidP="00E266AD">
      <w:pPr>
        <w:pStyle w:val="ListParagraph"/>
        <w:numPr>
          <w:ilvl w:val="0"/>
          <w:numId w:val="28"/>
        </w:numPr>
        <w:ind w:right="36"/>
        <w:contextualSpacing/>
        <w:jc w:val="both"/>
        <w:rPr>
          <w:rFonts w:asciiTheme="minorHAnsi" w:hAnsiTheme="minorHAnsi" w:cstheme="minorHAnsi"/>
          <w:sz w:val="22"/>
          <w:szCs w:val="22"/>
        </w:rPr>
      </w:pPr>
      <w:r w:rsidRPr="003060BB">
        <w:rPr>
          <w:rFonts w:asciiTheme="minorHAnsi" w:hAnsiTheme="minorHAnsi" w:cstheme="minorHAnsi"/>
          <w:b/>
          <w:sz w:val="22"/>
          <w:szCs w:val="22"/>
        </w:rPr>
        <w:t>Site Development Plan</w:t>
      </w:r>
      <w:r w:rsidRPr="003060BB">
        <w:rPr>
          <w:rFonts w:asciiTheme="minorHAnsi" w:hAnsiTheme="minorHAnsi" w:cstheme="minorHAnsi"/>
          <w:sz w:val="22"/>
          <w:szCs w:val="22"/>
        </w:rPr>
        <w:t xml:space="preserve"> - A maximum of 25 points will be awarded for projects that have a site development plan for the future use of the Brownfield site.</w:t>
      </w:r>
    </w:p>
    <w:p w14:paraId="783456C6" w14:textId="77777777" w:rsidR="00E266AD" w:rsidRPr="003060BB" w:rsidRDefault="00E266AD" w:rsidP="00E266AD">
      <w:pPr>
        <w:ind w:right="36"/>
        <w:jc w:val="both"/>
        <w:rPr>
          <w:rFonts w:asciiTheme="minorHAnsi" w:hAnsiTheme="minorHAnsi" w:cstheme="minorHAnsi"/>
          <w:b/>
          <w:sz w:val="22"/>
          <w:szCs w:val="22"/>
        </w:rPr>
      </w:pPr>
    </w:p>
    <w:p w14:paraId="0AF1CFB0" w14:textId="77777777" w:rsidR="00E266AD" w:rsidRPr="003060BB" w:rsidRDefault="00E266AD" w:rsidP="00E266AD">
      <w:pPr>
        <w:ind w:right="36"/>
        <w:jc w:val="both"/>
        <w:rPr>
          <w:rFonts w:asciiTheme="minorHAnsi" w:hAnsiTheme="minorHAnsi" w:cstheme="minorHAnsi"/>
          <w:b/>
          <w:sz w:val="22"/>
          <w:szCs w:val="22"/>
        </w:rPr>
      </w:pPr>
      <w:r w:rsidRPr="003060BB">
        <w:rPr>
          <w:rFonts w:asciiTheme="minorHAnsi" w:hAnsiTheme="minorHAnsi" w:cstheme="minorHAnsi"/>
          <w:b/>
          <w:sz w:val="22"/>
          <w:szCs w:val="22"/>
        </w:rPr>
        <w:t>Planning Grants (PL)</w:t>
      </w:r>
    </w:p>
    <w:p w14:paraId="79B939D2" w14:textId="1C752F56" w:rsidR="00E266AD" w:rsidRPr="003060BB" w:rsidRDefault="00E266AD" w:rsidP="00E266AD">
      <w:pPr>
        <w:pStyle w:val="ListParagraph"/>
        <w:numPr>
          <w:ilvl w:val="0"/>
          <w:numId w:val="30"/>
        </w:numPr>
        <w:ind w:right="36"/>
        <w:contextualSpacing/>
        <w:jc w:val="both"/>
        <w:rPr>
          <w:rFonts w:asciiTheme="minorHAnsi" w:hAnsiTheme="minorHAnsi" w:cstheme="minorHAnsi"/>
          <w:sz w:val="22"/>
          <w:szCs w:val="22"/>
        </w:rPr>
      </w:pPr>
      <w:r w:rsidRPr="003060BB">
        <w:rPr>
          <w:rFonts w:asciiTheme="minorHAnsi" w:hAnsiTheme="minorHAnsi" w:cstheme="minorHAnsi"/>
          <w:b/>
          <w:sz w:val="22"/>
          <w:szCs w:val="22"/>
        </w:rPr>
        <w:t>Community Input and Collaboration</w:t>
      </w:r>
      <w:r w:rsidRPr="003060BB">
        <w:rPr>
          <w:rFonts w:asciiTheme="minorHAnsi" w:hAnsiTheme="minorHAnsi" w:cstheme="minorHAnsi"/>
          <w:sz w:val="22"/>
          <w:szCs w:val="22"/>
        </w:rPr>
        <w:t xml:space="preserve"> – A maximum of 25 points are awarded for communities that document public input and collaboration efforts beyond</w:t>
      </w:r>
      <w:r w:rsidR="006F788D">
        <w:rPr>
          <w:rFonts w:asciiTheme="minorHAnsi" w:hAnsiTheme="minorHAnsi" w:cstheme="minorHAnsi"/>
          <w:sz w:val="22"/>
          <w:szCs w:val="22"/>
        </w:rPr>
        <w:t xml:space="preserve"> letters of support and the</w:t>
      </w:r>
      <w:r w:rsidR="006F788D" w:rsidRPr="006F788D">
        <w:rPr>
          <w:rFonts w:asciiTheme="minorHAnsi" w:hAnsiTheme="minorHAnsi" w:cstheme="minorHAnsi"/>
          <w:sz w:val="22"/>
          <w:szCs w:val="22"/>
        </w:rPr>
        <w:t xml:space="preserve"> </w:t>
      </w:r>
      <w:r w:rsidR="006F788D">
        <w:rPr>
          <w:rFonts w:asciiTheme="minorHAnsi" w:hAnsiTheme="minorHAnsi" w:cstheme="minorHAnsi"/>
          <w:sz w:val="22"/>
          <w:szCs w:val="22"/>
        </w:rPr>
        <w:t>two required</w:t>
      </w:r>
      <w:r w:rsidR="006F788D" w:rsidRPr="003060BB">
        <w:rPr>
          <w:rFonts w:asciiTheme="minorHAnsi" w:hAnsiTheme="minorHAnsi" w:cstheme="minorHAnsi"/>
          <w:sz w:val="22"/>
          <w:szCs w:val="22"/>
        </w:rPr>
        <w:t xml:space="preserve"> Public Hearings</w:t>
      </w:r>
      <w:r w:rsidR="006F788D">
        <w:rPr>
          <w:rFonts w:asciiTheme="minorHAnsi" w:hAnsiTheme="minorHAnsi" w:cstheme="minorHAnsi"/>
          <w:sz w:val="22"/>
          <w:szCs w:val="22"/>
        </w:rPr>
        <w:t>.</w:t>
      </w:r>
    </w:p>
    <w:p w14:paraId="51EC37E8" w14:textId="77777777" w:rsidR="00E266AD" w:rsidRPr="003060BB" w:rsidRDefault="00E266AD" w:rsidP="00E266AD">
      <w:pPr>
        <w:pStyle w:val="ListParagraph"/>
        <w:numPr>
          <w:ilvl w:val="0"/>
          <w:numId w:val="30"/>
        </w:numPr>
        <w:ind w:right="36"/>
        <w:contextualSpacing/>
        <w:jc w:val="both"/>
        <w:rPr>
          <w:rFonts w:asciiTheme="minorHAnsi" w:hAnsiTheme="minorHAnsi" w:cstheme="minorHAnsi"/>
          <w:sz w:val="22"/>
          <w:szCs w:val="22"/>
        </w:rPr>
      </w:pPr>
      <w:r w:rsidRPr="003060BB">
        <w:rPr>
          <w:rFonts w:asciiTheme="minorHAnsi" w:hAnsiTheme="minorHAnsi" w:cstheme="minorHAnsi"/>
          <w:b/>
          <w:sz w:val="22"/>
          <w:szCs w:val="22"/>
        </w:rPr>
        <w:t xml:space="preserve">Connection to Previous Planning Effort </w:t>
      </w:r>
      <w:r w:rsidRPr="003060BB">
        <w:rPr>
          <w:rFonts w:asciiTheme="minorHAnsi" w:hAnsiTheme="minorHAnsi" w:cstheme="minorHAnsi"/>
          <w:sz w:val="22"/>
          <w:szCs w:val="22"/>
        </w:rPr>
        <w:t>– A maximum of 15 points are awarded for documentation that the plan that is being applied for connects to a pervious planning effort done by the community.</w:t>
      </w:r>
    </w:p>
    <w:p w14:paraId="6E299A9E" w14:textId="40D93138" w:rsidR="00E266AD" w:rsidRPr="003060BB" w:rsidRDefault="00E266AD" w:rsidP="00E266AD">
      <w:pPr>
        <w:pStyle w:val="ListParagraph"/>
        <w:numPr>
          <w:ilvl w:val="0"/>
          <w:numId w:val="30"/>
        </w:numPr>
        <w:ind w:right="36"/>
        <w:contextualSpacing/>
        <w:jc w:val="both"/>
        <w:rPr>
          <w:rFonts w:asciiTheme="minorHAnsi" w:hAnsiTheme="minorHAnsi" w:cstheme="minorHAnsi"/>
          <w:sz w:val="22"/>
          <w:szCs w:val="22"/>
        </w:rPr>
      </w:pPr>
      <w:r w:rsidRPr="003060BB">
        <w:rPr>
          <w:rFonts w:asciiTheme="minorHAnsi" w:hAnsiTheme="minorHAnsi" w:cstheme="minorHAnsi"/>
          <w:b/>
          <w:sz w:val="22"/>
          <w:szCs w:val="22"/>
        </w:rPr>
        <w:t>Implementation of Previous Plan or First-time Plans</w:t>
      </w:r>
      <w:r w:rsidRPr="003060BB">
        <w:rPr>
          <w:rFonts w:asciiTheme="minorHAnsi" w:hAnsiTheme="minorHAnsi" w:cstheme="minorHAnsi"/>
          <w:sz w:val="22"/>
          <w:szCs w:val="22"/>
        </w:rPr>
        <w:t xml:space="preserve"> – A maximum of 10 points are awarded for communities that document the successful implementation of a pervious planning grant plan or for communities that have never receive an plan</w:t>
      </w:r>
      <w:r w:rsidR="00A51593">
        <w:rPr>
          <w:rFonts w:asciiTheme="minorHAnsi" w:hAnsiTheme="minorHAnsi" w:cstheme="minorHAnsi"/>
          <w:sz w:val="22"/>
          <w:szCs w:val="22"/>
        </w:rPr>
        <w:t>ning</w:t>
      </w:r>
      <w:r w:rsidRPr="003060BB">
        <w:rPr>
          <w:rFonts w:asciiTheme="minorHAnsi" w:hAnsiTheme="minorHAnsi" w:cstheme="minorHAnsi"/>
          <w:sz w:val="22"/>
          <w:szCs w:val="22"/>
        </w:rPr>
        <w:t xml:space="preserve"> grant before.</w:t>
      </w:r>
    </w:p>
    <w:p w14:paraId="4D1D8959" w14:textId="77777777" w:rsidR="00E266AD" w:rsidRPr="003060BB" w:rsidRDefault="00E266AD" w:rsidP="00E266AD">
      <w:pPr>
        <w:ind w:right="36"/>
        <w:jc w:val="both"/>
        <w:rPr>
          <w:rFonts w:asciiTheme="minorHAnsi" w:hAnsiTheme="minorHAnsi" w:cstheme="minorHAnsi"/>
          <w:b/>
          <w:sz w:val="22"/>
          <w:szCs w:val="22"/>
        </w:rPr>
      </w:pPr>
    </w:p>
    <w:p w14:paraId="012AEF2E" w14:textId="77777777" w:rsidR="00E266AD" w:rsidRPr="003060BB" w:rsidRDefault="00E266AD" w:rsidP="00E266AD">
      <w:pPr>
        <w:ind w:right="36"/>
        <w:jc w:val="both"/>
        <w:rPr>
          <w:rFonts w:asciiTheme="minorHAnsi" w:hAnsiTheme="minorHAnsi" w:cstheme="minorHAnsi"/>
          <w:b/>
          <w:sz w:val="22"/>
          <w:szCs w:val="22"/>
        </w:rPr>
      </w:pPr>
      <w:r w:rsidRPr="003060BB">
        <w:rPr>
          <w:rFonts w:asciiTheme="minorHAnsi" w:hAnsiTheme="minorHAnsi" w:cstheme="minorHAnsi"/>
          <w:b/>
          <w:sz w:val="22"/>
          <w:szCs w:val="22"/>
        </w:rPr>
        <w:t>Public Facilities Program (</w:t>
      </w:r>
      <w:proofErr w:type="spellStart"/>
      <w:r w:rsidRPr="003060BB">
        <w:rPr>
          <w:rFonts w:asciiTheme="minorHAnsi" w:hAnsiTheme="minorHAnsi" w:cstheme="minorHAnsi"/>
          <w:b/>
          <w:sz w:val="22"/>
          <w:szCs w:val="22"/>
        </w:rPr>
        <w:t>PFP</w:t>
      </w:r>
      <w:proofErr w:type="spellEnd"/>
      <w:r w:rsidRPr="003060BB">
        <w:rPr>
          <w:rFonts w:asciiTheme="minorHAnsi" w:hAnsiTheme="minorHAnsi" w:cstheme="minorHAnsi"/>
          <w:b/>
          <w:sz w:val="22"/>
          <w:szCs w:val="22"/>
        </w:rPr>
        <w:t>)</w:t>
      </w:r>
    </w:p>
    <w:p w14:paraId="67267500" w14:textId="77777777" w:rsidR="00E266AD" w:rsidRPr="003060BB" w:rsidRDefault="00E266AD" w:rsidP="00E266AD">
      <w:pPr>
        <w:pStyle w:val="ListParagraph"/>
        <w:numPr>
          <w:ilvl w:val="0"/>
          <w:numId w:val="28"/>
        </w:numPr>
        <w:autoSpaceDE w:val="0"/>
        <w:autoSpaceDN w:val="0"/>
        <w:adjustRightInd w:val="0"/>
        <w:contextualSpacing/>
        <w:jc w:val="both"/>
        <w:rPr>
          <w:rFonts w:asciiTheme="minorHAnsi" w:hAnsiTheme="minorHAnsi" w:cstheme="minorHAnsi"/>
          <w:sz w:val="22"/>
          <w:szCs w:val="22"/>
        </w:rPr>
      </w:pPr>
      <w:r w:rsidRPr="003060BB">
        <w:rPr>
          <w:rFonts w:asciiTheme="minorHAnsi" w:hAnsiTheme="minorHAnsi" w:cstheme="minorHAnsi"/>
          <w:b/>
          <w:sz w:val="22"/>
          <w:szCs w:val="22"/>
        </w:rPr>
        <w:t xml:space="preserve">Philanthropic Contributions </w:t>
      </w:r>
      <w:r w:rsidRPr="003060BB">
        <w:rPr>
          <w:rFonts w:asciiTheme="minorHAnsi" w:hAnsiTheme="minorHAnsi" w:cstheme="minorHAnsi"/>
          <w:sz w:val="22"/>
          <w:szCs w:val="22"/>
        </w:rPr>
        <w:t>- Points are assigned based on philanthropic contribution as a percentage of total project costs.</w:t>
      </w:r>
    </w:p>
    <w:p w14:paraId="4963712B" w14:textId="77777777" w:rsidR="00E266AD" w:rsidRPr="003060BB" w:rsidRDefault="00E266AD" w:rsidP="00E266AD">
      <w:pPr>
        <w:pStyle w:val="ListParagraph"/>
        <w:numPr>
          <w:ilvl w:val="1"/>
          <w:numId w:val="28"/>
        </w:numPr>
        <w:autoSpaceDE w:val="0"/>
        <w:autoSpaceDN w:val="0"/>
        <w:adjustRightInd w:val="0"/>
        <w:contextualSpacing/>
        <w:jc w:val="both"/>
        <w:rPr>
          <w:rFonts w:asciiTheme="minorHAnsi" w:hAnsiTheme="minorHAnsi" w:cstheme="minorHAnsi"/>
          <w:sz w:val="22"/>
          <w:szCs w:val="22"/>
        </w:rPr>
      </w:pPr>
      <w:r w:rsidRPr="003060BB">
        <w:rPr>
          <w:rFonts w:asciiTheme="minorHAnsi" w:hAnsiTheme="minorHAnsi" w:cstheme="minorHAnsi"/>
          <w:sz w:val="22"/>
          <w:szCs w:val="22"/>
        </w:rPr>
        <w:t>Less than 1% - 0 points</w:t>
      </w:r>
    </w:p>
    <w:p w14:paraId="06F960B5" w14:textId="24BF18B0" w:rsidR="00E266AD" w:rsidRPr="003060BB" w:rsidRDefault="00D8428A" w:rsidP="00E266AD">
      <w:pPr>
        <w:pStyle w:val="ListParagraph"/>
        <w:numPr>
          <w:ilvl w:val="1"/>
          <w:numId w:val="28"/>
        </w:numPr>
        <w:autoSpaceDE w:val="0"/>
        <w:autoSpaceDN w:val="0"/>
        <w:adjustRightInd w:val="0"/>
        <w:contextualSpacing/>
        <w:jc w:val="both"/>
        <w:rPr>
          <w:rFonts w:asciiTheme="minorHAnsi" w:hAnsiTheme="minorHAnsi" w:cstheme="minorHAnsi"/>
          <w:sz w:val="22"/>
          <w:szCs w:val="22"/>
        </w:rPr>
      </w:pPr>
      <w:r>
        <w:rPr>
          <w:rFonts w:asciiTheme="minorHAnsi" w:hAnsiTheme="minorHAnsi" w:cstheme="minorHAnsi"/>
          <w:sz w:val="22"/>
          <w:szCs w:val="22"/>
        </w:rPr>
        <w:t>1-1.99</w:t>
      </w:r>
      <w:r w:rsidR="00E266AD" w:rsidRPr="003060BB">
        <w:rPr>
          <w:rFonts w:asciiTheme="minorHAnsi" w:hAnsiTheme="minorHAnsi" w:cstheme="minorHAnsi"/>
          <w:sz w:val="22"/>
          <w:szCs w:val="22"/>
        </w:rPr>
        <w:t>% - 10 points</w:t>
      </w:r>
    </w:p>
    <w:p w14:paraId="27FFAA51" w14:textId="201582D0" w:rsidR="00E266AD" w:rsidRPr="003060BB" w:rsidRDefault="00D8428A" w:rsidP="00E266AD">
      <w:pPr>
        <w:pStyle w:val="ListParagraph"/>
        <w:numPr>
          <w:ilvl w:val="1"/>
          <w:numId w:val="28"/>
        </w:numPr>
        <w:autoSpaceDE w:val="0"/>
        <w:autoSpaceDN w:val="0"/>
        <w:adjustRightInd w:val="0"/>
        <w:contextualSpacing/>
        <w:jc w:val="both"/>
        <w:rPr>
          <w:rFonts w:asciiTheme="minorHAnsi" w:hAnsiTheme="minorHAnsi" w:cstheme="minorHAnsi"/>
          <w:sz w:val="22"/>
          <w:szCs w:val="22"/>
        </w:rPr>
      </w:pPr>
      <w:r>
        <w:rPr>
          <w:rFonts w:asciiTheme="minorHAnsi" w:hAnsiTheme="minorHAnsi" w:cstheme="minorHAnsi"/>
          <w:sz w:val="22"/>
          <w:szCs w:val="22"/>
        </w:rPr>
        <w:t>2-2.99</w:t>
      </w:r>
      <w:r w:rsidR="00E266AD" w:rsidRPr="003060BB">
        <w:rPr>
          <w:rFonts w:asciiTheme="minorHAnsi" w:hAnsiTheme="minorHAnsi" w:cstheme="minorHAnsi"/>
          <w:sz w:val="22"/>
          <w:szCs w:val="22"/>
        </w:rPr>
        <w:t>% - 15 points</w:t>
      </w:r>
    </w:p>
    <w:p w14:paraId="16359F80" w14:textId="6FCEAA63" w:rsidR="00E266AD" w:rsidRPr="003060BB" w:rsidRDefault="00D8428A" w:rsidP="00E266AD">
      <w:pPr>
        <w:pStyle w:val="ListParagraph"/>
        <w:numPr>
          <w:ilvl w:val="1"/>
          <w:numId w:val="28"/>
        </w:numPr>
        <w:autoSpaceDE w:val="0"/>
        <w:autoSpaceDN w:val="0"/>
        <w:adjustRightInd w:val="0"/>
        <w:contextualSpacing/>
        <w:jc w:val="both"/>
        <w:rPr>
          <w:rFonts w:asciiTheme="minorHAnsi" w:hAnsiTheme="minorHAnsi" w:cstheme="minorHAnsi"/>
          <w:sz w:val="22"/>
          <w:szCs w:val="22"/>
        </w:rPr>
      </w:pPr>
      <w:r>
        <w:rPr>
          <w:rFonts w:asciiTheme="minorHAnsi" w:hAnsiTheme="minorHAnsi" w:cstheme="minorHAnsi"/>
          <w:sz w:val="22"/>
          <w:szCs w:val="22"/>
        </w:rPr>
        <w:t>3-3.99</w:t>
      </w:r>
      <w:r w:rsidR="00E266AD" w:rsidRPr="003060BB">
        <w:rPr>
          <w:rFonts w:asciiTheme="minorHAnsi" w:hAnsiTheme="minorHAnsi" w:cstheme="minorHAnsi"/>
          <w:sz w:val="22"/>
          <w:szCs w:val="22"/>
        </w:rPr>
        <w:t>% - 20 points</w:t>
      </w:r>
    </w:p>
    <w:p w14:paraId="22349C36" w14:textId="77777777" w:rsidR="00E266AD" w:rsidRPr="003060BB" w:rsidRDefault="00E266AD" w:rsidP="00E266AD">
      <w:pPr>
        <w:pStyle w:val="ListParagraph"/>
        <w:numPr>
          <w:ilvl w:val="1"/>
          <w:numId w:val="28"/>
        </w:numPr>
        <w:autoSpaceDE w:val="0"/>
        <w:autoSpaceDN w:val="0"/>
        <w:adjustRightInd w:val="0"/>
        <w:contextualSpacing/>
        <w:jc w:val="both"/>
        <w:rPr>
          <w:rFonts w:asciiTheme="minorHAnsi" w:hAnsiTheme="minorHAnsi" w:cstheme="minorHAnsi"/>
          <w:sz w:val="22"/>
          <w:szCs w:val="22"/>
        </w:rPr>
      </w:pPr>
      <w:r w:rsidRPr="003060BB">
        <w:rPr>
          <w:rFonts w:asciiTheme="minorHAnsi" w:hAnsiTheme="minorHAnsi" w:cstheme="minorHAnsi"/>
          <w:sz w:val="22"/>
          <w:szCs w:val="22"/>
        </w:rPr>
        <w:t>4%+ - 25 points</w:t>
      </w:r>
    </w:p>
    <w:p w14:paraId="57598B9F" w14:textId="77777777" w:rsidR="00E266AD" w:rsidRPr="003060BB" w:rsidRDefault="00E266AD" w:rsidP="00E266AD">
      <w:pPr>
        <w:pStyle w:val="ListParagraph"/>
        <w:numPr>
          <w:ilvl w:val="0"/>
          <w:numId w:val="28"/>
        </w:numPr>
        <w:autoSpaceDE w:val="0"/>
        <w:autoSpaceDN w:val="0"/>
        <w:adjustRightInd w:val="0"/>
        <w:contextualSpacing/>
        <w:jc w:val="both"/>
        <w:rPr>
          <w:rFonts w:asciiTheme="minorHAnsi" w:hAnsiTheme="minorHAnsi" w:cstheme="minorHAnsi"/>
          <w:sz w:val="22"/>
          <w:szCs w:val="22"/>
        </w:rPr>
      </w:pPr>
      <w:r w:rsidRPr="003060BB">
        <w:rPr>
          <w:rFonts w:asciiTheme="minorHAnsi" w:hAnsiTheme="minorHAnsi" w:cstheme="minorHAnsi"/>
          <w:b/>
          <w:sz w:val="22"/>
          <w:szCs w:val="22"/>
        </w:rPr>
        <w:t>Project Sustainability</w:t>
      </w:r>
      <w:r w:rsidRPr="003060BB">
        <w:rPr>
          <w:rFonts w:asciiTheme="minorHAnsi" w:hAnsiTheme="minorHAnsi" w:cstheme="minorHAnsi"/>
          <w:sz w:val="22"/>
          <w:szCs w:val="22"/>
        </w:rPr>
        <w:t xml:space="preserve"> - A maximum of 25 points for the establishment of a (or documentation of existing) permanent Community Facility Fund, to be used for ongoing operation and maintenance activities of the project.</w:t>
      </w:r>
    </w:p>
    <w:p w14:paraId="214E41F5" w14:textId="2506B836" w:rsidR="00E266AD" w:rsidRPr="003060BB" w:rsidRDefault="00973148" w:rsidP="00E266AD">
      <w:pPr>
        <w:pStyle w:val="ListParagraph"/>
        <w:numPr>
          <w:ilvl w:val="1"/>
          <w:numId w:val="28"/>
        </w:numPr>
        <w:autoSpaceDE w:val="0"/>
        <w:autoSpaceDN w:val="0"/>
        <w:adjustRightInd w:val="0"/>
        <w:contextualSpacing/>
        <w:jc w:val="both"/>
        <w:rPr>
          <w:rFonts w:asciiTheme="minorHAnsi" w:hAnsiTheme="minorHAnsi" w:cstheme="minorHAnsi"/>
          <w:sz w:val="22"/>
          <w:szCs w:val="22"/>
        </w:rPr>
      </w:pPr>
      <w:r>
        <w:rPr>
          <w:rFonts w:asciiTheme="minorHAnsi" w:hAnsiTheme="minorHAnsi" w:cstheme="minorHAnsi"/>
          <w:sz w:val="22"/>
          <w:szCs w:val="22"/>
        </w:rPr>
        <w:t>0 points – Less than</w:t>
      </w:r>
      <w:r w:rsidR="0055080C">
        <w:rPr>
          <w:rFonts w:asciiTheme="minorHAnsi" w:hAnsiTheme="minorHAnsi" w:cstheme="minorHAnsi"/>
          <w:sz w:val="22"/>
          <w:szCs w:val="22"/>
        </w:rPr>
        <w:t xml:space="preserve"> </w:t>
      </w:r>
      <w:r w:rsidR="00E266AD" w:rsidRPr="003060BB">
        <w:rPr>
          <w:rFonts w:asciiTheme="minorHAnsi" w:hAnsiTheme="minorHAnsi" w:cstheme="minorHAnsi"/>
          <w:sz w:val="22"/>
          <w:szCs w:val="22"/>
        </w:rPr>
        <w:t>$3,000</w:t>
      </w:r>
    </w:p>
    <w:p w14:paraId="52451CC2" w14:textId="77777777" w:rsidR="00E266AD" w:rsidRPr="003060BB" w:rsidRDefault="00E266AD" w:rsidP="00E266AD">
      <w:pPr>
        <w:pStyle w:val="ListParagraph"/>
        <w:numPr>
          <w:ilvl w:val="1"/>
          <w:numId w:val="28"/>
        </w:numPr>
        <w:autoSpaceDE w:val="0"/>
        <w:autoSpaceDN w:val="0"/>
        <w:adjustRightInd w:val="0"/>
        <w:contextualSpacing/>
        <w:jc w:val="both"/>
        <w:rPr>
          <w:rFonts w:asciiTheme="minorHAnsi" w:hAnsiTheme="minorHAnsi" w:cstheme="minorHAnsi"/>
          <w:sz w:val="22"/>
          <w:szCs w:val="22"/>
        </w:rPr>
      </w:pPr>
      <w:r w:rsidRPr="003060BB">
        <w:rPr>
          <w:rFonts w:asciiTheme="minorHAnsi" w:hAnsiTheme="minorHAnsi" w:cstheme="minorHAnsi"/>
          <w:sz w:val="22"/>
          <w:szCs w:val="22"/>
        </w:rPr>
        <w:t xml:space="preserve">10 points - $3,000-$5,000 </w:t>
      </w:r>
    </w:p>
    <w:p w14:paraId="406D26A1" w14:textId="77777777" w:rsidR="00E266AD" w:rsidRPr="003060BB" w:rsidRDefault="00E266AD" w:rsidP="00E266AD">
      <w:pPr>
        <w:pStyle w:val="ListParagraph"/>
        <w:numPr>
          <w:ilvl w:val="1"/>
          <w:numId w:val="28"/>
        </w:numPr>
        <w:autoSpaceDE w:val="0"/>
        <w:autoSpaceDN w:val="0"/>
        <w:adjustRightInd w:val="0"/>
        <w:ind w:right="36"/>
        <w:contextualSpacing/>
        <w:jc w:val="both"/>
        <w:rPr>
          <w:rFonts w:asciiTheme="minorHAnsi" w:hAnsiTheme="minorHAnsi" w:cstheme="minorHAnsi"/>
          <w:b/>
          <w:sz w:val="22"/>
          <w:szCs w:val="22"/>
        </w:rPr>
      </w:pPr>
      <w:r w:rsidRPr="003060BB">
        <w:rPr>
          <w:rFonts w:asciiTheme="minorHAnsi" w:hAnsiTheme="minorHAnsi" w:cstheme="minorHAnsi"/>
          <w:sz w:val="22"/>
          <w:szCs w:val="22"/>
        </w:rPr>
        <w:t xml:space="preserve">25 points – More than $5,000 </w:t>
      </w:r>
    </w:p>
    <w:p w14:paraId="366FB466" w14:textId="77777777" w:rsidR="00E266AD" w:rsidRPr="003060BB" w:rsidRDefault="00E266AD" w:rsidP="00E266AD">
      <w:pPr>
        <w:ind w:right="36"/>
        <w:jc w:val="both"/>
        <w:rPr>
          <w:rFonts w:asciiTheme="minorHAnsi" w:hAnsiTheme="minorHAnsi" w:cstheme="minorHAnsi"/>
          <w:b/>
          <w:sz w:val="22"/>
          <w:szCs w:val="22"/>
        </w:rPr>
      </w:pPr>
    </w:p>
    <w:p w14:paraId="76687296" w14:textId="77777777" w:rsidR="00E266AD" w:rsidRPr="003060BB" w:rsidRDefault="00E266AD" w:rsidP="00E266AD">
      <w:pPr>
        <w:ind w:right="36"/>
        <w:jc w:val="both"/>
        <w:rPr>
          <w:rFonts w:asciiTheme="minorHAnsi" w:hAnsiTheme="minorHAnsi" w:cstheme="minorHAnsi"/>
          <w:b/>
          <w:sz w:val="22"/>
          <w:szCs w:val="22"/>
        </w:rPr>
      </w:pPr>
      <w:r w:rsidRPr="003060BB">
        <w:rPr>
          <w:rFonts w:asciiTheme="minorHAnsi" w:hAnsiTheme="minorHAnsi" w:cstheme="minorHAnsi"/>
          <w:b/>
          <w:sz w:val="22"/>
          <w:szCs w:val="22"/>
        </w:rPr>
        <w:t>Main Street Revitalization Program (</w:t>
      </w:r>
      <w:proofErr w:type="spellStart"/>
      <w:r w:rsidRPr="003060BB">
        <w:rPr>
          <w:rFonts w:asciiTheme="minorHAnsi" w:hAnsiTheme="minorHAnsi" w:cstheme="minorHAnsi"/>
          <w:b/>
          <w:sz w:val="22"/>
          <w:szCs w:val="22"/>
        </w:rPr>
        <w:t>MSRP</w:t>
      </w:r>
      <w:proofErr w:type="spellEnd"/>
      <w:r w:rsidRPr="003060BB">
        <w:rPr>
          <w:rFonts w:asciiTheme="minorHAnsi" w:hAnsiTheme="minorHAnsi" w:cstheme="minorHAnsi"/>
          <w:b/>
          <w:sz w:val="22"/>
          <w:szCs w:val="22"/>
        </w:rPr>
        <w:t>)</w:t>
      </w:r>
    </w:p>
    <w:p w14:paraId="2000D3EA" w14:textId="77777777" w:rsidR="00E266AD" w:rsidRPr="003060BB" w:rsidRDefault="00E266AD" w:rsidP="00E266AD">
      <w:pPr>
        <w:pStyle w:val="ListParagraph"/>
        <w:numPr>
          <w:ilvl w:val="0"/>
          <w:numId w:val="27"/>
        </w:numPr>
        <w:contextualSpacing/>
        <w:jc w:val="both"/>
        <w:rPr>
          <w:rFonts w:asciiTheme="minorHAnsi" w:hAnsiTheme="minorHAnsi" w:cstheme="minorHAnsi"/>
          <w:sz w:val="22"/>
          <w:szCs w:val="22"/>
        </w:rPr>
      </w:pPr>
      <w:r w:rsidRPr="003060BB">
        <w:rPr>
          <w:rFonts w:asciiTheme="minorHAnsi" w:hAnsiTheme="minorHAnsi" w:cstheme="minorHAnsi"/>
          <w:sz w:val="22"/>
          <w:szCs w:val="22"/>
        </w:rPr>
        <w:t>Community is designated as</w:t>
      </w:r>
      <w:r w:rsidR="00FE0DC1">
        <w:rPr>
          <w:rFonts w:asciiTheme="minorHAnsi" w:hAnsiTheme="minorHAnsi" w:cstheme="minorHAnsi"/>
          <w:sz w:val="22"/>
          <w:szCs w:val="22"/>
        </w:rPr>
        <w:t xml:space="preserve"> a Nationally Accredited</w:t>
      </w:r>
      <w:r w:rsidRPr="003060BB">
        <w:rPr>
          <w:rFonts w:asciiTheme="minorHAnsi" w:hAnsiTheme="minorHAnsi" w:cstheme="minorHAnsi"/>
          <w:sz w:val="22"/>
          <w:szCs w:val="22"/>
        </w:rPr>
        <w:t xml:space="preserve"> Main Street Organization (10 points)  </w:t>
      </w:r>
    </w:p>
    <w:p w14:paraId="5ACE6F61" w14:textId="4FA8F688" w:rsidR="00FE0DC1" w:rsidRDefault="00FE0DC1" w:rsidP="00E266AD">
      <w:pPr>
        <w:pStyle w:val="ListParagraph"/>
        <w:numPr>
          <w:ilvl w:val="0"/>
          <w:numId w:val="27"/>
        </w:numPr>
        <w:contextualSpacing/>
        <w:jc w:val="both"/>
        <w:rPr>
          <w:rFonts w:asciiTheme="minorHAnsi" w:hAnsiTheme="minorHAnsi" w:cstheme="minorHAnsi"/>
          <w:sz w:val="22"/>
          <w:szCs w:val="22"/>
        </w:rPr>
      </w:pPr>
      <w:r w:rsidRPr="003060BB">
        <w:rPr>
          <w:rFonts w:asciiTheme="minorHAnsi" w:hAnsiTheme="minorHAnsi" w:cstheme="minorHAnsi"/>
          <w:sz w:val="22"/>
          <w:szCs w:val="22"/>
        </w:rPr>
        <w:t>The district is listed on the Indiana or National</w:t>
      </w:r>
      <w:r w:rsidR="00B02FA5">
        <w:rPr>
          <w:rFonts w:asciiTheme="minorHAnsi" w:hAnsiTheme="minorHAnsi" w:cstheme="minorHAnsi"/>
          <w:sz w:val="22"/>
          <w:szCs w:val="22"/>
        </w:rPr>
        <w:t xml:space="preserve"> Register of Historic Places (5</w:t>
      </w:r>
      <w:r w:rsidRPr="003060BB">
        <w:rPr>
          <w:rFonts w:asciiTheme="minorHAnsi" w:hAnsiTheme="minorHAnsi" w:cstheme="minorHAnsi"/>
          <w:sz w:val="22"/>
          <w:szCs w:val="22"/>
        </w:rPr>
        <w:t xml:space="preserve"> points)</w:t>
      </w:r>
    </w:p>
    <w:p w14:paraId="3C93BEFF" w14:textId="77777777" w:rsidR="00E266AD" w:rsidRPr="003060BB" w:rsidRDefault="00E266AD" w:rsidP="00E266AD">
      <w:pPr>
        <w:pStyle w:val="ListParagraph"/>
        <w:numPr>
          <w:ilvl w:val="0"/>
          <w:numId w:val="27"/>
        </w:numPr>
        <w:contextualSpacing/>
        <w:jc w:val="both"/>
        <w:rPr>
          <w:rFonts w:asciiTheme="minorHAnsi" w:hAnsiTheme="minorHAnsi" w:cstheme="minorHAnsi"/>
          <w:sz w:val="22"/>
          <w:szCs w:val="22"/>
        </w:rPr>
      </w:pPr>
      <w:r w:rsidRPr="003060BB">
        <w:rPr>
          <w:rFonts w:asciiTheme="minorHAnsi" w:hAnsiTheme="minorHAnsi" w:cstheme="minorHAnsi"/>
          <w:sz w:val="22"/>
          <w:szCs w:val="22"/>
        </w:rPr>
        <w:t>Documentation of active and continued involvement in the application and project by the Main Street organization (10 points)</w:t>
      </w:r>
    </w:p>
    <w:p w14:paraId="0B12FF8D" w14:textId="4E531703" w:rsidR="00E266AD" w:rsidRPr="00FE0DC1" w:rsidRDefault="00E266AD" w:rsidP="00FE0DC1">
      <w:pPr>
        <w:pStyle w:val="ListParagraph"/>
        <w:numPr>
          <w:ilvl w:val="0"/>
          <w:numId w:val="27"/>
        </w:numPr>
        <w:contextualSpacing/>
        <w:jc w:val="both"/>
        <w:rPr>
          <w:rFonts w:asciiTheme="minorHAnsi" w:hAnsiTheme="minorHAnsi" w:cstheme="minorHAnsi"/>
          <w:sz w:val="22"/>
          <w:szCs w:val="22"/>
        </w:rPr>
      </w:pPr>
      <w:r w:rsidRPr="003060BB">
        <w:rPr>
          <w:rFonts w:asciiTheme="minorHAnsi" w:hAnsiTheme="minorHAnsi" w:cstheme="minorHAnsi"/>
          <w:sz w:val="22"/>
          <w:szCs w:val="22"/>
        </w:rPr>
        <w:t>The Main Street Organization has a long-term Strategic Plan.  (</w:t>
      </w:r>
      <w:r w:rsidR="00973148">
        <w:rPr>
          <w:rFonts w:asciiTheme="minorHAnsi" w:hAnsiTheme="minorHAnsi" w:cstheme="minorHAnsi"/>
          <w:sz w:val="22"/>
          <w:szCs w:val="22"/>
        </w:rPr>
        <w:t xml:space="preserve">Maximum of </w:t>
      </w:r>
      <w:r w:rsidR="00B02FA5">
        <w:rPr>
          <w:rFonts w:asciiTheme="minorHAnsi" w:hAnsiTheme="minorHAnsi" w:cstheme="minorHAnsi"/>
          <w:sz w:val="22"/>
          <w:szCs w:val="22"/>
        </w:rPr>
        <w:t>5</w:t>
      </w:r>
      <w:r w:rsidRPr="003060BB">
        <w:rPr>
          <w:rFonts w:asciiTheme="minorHAnsi" w:hAnsiTheme="minorHAnsi" w:cstheme="minorHAnsi"/>
          <w:sz w:val="22"/>
          <w:szCs w:val="22"/>
        </w:rPr>
        <w:t xml:space="preserve"> points)  </w:t>
      </w:r>
    </w:p>
    <w:p w14:paraId="7644B21E" w14:textId="774B695C" w:rsidR="00E266AD" w:rsidRDefault="00E266AD" w:rsidP="00973148">
      <w:pPr>
        <w:pStyle w:val="ListParagraph"/>
        <w:numPr>
          <w:ilvl w:val="0"/>
          <w:numId w:val="27"/>
        </w:numPr>
        <w:contextualSpacing/>
        <w:jc w:val="both"/>
        <w:rPr>
          <w:rFonts w:asciiTheme="minorHAnsi" w:hAnsiTheme="minorHAnsi" w:cstheme="minorHAnsi"/>
          <w:sz w:val="22"/>
          <w:szCs w:val="22"/>
        </w:rPr>
      </w:pPr>
      <w:r w:rsidRPr="003060BB">
        <w:rPr>
          <w:rFonts w:asciiTheme="minorHAnsi" w:hAnsiTheme="minorHAnsi" w:cstheme="minorHAnsi"/>
          <w:sz w:val="22"/>
          <w:szCs w:val="22"/>
        </w:rPr>
        <w:t>The Main Street Organization has a sustainability/fundraising plan in place. (</w:t>
      </w:r>
      <w:r w:rsidR="00973148">
        <w:rPr>
          <w:rFonts w:asciiTheme="minorHAnsi" w:hAnsiTheme="minorHAnsi" w:cstheme="minorHAnsi"/>
          <w:sz w:val="22"/>
          <w:szCs w:val="22"/>
        </w:rPr>
        <w:t xml:space="preserve">Maximum of </w:t>
      </w:r>
      <w:r w:rsidR="00B02FA5">
        <w:rPr>
          <w:rFonts w:asciiTheme="minorHAnsi" w:hAnsiTheme="minorHAnsi" w:cstheme="minorHAnsi"/>
          <w:sz w:val="22"/>
          <w:szCs w:val="22"/>
        </w:rPr>
        <w:t>5 points)</w:t>
      </w:r>
    </w:p>
    <w:p w14:paraId="363DAE10" w14:textId="1A79F3EB" w:rsidR="00B02FA5" w:rsidRDefault="00B02FA5" w:rsidP="00973148">
      <w:pPr>
        <w:pStyle w:val="ListParagraph"/>
        <w:numPr>
          <w:ilvl w:val="0"/>
          <w:numId w:val="27"/>
        </w:numPr>
        <w:contextualSpacing/>
        <w:jc w:val="both"/>
        <w:rPr>
          <w:rFonts w:asciiTheme="minorHAnsi" w:hAnsiTheme="minorHAnsi" w:cstheme="minorHAnsi"/>
          <w:sz w:val="22"/>
          <w:szCs w:val="22"/>
        </w:rPr>
      </w:pPr>
      <w:r>
        <w:rPr>
          <w:rFonts w:asciiTheme="minorHAnsi" w:hAnsiTheme="minorHAnsi" w:cstheme="minorHAnsi"/>
          <w:sz w:val="22"/>
          <w:szCs w:val="22"/>
        </w:rPr>
        <w:t>For streetscape projects:</w:t>
      </w:r>
    </w:p>
    <w:p w14:paraId="1B6D6214" w14:textId="3C36485C" w:rsidR="00B02FA5" w:rsidRDefault="00B02FA5" w:rsidP="00B02FA5">
      <w:pPr>
        <w:pStyle w:val="ListParagraph"/>
        <w:numPr>
          <w:ilvl w:val="1"/>
          <w:numId w:val="27"/>
        </w:numPr>
        <w:contextualSpacing/>
        <w:jc w:val="both"/>
        <w:rPr>
          <w:rFonts w:asciiTheme="minorHAnsi" w:hAnsiTheme="minorHAnsi" w:cstheme="minorHAnsi"/>
          <w:sz w:val="22"/>
          <w:szCs w:val="22"/>
        </w:rPr>
      </w:pPr>
      <w:r>
        <w:rPr>
          <w:rFonts w:asciiTheme="minorHAnsi" w:hAnsiTheme="minorHAnsi" w:cstheme="minorHAnsi"/>
          <w:sz w:val="22"/>
          <w:szCs w:val="22"/>
        </w:rPr>
        <w:t>The project has unique design elements or is part of a community branding effort. (Maximum of 15 points)</w:t>
      </w:r>
    </w:p>
    <w:p w14:paraId="2F28684E" w14:textId="3546AA94" w:rsidR="00B02FA5" w:rsidRDefault="00B02FA5" w:rsidP="00B02FA5">
      <w:pPr>
        <w:pStyle w:val="ListParagraph"/>
        <w:numPr>
          <w:ilvl w:val="0"/>
          <w:numId w:val="27"/>
        </w:numPr>
        <w:contextualSpacing/>
        <w:jc w:val="both"/>
        <w:rPr>
          <w:rFonts w:asciiTheme="minorHAnsi" w:hAnsiTheme="minorHAnsi" w:cstheme="minorHAnsi"/>
          <w:sz w:val="22"/>
          <w:szCs w:val="22"/>
        </w:rPr>
      </w:pPr>
      <w:r>
        <w:rPr>
          <w:rFonts w:asciiTheme="minorHAnsi" w:hAnsiTheme="minorHAnsi" w:cstheme="minorHAnsi"/>
          <w:sz w:val="22"/>
          <w:szCs w:val="22"/>
        </w:rPr>
        <w:t>For façade projects:</w:t>
      </w:r>
    </w:p>
    <w:p w14:paraId="7387A15F" w14:textId="5E07A0E5" w:rsidR="00B02FA5" w:rsidRDefault="00B02FA5" w:rsidP="00B02FA5">
      <w:pPr>
        <w:pStyle w:val="ListParagraph"/>
        <w:numPr>
          <w:ilvl w:val="1"/>
          <w:numId w:val="27"/>
        </w:numPr>
        <w:contextualSpacing/>
        <w:jc w:val="both"/>
        <w:rPr>
          <w:rFonts w:asciiTheme="minorHAnsi" w:hAnsiTheme="minorHAnsi" w:cstheme="minorHAnsi"/>
          <w:sz w:val="22"/>
          <w:szCs w:val="22"/>
        </w:rPr>
      </w:pPr>
      <w:r>
        <w:rPr>
          <w:rFonts w:asciiTheme="minorHAnsi" w:hAnsiTheme="minorHAnsi" w:cstheme="minorHAnsi"/>
          <w:sz w:val="22"/>
          <w:szCs w:val="22"/>
        </w:rPr>
        <w:t>Up to 15 points can be awarded for projects that have a lower density. Density is calculated as the Linear Feet (LF) of all the facades in the project divided by the total Linear Feet (LF) of building frontage within the project area. Points are awarded as follows:</w:t>
      </w:r>
    </w:p>
    <w:p w14:paraId="41B5298B" w14:textId="0C5BB9F0" w:rsidR="00B02FA5" w:rsidRDefault="00B02FA5" w:rsidP="00B02FA5">
      <w:pPr>
        <w:pStyle w:val="ListParagraph"/>
        <w:numPr>
          <w:ilvl w:val="2"/>
          <w:numId w:val="27"/>
        </w:numPr>
        <w:contextualSpacing/>
        <w:jc w:val="both"/>
        <w:rPr>
          <w:rFonts w:asciiTheme="minorHAnsi" w:hAnsiTheme="minorHAnsi" w:cstheme="minorHAnsi"/>
          <w:sz w:val="22"/>
          <w:szCs w:val="22"/>
        </w:rPr>
      </w:pPr>
      <w:r>
        <w:rPr>
          <w:rFonts w:asciiTheme="minorHAnsi" w:hAnsiTheme="minorHAnsi" w:cstheme="minorHAnsi"/>
          <w:sz w:val="22"/>
          <w:szCs w:val="22"/>
        </w:rPr>
        <w:t>0 points – Less than 30%</w:t>
      </w:r>
    </w:p>
    <w:p w14:paraId="51B376EB" w14:textId="231D9B60" w:rsidR="00B02FA5" w:rsidRDefault="00B02FA5" w:rsidP="00B02FA5">
      <w:pPr>
        <w:pStyle w:val="ListParagraph"/>
        <w:numPr>
          <w:ilvl w:val="2"/>
          <w:numId w:val="27"/>
        </w:numPr>
        <w:contextualSpacing/>
        <w:jc w:val="both"/>
        <w:rPr>
          <w:rFonts w:asciiTheme="minorHAnsi" w:hAnsiTheme="minorHAnsi" w:cstheme="minorHAnsi"/>
          <w:sz w:val="22"/>
          <w:szCs w:val="22"/>
        </w:rPr>
      </w:pPr>
      <w:r>
        <w:rPr>
          <w:rFonts w:asciiTheme="minorHAnsi" w:hAnsiTheme="minorHAnsi" w:cstheme="minorHAnsi"/>
          <w:sz w:val="22"/>
          <w:szCs w:val="22"/>
        </w:rPr>
        <w:t>5 points – 30%-40%</w:t>
      </w:r>
    </w:p>
    <w:p w14:paraId="35F8F1F2" w14:textId="21F42589" w:rsidR="00B02FA5" w:rsidRDefault="00B02FA5" w:rsidP="00B02FA5">
      <w:pPr>
        <w:pStyle w:val="ListParagraph"/>
        <w:numPr>
          <w:ilvl w:val="2"/>
          <w:numId w:val="27"/>
        </w:numPr>
        <w:contextualSpacing/>
        <w:jc w:val="both"/>
        <w:rPr>
          <w:rFonts w:asciiTheme="minorHAnsi" w:hAnsiTheme="minorHAnsi" w:cstheme="minorHAnsi"/>
          <w:sz w:val="22"/>
          <w:szCs w:val="22"/>
        </w:rPr>
      </w:pPr>
      <w:r>
        <w:rPr>
          <w:rFonts w:asciiTheme="minorHAnsi" w:hAnsiTheme="minorHAnsi" w:cstheme="minorHAnsi"/>
          <w:sz w:val="22"/>
          <w:szCs w:val="22"/>
        </w:rPr>
        <w:t>10 points – 40%-50%</w:t>
      </w:r>
    </w:p>
    <w:p w14:paraId="4A07A28F" w14:textId="6BE63B36" w:rsidR="00B02FA5" w:rsidRPr="00973148" w:rsidRDefault="00B02FA5" w:rsidP="00B02FA5">
      <w:pPr>
        <w:pStyle w:val="ListParagraph"/>
        <w:numPr>
          <w:ilvl w:val="2"/>
          <w:numId w:val="27"/>
        </w:numPr>
        <w:contextualSpacing/>
        <w:jc w:val="both"/>
        <w:rPr>
          <w:rFonts w:asciiTheme="minorHAnsi" w:hAnsiTheme="minorHAnsi" w:cstheme="minorHAnsi"/>
          <w:sz w:val="22"/>
          <w:szCs w:val="22"/>
        </w:rPr>
      </w:pPr>
      <w:r>
        <w:rPr>
          <w:rFonts w:asciiTheme="minorHAnsi" w:hAnsiTheme="minorHAnsi" w:cstheme="minorHAnsi"/>
          <w:sz w:val="22"/>
          <w:szCs w:val="22"/>
        </w:rPr>
        <w:t>15 points – More than 50%</w:t>
      </w:r>
    </w:p>
    <w:p w14:paraId="4F4757D5" w14:textId="77777777" w:rsidR="00E266AD" w:rsidRPr="003060BB" w:rsidRDefault="00E266AD" w:rsidP="00E266AD">
      <w:pPr>
        <w:ind w:right="36"/>
        <w:jc w:val="both"/>
        <w:rPr>
          <w:rFonts w:asciiTheme="minorHAnsi" w:hAnsiTheme="minorHAnsi" w:cstheme="minorHAnsi"/>
          <w:b/>
          <w:sz w:val="22"/>
          <w:szCs w:val="22"/>
        </w:rPr>
      </w:pPr>
    </w:p>
    <w:p w14:paraId="7F015A12" w14:textId="7D957E3C" w:rsidR="00E266AD" w:rsidRPr="003060BB" w:rsidRDefault="00DE5FD2" w:rsidP="00E266AD">
      <w:pPr>
        <w:ind w:right="36"/>
        <w:jc w:val="both"/>
        <w:rPr>
          <w:rFonts w:asciiTheme="minorHAnsi" w:hAnsiTheme="minorHAnsi" w:cstheme="minorHAnsi"/>
          <w:b/>
          <w:sz w:val="22"/>
          <w:szCs w:val="22"/>
        </w:rPr>
      </w:pPr>
      <w:r>
        <w:rPr>
          <w:rFonts w:asciiTheme="minorHAnsi" w:hAnsiTheme="minorHAnsi" w:cstheme="minorHAnsi"/>
          <w:b/>
          <w:sz w:val="22"/>
          <w:szCs w:val="22"/>
        </w:rPr>
        <w:t>Wastewater Drinking Water (</w:t>
      </w:r>
      <w:proofErr w:type="spellStart"/>
      <w:r>
        <w:rPr>
          <w:rFonts w:asciiTheme="minorHAnsi" w:hAnsiTheme="minorHAnsi" w:cstheme="minorHAnsi"/>
          <w:b/>
          <w:sz w:val="22"/>
          <w:szCs w:val="22"/>
        </w:rPr>
        <w:t>WDW</w:t>
      </w:r>
      <w:proofErr w:type="spellEnd"/>
      <w:r>
        <w:rPr>
          <w:rFonts w:asciiTheme="minorHAnsi" w:hAnsiTheme="minorHAnsi" w:cstheme="minorHAnsi"/>
          <w:b/>
          <w:sz w:val="22"/>
          <w:szCs w:val="22"/>
        </w:rPr>
        <w:t>) &amp; Stormwater Improvement Program (SIP)</w:t>
      </w:r>
    </w:p>
    <w:p w14:paraId="437729E8" w14:textId="57462C38" w:rsidR="00973148" w:rsidRPr="00902FDC" w:rsidRDefault="00E266AD" w:rsidP="00902FDC">
      <w:pPr>
        <w:pStyle w:val="ListParagraph"/>
        <w:numPr>
          <w:ilvl w:val="0"/>
          <w:numId w:val="29"/>
        </w:numPr>
        <w:ind w:right="36"/>
        <w:contextualSpacing/>
        <w:jc w:val="both"/>
        <w:rPr>
          <w:rFonts w:asciiTheme="minorHAnsi" w:hAnsiTheme="minorHAnsi" w:cstheme="minorHAnsi"/>
          <w:sz w:val="22"/>
          <w:szCs w:val="22"/>
        </w:rPr>
      </w:pPr>
      <w:r w:rsidRPr="003060BB">
        <w:rPr>
          <w:rFonts w:asciiTheme="minorHAnsi" w:hAnsiTheme="minorHAnsi" w:cstheme="minorHAnsi"/>
          <w:b/>
          <w:sz w:val="22"/>
          <w:szCs w:val="22"/>
        </w:rPr>
        <w:t>Financial Gap</w:t>
      </w:r>
      <w:r w:rsidR="00EC6E49">
        <w:rPr>
          <w:rFonts w:asciiTheme="minorHAnsi" w:hAnsiTheme="minorHAnsi" w:cstheme="minorHAnsi"/>
          <w:sz w:val="22"/>
          <w:szCs w:val="22"/>
        </w:rPr>
        <w:t xml:space="preserve"> – A maximum of 10</w:t>
      </w:r>
      <w:r w:rsidRPr="003060BB">
        <w:rPr>
          <w:rFonts w:asciiTheme="minorHAnsi" w:hAnsiTheme="minorHAnsi" w:cstheme="minorHAnsi"/>
          <w:sz w:val="22"/>
          <w:szCs w:val="22"/>
        </w:rPr>
        <w:t xml:space="preserve"> points per each $1 in financial gap. The result of the OCRA Gap C</w:t>
      </w:r>
      <w:r w:rsidR="00D8428A">
        <w:rPr>
          <w:rFonts w:asciiTheme="minorHAnsi" w:hAnsiTheme="minorHAnsi" w:cstheme="minorHAnsi"/>
          <w:sz w:val="22"/>
          <w:szCs w:val="22"/>
        </w:rPr>
        <w:t>alculation Worksheet is</w:t>
      </w:r>
      <w:r w:rsidRPr="003060BB">
        <w:rPr>
          <w:rFonts w:asciiTheme="minorHAnsi" w:hAnsiTheme="minorHAnsi" w:cstheme="minorHAnsi"/>
          <w:sz w:val="22"/>
          <w:szCs w:val="22"/>
        </w:rPr>
        <w:t xml:space="preserve"> the amount that your community would have to increase the monthly </w:t>
      </w:r>
      <w:r w:rsidR="00D8428A">
        <w:rPr>
          <w:rFonts w:asciiTheme="minorHAnsi" w:hAnsiTheme="minorHAnsi" w:cstheme="minorHAnsi"/>
          <w:sz w:val="22"/>
          <w:szCs w:val="22"/>
        </w:rPr>
        <w:t xml:space="preserve">utility </w:t>
      </w:r>
      <w:r w:rsidRPr="003060BB">
        <w:rPr>
          <w:rFonts w:asciiTheme="minorHAnsi" w:hAnsiTheme="minorHAnsi" w:cstheme="minorHAnsi"/>
          <w:sz w:val="22"/>
          <w:szCs w:val="22"/>
        </w:rPr>
        <w:t>rate charged to each cu</w:t>
      </w:r>
      <w:r w:rsidR="00D8428A">
        <w:rPr>
          <w:rFonts w:asciiTheme="minorHAnsi" w:hAnsiTheme="minorHAnsi" w:cstheme="minorHAnsi"/>
          <w:sz w:val="22"/>
          <w:szCs w:val="22"/>
        </w:rPr>
        <w:t>stomer without grant assistance</w:t>
      </w:r>
      <w:r w:rsidRPr="003060BB">
        <w:rPr>
          <w:rFonts w:asciiTheme="minorHAnsi" w:hAnsiTheme="minorHAnsi" w:cstheme="minorHAnsi"/>
          <w:sz w:val="22"/>
          <w:szCs w:val="22"/>
        </w:rPr>
        <w:t>. This is the “gap,” which is the amount by which grant funds will reduce or “buy down” your utility rates. This amount added to the actual rates anticipated with OCRA grant funds will give you the rates needed “withou</w:t>
      </w:r>
      <w:r w:rsidR="00EC6E49">
        <w:rPr>
          <w:rFonts w:asciiTheme="minorHAnsi" w:hAnsiTheme="minorHAnsi" w:cstheme="minorHAnsi"/>
          <w:sz w:val="22"/>
          <w:szCs w:val="22"/>
        </w:rPr>
        <w:t>t OCRA grant funds”. (Maximum 10</w:t>
      </w:r>
      <w:r w:rsidRPr="003060BB">
        <w:rPr>
          <w:rFonts w:asciiTheme="minorHAnsi" w:hAnsiTheme="minorHAnsi" w:cstheme="minorHAnsi"/>
          <w:sz w:val="22"/>
          <w:szCs w:val="22"/>
        </w:rPr>
        <w:t xml:space="preserve"> points)</w:t>
      </w:r>
    </w:p>
    <w:p w14:paraId="7A7A6613" w14:textId="3ED4BB5F" w:rsidR="00B02FA5" w:rsidRPr="00B02FA5" w:rsidRDefault="00404990" w:rsidP="00E266AD">
      <w:pPr>
        <w:pStyle w:val="ListParagraph"/>
        <w:numPr>
          <w:ilvl w:val="0"/>
          <w:numId w:val="29"/>
        </w:numPr>
        <w:ind w:right="36"/>
        <w:contextualSpacing/>
        <w:jc w:val="both"/>
        <w:rPr>
          <w:rFonts w:asciiTheme="minorHAnsi" w:hAnsiTheme="minorHAnsi" w:cstheme="minorHAnsi"/>
          <w:sz w:val="22"/>
          <w:szCs w:val="22"/>
        </w:rPr>
      </w:pPr>
      <w:r w:rsidRPr="00404990">
        <w:rPr>
          <w:rFonts w:asciiTheme="minorHAnsi" w:hAnsiTheme="minorHAnsi" w:cstheme="minorHAnsi"/>
          <w:b/>
          <w:sz w:val="22"/>
          <w:szCs w:val="22"/>
        </w:rPr>
        <w:t>Green Infrastructure</w:t>
      </w:r>
      <w:r>
        <w:rPr>
          <w:rFonts w:asciiTheme="minorHAnsi" w:hAnsiTheme="minorHAnsi" w:cstheme="minorHAnsi"/>
          <w:sz w:val="22"/>
          <w:szCs w:val="22"/>
        </w:rPr>
        <w:t xml:space="preserve"> – A maximum of 15 points for the inclusion of green infrastructure elements in the project. (Maximum of 15 points)</w:t>
      </w:r>
    </w:p>
    <w:p w14:paraId="212C85CF" w14:textId="2AB6B89A" w:rsidR="00E266AD" w:rsidRPr="003060BB" w:rsidRDefault="00E266AD" w:rsidP="00E266AD">
      <w:pPr>
        <w:pStyle w:val="ListParagraph"/>
        <w:numPr>
          <w:ilvl w:val="0"/>
          <w:numId w:val="29"/>
        </w:numPr>
        <w:ind w:right="36"/>
        <w:contextualSpacing/>
        <w:jc w:val="both"/>
        <w:rPr>
          <w:rFonts w:asciiTheme="minorHAnsi" w:hAnsiTheme="minorHAnsi" w:cstheme="minorHAnsi"/>
          <w:sz w:val="22"/>
          <w:szCs w:val="22"/>
        </w:rPr>
      </w:pPr>
      <w:r w:rsidRPr="003060BB">
        <w:rPr>
          <w:rFonts w:asciiTheme="minorHAnsi" w:hAnsiTheme="minorHAnsi" w:cstheme="minorHAnsi"/>
          <w:b/>
          <w:sz w:val="22"/>
          <w:szCs w:val="22"/>
        </w:rPr>
        <w:t>Project Sustainability</w:t>
      </w:r>
      <w:r w:rsidRPr="003060BB">
        <w:rPr>
          <w:rFonts w:asciiTheme="minorHAnsi" w:hAnsiTheme="minorHAnsi" w:cstheme="minorHAnsi"/>
          <w:sz w:val="22"/>
          <w:szCs w:val="22"/>
        </w:rPr>
        <w:t xml:space="preserve"> - A maximum of 25 points for the establishment of, or documentation of existing </w:t>
      </w:r>
      <w:r w:rsidR="00404990">
        <w:rPr>
          <w:rFonts w:asciiTheme="minorHAnsi" w:hAnsiTheme="minorHAnsi" w:cstheme="minorHAnsi"/>
          <w:sz w:val="22"/>
          <w:szCs w:val="22"/>
        </w:rPr>
        <w:t>combined</w:t>
      </w:r>
      <w:r w:rsidRPr="003060BB">
        <w:rPr>
          <w:rFonts w:asciiTheme="minorHAnsi" w:hAnsiTheme="minorHAnsi" w:cstheme="minorHAnsi"/>
          <w:sz w:val="22"/>
          <w:szCs w:val="22"/>
        </w:rPr>
        <w:t xml:space="preserve"> utility rate for the ongoing operation and maintenance activities of the </w:t>
      </w:r>
      <w:r w:rsidR="00404990">
        <w:rPr>
          <w:rFonts w:asciiTheme="minorHAnsi" w:hAnsiTheme="minorHAnsi" w:cstheme="minorHAnsi"/>
          <w:sz w:val="22"/>
          <w:szCs w:val="22"/>
        </w:rPr>
        <w:t>wastewater, drinking water, and/or stormwater systems</w:t>
      </w:r>
      <w:r w:rsidRPr="003060BB">
        <w:rPr>
          <w:rFonts w:asciiTheme="minorHAnsi" w:hAnsiTheme="minorHAnsi" w:cstheme="minorHAnsi"/>
          <w:sz w:val="22"/>
          <w:szCs w:val="22"/>
        </w:rPr>
        <w:t>.</w:t>
      </w:r>
    </w:p>
    <w:p w14:paraId="44162C24" w14:textId="6C8E8A62" w:rsidR="00E266AD" w:rsidRPr="003060BB" w:rsidRDefault="00E266AD" w:rsidP="00E266AD">
      <w:pPr>
        <w:ind w:left="1440" w:right="36"/>
        <w:jc w:val="both"/>
        <w:rPr>
          <w:rFonts w:asciiTheme="minorHAnsi" w:hAnsiTheme="minorHAnsi" w:cstheme="minorHAnsi"/>
          <w:sz w:val="22"/>
          <w:szCs w:val="22"/>
        </w:rPr>
      </w:pPr>
      <w:r w:rsidRPr="003060BB">
        <w:rPr>
          <w:rFonts w:asciiTheme="minorHAnsi" w:hAnsiTheme="minorHAnsi" w:cstheme="minorHAnsi"/>
          <w:sz w:val="22"/>
          <w:szCs w:val="22"/>
        </w:rPr>
        <w:t xml:space="preserve">0 points – </w:t>
      </w:r>
      <w:r w:rsidRPr="003060BB">
        <w:rPr>
          <w:rFonts w:asciiTheme="minorHAnsi" w:hAnsiTheme="minorHAnsi" w:cstheme="minorHAnsi"/>
          <w:sz w:val="22"/>
          <w:szCs w:val="22"/>
        </w:rPr>
        <w:tab/>
      </w:r>
      <w:r w:rsidR="00EC6E49">
        <w:rPr>
          <w:rFonts w:asciiTheme="minorHAnsi" w:hAnsiTheme="minorHAnsi" w:cstheme="minorHAnsi"/>
          <w:sz w:val="22"/>
          <w:szCs w:val="22"/>
        </w:rPr>
        <w:t>Less than $40</w:t>
      </w:r>
      <w:r w:rsidRPr="003060BB">
        <w:rPr>
          <w:rFonts w:asciiTheme="minorHAnsi" w:hAnsiTheme="minorHAnsi" w:cstheme="minorHAnsi"/>
          <w:sz w:val="22"/>
          <w:szCs w:val="22"/>
        </w:rPr>
        <w:t xml:space="preserve"> </w:t>
      </w:r>
      <w:r w:rsidR="00EC6E49">
        <w:rPr>
          <w:rFonts w:asciiTheme="minorHAnsi" w:hAnsiTheme="minorHAnsi" w:cstheme="minorHAnsi"/>
          <w:sz w:val="22"/>
          <w:szCs w:val="22"/>
        </w:rPr>
        <w:t>combined user rates</w:t>
      </w:r>
    </w:p>
    <w:p w14:paraId="21A84808" w14:textId="4C25839F" w:rsidR="00E266AD" w:rsidRPr="003060BB" w:rsidRDefault="00EC6E49" w:rsidP="00E266AD">
      <w:pPr>
        <w:ind w:left="1440" w:right="36"/>
        <w:jc w:val="both"/>
        <w:rPr>
          <w:rFonts w:asciiTheme="minorHAnsi" w:hAnsiTheme="minorHAnsi" w:cstheme="minorHAnsi"/>
          <w:sz w:val="22"/>
          <w:szCs w:val="22"/>
        </w:rPr>
      </w:pPr>
      <w:r>
        <w:rPr>
          <w:rFonts w:asciiTheme="minorHAnsi" w:hAnsiTheme="minorHAnsi" w:cstheme="minorHAnsi"/>
          <w:sz w:val="22"/>
          <w:szCs w:val="22"/>
        </w:rPr>
        <w:t xml:space="preserve">10 points – </w:t>
      </w:r>
      <w:r>
        <w:rPr>
          <w:rFonts w:asciiTheme="minorHAnsi" w:hAnsiTheme="minorHAnsi" w:cstheme="minorHAnsi"/>
          <w:sz w:val="22"/>
          <w:szCs w:val="22"/>
        </w:rPr>
        <w:tab/>
        <w:t>$40-$70</w:t>
      </w:r>
      <w:r w:rsidR="00E266AD" w:rsidRPr="003060BB">
        <w:rPr>
          <w:rFonts w:asciiTheme="minorHAnsi" w:hAnsiTheme="minorHAnsi" w:cstheme="minorHAnsi"/>
          <w:sz w:val="22"/>
          <w:szCs w:val="22"/>
        </w:rPr>
        <w:t xml:space="preserve"> </w:t>
      </w:r>
      <w:r>
        <w:rPr>
          <w:rFonts w:asciiTheme="minorHAnsi" w:hAnsiTheme="minorHAnsi" w:cstheme="minorHAnsi"/>
          <w:sz w:val="22"/>
          <w:szCs w:val="22"/>
        </w:rPr>
        <w:t>combined user rates</w:t>
      </w:r>
    </w:p>
    <w:p w14:paraId="33FE1310" w14:textId="352E120C" w:rsidR="00973148" w:rsidRPr="003060BB" w:rsidRDefault="00E266AD" w:rsidP="00973148">
      <w:pPr>
        <w:ind w:left="1440" w:right="36"/>
        <w:jc w:val="both"/>
        <w:rPr>
          <w:rFonts w:asciiTheme="minorHAnsi" w:hAnsiTheme="minorHAnsi" w:cstheme="minorHAnsi"/>
          <w:sz w:val="22"/>
          <w:szCs w:val="22"/>
        </w:rPr>
      </w:pPr>
      <w:r w:rsidRPr="003060BB">
        <w:rPr>
          <w:rFonts w:asciiTheme="minorHAnsi" w:hAnsiTheme="minorHAnsi" w:cstheme="minorHAnsi"/>
          <w:sz w:val="22"/>
          <w:szCs w:val="22"/>
        </w:rPr>
        <w:t xml:space="preserve">25 points – </w:t>
      </w:r>
      <w:r w:rsidRPr="003060BB">
        <w:rPr>
          <w:rFonts w:asciiTheme="minorHAnsi" w:hAnsiTheme="minorHAnsi" w:cstheme="minorHAnsi"/>
          <w:sz w:val="22"/>
          <w:szCs w:val="22"/>
        </w:rPr>
        <w:tab/>
      </w:r>
      <w:r w:rsidR="00EC6E49">
        <w:rPr>
          <w:rFonts w:asciiTheme="minorHAnsi" w:hAnsiTheme="minorHAnsi" w:cstheme="minorHAnsi"/>
          <w:sz w:val="22"/>
          <w:szCs w:val="22"/>
        </w:rPr>
        <w:t>More than $70</w:t>
      </w:r>
      <w:r w:rsidRPr="003060BB">
        <w:rPr>
          <w:rFonts w:asciiTheme="minorHAnsi" w:hAnsiTheme="minorHAnsi" w:cstheme="minorHAnsi"/>
          <w:sz w:val="22"/>
          <w:szCs w:val="22"/>
        </w:rPr>
        <w:t xml:space="preserve"> </w:t>
      </w:r>
      <w:r w:rsidR="00EC6E49">
        <w:rPr>
          <w:rFonts w:asciiTheme="minorHAnsi" w:hAnsiTheme="minorHAnsi" w:cstheme="minorHAnsi"/>
          <w:sz w:val="22"/>
          <w:szCs w:val="22"/>
        </w:rPr>
        <w:t>combined user rates</w:t>
      </w:r>
    </w:p>
    <w:p w14:paraId="64E1B140" w14:textId="77777777" w:rsidR="00E266AD" w:rsidRDefault="00E266AD" w:rsidP="00E266AD">
      <w:pPr>
        <w:ind w:right="36"/>
        <w:jc w:val="both"/>
        <w:rPr>
          <w:rFonts w:asciiTheme="minorHAnsi" w:hAnsiTheme="minorHAnsi" w:cstheme="minorHAnsi"/>
          <w:b/>
          <w:sz w:val="22"/>
          <w:szCs w:val="22"/>
          <w:u w:val="single"/>
        </w:rPr>
      </w:pPr>
    </w:p>
    <w:p w14:paraId="0224F3AC" w14:textId="77777777" w:rsidR="00404990" w:rsidRDefault="00404990" w:rsidP="00E266AD">
      <w:pPr>
        <w:ind w:right="36"/>
        <w:jc w:val="both"/>
        <w:rPr>
          <w:rFonts w:asciiTheme="minorHAnsi" w:hAnsiTheme="minorHAnsi" w:cstheme="minorHAnsi"/>
          <w:b/>
          <w:sz w:val="22"/>
          <w:szCs w:val="22"/>
          <w:u w:val="single"/>
        </w:rPr>
      </w:pPr>
    </w:p>
    <w:p w14:paraId="71159457" w14:textId="77777777" w:rsidR="00404990" w:rsidRDefault="00404990" w:rsidP="00E266AD">
      <w:pPr>
        <w:ind w:right="36"/>
        <w:jc w:val="both"/>
        <w:rPr>
          <w:rFonts w:asciiTheme="minorHAnsi" w:hAnsiTheme="minorHAnsi" w:cstheme="minorHAnsi"/>
          <w:b/>
          <w:sz w:val="22"/>
          <w:szCs w:val="22"/>
          <w:u w:val="single"/>
        </w:rPr>
      </w:pPr>
    </w:p>
    <w:p w14:paraId="45868789" w14:textId="77777777" w:rsidR="00696D4F" w:rsidRDefault="00696D4F" w:rsidP="00E266AD">
      <w:pPr>
        <w:ind w:right="36"/>
        <w:jc w:val="both"/>
        <w:rPr>
          <w:rFonts w:asciiTheme="minorHAnsi" w:hAnsiTheme="minorHAnsi" w:cstheme="minorHAnsi"/>
          <w:b/>
          <w:sz w:val="22"/>
          <w:szCs w:val="22"/>
          <w:u w:val="single"/>
        </w:rPr>
      </w:pPr>
    </w:p>
    <w:p w14:paraId="550A7FCA" w14:textId="77777777" w:rsidR="00696D4F" w:rsidRPr="003060BB" w:rsidRDefault="00696D4F" w:rsidP="00E266AD">
      <w:pPr>
        <w:ind w:right="36"/>
        <w:jc w:val="both"/>
        <w:rPr>
          <w:rFonts w:asciiTheme="minorHAnsi" w:hAnsiTheme="minorHAnsi" w:cstheme="minorHAnsi"/>
          <w:b/>
          <w:sz w:val="22"/>
          <w:szCs w:val="22"/>
          <w:u w:val="single"/>
        </w:rPr>
      </w:pPr>
    </w:p>
    <w:p w14:paraId="4B8A5D43" w14:textId="77777777" w:rsidR="00973148" w:rsidRDefault="00973148" w:rsidP="00E266AD">
      <w:pPr>
        <w:ind w:right="36"/>
        <w:jc w:val="both"/>
        <w:rPr>
          <w:rFonts w:asciiTheme="minorHAnsi" w:hAnsiTheme="minorHAnsi" w:cstheme="minorHAnsi"/>
          <w:b/>
          <w:sz w:val="22"/>
          <w:szCs w:val="22"/>
          <w:u w:val="single"/>
        </w:rPr>
      </w:pPr>
    </w:p>
    <w:p w14:paraId="4159CDAD" w14:textId="77777777" w:rsidR="00E266AD" w:rsidRPr="003060BB" w:rsidRDefault="00E266AD" w:rsidP="00E266AD">
      <w:pPr>
        <w:ind w:right="36"/>
        <w:jc w:val="both"/>
        <w:rPr>
          <w:rFonts w:asciiTheme="minorHAnsi" w:hAnsiTheme="minorHAnsi" w:cstheme="minorHAnsi"/>
          <w:b/>
          <w:sz w:val="22"/>
          <w:szCs w:val="22"/>
          <w:u w:val="single"/>
        </w:rPr>
      </w:pPr>
      <w:r w:rsidRPr="003060BB">
        <w:rPr>
          <w:rFonts w:asciiTheme="minorHAnsi" w:hAnsiTheme="minorHAnsi" w:cstheme="minorHAnsi"/>
          <w:b/>
          <w:sz w:val="22"/>
          <w:szCs w:val="22"/>
          <w:u w:val="single"/>
        </w:rPr>
        <w:t>BONUS POINTS POLICY:</w:t>
      </w:r>
    </w:p>
    <w:p w14:paraId="2D342F21" w14:textId="5C5D2EC9" w:rsidR="00E266AD" w:rsidRPr="003060BB" w:rsidRDefault="00E266AD" w:rsidP="00E266AD">
      <w:pPr>
        <w:ind w:right="36"/>
        <w:jc w:val="both"/>
        <w:rPr>
          <w:rFonts w:asciiTheme="minorHAnsi" w:hAnsiTheme="minorHAnsi" w:cstheme="minorHAnsi"/>
          <w:sz w:val="22"/>
          <w:szCs w:val="22"/>
        </w:rPr>
      </w:pPr>
      <w:r w:rsidRPr="003060BB">
        <w:rPr>
          <w:rFonts w:asciiTheme="minorHAnsi" w:hAnsiTheme="minorHAnsi" w:cstheme="minorHAnsi"/>
          <w:sz w:val="22"/>
          <w:szCs w:val="22"/>
        </w:rPr>
        <w:t xml:space="preserve">It is </w:t>
      </w:r>
      <w:proofErr w:type="spellStart"/>
      <w:r w:rsidRPr="003060BB">
        <w:rPr>
          <w:rFonts w:asciiTheme="minorHAnsi" w:hAnsiTheme="minorHAnsi" w:cstheme="minorHAnsi"/>
          <w:sz w:val="22"/>
          <w:szCs w:val="22"/>
        </w:rPr>
        <w:t>OCRA’s</w:t>
      </w:r>
      <w:proofErr w:type="spellEnd"/>
      <w:r w:rsidRPr="003060BB">
        <w:rPr>
          <w:rFonts w:asciiTheme="minorHAnsi" w:hAnsiTheme="minorHAnsi" w:cstheme="minorHAnsi"/>
          <w:sz w:val="22"/>
          <w:szCs w:val="22"/>
        </w:rPr>
        <w:t xml:space="preserve"> policy to </w:t>
      </w:r>
      <w:r w:rsidR="00404990">
        <w:rPr>
          <w:rFonts w:asciiTheme="minorHAnsi" w:hAnsiTheme="minorHAnsi" w:cstheme="minorHAnsi"/>
          <w:sz w:val="22"/>
          <w:szCs w:val="22"/>
        </w:rPr>
        <w:t>reward communities that engage in best practices to proactively address their needed as such OCRA will award bonus points for the following items. To receive</w:t>
      </w:r>
      <w:r w:rsidRPr="003060BB">
        <w:rPr>
          <w:rFonts w:asciiTheme="minorHAnsi" w:hAnsiTheme="minorHAnsi" w:cstheme="minorHAnsi"/>
          <w:sz w:val="22"/>
          <w:szCs w:val="22"/>
        </w:rPr>
        <w:t xml:space="preserve"> bonus points </w:t>
      </w:r>
      <w:r w:rsidR="00404990">
        <w:rPr>
          <w:rFonts w:asciiTheme="minorHAnsi" w:hAnsiTheme="minorHAnsi" w:cstheme="minorHAnsi"/>
          <w:sz w:val="22"/>
          <w:szCs w:val="22"/>
        </w:rPr>
        <w:t xml:space="preserve">applicant must submit the required documentation </w:t>
      </w:r>
      <w:r w:rsidR="00D8428A">
        <w:rPr>
          <w:rFonts w:asciiTheme="minorHAnsi" w:hAnsiTheme="minorHAnsi" w:cstheme="minorHAnsi"/>
          <w:sz w:val="22"/>
          <w:szCs w:val="22"/>
          <w:u w:val="single"/>
        </w:rPr>
        <w:t>approximately 2</w:t>
      </w:r>
      <w:r w:rsidRPr="003060BB">
        <w:rPr>
          <w:rFonts w:asciiTheme="minorHAnsi" w:hAnsiTheme="minorHAnsi" w:cstheme="minorHAnsi"/>
          <w:sz w:val="22"/>
          <w:szCs w:val="22"/>
          <w:u w:val="single"/>
        </w:rPr>
        <w:t xml:space="preserve"> week</w:t>
      </w:r>
      <w:r w:rsidR="00D8428A">
        <w:rPr>
          <w:rFonts w:asciiTheme="minorHAnsi" w:hAnsiTheme="minorHAnsi" w:cstheme="minorHAnsi"/>
          <w:sz w:val="22"/>
          <w:szCs w:val="22"/>
          <w:u w:val="single"/>
        </w:rPr>
        <w:t>s</w:t>
      </w:r>
      <w:r w:rsidRPr="003060BB">
        <w:rPr>
          <w:rFonts w:asciiTheme="minorHAnsi" w:hAnsiTheme="minorHAnsi" w:cstheme="minorHAnsi"/>
          <w:sz w:val="22"/>
          <w:szCs w:val="22"/>
          <w:u w:val="single"/>
        </w:rPr>
        <w:t xml:space="preserve"> prior to application submission</w:t>
      </w:r>
      <w:r w:rsidR="00404990">
        <w:rPr>
          <w:rFonts w:asciiTheme="minorHAnsi" w:hAnsiTheme="minorHAnsi" w:cstheme="minorHAnsi"/>
          <w:sz w:val="22"/>
          <w:szCs w:val="22"/>
          <w:u w:val="single"/>
        </w:rPr>
        <w:t xml:space="preserve"> for each round</w:t>
      </w:r>
      <w:r w:rsidRPr="003060BB">
        <w:rPr>
          <w:rFonts w:asciiTheme="minorHAnsi" w:hAnsiTheme="minorHAnsi" w:cstheme="minorHAnsi"/>
          <w:sz w:val="22"/>
          <w:szCs w:val="22"/>
          <w:u w:val="single"/>
        </w:rPr>
        <w:t xml:space="preserve"> (deadline will be announced each round)</w:t>
      </w:r>
      <w:r w:rsidRPr="003060BB">
        <w:rPr>
          <w:rFonts w:asciiTheme="minorHAnsi" w:hAnsiTheme="minorHAnsi" w:cstheme="minorHAnsi"/>
          <w:sz w:val="22"/>
          <w:szCs w:val="22"/>
        </w:rPr>
        <w:t xml:space="preserve">. </w:t>
      </w:r>
      <w:r w:rsidR="00404990">
        <w:rPr>
          <w:rFonts w:asciiTheme="minorHAnsi" w:hAnsiTheme="minorHAnsi" w:cstheme="minorHAnsi"/>
          <w:sz w:val="22"/>
          <w:szCs w:val="22"/>
        </w:rPr>
        <w:t xml:space="preserve">Bonus point approvals are only good for the active round, so they will not be reviewed prior to the opening of the round they will apply. </w:t>
      </w:r>
    </w:p>
    <w:p w14:paraId="4600D131" w14:textId="77777777" w:rsidR="00E266AD" w:rsidRPr="003060BB" w:rsidRDefault="00E266AD" w:rsidP="00E266AD">
      <w:pPr>
        <w:ind w:right="36"/>
        <w:jc w:val="both"/>
        <w:rPr>
          <w:rFonts w:asciiTheme="minorHAnsi" w:hAnsiTheme="minorHAnsi" w:cstheme="minorHAnsi"/>
          <w:sz w:val="22"/>
          <w:szCs w:val="22"/>
        </w:rPr>
      </w:pPr>
    </w:p>
    <w:p w14:paraId="7DD8C2F0" w14:textId="38713A67" w:rsidR="00404990" w:rsidRDefault="00E266AD" w:rsidP="00E266AD">
      <w:pPr>
        <w:ind w:right="36"/>
        <w:jc w:val="both"/>
        <w:rPr>
          <w:rFonts w:asciiTheme="minorHAnsi" w:hAnsiTheme="minorHAnsi" w:cstheme="minorHAnsi"/>
          <w:sz w:val="22"/>
          <w:szCs w:val="22"/>
        </w:rPr>
      </w:pPr>
      <w:r w:rsidRPr="003060BB">
        <w:rPr>
          <w:rFonts w:asciiTheme="minorHAnsi" w:hAnsiTheme="minorHAnsi" w:cstheme="minorHAnsi"/>
          <w:sz w:val="22"/>
          <w:szCs w:val="22"/>
        </w:rPr>
        <w:tab/>
      </w:r>
      <w:r w:rsidRPr="003060BB">
        <w:rPr>
          <w:rFonts w:asciiTheme="minorHAnsi" w:hAnsiTheme="minorHAnsi" w:cstheme="minorHAnsi"/>
          <w:b/>
          <w:sz w:val="22"/>
          <w:szCs w:val="22"/>
        </w:rPr>
        <w:t>Regional Planning</w:t>
      </w:r>
      <w:r w:rsidR="00404990">
        <w:rPr>
          <w:rFonts w:asciiTheme="minorHAnsi" w:hAnsiTheme="minorHAnsi" w:cstheme="minorHAnsi"/>
          <w:b/>
          <w:sz w:val="22"/>
          <w:szCs w:val="22"/>
        </w:rPr>
        <w:t xml:space="preserve"> </w:t>
      </w:r>
      <w:r w:rsidR="00404990">
        <w:rPr>
          <w:rFonts w:asciiTheme="minorHAnsi" w:hAnsiTheme="minorHAnsi" w:cstheme="minorHAnsi"/>
          <w:sz w:val="22"/>
          <w:szCs w:val="22"/>
        </w:rPr>
        <w:t>– 25 points</w:t>
      </w:r>
    </w:p>
    <w:p w14:paraId="6F22BD39" w14:textId="241EA4AD" w:rsidR="00E266AD" w:rsidRPr="00DE5FD2" w:rsidRDefault="00E266AD" w:rsidP="00E266AD">
      <w:pPr>
        <w:ind w:right="36"/>
        <w:jc w:val="both"/>
        <w:rPr>
          <w:rFonts w:asciiTheme="minorHAnsi" w:hAnsiTheme="minorHAnsi" w:cstheme="minorHAnsi"/>
          <w:sz w:val="22"/>
          <w:szCs w:val="22"/>
        </w:rPr>
      </w:pPr>
    </w:p>
    <w:p w14:paraId="22C230D7" w14:textId="77777777" w:rsidR="00E266AD" w:rsidRPr="003060BB" w:rsidRDefault="00E266AD" w:rsidP="00E266AD">
      <w:pPr>
        <w:ind w:right="36"/>
        <w:jc w:val="both"/>
        <w:rPr>
          <w:rFonts w:asciiTheme="minorHAnsi" w:hAnsiTheme="minorHAnsi" w:cstheme="minorHAnsi"/>
          <w:b/>
          <w:sz w:val="22"/>
          <w:szCs w:val="22"/>
          <w:u w:val="single"/>
        </w:rPr>
      </w:pPr>
      <w:r w:rsidRPr="003060BB">
        <w:rPr>
          <w:rFonts w:asciiTheme="minorHAnsi" w:hAnsiTheme="minorHAnsi" w:cstheme="minorHAnsi"/>
          <w:b/>
          <w:sz w:val="22"/>
          <w:szCs w:val="22"/>
          <w:u w:val="single"/>
        </w:rPr>
        <w:t>POINTS REDUCTION POLICY:</w:t>
      </w:r>
    </w:p>
    <w:p w14:paraId="0ED868C6" w14:textId="77777777" w:rsidR="00E266AD" w:rsidRPr="003060BB" w:rsidRDefault="00E266AD" w:rsidP="00E266AD">
      <w:pPr>
        <w:ind w:right="36"/>
        <w:jc w:val="both"/>
        <w:rPr>
          <w:rFonts w:asciiTheme="minorHAnsi" w:hAnsiTheme="minorHAnsi" w:cstheme="minorHAnsi"/>
          <w:sz w:val="22"/>
          <w:szCs w:val="22"/>
        </w:rPr>
      </w:pPr>
      <w:r w:rsidRPr="003060BB">
        <w:rPr>
          <w:rFonts w:asciiTheme="minorHAnsi" w:hAnsiTheme="minorHAnsi" w:cstheme="minorHAnsi"/>
          <w:sz w:val="22"/>
          <w:szCs w:val="22"/>
        </w:rPr>
        <w:t>It is the policy of OCRA not to fund more than one phase or component of a single project type in different funding rounds.  This applies to all project types, although it is particularly relevant to utility projects.  If a community needs to phase a project in order to complete it, they should consider which phase would be most appropriate for CDBG assistance.  Even if a community doesn’t intentionally phase a project, OCRA will take into account previously awarded projects for the same project type.  A Community that has previously been awarded a grant for the same project type will likely not be competitive and will be subject to the follow point reduction. This applies to all project types, although it is particularly relevant to utility projects.</w:t>
      </w:r>
    </w:p>
    <w:p w14:paraId="1F381E0B" w14:textId="77777777" w:rsidR="00E266AD" w:rsidRPr="003060BB" w:rsidRDefault="00E266AD" w:rsidP="00E266AD">
      <w:pPr>
        <w:ind w:right="36"/>
        <w:jc w:val="both"/>
        <w:rPr>
          <w:rFonts w:asciiTheme="minorHAnsi" w:hAnsiTheme="minorHAnsi" w:cstheme="minorHAnsi"/>
          <w:sz w:val="22"/>
          <w:szCs w:val="22"/>
        </w:rPr>
      </w:pPr>
    </w:p>
    <w:p w14:paraId="46E5429E" w14:textId="77777777" w:rsidR="00E266AD" w:rsidRPr="003060BB" w:rsidRDefault="00E266AD" w:rsidP="00E266AD">
      <w:pPr>
        <w:ind w:left="720" w:right="36"/>
        <w:jc w:val="both"/>
        <w:rPr>
          <w:rFonts w:asciiTheme="minorHAnsi" w:hAnsiTheme="minorHAnsi" w:cstheme="minorHAnsi"/>
          <w:sz w:val="22"/>
          <w:szCs w:val="22"/>
        </w:rPr>
      </w:pPr>
      <w:r w:rsidRPr="003060BB">
        <w:rPr>
          <w:rFonts w:asciiTheme="minorHAnsi" w:hAnsiTheme="minorHAnsi" w:cstheme="minorHAnsi"/>
          <w:b/>
          <w:sz w:val="22"/>
          <w:szCs w:val="22"/>
        </w:rPr>
        <w:t>0 – 5 years since previous funding</w:t>
      </w:r>
      <w:r w:rsidRPr="003060BB">
        <w:rPr>
          <w:rFonts w:asciiTheme="minorHAnsi" w:hAnsiTheme="minorHAnsi" w:cstheme="minorHAnsi"/>
          <w:sz w:val="22"/>
          <w:szCs w:val="22"/>
        </w:rPr>
        <w:t xml:space="preserve"> – -50 points</w:t>
      </w:r>
    </w:p>
    <w:p w14:paraId="64399132" w14:textId="77777777" w:rsidR="00E266AD" w:rsidRPr="003060BB" w:rsidRDefault="00E266AD" w:rsidP="00E266AD">
      <w:pPr>
        <w:ind w:right="36"/>
        <w:jc w:val="both"/>
        <w:rPr>
          <w:rFonts w:asciiTheme="minorHAnsi" w:hAnsiTheme="minorHAnsi" w:cstheme="minorHAnsi"/>
          <w:sz w:val="22"/>
          <w:szCs w:val="22"/>
        </w:rPr>
      </w:pPr>
    </w:p>
    <w:p w14:paraId="0F84174A" w14:textId="051F37C2" w:rsidR="00E266AD" w:rsidRPr="003060BB" w:rsidRDefault="00E266AD" w:rsidP="00E266AD">
      <w:pPr>
        <w:ind w:right="36"/>
        <w:jc w:val="both"/>
        <w:rPr>
          <w:rFonts w:asciiTheme="minorHAnsi" w:hAnsiTheme="minorHAnsi" w:cstheme="minorHAnsi"/>
          <w:b/>
          <w:sz w:val="22"/>
          <w:szCs w:val="22"/>
        </w:rPr>
      </w:pPr>
      <w:r w:rsidRPr="003060BB">
        <w:rPr>
          <w:rFonts w:asciiTheme="minorHAnsi" w:hAnsiTheme="minorHAnsi" w:cstheme="minorHAnsi"/>
          <w:b/>
          <w:sz w:val="22"/>
          <w:szCs w:val="22"/>
        </w:rPr>
        <w:t xml:space="preserve">Example: </w:t>
      </w:r>
      <w:r w:rsidRPr="003060BB">
        <w:rPr>
          <w:rFonts w:asciiTheme="minorHAnsi" w:hAnsiTheme="minorHAnsi" w:cstheme="minorHAnsi"/>
          <w:sz w:val="22"/>
          <w:szCs w:val="22"/>
        </w:rPr>
        <w:t>Community submits and receives a Wastewater Drinking Water (</w:t>
      </w:r>
      <w:proofErr w:type="spellStart"/>
      <w:r w:rsidRPr="003060BB">
        <w:rPr>
          <w:rFonts w:asciiTheme="minorHAnsi" w:hAnsiTheme="minorHAnsi" w:cstheme="minorHAnsi"/>
          <w:sz w:val="22"/>
          <w:szCs w:val="22"/>
        </w:rPr>
        <w:t>WDW</w:t>
      </w:r>
      <w:proofErr w:type="spellEnd"/>
      <w:r w:rsidRPr="003060BB">
        <w:rPr>
          <w:rFonts w:asciiTheme="minorHAnsi" w:hAnsiTheme="minorHAnsi" w:cstheme="minorHAnsi"/>
          <w:sz w:val="22"/>
          <w:szCs w:val="22"/>
        </w:rPr>
        <w:t xml:space="preserve">) grant in 2015.  When applying for a </w:t>
      </w:r>
      <w:proofErr w:type="spellStart"/>
      <w:r w:rsidRPr="003060BB">
        <w:rPr>
          <w:rFonts w:asciiTheme="minorHAnsi" w:hAnsiTheme="minorHAnsi" w:cstheme="minorHAnsi"/>
          <w:sz w:val="22"/>
          <w:szCs w:val="22"/>
        </w:rPr>
        <w:t>WDW</w:t>
      </w:r>
      <w:proofErr w:type="spellEnd"/>
      <w:r w:rsidRPr="003060BB">
        <w:rPr>
          <w:rFonts w:asciiTheme="minorHAnsi" w:hAnsiTheme="minorHAnsi" w:cstheme="minorHAnsi"/>
          <w:sz w:val="22"/>
          <w:szCs w:val="22"/>
        </w:rPr>
        <w:t xml:space="preserve"> grant in 2020, they would be subject to a point reduction of 50</w:t>
      </w:r>
      <w:r w:rsidR="008F0EE8">
        <w:rPr>
          <w:rFonts w:asciiTheme="minorHAnsi" w:hAnsiTheme="minorHAnsi" w:cstheme="minorHAnsi"/>
          <w:sz w:val="22"/>
          <w:szCs w:val="22"/>
        </w:rPr>
        <w:t xml:space="preserve"> </w:t>
      </w:r>
      <w:r w:rsidRPr="003060BB">
        <w:rPr>
          <w:rFonts w:asciiTheme="minorHAnsi" w:hAnsiTheme="minorHAnsi" w:cstheme="minorHAnsi"/>
          <w:sz w:val="22"/>
          <w:szCs w:val="22"/>
        </w:rPr>
        <w:t>pts. In 2021 they would have no point reduction.</w:t>
      </w:r>
    </w:p>
    <w:p w14:paraId="597E297A" w14:textId="77777777" w:rsidR="00584A3E" w:rsidRPr="003060BB" w:rsidRDefault="00584A3E" w:rsidP="00FB2466">
      <w:pPr>
        <w:pStyle w:val="Default"/>
        <w:ind w:left="1296" w:hanging="1440"/>
        <w:jc w:val="both"/>
        <w:outlineLvl w:val="0"/>
        <w:rPr>
          <w:rFonts w:asciiTheme="minorHAnsi" w:hAnsiTheme="minorHAnsi" w:cstheme="minorHAnsi"/>
          <w:color w:val="auto"/>
          <w:sz w:val="22"/>
          <w:szCs w:val="22"/>
        </w:rPr>
      </w:pPr>
    </w:p>
    <w:p w14:paraId="580A24FB" w14:textId="77777777" w:rsidR="00AF7DC0" w:rsidRPr="003060BB" w:rsidRDefault="00AF7DC0">
      <w:pPr>
        <w:rPr>
          <w:rFonts w:asciiTheme="minorHAnsi" w:hAnsiTheme="minorHAnsi" w:cstheme="minorHAnsi"/>
          <w:b/>
          <w:bCs/>
          <w:sz w:val="22"/>
          <w:szCs w:val="22"/>
        </w:rPr>
      </w:pPr>
    </w:p>
    <w:p w14:paraId="18398E19" w14:textId="77777777" w:rsidR="003060BB" w:rsidRDefault="003060BB">
      <w:pPr>
        <w:rPr>
          <w:rFonts w:asciiTheme="minorHAnsi" w:hAnsiTheme="minorHAnsi" w:cstheme="minorHAnsi"/>
          <w:b/>
          <w:bCs/>
          <w:sz w:val="22"/>
          <w:szCs w:val="22"/>
        </w:rPr>
      </w:pPr>
      <w:r>
        <w:rPr>
          <w:rFonts w:asciiTheme="minorHAnsi" w:hAnsiTheme="minorHAnsi" w:cstheme="minorHAnsi"/>
          <w:b/>
          <w:bCs/>
          <w:sz w:val="22"/>
          <w:szCs w:val="22"/>
        </w:rPr>
        <w:br w:type="page"/>
      </w:r>
    </w:p>
    <w:p w14:paraId="730D118C" w14:textId="77777777" w:rsidR="007323D3" w:rsidRPr="003060BB" w:rsidRDefault="007323D3" w:rsidP="00AF7DC0">
      <w:pPr>
        <w:pStyle w:val="Default"/>
        <w:jc w:val="right"/>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ATTACHMENT </w:t>
      </w:r>
      <w:r w:rsidR="00584A3E" w:rsidRPr="003060BB">
        <w:rPr>
          <w:rFonts w:asciiTheme="minorHAnsi" w:hAnsiTheme="minorHAnsi" w:cstheme="minorHAnsi"/>
          <w:b/>
          <w:bCs/>
          <w:color w:val="auto"/>
          <w:sz w:val="22"/>
          <w:szCs w:val="22"/>
        </w:rPr>
        <w:t>E</w:t>
      </w:r>
      <w:r w:rsidRPr="003060BB">
        <w:rPr>
          <w:rFonts w:asciiTheme="minorHAnsi" w:hAnsiTheme="minorHAnsi" w:cstheme="minorHAnsi"/>
          <w:b/>
          <w:bCs/>
          <w:color w:val="auto"/>
          <w:sz w:val="22"/>
          <w:szCs w:val="22"/>
        </w:rPr>
        <w:t xml:space="preserve"> </w:t>
      </w:r>
    </w:p>
    <w:p w14:paraId="5767181A" w14:textId="77777777" w:rsidR="007323D3" w:rsidRPr="003060BB" w:rsidRDefault="007323D3">
      <w:pPr>
        <w:pStyle w:val="Default"/>
        <w:jc w:val="center"/>
        <w:outlineLvl w:val="0"/>
        <w:rPr>
          <w:rFonts w:asciiTheme="minorHAnsi" w:hAnsiTheme="minorHAnsi" w:cstheme="minorHAnsi"/>
          <w:b/>
          <w:bCs/>
          <w:color w:val="auto"/>
          <w:sz w:val="22"/>
          <w:szCs w:val="22"/>
        </w:rPr>
      </w:pPr>
    </w:p>
    <w:p w14:paraId="29147B2F" w14:textId="77777777" w:rsidR="00350FC6" w:rsidRPr="003060BB" w:rsidRDefault="00350FC6">
      <w:pPr>
        <w:pStyle w:val="Default"/>
        <w:jc w:val="center"/>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CITIZEN PARTICIPATION PLAN </w:t>
      </w:r>
    </w:p>
    <w:p w14:paraId="11C67678" w14:textId="77777777" w:rsidR="00350FC6" w:rsidRPr="003060BB" w:rsidRDefault="00350FC6">
      <w:pPr>
        <w:pStyle w:val="Default"/>
        <w:jc w:val="center"/>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INDIANA OFFICE OF COMMUNITY AND RURAL AFFAIRS (STATE) </w:t>
      </w:r>
    </w:p>
    <w:p w14:paraId="05BB9C82"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096FE293"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State of Indiana, Office of Community and Rural Affairs, pursuant to 24 CFR 91.115, 24 CFR 570.431 and 24 CFR 570.485(a) wishes to encourage maximum feasible opportunities for citizens and units of general local government to provide input and comments as to its Methods of Distribution set forth in the Office of Community and Rural Affairs’ annual Consolidated Plan for CDBG funds submitted to HUD as well as the Office of Community and Rural Affairs’ overall administration of the State’s Small Cities Community Development Block Grant (CDBG) Program.  In this regard, the Office of Community and Rural Affairs will perform the following: </w:t>
      </w:r>
    </w:p>
    <w:p w14:paraId="2453CF7C" w14:textId="77777777" w:rsidR="00350FC6" w:rsidRPr="003060BB" w:rsidRDefault="00350FC6">
      <w:pPr>
        <w:pStyle w:val="Default"/>
        <w:jc w:val="both"/>
        <w:rPr>
          <w:rFonts w:asciiTheme="minorHAnsi" w:hAnsiTheme="minorHAnsi" w:cstheme="minorHAnsi"/>
          <w:color w:val="auto"/>
          <w:sz w:val="22"/>
          <w:szCs w:val="22"/>
        </w:rPr>
      </w:pPr>
    </w:p>
    <w:p w14:paraId="3E4B96B9" w14:textId="77777777" w:rsidR="00350FC6" w:rsidRPr="003060BB" w:rsidRDefault="00350FC6" w:rsidP="005B4ADC">
      <w:pPr>
        <w:pStyle w:val="Default"/>
        <w:numPr>
          <w:ilvl w:val="0"/>
          <w:numId w:val="8"/>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Require each unit of general local government to comply with citizen participation requirements for such  governmental units as specified under 24 CFR 570.486(a), to include the requirements for accessibility to  information/records and to furnish citizens with information as to proposed CDBG funding assistance as set  forth under 24 CFR 570.486(a)(3), provide technical assistance to representatives of low-and-moderate income  groups, conduct a minimum of two (2) public hearings on proposed projects to be assisted by CDBG funding,  such hearings being accessible to handicapped persons, provide citizens with reasonable advance notice and  the opportunity to comment on proposed projects as set forth in Title 5-3-1 of Indiana Code, and provide  interested parties with addresses, telephone numbers and times for submitting grievances and complaints. </w:t>
      </w:r>
    </w:p>
    <w:p w14:paraId="74E20667" w14:textId="77777777" w:rsidR="00350FC6" w:rsidRPr="003060BB" w:rsidRDefault="00350FC6">
      <w:pPr>
        <w:pStyle w:val="Default"/>
        <w:ind w:firstLine="60"/>
        <w:jc w:val="both"/>
        <w:rPr>
          <w:rFonts w:asciiTheme="minorHAnsi" w:hAnsiTheme="minorHAnsi" w:cstheme="minorHAnsi"/>
          <w:color w:val="auto"/>
          <w:sz w:val="22"/>
          <w:szCs w:val="22"/>
        </w:rPr>
      </w:pPr>
    </w:p>
    <w:p w14:paraId="1E1C9D66" w14:textId="2737D08E" w:rsidR="00350FC6" w:rsidRPr="003060BB" w:rsidRDefault="00350FC6" w:rsidP="005B4ADC">
      <w:pPr>
        <w:pStyle w:val="Default"/>
        <w:numPr>
          <w:ilvl w:val="0"/>
          <w:numId w:val="8"/>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Consult with local elected officials and </w:t>
      </w:r>
      <w:r w:rsidR="00B53924">
        <w:rPr>
          <w:rFonts w:asciiTheme="minorHAnsi" w:hAnsiTheme="minorHAnsi" w:cstheme="minorHAnsi"/>
          <w:color w:val="auto"/>
          <w:sz w:val="22"/>
          <w:szCs w:val="22"/>
        </w:rPr>
        <w:t xml:space="preserve">other stakeholders on </w:t>
      </w:r>
      <w:r w:rsidRPr="003060BB">
        <w:rPr>
          <w:rFonts w:asciiTheme="minorHAnsi" w:hAnsiTheme="minorHAnsi" w:cstheme="minorHAnsi"/>
          <w:color w:val="auto"/>
          <w:sz w:val="22"/>
          <w:szCs w:val="22"/>
        </w:rPr>
        <w:t xml:space="preserve">the development of the Method of distribution set forth in the State’s Consolidated Plan for CDBG funding submitted to HUD. </w:t>
      </w:r>
    </w:p>
    <w:p w14:paraId="4ACF0ED2" w14:textId="77777777" w:rsidR="00350FC6" w:rsidRPr="003060BB" w:rsidRDefault="00350FC6">
      <w:pPr>
        <w:pStyle w:val="Default"/>
        <w:ind w:firstLine="60"/>
        <w:jc w:val="both"/>
        <w:rPr>
          <w:rFonts w:asciiTheme="minorHAnsi" w:hAnsiTheme="minorHAnsi" w:cstheme="minorHAnsi"/>
          <w:color w:val="auto"/>
          <w:sz w:val="22"/>
          <w:szCs w:val="22"/>
        </w:rPr>
      </w:pPr>
    </w:p>
    <w:p w14:paraId="0478740C" w14:textId="3BB2ADF8" w:rsidR="00350FC6" w:rsidRPr="003060BB" w:rsidRDefault="00350FC6" w:rsidP="005B4ADC">
      <w:pPr>
        <w:pStyle w:val="Default"/>
        <w:numPr>
          <w:ilvl w:val="0"/>
          <w:numId w:val="8"/>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Publish a </w:t>
      </w:r>
      <w:r w:rsidR="00C53D1B">
        <w:rPr>
          <w:rFonts w:asciiTheme="minorHAnsi" w:hAnsiTheme="minorHAnsi" w:cstheme="minorHAnsi"/>
          <w:color w:val="auto"/>
          <w:sz w:val="22"/>
          <w:szCs w:val="22"/>
        </w:rPr>
        <w:t>draft</w:t>
      </w:r>
      <w:r w:rsidRPr="003060BB">
        <w:rPr>
          <w:rFonts w:asciiTheme="minorHAnsi" w:hAnsiTheme="minorHAnsi" w:cstheme="minorHAnsi"/>
          <w:color w:val="auto"/>
          <w:sz w:val="22"/>
          <w:szCs w:val="22"/>
        </w:rPr>
        <w:t xml:space="preserve"> Consoli</w:t>
      </w:r>
      <w:r w:rsidR="00594C00" w:rsidRPr="003060BB">
        <w:rPr>
          <w:rFonts w:asciiTheme="minorHAnsi" w:hAnsiTheme="minorHAnsi" w:cstheme="minorHAnsi"/>
          <w:color w:val="auto"/>
          <w:sz w:val="22"/>
          <w:szCs w:val="22"/>
        </w:rPr>
        <w:t>dated</w:t>
      </w:r>
      <w:r w:rsidR="00B53924">
        <w:rPr>
          <w:rFonts w:asciiTheme="minorHAnsi" w:hAnsiTheme="minorHAnsi" w:cstheme="minorHAnsi"/>
          <w:color w:val="auto"/>
          <w:sz w:val="22"/>
          <w:szCs w:val="22"/>
        </w:rPr>
        <w:t xml:space="preserve"> </w:t>
      </w:r>
      <w:r w:rsidR="00C53D1B">
        <w:rPr>
          <w:rFonts w:asciiTheme="minorHAnsi" w:hAnsiTheme="minorHAnsi" w:cstheme="minorHAnsi"/>
          <w:color w:val="auto"/>
          <w:sz w:val="22"/>
          <w:szCs w:val="22"/>
        </w:rPr>
        <w:t xml:space="preserve">Plan </w:t>
      </w:r>
      <w:r w:rsidR="00594C00" w:rsidRPr="003060BB">
        <w:rPr>
          <w:rFonts w:asciiTheme="minorHAnsi" w:hAnsiTheme="minorHAnsi" w:cstheme="minorHAnsi"/>
          <w:color w:val="auto"/>
          <w:sz w:val="22"/>
          <w:szCs w:val="22"/>
        </w:rPr>
        <w:t xml:space="preserve">and afford citizens and </w:t>
      </w:r>
      <w:r w:rsidRPr="003060BB">
        <w:rPr>
          <w:rFonts w:asciiTheme="minorHAnsi" w:hAnsiTheme="minorHAnsi" w:cstheme="minorHAnsi"/>
          <w:color w:val="auto"/>
          <w:sz w:val="22"/>
          <w:szCs w:val="22"/>
        </w:rPr>
        <w:t xml:space="preserve">units of general local government the opportunity to comment thereon. </w:t>
      </w:r>
    </w:p>
    <w:p w14:paraId="1C08971A" w14:textId="77777777" w:rsidR="00350FC6" w:rsidRPr="003060BB" w:rsidRDefault="00350FC6">
      <w:pPr>
        <w:pStyle w:val="Default"/>
        <w:ind w:firstLine="60"/>
        <w:jc w:val="both"/>
        <w:rPr>
          <w:rFonts w:asciiTheme="minorHAnsi" w:hAnsiTheme="minorHAnsi" w:cstheme="minorHAnsi"/>
          <w:color w:val="auto"/>
          <w:sz w:val="22"/>
          <w:szCs w:val="22"/>
        </w:rPr>
      </w:pPr>
    </w:p>
    <w:p w14:paraId="10997067" w14:textId="77777777" w:rsidR="00350FC6" w:rsidRPr="003060BB" w:rsidRDefault="00350FC6" w:rsidP="005B4ADC">
      <w:pPr>
        <w:pStyle w:val="Default"/>
        <w:numPr>
          <w:ilvl w:val="0"/>
          <w:numId w:val="8"/>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Furnish citizens and units of general local government with information concerning the amount of CDBG funds available for proposed community development and housing activities a</w:t>
      </w:r>
      <w:r w:rsidR="000103E1" w:rsidRPr="003060BB">
        <w:rPr>
          <w:rFonts w:asciiTheme="minorHAnsi" w:hAnsiTheme="minorHAnsi" w:cstheme="minorHAnsi"/>
          <w:color w:val="auto"/>
          <w:sz w:val="22"/>
          <w:szCs w:val="22"/>
        </w:rPr>
        <w:t xml:space="preserve">nd the range/amount of funding </w:t>
      </w:r>
      <w:r w:rsidRPr="003060BB">
        <w:rPr>
          <w:rFonts w:asciiTheme="minorHAnsi" w:hAnsiTheme="minorHAnsi" w:cstheme="minorHAnsi"/>
          <w:color w:val="auto"/>
          <w:sz w:val="22"/>
          <w:szCs w:val="22"/>
        </w:rPr>
        <w:t xml:space="preserve">to be used for these activities. </w:t>
      </w:r>
    </w:p>
    <w:p w14:paraId="6979DC7B" w14:textId="77777777" w:rsidR="00350FC6" w:rsidRPr="003060BB" w:rsidRDefault="00350FC6">
      <w:pPr>
        <w:pStyle w:val="Default"/>
        <w:ind w:firstLine="60"/>
        <w:jc w:val="both"/>
        <w:rPr>
          <w:rFonts w:asciiTheme="minorHAnsi" w:hAnsiTheme="minorHAnsi" w:cstheme="minorHAnsi"/>
          <w:color w:val="auto"/>
          <w:sz w:val="22"/>
          <w:szCs w:val="22"/>
        </w:rPr>
      </w:pPr>
    </w:p>
    <w:p w14:paraId="030C5C50" w14:textId="12FA851E" w:rsidR="00350FC6" w:rsidRPr="003060BB" w:rsidRDefault="00350FC6" w:rsidP="005B4ADC">
      <w:pPr>
        <w:pStyle w:val="Default"/>
        <w:numPr>
          <w:ilvl w:val="0"/>
          <w:numId w:val="8"/>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Hold one (1) or more public hearings res</w:t>
      </w:r>
      <w:r w:rsidR="00C53D1B">
        <w:rPr>
          <w:rFonts w:asciiTheme="minorHAnsi" w:hAnsiTheme="minorHAnsi" w:cstheme="minorHAnsi"/>
          <w:color w:val="auto"/>
          <w:sz w:val="22"/>
          <w:szCs w:val="22"/>
        </w:rPr>
        <w:t xml:space="preserve">pective to the State’s </w:t>
      </w:r>
      <w:r w:rsidRPr="003060BB">
        <w:rPr>
          <w:rFonts w:asciiTheme="minorHAnsi" w:hAnsiTheme="minorHAnsi" w:cstheme="minorHAnsi"/>
          <w:color w:val="auto"/>
          <w:sz w:val="22"/>
          <w:szCs w:val="22"/>
        </w:rPr>
        <w:t>draft Consolidated Plan</w:t>
      </w:r>
      <w:r w:rsidR="00C53D1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 xml:space="preserve">duly advertised in newspapers of general circulation in major population areas  statewide pursuant to </w:t>
      </w:r>
      <w:proofErr w:type="spellStart"/>
      <w:r w:rsidRPr="003060BB">
        <w:rPr>
          <w:rFonts w:asciiTheme="minorHAnsi" w:hAnsiTheme="minorHAnsi" w:cstheme="minorHAnsi"/>
          <w:color w:val="auto"/>
          <w:sz w:val="22"/>
          <w:szCs w:val="22"/>
        </w:rPr>
        <w:t>I.C</w:t>
      </w:r>
      <w:proofErr w:type="spellEnd"/>
      <w:r w:rsidRPr="003060BB">
        <w:rPr>
          <w:rFonts w:asciiTheme="minorHAnsi" w:hAnsiTheme="minorHAnsi" w:cstheme="minorHAnsi"/>
          <w:color w:val="auto"/>
          <w:sz w:val="22"/>
          <w:szCs w:val="22"/>
        </w:rPr>
        <w:t>. 5-3-1-2 (B), to obtain the views of citizens on proposed community development and housing needs. The Consolidated Plan Committee published the enclosed legal advertisement to thirteen (13) regional newspapers of general circulation statewide respective to the pub</w:t>
      </w:r>
      <w:r w:rsidR="00437CB2">
        <w:rPr>
          <w:rFonts w:asciiTheme="minorHAnsi" w:hAnsiTheme="minorHAnsi" w:cstheme="minorHAnsi"/>
          <w:color w:val="auto"/>
          <w:sz w:val="22"/>
          <w:szCs w:val="22"/>
        </w:rPr>
        <w:t xml:space="preserve">lic hearing(s) held on the </w:t>
      </w:r>
      <w:r w:rsidRPr="003060BB">
        <w:rPr>
          <w:rFonts w:asciiTheme="minorHAnsi" w:hAnsiTheme="minorHAnsi" w:cstheme="minorHAnsi"/>
          <w:color w:val="auto"/>
          <w:sz w:val="22"/>
          <w:szCs w:val="22"/>
        </w:rPr>
        <w:t>Consolidated Plan</w:t>
      </w:r>
      <w:r w:rsidR="00437CB2">
        <w:rPr>
          <w:rFonts w:asciiTheme="minorHAnsi" w:hAnsiTheme="minorHAnsi" w:cstheme="minorHAnsi"/>
          <w:color w:val="auto"/>
          <w:sz w:val="22"/>
          <w:szCs w:val="22"/>
        </w:rPr>
        <w:t xml:space="preserve"> or Action Plan</w:t>
      </w:r>
      <w:r w:rsidRPr="003060BB">
        <w:rPr>
          <w:rFonts w:asciiTheme="minorHAnsi" w:hAnsiTheme="minorHAnsi" w:cstheme="minorHAnsi"/>
          <w:color w:val="auto"/>
          <w:sz w:val="22"/>
          <w:szCs w:val="22"/>
        </w:rPr>
        <w:t xml:space="preserve">.  In addition, this notice was distributed by </w:t>
      </w:r>
      <w:r w:rsidR="005D4F70" w:rsidRPr="003060BB">
        <w:rPr>
          <w:rFonts w:asciiTheme="minorHAnsi" w:hAnsiTheme="minorHAnsi" w:cstheme="minorHAnsi"/>
          <w:color w:val="auto"/>
          <w:sz w:val="22"/>
          <w:szCs w:val="22"/>
        </w:rPr>
        <w:t>e</w:t>
      </w:r>
      <w:r w:rsidR="00E53451" w:rsidRPr="003060BB">
        <w:rPr>
          <w:rFonts w:asciiTheme="minorHAnsi" w:hAnsiTheme="minorHAnsi" w:cstheme="minorHAnsi"/>
          <w:color w:val="auto"/>
          <w:sz w:val="22"/>
          <w:szCs w:val="22"/>
        </w:rPr>
        <w:t>mail to over</w:t>
      </w:r>
      <w:r w:rsidR="00437CB2">
        <w:rPr>
          <w:rFonts w:asciiTheme="minorHAnsi" w:hAnsiTheme="minorHAnsi" w:cstheme="minorHAnsi"/>
          <w:color w:val="auto"/>
          <w:sz w:val="22"/>
          <w:szCs w:val="22"/>
        </w:rPr>
        <w:t xml:space="preserve"> 6</w:t>
      </w:r>
      <w:r w:rsidRPr="003060BB">
        <w:rPr>
          <w:rFonts w:asciiTheme="minorHAnsi" w:hAnsiTheme="minorHAnsi" w:cstheme="minorHAnsi"/>
          <w:color w:val="auto"/>
          <w:sz w:val="22"/>
          <w:szCs w:val="22"/>
        </w:rPr>
        <w:t>,000 local officials, non-profit entities, and interested parties statewide in</w:t>
      </w:r>
      <w:r w:rsidR="00E53451" w:rsidRPr="003060BB">
        <w:rPr>
          <w:rFonts w:asciiTheme="minorHAnsi" w:hAnsiTheme="minorHAnsi" w:cstheme="minorHAnsi"/>
          <w:color w:val="auto"/>
          <w:sz w:val="22"/>
          <w:szCs w:val="22"/>
        </w:rPr>
        <w:t xml:space="preserve"> an effort to maximize citizen </w:t>
      </w:r>
      <w:r w:rsidRPr="003060BB">
        <w:rPr>
          <w:rFonts w:asciiTheme="minorHAnsi" w:hAnsiTheme="minorHAnsi" w:cstheme="minorHAnsi"/>
          <w:color w:val="auto"/>
          <w:sz w:val="22"/>
          <w:szCs w:val="22"/>
        </w:rPr>
        <w:t xml:space="preserve">participation in the planning process: </w:t>
      </w:r>
    </w:p>
    <w:p w14:paraId="4848453D" w14:textId="77777777" w:rsidR="00437CB2" w:rsidRDefault="00437CB2" w:rsidP="00437CB2">
      <w:pPr>
        <w:pStyle w:val="Default"/>
        <w:jc w:val="both"/>
        <w:rPr>
          <w:rFonts w:asciiTheme="minorHAnsi" w:hAnsiTheme="minorHAnsi" w:cstheme="minorHAnsi"/>
          <w:color w:val="auto"/>
          <w:sz w:val="22"/>
          <w:szCs w:val="22"/>
        </w:rPr>
      </w:pPr>
    </w:p>
    <w:p w14:paraId="4EBC38E3" w14:textId="77777777" w:rsidR="00437CB2" w:rsidRDefault="00437CB2" w:rsidP="00437CB2">
      <w:pPr>
        <w:pStyle w:val="Default"/>
        <w:jc w:val="both"/>
        <w:rPr>
          <w:rFonts w:asciiTheme="minorHAnsi" w:hAnsiTheme="minorHAnsi" w:cstheme="minorHAnsi"/>
          <w:color w:val="auto"/>
          <w:sz w:val="22"/>
          <w:szCs w:val="22"/>
        </w:rPr>
        <w:sectPr w:rsidR="00437CB2" w:rsidSect="00340566">
          <w:headerReference w:type="default" r:id="rId16"/>
          <w:footerReference w:type="default" r:id="rId17"/>
          <w:type w:val="continuous"/>
          <w:pgSz w:w="12240" w:h="15840"/>
          <w:pgMar w:top="576" w:right="1152" w:bottom="576" w:left="1152" w:header="720" w:footer="720" w:gutter="0"/>
          <w:cols w:space="720"/>
          <w:docGrid w:linePitch="360"/>
        </w:sectPr>
      </w:pPr>
    </w:p>
    <w:p w14:paraId="47385C07" w14:textId="77777777" w:rsidR="00350FC6" w:rsidRPr="003060BB" w:rsidRDefault="00350FC6" w:rsidP="00520AAD">
      <w:pPr>
        <w:pStyle w:val="Default"/>
        <w:ind w:right="-1062"/>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The Republic, Columbus, IN </w:t>
      </w:r>
    </w:p>
    <w:p w14:paraId="582F64E1" w14:textId="77777777" w:rsidR="00DE4339" w:rsidRPr="003060BB" w:rsidRDefault="00DE4339" w:rsidP="00520AAD">
      <w:pPr>
        <w:pStyle w:val="Default"/>
        <w:ind w:right="-1062"/>
        <w:rPr>
          <w:rFonts w:asciiTheme="minorHAnsi" w:hAnsiTheme="minorHAnsi" w:cstheme="minorHAnsi"/>
          <w:b/>
          <w:bCs/>
          <w:color w:val="auto"/>
          <w:sz w:val="22"/>
          <w:szCs w:val="22"/>
        </w:rPr>
      </w:pPr>
      <w:r w:rsidRPr="003060BB">
        <w:rPr>
          <w:rFonts w:asciiTheme="minorHAnsi" w:hAnsiTheme="minorHAnsi" w:cstheme="minorHAnsi"/>
          <w:b/>
          <w:bCs/>
          <w:color w:val="auto"/>
          <w:sz w:val="22"/>
          <w:szCs w:val="22"/>
        </w:rPr>
        <w:t>The Corydon Democrat and Clarian News, Corydon, IN</w:t>
      </w:r>
    </w:p>
    <w:p w14:paraId="2D3DEF52" w14:textId="77777777" w:rsidR="00350FC6" w:rsidRPr="003060BB" w:rsidRDefault="00350FC6" w:rsidP="00520AAD">
      <w:pPr>
        <w:pStyle w:val="Default"/>
        <w:ind w:right="-1062"/>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Indianapolis Star, Indianapolis, IN </w:t>
      </w:r>
    </w:p>
    <w:p w14:paraId="3C12DFA0" w14:textId="77777777" w:rsidR="00350FC6" w:rsidRPr="003060BB" w:rsidRDefault="00350FC6" w:rsidP="00520AAD">
      <w:pPr>
        <w:pStyle w:val="Default"/>
        <w:ind w:right="-1062"/>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The Journal-Gazette, Fort Wayne, IN </w:t>
      </w:r>
    </w:p>
    <w:p w14:paraId="3B19D7DD" w14:textId="2CA27691" w:rsidR="00DE4339" w:rsidRPr="003060BB" w:rsidRDefault="00DE4339" w:rsidP="00520AAD">
      <w:pPr>
        <w:pStyle w:val="Default"/>
        <w:ind w:right="-1062"/>
        <w:rPr>
          <w:rFonts w:asciiTheme="minorHAnsi" w:hAnsiTheme="minorHAnsi" w:cstheme="minorHAnsi"/>
          <w:b/>
          <w:bCs/>
          <w:color w:val="auto"/>
          <w:sz w:val="22"/>
          <w:szCs w:val="22"/>
        </w:rPr>
      </w:pPr>
      <w:r w:rsidRPr="003060BB">
        <w:rPr>
          <w:rFonts w:asciiTheme="minorHAnsi" w:hAnsiTheme="minorHAnsi" w:cstheme="minorHAnsi"/>
          <w:b/>
          <w:bCs/>
          <w:color w:val="auto"/>
          <w:sz w:val="22"/>
          <w:szCs w:val="22"/>
        </w:rPr>
        <w:t>The Salem Leader and Salem Democrat, Sa</w:t>
      </w:r>
      <w:r w:rsidR="00520AAD">
        <w:rPr>
          <w:rFonts w:asciiTheme="minorHAnsi" w:hAnsiTheme="minorHAnsi" w:cstheme="minorHAnsi"/>
          <w:b/>
          <w:bCs/>
          <w:color w:val="auto"/>
          <w:sz w:val="22"/>
          <w:szCs w:val="22"/>
        </w:rPr>
        <w:t>l</w:t>
      </w:r>
      <w:r w:rsidRPr="003060BB">
        <w:rPr>
          <w:rFonts w:asciiTheme="minorHAnsi" w:hAnsiTheme="minorHAnsi" w:cstheme="minorHAnsi"/>
          <w:b/>
          <w:bCs/>
          <w:color w:val="auto"/>
          <w:sz w:val="22"/>
          <w:szCs w:val="22"/>
        </w:rPr>
        <w:t>em, I</w:t>
      </w:r>
      <w:r w:rsidR="00520AAD">
        <w:rPr>
          <w:rFonts w:asciiTheme="minorHAnsi" w:hAnsiTheme="minorHAnsi" w:cstheme="minorHAnsi"/>
          <w:b/>
          <w:bCs/>
          <w:color w:val="auto"/>
          <w:sz w:val="22"/>
          <w:szCs w:val="22"/>
        </w:rPr>
        <w:t>N</w:t>
      </w:r>
    </w:p>
    <w:p w14:paraId="697B11D9" w14:textId="77777777" w:rsidR="00DE4339" w:rsidRPr="003060BB" w:rsidRDefault="00DE4339" w:rsidP="00520AAD">
      <w:pPr>
        <w:pStyle w:val="Default"/>
        <w:ind w:right="-1062"/>
        <w:rPr>
          <w:rFonts w:asciiTheme="minorHAnsi" w:hAnsiTheme="minorHAnsi" w:cstheme="minorHAnsi"/>
          <w:b/>
          <w:bCs/>
          <w:color w:val="auto"/>
          <w:sz w:val="22"/>
          <w:szCs w:val="22"/>
        </w:rPr>
      </w:pPr>
      <w:r w:rsidRPr="003060BB">
        <w:rPr>
          <w:rFonts w:asciiTheme="minorHAnsi" w:hAnsiTheme="minorHAnsi" w:cstheme="minorHAnsi"/>
          <w:b/>
          <w:bCs/>
          <w:color w:val="auto"/>
          <w:sz w:val="22"/>
          <w:szCs w:val="22"/>
        </w:rPr>
        <w:t>Scott County Journal, Scottsburg, IN</w:t>
      </w:r>
    </w:p>
    <w:p w14:paraId="3168A67F" w14:textId="77777777" w:rsidR="00DE4339" w:rsidRPr="003060BB" w:rsidRDefault="00DE4339" w:rsidP="00520AAD">
      <w:pPr>
        <w:pStyle w:val="Default"/>
        <w:ind w:right="-1062"/>
        <w:rPr>
          <w:rFonts w:asciiTheme="minorHAnsi" w:hAnsiTheme="minorHAnsi" w:cstheme="minorHAnsi"/>
          <w:b/>
          <w:bCs/>
          <w:color w:val="auto"/>
          <w:sz w:val="22"/>
          <w:szCs w:val="22"/>
        </w:rPr>
      </w:pPr>
      <w:r w:rsidRPr="003060BB">
        <w:rPr>
          <w:rFonts w:asciiTheme="minorHAnsi" w:hAnsiTheme="minorHAnsi" w:cstheme="minorHAnsi"/>
          <w:b/>
          <w:bCs/>
          <w:color w:val="auto"/>
          <w:sz w:val="22"/>
          <w:szCs w:val="22"/>
        </w:rPr>
        <w:t>The News and Tribune, Jeffersonville, IN</w:t>
      </w:r>
    </w:p>
    <w:p w14:paraId="16C828DC" w14:textId="77777777" w:rsidR="00350FC6" w:rsidRPr="003060BB" w:rsidRDefault="00350FC6" w:rsidP="00520AAD">
      <w:pPr>
        <w:pStyle w:val="Default"/>
        <w:ind w:right="-1062"/>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The Chronicle-Tribune, </w:t>
      </w:r>
      <w:r w:rsidR="00DE4339" w:rsidRPr="003060BB">
        <w:rPr>
          <w:rFonts w:asciiTheme="minorHAnsi" w:hAnsiTheme="minorHAnsi" w:cstheme="minorHAnsi"/>
          <w:b/>
          <w:bCs/>
          <w:color w:val="auto"/>
          <w:sz w:val="22"/>
          <w:szCs w:val="22"/>
        </w:rPr>
        <w:t>Wabash</w:t>
      </w:r>
      <w:r w:rsidRPr="003060BB">
        <w:rPr>
          <w:rFonts w:asciiTheme="minorHAnsi" w:hAnsiTheme="minorHAnsi" w:cstheme="minorHAnsi"/>
          <w:b/>
          <w:bCs/>
          <w:color w:val="auto"/>
          <w:sz w:val="22"/>
          <w:szCs w:val="22"/>
        </w:rPr>
        <w:t xml:space="preserve">, IN </w:t>
      </w:r>
    </w:p>
    <w:p w14:paraId="17D447C8" w14:textId="77777777" w:rsidR="00350FC6" w:rsidRPr="003060BB" w:rsidRDefault="00350FC6" w:rsidP="00520AAD">
      <w:pPr>
        <w:pStyle w:val="Default"/>
        <w:ind w:left="540" w:right="-1062"/>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Gary Post Tribune, Gary, IN </w:t>
      </w:r>
    </w:p>
    <w:p w14:paraId="45D27E8D" w14:textId="77777777" w:rsidR="00350FC6" w:rsidRPr="003060BB" w:rsidRDefault="00350FC6" w:rsidP="00520AAD">
      <w:pPr>
        <w:pStyle w:val="Default"/>
        <w:ind w:left="540" w:right="-1062"/>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Tribune Star, Terre Haute, IN </w:t>
      </w:r>
    </w:p>
    <w:p w14:paraId="374DB839" w14:textId="77777777" w:rsidR="00350FC6" w:rsidRPr="003060BB" w:rsidRDefault="00350FC6" w:rsidP="00520AAD">
      <w:pPr>
        <w:pStyle w:val="Default"/>
        <w:ind w:left="540" w:right="-1062"/>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Journal &amp; Courier, Lafayette, IN </w:t>
      </w:r>
    </w:p>
    <w:p w14:paraId="3BA123BF" w14:textId="77777777" w:rsidR="00350FC6" w:rsidRPr="003060BB" w:rsidRDefault="00350FC6" w:rsidP="00520AAD">
      <w:pPr>
        <w:pStyle w:val="Default"/>
        <w:ind w:left="540" w:right="-1062"/>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Evansville Courier, Evansville, IN </w:t>
      </w:r>
    </w:p>
    <w:p w14:paraId="2FE52357" w14:textId="77777777" w:rsidR="00350FC6" w:rsidRPr="003060BB" w:rsidRDefault="00350FC6" w:rsidP="00520AAD">
      <w:pPr>
        <w:pStyle w:val="Default"/>
        <w:ind w:left="540" w:right="-1062"/>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South Bend Tribune, South Bend, IN </w:t>
      </w:r>
    </w:p>
    <w:p w14:paraId="048988FD" w14:textId="77777777" w:rsidR="00350FC6" w:rsidRPr="003060BB" w:rsidRDefault="00350FC6" w:rsidP="00520AAD">
      <w:pPr>
        <w:pStyle w:val="Default"/>
        <w:ind w:left="540" w:right="-1062"/>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Palladium-Item, Richmond, IN </w:t>
      </w:r>
    </w:p>
    <w:p w14:paraId="2B591738" w14:textId="77777777" w:rsidR="00350FC6" w:rsidRPr="003060BB" w:rsidRDefault="00350FC6" w:rsidP="00520AAD">
      <w:pPr>
        <w:pStyle w:val="Default"/>
        <w:ind w:left="540" w:right="-1062"/>
        <w:rPr>
          <w:rFonts w:asciiTheme="minorHAnsi" w:hAnsiTheme="minorHAnsi" w:cstheme="minorHAnsi"/>
          <w:b/>
          <w:bCs/>
          <w:color w:val="auto"/>
          <w:sz w:val="22"/>
          <w:szCs w:val="22"/>
        </w:rPr>
      </w:pPr>
      <w:r w:rsidRPr="003060BB">
        <w:rPr>
          <w:rFonts w:asciiTheme="minorHAnsi" w:hAnsiTheme="minorHAnsi" w:cstheme="minorHAnsi"/>
          <w:b/>
          <w:bCs/>
          <w:color w:val="auto"/>
          <w:sz w:val="22"/>
          <w:szCs w:val="22"/>
        </w:rPr>
        <w:t>The Times, Munster, IN</w:t>
      </w:r>
    </w:p>
    <w:p w14:paraId="13DC99DC" w14:textId="77777777" w:rsidR="00350FC6" w:rsidRPr="003060BB" w:rsidRDefault="00350FC6" w:rsidP="00520AAD">
      <w:pPr>
        <w:pStyle w:val="Default"/>
        <w:ind w:left="540" w:right="-1062"/>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The Star Press, Muncie, IN </w:t>
      </w:r>
    </w:p>
    <w:p w14:paraId="4F362499" w14:textId="77777777" w:rsidR="00437CB2" w:rsidRDefault="00437CB2">
      <w:pPr>
        <w:pStyle w:val="Default"/>
        <w:jc w:val="both"/>
        <w:rPr>
          <w:rFonts w:asciiTheme="minorHAnsi" w:hAnsiTheme="minorHAnsi" w:cstheme="minorHAnsi"/>
          <w:b/>
          <w:bCs/>
          <w:color w:val="auto"/>
          <w:sz w:val="22"/>
          <w:szCs w:val="22"/>
        </w:rPr>
        <w:sectPr w:rsidR="00437CB2" w:rsidSect="00437CB2">
          <w:type w:val="continuous"/>
          <w:pgSz w:w="12240" w:h="15840"/>
          <w:pgMar w:top="576" w:right="1152" w:bottom="576" w:left="1152" w:header="720" w:footer="720" w:gutter="0"/>
          <w:cols w:num="2" w:space="1080"/>
          <w:docGrid w:linePitch="360"/>
        </w:sectPr>
      </w:pPr>
    </w:p>
    <w:p w14:paraId="11075096" w14:textId="17952196" w:rsidR="00350FC6" w:rsidRDefault="00350FC6">
      <w:pPr>
        <w:pStyle w:val="Default"/>
        <w:jc w:val="both"/>
        <w:rPr>
          <w:rFonts w:asciiTheme="minorHAnsi" w:hAnsiTheme="minorHAnsi" w:cstheme="minorHAnsi"/>
          <w:b/>
          <w:bCs/>
          <w:color w:val="auto"/>
          <w:sz w:val="22"/>
          <w:szCs w:val="22"/>
        </w:rPr>
      </w:pPr>
      <w:r w:rsidRPr="003060BB">
        <w:rPr>
          <w:rFonts w:asciiTheme="minorHAnsi" w:hAnsiTheme="minorHAnsi" w:cstheme="minorHAnsi"/>
          <w:b/>
          <w:bCs/>
          <w:color w:val="auto"/>
          <w:sz w:val="22"/>
          <w:szCs w:val="22"/>
        </w:rPr>
        <w:t xml:space="preserve"> </w:t>
      </w:r>
    </w:p>
    <w:p w14:paraId="2013712F" w14:textId="77777777" w:rsidR="00437CB2" w:rsidRPr="003060BB" w:rsidRDefault="00437CB2">
      <w:pPr>
        <w:pStyle w:val="Default"/>
        <w:jc w:val="both"/>
        <w:rPr>
          <w:rFonts w:asciiTheme="minorHAnsi" w:hAnsiTheme="minorHAnsi" w:cstheme="minorHAnsi"/>
          <w:b/>
          <w:bCs/>
          <w:color w:val="auto"/>
          <w:sz w:val="22"/>
          <w:szCs w:val="22"/>
        </w:rPr>
      </w:pPr>
    </w:p>
    <w:p w14:paraId="35F9EF4D" w14:textId="77777777" w:rsidR="00350FC6" w:rsidRPr="003060BB" w:rsidRDefault="00350FC6" w:rsidP="005B4ADC">
      <w:pPr>
        <w:pStyle w:val="Default"/>
        <w:numPr>
          <w:ilvl w:val="0"/>
          <w:numId w:val="8"/>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Provide citizens and units of general local government with reasonable and timely access to records regarding the past and proposed use of CDBG funds. </w:t>
      </w:r>
    </w:p>
    <w:p w14:paraId="505E3370" w14:textId="77777777" w:rsidR="00350FC6" w:rsidRPr="003060BB" w:rsidRDefault="00350FC6">
      <w:pPr>
        <w:pStyle w:val="Default"/>
        <w:ind w:firstLine="60"/>
        <w:jc w:val="both"/>
        <w:rPr>
          <w:rFonts w:asciiTheme="minorHAnsi" w:hAnsiTheme="minorHAnsi" w:cstheme="minorHAnsi"/>
          <w:color w:val="auto"/>
          <w:sz w:val="22"/>
          <w:szCs w:val="22"/>
        </w:rPr>
      </w:pPr>
    </w:p>
    <w:p w14:paraId="48E8410E" w14:textId="5B9F9405" w:rsidR="00350FC6" w:rsidRPr="003060BB" w:rsidRDefault="00350FC6" w:rsidP="005B4ADC">
      <w:pPr>
        <w:pStyle w:val="Default"/>
        <w:numPr>
          <w:ilvl w:val="0"/>
          <w:numId w:val="8"/>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Make the Consolidated Plan available to the public at the time it is </w:t>
      </w:r>
      <w:r w:rsidR="00C53D1B">
        <w:rPr>
          <w:rFonts w:asciiTheme="minorHAnsi" w:hAnsiTheme="minorHAnsi" w:cstheme="minorHAnsi"/>
          <w:color w:val="auto"/>
          <w:sz w:val="22"/>
          <w:szCs w:val="22"/>
        </w:rPr>
        <w:t xml:space="preserve">approved by </w:t>
      </w:r>
      <w:r w:rsidRPr="003060BB">
        <w:rPr>
          <w:rFonts w:asciiTheme="minorHAnsi" w:hAnsiTheme="minorHAnsi" w:cstheme="minorHAnsi"/>
          <w:color w:val="auto"/>
          <w:sz w:val="22"/>
          <w:szCs w:val="22"/>
        </w:rPr>
        <w:t xml:space="preserve">HUD, and; </w:t>
      </w:r>
    </w:p>
    <w:p w14:paraId="1114891C" w14:textId="77777777" w:rsidR="00350FC6" w:rsidRPr="003060BB" w:rsidRDefault="00350FC6">
      <w:pPr>
        <w:pStyle w:val="Default"/>
        <w:ind w:firstLine="180"/>
        <w:jc w:val="both"/>
        <w:rPr>
          <w:rFonts w:asciiTheme="minorHAnsi" w:hAnsiTheme="minorHAnsi" w:cstheme="minorHAnsi"/>
          <w:color w:val="auto"/>
          <w:sz w:val="22"/>
          <w:szCs w:val="22"/>
        </w:rPr>
      </w:pPr>
    </w:p>
    <w:p w14:paraId="5BDCB489" w14:textId="0C4C763B" w:rsidR="00350FC6" w:rsidRPr="003060BB" w:rsidRDefault="00350FC6" w:rsidP="005B4ADC">
      <w:pPr>
        <w:pStyle w:val="Default"/>
        <w:numPr>
          <w:ilvl w:val="0"/>
          <w:numId w:val="8"/>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Follow the process and procedures outlined in items 2 through 7 above with </w:t>
      </w:r>
      <w:r w:rsidR="00C53D1B">
        <w:rPr>
          <w:rFonts w:asciiTheme="minorHAnsi" w:hAnsiTheme="minorHAnsi" w:cstheme="minorHAnsi"/>
          <w:color w:val="auto"/>
          <w:sz w:val="22"/>
          <w:szCs w:val="22"/>
        </w:rPr>
        <w:t>respect to any  amendments to a</w:t>
      </w:r>
      <w:r w:rsidRPr="003060BB">
        <w:rPr>
          <w:rFonts w:asciiTheme="minorHAnsi" w:hAnsiTheme="minorHAnsi" w:cstheme="minorHAnsi"/>
          <w:color w:val="auto"/>
          <w:sz w:val="22"/>
          <w:szCs w:val="22"/>
        </w:rPr>
        <w:t xml:space="preserve"> given </w:t>
      </w:r>
      <w:r w:rsidR="00C53D1B">
        <w:rPr>
          <w:rFonts w:asciiTheme="minorHAnsi" w:hAnsiTheme="minorHAnsi" w:cstheme="minorHAnsi"/>
          <w:color w:val="auto"/>
          <w:sz w:val="22"/>
          <w:szCs w:val="22"/>
        </w:rPr>
        <w:t>Consolidated Plan</w:t>
      </w:r>
      <w:r w:rsidRPr="003060BB">
        <w:rPr>
          <w:rFonts w:asciiTheme="minorHAnsi" w:hAnsiTheme="minorHAnsi" w:cstheme="minorHAnsi"/>
          <w:color w:val="auto"/>
          <w:sz w:val="22"/>
          <w:szCs w:val="22"/>
        </w:rPr>
        <w:t xml:space="preserve"> and/or </w:t>
      </w:r>
      <w:r w:rsidR="00C53D1B">
        <w:rPr>
          <w:rFonts w:asciiTheme="minorHAnsi" w:hAnsiTheme="minorHAnsi" w:cstheme="minorHAnsi"/>
          <w:color w:val="auto"/>
          <w:sz w:val="22"/>
          <w:szCs w:val="22"/>
        </w:rPr>
        <w:t>annual Action Plan</w:t>
      </w:r>
      <w:r w:rsidRPr="003060BB">
        <w:rPr>
          <w:rFonts w:asciiTheme="minorHAnsi" w:hAnsiTheme="minorHAnsi" w:cstheme="minorHAnsi"/>
          <w:color w:val="auto"/>
          <w:sz w:val="22"/>
          <w:szCs w:val="22"/>
        </w:rPr>
        <w:t xml:space="preserve">. </w:t>
      </w:r>
    </w:p>
    <w:p w14:paraId="3D06E2E8"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4C3BB0C7"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In addition, the State also will solicit comments from citizens and units of general local government on its CDBG Performance Review submitted annually to the U.S. Department of Housing and Urban Developments (HUD).  Prior to its submission of the Review to HUD, the State will advertise regionally statewide (pursuant to </w:t>
      </w:r>
      <w:proofErr w:type="spellStart"/>
      <w:r w:rsidRPr="003060BB">
        <w:rPr>
          <w:rFonts w:asciiTheme="minorHAnsi" w:hAnsiTheme="minorHAnsi" w:cstheme="minorHAnsi"/>
          <w:color w:val="auto"/>
          <w:sz w:val="22"/>
          <w:szCs w:val="22"/>
        </w:rPr>
        <w:t>I.C</w:t>
      </w:r>
      <w:proofErr w:type="spellEnd"/>
      <w:r w:rsidRPr="003060BB">
        <w:rPr>
          <w:rFonts w:asciiTheme="minorHAnsi" w:hAnsiTheme="minorHAnsi" w:cstheme="minorHAnsi"/>
          <w:color w:val="auto"/>
          <w:sz w:val="22"/>
          <w:szCs w:val="22"/>
        </w:rPr>
        <w:t xml:space="preserve">. 5-3-1) in newspapers of general circulation soliciting comments on the Performance and Evaluation Report.   </w:t>
      </w:r>
    </w:p>
    <w:p w14:paraId="28F99B9C"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0AD376EF" w14:textId="6C60714D"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State will respond within thirty (30) days to inquiries and complaints received from citizens and, as appropriate, prepare written responses to inquiries or complaints received from such citizens. </w:t>
      </w:r>
    </w:p>
    <w:p w14:paraId="6D865855"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55F7A6D8" w14:textId="77777777" w:rsidR="00D12BB2" w:rsidRPr="009B2E83" w:rsidRDefault="00D12BB2" w:rsidP="00CE77F8">
      <w:pPr>
        <w:pStyle w:val="Title"/>
        <w:jc w:val="left"/>
        <w:rPr>
          <w:sz w:val="20"/>
          <w:szCs w:val="20"/>
        </w:rPr>
      </w:pPr>
    </w:p>
    <w:p w14:paraId="18C890F3" w14:textId="77777777" w:rsidR="009B681A" w:rsidRPr="009B2E83" w:rsidRDefault="009B681A" w:rsidP="007323D3">
      <w:pPr>
        <w:pStyle w:val="Title"/>
        <w:jc w:val="both"/>
      </w:pPr>
    </w:p>
    <w:sectPr w:rsidR="009B681A" w:rsidRPr="009B2E83" w:rsidSect="00340566">
      <w:type w:val="continuous"/>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84724" w14:textId="77777777" w:rsidR="00CF4A8B" w:rsidRDefault="00CF4A8B">
      <w:r>
        <w:separator/>
      </w:r>
    </w:p>
  </w:endnote>
  <w:endnote w:type="continuationSeparator" w:id="0">
    <w:p w14:paraId="7FF71A41" w14:textId="77777777" w:rsidR="00CF4A8B" w:rsidRDefault="00CF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sz w:val="22"/>
        <w:szCs w:val="22"/>
      </w:rPr>
      <w:id w:val="-445544936"/>
      <w:docPartObj>
        <w:docPartGallery w:val="Page Numbers (Bottom of Page)"/>
        <w:docPartUnique/>
      </w:docPartObj>
    </w:sdtPr>
    <w:sdtEndPr>
      <w:rPr>
        <w:noProof/>
      </w:rPr>
    </w:sdtEndPr>
    <w:sdtContent>
      <w:p w14:paraId="4A358621" w14:textId="7A39684C" w:rsidR="00CF4A8B" w:rsidRPr="00CF4A8B" w:rsidRDefault="00CF4A8B" w:rsidP="00CF4A8B">
        <w:pPr>
          <w:pStyle w:val="Footer"/>
          <w:rPr>
            <w:rFonts w:ascii="Calibri" w:hAnsi="Calibri" w:cs="Calibri"/>
            <w:sz w:val="22"/>
            <w:szCs w:val="22"/>
          </w:rPr>
        </w:pPr>
        <w:r w:rsidRPr="00CF4A8B">
          <w:rPr>
            <w:rFonts w:ascii="Calibri" w:hAnsi="Calibri" w:cs="Calibri"/>
            <w:sz w:val="22"/>
            <w:szCs w:val="22"/>
          </w:rPr>
          <w:t xml:space="preserve">2020 </w:t>
        </w:r>
        <w:proofErr w:type="spellStart"/>
        <w:r w:rsidRPr="00CF4A8B">
          <w:rPr>
            <w:rFonts w:ascii="Calibri" w:hAnsi="Calibri" w:cs="Calibri"/>
            <w:sz w:val="22"/>
            <w:szCs w:val="22"/>
          </w:rPr>
          <w:t>CBDG</w:t>
        </w:r>
        <w:proofErr w:type="spellEnd"/>
        <w:r w:rsidRPr="00CF4A8B">
          <w:rPr>
            <w:rFonts w:ascii="Calibri" w:hAnsi="Calibri" w:cs="Calibri"/>
            <w:sz w:val="22"/>
            <w:szCs w:val="22"/>
          </w:rPr>
          <w:t xml:space="preserve"> MOD </w:t>
        </w:r>
        <w:proofErr w:type="spellStart"/>
        <w:r w:rsidRPr="00CF4A8B">
          <w:rPr>
            <w:rFonts w:ascii="Calibri" w:hAnsi="Calibri" w:cs="Calibri"/>
            <w:sz w:val="22"/>
            <w:szCs w:val="22"/>
          </w:rPr>
          <w:t>Admendment</w:t>
        </w:r>
        <w:proofErr w:type="spellEnd"/>
        <w:r>
          <w:rPr>
            <w:rFonts w:ascii="Calibri" w:hAnsi="Calibri" w:cs="Calibri"/>
            <w:sz w:val="22"/>
            <w:szCs w:val="22"/>
          </w:rPr>
          <w:tab/>
        </w:r>
        <w:r>
          <w:rPr>
            <w:rFonts w:ascii="Calibri" w:hAnsi="Calibri" w:cs="Calibri"/>
            <w:sz w:val="22"/>
            <w:szCs w:val="22"/>
          </w:rPr>
          <w:tab/>
        </w:r>
        <w:r w:rsidRPr="00CF4A8B">
          <w:rPr>
            <w:rFonts w:ascii="Calibri" w:hAnsi="Calibri" w:cs="Calibri"/>
            <w:sz w:val="22"/>
            <w:szCs w:val="22"/>
          </w:rPr>
          <w:fldChar w:fldCharType="begin"/>
        </w:r>
        <w:r w:rsidRPr="00CF4A8B">
          <w:rPr>
            <w:rFonts w:ascii="Calibri" w:hAnsi="Calibri" w:cs="Calibri"/>
            <w:sz w:val="22"/>
            <w:szCs w:val="22"/>
          </w:rPr>
          <w:instrText xml:space="preserve"> PAGE   \* MERGEFORMAT </w:instrText>
        </w:r>
        <w:r w:rsidRPr="00CF4A8B">
          <w:rPr>
            <w:rFonts w:ascii="Calibri" w:hAnsi="Calibri" w:cs="Calibri"/>
            <w:sz w:val="22"/>
            <w:szCs w:val="22"/>
          </w:rPr>
          <w:fldChar w:fldCharType="separate"/>
        </w:r>
        <w:r w:rsidR="0010126E">
          <w:rPr>
            <w:rFonts w:ascii="Calibri" w:hAnsi="Calibri" w:cs="Calibri"/>
            <w:noProof/>
            <w:sz w:val="22"/>
            <w:szCs w:val="22"/>
          </w:rPr>
          <w:t>20</w:t>
        </w:r>
        <w:r w:rsidRPr="00CF4A8B">
          <w:rPr>
            <w:rFonts w:ascii="Calibri" w:hAnsi="Calibri" w:cs="Calibri"/>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85D83" w14:textId="77777777" w:rsidR="00CF4A8B" w:rsidRDefault="00CF4A8B">
    <w:pPr>
      <w:pStyle w:val="Footer"/>
      <w:rPr>
        <w:sz w:val="20"/>
      </w:rPr>
    </w:pPr>
    <w:r>
      <w:rPr>
        <w:sz w:val="20"/>
      </w:rPr>
      <w:t xml:space="preserve">CDBG 2019 Allocation Plan   </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10126E">
      <w:rPr>
        <w:rStyle w:val="PageNumber"/>
        <w:noProof/>
        <w:sz w:val="20"/>
      </w:rPr>
      <w:t>21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E5E58" w14:textId="77777777" w:rsidR="00CF4A8B" w:rsidRDefault="00CF4A8B">
      <w:r>
        <w:separator/>
      </w:r>
    </w:p>
  </w:footnote>
  <w:footnote w:type="continuationSeparator" w:id="0">
    <w:p w14:paraId="78FDFB75" w14:textId="77777777" w:rsidR="00CF4A8B" w:rsidRDefault="00CF4A8B">
      <w:r>
        <w:continuationSeparator/>
      </w:r>
    </w:p>
  </w:footnote>
  <w:footnote w:id="1">
    <w:p w14:paraId="5623EB9E" w14:textId="77777777" w:rsidR="00CF4A8B" w:rsidRDefault="00CF4A8B" w:rsidP="00E266AD">
      <w:pPr>
        <w:pStyle w:val="FootnoteText"/>
      </w:pPr>
      <w:r>
        <w:rPr>
          <w:rStyle w:val="FootnoteReference"/>
        </w:rPr>
        <w:footnoteRef/>
      </w:r>
      <w:r>
        <w:t xml:space="preserve"> If agreeable, it would be the Indiana Civil Rights Commissions obligation to provide timely responses as well as to provide data retrieved from other relevant local human relations commissions.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35279"/>
      <w:docPartObj>
        <w:docPartGallery w:val="Watermarks"/>
        <w:docPartUnique/>
      </w:docPartObj>
    </w:sdtPr>
    <w:sdtContent>
      <w:p w14:paraId="469ACE01" w14:textId="6F182513" w:rsidR="00CF4A8B" w:rsidRDefault="00CF4A8B">
        <w:pPr>
          <w:pStyle w:val="Header"/>
        </w:pPr>
        <w:r>
          <w:rPr>
            <w:noProof/>
          </w:rPr>
          <w:pict w14:anchorId="12C9EA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C4406" w14:textId="77777777" w:rsidR="00CF4A8B" w:rsidRDefault="00CF4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462"/>
    <w:multiLevelType w:val="hybridMultilevel"/>
    <w:tmpl w:val="10EC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C2405"/>
    <w:multiLevelType w:val="hybridMultilevel"/>
    <w:tmpl w:val="BB44CDAA"/>
    <w:lvl w:ilvl="0" w:tplc="1E76D5E8">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EA5E8F"/>
    <w:multiLevelType w:val="hybridMultilevel"/>
    <w:tmpl w:val="A126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D0571"/>
    <w:multiLevelType w:val="hybridMultilevel"/>
    <w:tmpl w:val="A4F2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13A0"/>
    <w:multiLevelType w:val="hybridMultilevel"/>
    <w:tmpl w:val="4446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C15FF"/>
    <w:multiLevelType w:val="hybridMultilevel"/>
    <w:tmpl w:val="37C87674"/>
    <w:lvl w:ilvl="0" w:tplc="0409000F">
      <w:start w:val="1"/>
      <w:numFmt w:val="decimal"/>
      <w:lvlText w:val="%1."/>
      <w:lvlJc w:val="left"/>
      <w:pPr>
        <w:tabs>
          <w:tab w:val="num" w:pos="720"/>
        </w:tabs>
        <w:ind w:left="720" w:hanging="360"/>
      </w:pPr>
      <w:rPr>
        <w:rFonts w:hint="default"/>
      </w:rPr>
    </w:lvl>
    <w:lvl w:ilvl="1" w:tplc="BD32D3D6">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F011921"/>
    <w:multiLevelType w:val="hybridMultilevel"/>
    <w:tmpl w:val="84868DA8"/>
    <w:lvl w:ilvl="0" w:tplc="04090019">
      <w:start w:val="1"/>
      <w:numFmt w:val="lowerLetter"/>
      <w:lvlText w:val="%1."/>
      <w:lvlJc w:val="left"/>
      <w:pPr>
        <w:tabs>
          <w:tab w:val="num" w:pos="720"/>
        </w:tabs>
        <w:ind w:left="720" w:hanging="360"/>
      </w:pPr>
    </w:lvl>
    <w:lvl w:ilvl="1" w:tplc="EFF885E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F53733B"/>
    <w:multiLevelType w:val="hybridMultilevel"/>
    <w:tmpl w:val="FBCA069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2007515B"/>
    <w:multiLevelType w:val="hybridMultilevel"/>
    <w:tmpl w:val="B8E4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D70C6"/>
    <w:multiLevelType w:val="hybridMultilevel"/>
    <w:tmpl w:val="FBA6C2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F7915"/>
    <w:multiLevelType w:val="hybridMultilevel"/>
    <w:tmpl w:val="D8FE3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F7C1D"/>
    <w:multiLevelType w:val="hybridMultilevel"/>
    <w:tmpl w:val="016CC2CC"/>
    <w:lvl w:ilvl="0" w:tplc="F3709E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FF86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C36DD4"/>
    <w:multiLevelType w:val="hybridMultilevel"/>
    <w:tmpl w:val="D09816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A0E23"/>
    <w:multiLevelType w:val="hybridMultilevel"/>
    <w:tmpl w:val="0888B168"/>
    <w:lvl w:ilvl="0" w:tplc="218658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77846"/>
    <w:multiLevelType w:val="hybridMultilevel"/>
    <w:tmpl w:val="0888B168"/>
    <w:lvl w:ilvl="0" w:tplc="218658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C0F28"/>
    <w:multiLevelType w:val="hybridMultilevel"/>
    <w:tmpl w:val="B8F40C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74B5B52"/>
    <w:multiLevelType w:val="hybridMultilevel"/>
    <w:tmpl w:val="0888B168"/>
    <w:lvl w:ilvl="0" w:tplc="218658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26737"/>
    <w:multiLevelType w:val="hybridMultilevel"/>
    <w:tmpl w:val="9FA4CB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F9013E3"/>
    <w:multiLevelType w:val="hybridMultilevel"/>
    <w:tmpl w:val="655CE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974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A85D3B"/>
    <w:multiLevelType w:val="hybridMultilevel"/>
    <w:tmpl w:val="E46699A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7C259F3"/>
    <w:multiLevelType w:val="hybridMultilevel"/>
    <w:tmpl w:val="FBA6C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4294E"/>
    <w:multiLevelType w:val="hybridMultilevel"/>
    <w:tmpl w:val="A2EA8572"/>
    <w:lvl w:ilvl="0" w:tplc="0CB26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00496"/>
    <w:multiLevelType w:val="hybridMultilevel"/>
    <w:tmpl w:val="88CEA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674E7"/>
    <w:multiLevelType w:val="hybridMultilevel"/>
    <w:tmpl w:val="0888B168"/>
    <w:lvl w:ilvl="0" w:tplc="218658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467099"/>
    <w:multiLevelType w:val="hybridMultilevel"/>
    <w:tmpl w:val="DC82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F6BAC"/>
    <w:multiLevelType w:val="hybridMultilevel"/>
    <w:tmpl w:val="E29281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C1335D7"/>
    <w:multiLevelType w:val="hybridMultilevel"/>
    <w:tmpl w:val="BBB48750"/>
    <w:lvl w:ilvl="0" w:tplc="BE903CC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B1CA4"/>
    <w:multiLevelType w:val="hybridMultilevel"/>
    <w:tmpl w:val="FBA6C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8"/>
  </w:num>
  <w:num w:numId="4">
    <w:abstractNumId w:val="6"/>
  </w:num>
  <w:num w:numId="5">
    <w:abstractNumId w:val="21"/>
  </w:num>
  <w:num w:numId="6">
    <w:abstractNumId w:val="27"/>
  </w:num>
  <w:num w:numId="7">
    <w:abstractNumId w:val="7"/>
  </w:num>
  <w:num w:numId="8">
    <w:abstractNumId w:val="11"/>
  </w:num>
  <w:num w:numId="9">
    <w:abstractNumId w:val="15"/>
  </w:num>
  <w:num w:numId="10">
    <w:abstractNumId w:val="28"/>
  </w:num>
  <w:num w:numId="11">
    <w:abstractNumId w:val="19"/>
  </w:num>
  <w:num w:numId="12">
    <w:abstractNumId w:val="13"/>
  </w:num>
  <w:num w:numId="13">
    <w:abstractNumId w:val="25"/>
  </w:num>
  <w:num w:numId="14">
    <w:abstractNumId w:val="29"/>
  </w:num>
  <w:num w:numId="15">
    <w:abstractNumId w:val="9"/>
  </w:num>
  <w:num w:numId="16">
    <w:abstractNumId w:val="23"/>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
  </w:num>
  <w:num w:numId="21">
    <w:abstractNumId w:val="20"/>
  </w:num>
  <w:num w:numId="22">
    <w:abstractNumId w:val="12"/>
  </w:num>
  <w:num w:numId="23">
    <w:abstractNumId w:val="17"/>
  </w:num>
  <w:num w:numId="24">
    <w:abstractNumId w:val="8"/>
  </w:num>
  <w:num w:numId="25">
    <w:abstractNumId w:val="0"/>
  </w:num>
  <w:num w:numId="26">
    <w:abstractNumId w:val="10"/>
  </w:num>
  <w:num w:numId="27">
    <w:abstractNumId w:val="4"/>
  </w:num>
  <w:num w:numId="28">
    <w:abstractNumId w:val="24"/>
  </w:num>
  <w:num w:numId="29">
    <w:abstractNumId w:val="3"/>
  </w:num>
  <w:num w:numId="3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W0MLU0MTYwNjCyMDFQ0lEKTi0uzszPAymwrAUAIfAn/CwAAAA="/>
  </w:docVars>
  <w:rsids>
    <w:rsidRoot w:val="00414C17"/>
    <w:rsid w:val="000010FC"/>
    <w:rsid w:val="000103E1"/>
    <w:rsid w:val="00010B35"/>
    <w:rsid w:val="0001130D"/>
    <w:rsid w:val="00011744"/>
    <w:rsid w:val="000173C7"/>
    <w:rsid w:val="00022F66"/>
    <w:rsid w:val="0002608A"/>
    <w:rsid w:val="00026974"/>
    <w:rsid w:val="00036D39"/>
    <w:rsid w:val="000379E8"/>
    <w:rsid w:val="00042240"/>
    <w:rsid w:val="00055B1C"/>
    <w:rsid w:val="00056CA9"/>
    <w:rsid w:val="00067630"/>
    <w:rsid w:val="000704F9"/>
    <w:rsid w:val="0007128C"/>
    <w:rsid w:val="00073565"/>
    <w:rsid w:val="00075551"/>
    <w:rsid w:val="00082DE1"/>
    <w:rsid w:val="000B3072"/>
    <w:rsid w:val="000B7DFC"/>
    <w:rsid w:val="000E4B0A"/>
    <w:rsid w:val="000E7A88"/>
    <w:rsid w:val="000F02D8"/>
    <w:rsid w:val="000F43E2"/>
    <w:rsid w:val="00100E8B"/>
    <w:rsid w:val="0010126E"/>
    <w:rsid w:val="00102AF1"/>
    <w:rsid w:val="001057D9"/>
    <w:rsid w:val="00144AE9"/>
    <w:rsid w:val="00144F10"/>
    <w:rsid w:val="00153B7E"/>
    <w:rsid w:val="0018070E"/>
    <w:rsid w:val="00186586"/>
    <w:rsid w:val="001A2C89"/>
    <w:rsid w:val="001A58D1"/>
    <w:rsid w:val="001B555D"/>
    <w:rsid w:val="001C4AD9"/>
    <w:rsid w:val="001C7407"/>
    <w:rsid w:val="001D0FC1"/>
    <w:rsid w:val="001D4CC1"/>
    <w:rsid w:val="001D5FEE"/>
    <w:rsid w:val="001D6A0D"/>
    <w:rsid w:val="001D6AB2"/>
    <w:rsid w:val="001D7C8C"/>
    <w:rsid w:val="001F3EB6"/>
    <w:rsid w:val="001F6002"/>
    <w:rsid w:val="002026FD"/>
    <w:rsid w:val="0020301C"/>
    <w:rsid w:val="002051C5"/>
    <w:rsid w:val="00215A63"/>
    <w:rsid w:val="00216B5A"/>
    <w:rsid w:val="002201CC"/>
    <w:rsid w:val="00224E0C"/>
    <w:rsid w:val="002324C5"/>
    <w:rsid w:val="00232DD7"/>
    <w:rsid w:val="00235360"/>
    <w:rsid w:val="002524C4"/>
    <w:rsid w:val="00253612"/>
    <w:rsid w:val="00254BAC"/>
    <w:rsid w:val="0026675E"/>
    <w:rsid w:val="00270D34"/>
    <w:rsid w:val="00275D65"/>
    <w:rsid w:val="002878E7"/>
    <w:rsid w:val="00296429"/>
    <w:rsid w:val="002A4A83"/>
    <w:rsid w:val="002B22F9"/>
    <w:rsid w:val="002B4109"/>
    <w:rsid w:val="002B42F8"/>
    <w:rsid w:val="002C2172"/>
    <w:rsid w:val="002D020C"/>
    <w:rsid w:val="002E0CF2"/>
    <w:rsid w:val="002E78A2"/>
    <w:rsid w:val="002F0EDA"/>
    <w:rsid w:val="002F1ECE"/>
    <w:rsid w:val="003060BB"/>
    <w:rsid w:val="00310052"/>
    <w:rsid w:val="003253D4"/>
    <w:rsid w:val="0033694C"/>
    <w:rsid w:val="00340566"/>
    <w:rsid w:val="00350FC6"/>
    <w:rsid w:val="00351FD2"/>
    <w:rsid w:val="00373641"/>
    <w:rsid w:val="003A0967"/>
    <w:rsid w:val="003A5FC8"/>
    <w:rsid w:val="003A7F7A"/>
    <w:rsid w:val="003B07A4"/>
    <w:rsid w:val="003B3C5F"/>
    <w:rsid w:val="003B4BDE"/>
    <w:rsid w:val="003C1098"/>
    <w:rsid w:val="003C6AB6"/>
    <w:rsid w:val="003E7FAD"/>
    <w:rsid w:val="003F19A2"/>
    <w:rsid w:val="003F49A8"/>
    <w:rsid w:val="003F5C01"/>
    <w:rsid w:val="00404990"/>
    <w:rsid w:val="00407193"/>
    <w:rsid w:val="00414C17"/>
    <w:rsid w:val="00415B7B"/>
    <w:rsid w:val="004168D3"/>
    <w:rsid w:val="00417999"/>
    <w:rsid w:val="00417B20"/>
    <w:rsid w:val="00420FCE"/>
    <w:rsid w:val="00423CA5"/>
    <w:rsid w:val="00425FE2"/>
    <w:rsid w:val="00427224"/>
    <w:rsid w:val="00433277"/>
    <w:rsid w:val="00437CB2"/>
    <w:rsid w:val="00447F24"/>
    <w:rsid w:val="004522F3"/>
    <w:rsid w:val="00453F12"/>
    <w:rsid w:val="004545DA"/>
    <w:rsid w:val="00457E21"/>
    <w:rsid w:val="00471ECD"/>
    <w:rsid w:val="00497DBD"/>
    <w:rsid w:val="004A054E"/>
    <w:rsid w:val="004A552A"/>
    <w:rsid w:val="004B0622"/>
    <w:rsid w:val="004B5D32"/>
    <w:rsid w:val="004B6CC4"/>
    <w:rsid w:val="004C1700"/>
    <w:rsid w:val="004C45CF"/>
    <w:rsid w:val="004D1512"/>
    <w:rsid w:val="004D6455"/>
    <w:rsid w:val="004E157D"/>
    <w:rsid w:val="004E2FD6"/>
    <w:rsid w:val="004E6973"/>
    <w:rsid w:val="004F4E85"/>
    <w:rsid w:val="004F5A2A"/>
    <w:rsid w:val="00514400"/>
    <w:rsid w:val="00514CF5"/>
    <w:rsid w:val="00516125"/>
    <w:rsid w:val="00517EE9"/>
    <w:rsid w:val="00520AAD"/>
    <w:rsid w:val="00537B48"/>
    <w:rsid w:val="0055080C"/>
    <w:rsid w:val="005563C7"/>
    <w:rsid w:val="00564080"/>
    <w:rsid w:val="00584A3E"/>
    <w:rsid w:val="00586DF1"/>
    <w:rsid w:val="0058753F"/>
    <w:rsid w:val="0059492D"/>
    <w:rsid w:val="00594C00"/>
    <w:rsid w:val="00597482"/>
    <w:rsid w:val="005B29DD"/>
    <w:rsid w:val="005B4ADC"/>
    <w:rsid w:val="005C0A34"/>
    <w:rsid w:val="005C385E"/>
    <w:rsid w:val="005C3927"/>
    <w:rsid w:val="005D33EA"/>
    <w:rsid w:val="005D4F70"/>
    <w:rsid w:val="005E14A8"/>
    <w:rsid w:val="005E32D8"/>
    <w:rsid w:val="005E43A5"/>
    <w:rsid w:val="005F0968"/>
    <w:rsid w:val="005F0DD1"/>
    <w:rsid w:val="005F7C86"/>
    <w:rsid w:val="00603393"/>
    <w:rsid w:val="00612902"/>
    <w:rsid w:val="00612F0A"/>
    <w:rsid w:val="006175FD"/>
    <w:rsid w:val="00620BCD"/>
    <w:rsid w:val="00623647"/>
    <w:rsid w:val="00630462"/>
    <w:rsid w:val="0063346A"/>
    <w:rsid w:val="0064114F"/>
    <w:rsid w:val="00652937"/>
    <w:rsid w:val="0065744D"/>
    <w:rsid w:val="00663138"/>
    <w:rsid w:val="00670C0A"/>
    <w:rsid w:val="006737AC"/>
    <w:rsid w:val="00682B9F"/>
    <w:rsid w:val="006831C6"/>
    <w:rsid w:val="00683DB9"/>
    <w:rsid w:val="00696D4F"/>
    <w:rsid w:val="006978A9"/>
    <w:rsid w:val="006A0A3E"/>
    <w:rsid w:val="006A48BE"/>
    <w:rsid w:val="006A6797"/>
    <w:rsid w:val="006B145B"/>
    <w:rsid w:val="006B210C"/>
    <w:rsid w:val="006B5130"/>
    <w:rsid w:val="006C1D91"/>
    <w:rsid w:val="006C5ED3"/>
    <w:rsid w:val="006D3512"/>
    <w:rsid w:val="006F0DBD"/>
    <w:rsid w:val="006F788D"/>
    <w:rsid w:val="007048DE"/>
    <w:rsid w:val="00705A00"/>
    <w:rsid w:val="00714DAE"/>
    <w:rsid w:val="00721559"/>
    <w:rsid w:val="00722B1D"/>
    <w:rsid w:val="00731D98"/>
    <w:rsid w:val="007323D3"/>
    <w:rsid w:val="00732ED8"/>
    <w:rsid w:val="00734170"/>
    <w:rsid w:val="00735F42"/>
    <w:rsid w:val="007455BD"/>
    <w:rsid w:val="007512A9"/>
    <w:rsid w:val="00766BE3"/>
    <w:rsid w:val="00782178"/>
    <w:rsid w:val="00782A6B"/>
    <w:rsid w:val="007862C2"/>
    <w:rsid w:val="0079463D"/>
    <w:rsid w:val="007A2AE3"/>
    <w:rsid w:val="007A4D72"/>
    <w:rsid w:val="007A7FBE"/>
    <w:rsid w:val="007B3C3E"/>
    <w:rsid w:val="007B4ACA"/>
    <w:rsid w:val="007C4C89"/>
    <w:rsid w:val="007C6CA2"/>
    <w:rsid w:val="007D7D00"/>
    <w:rsid w:val="007E2653"/>
    <w:rsid w:val="007E3234"/>
    <w:rsid w:val="007E6C33"/>
    <w:rsid w:val="007F0FFA"/>
    <w:rsid w:val="007F2C66"/>
    <w:rsid w:val="00803247"/>
    <w:rsid w:val="00805DC6"/>
    <w:rsid w:val="0080652F"/>
    <w:rsid w:val="00831345"/>
    <w:rsid w:val="00831B6C"/>
    <w:rsid w:val="0083679B"/>
    <w:rsid w:val="00841563"/>
    <w:rsid w:val="008419B8"/>
    <w:rsid w:val="00843DD5"/>
    <w:rsid w:val="00846DC6"/>
    <w:rsid w:val="008516EE"/>
    <w:rsid w:val="008603E9"/>
    <w:rsid w:val="008625BF"/>
    <w:rsid w:val="008728CE"/>
    <w:rsid w:val="0087295B"/>
    <w:rsid w:val="0087643E"/>
    <w:rsid w:val="0088503C"/>
    <w:rsid w:val="00897FCA"/>
    <w:rsid w:val="008A14DB"/>
    <w:rsid w:val="008A4DA8"/>
    <w:rsid w:val="008A59F5"/>
    <w:rsid w:val="008B2418"/>
    <w:rsid w:val="008B43F4"/>
    <w:rsid w:val="008B7CE5"/>
    <w:rsid w:val="008C0913"/>
    <w:rsid w:val="008C5E08"/>
    <w:rsid w:val="008D2A87"/>
    <w:rsid w:val="008E49B0"/>
    <w:rsid w:val="008E684E"/>
    <w:rsid w:val="008E79E0"/>
    <w:rsid w:val="008F0264"/>
    <w:rsid w:val="008F0591"/>
    <w:rsid w:val="008F0EE8"/>
    <w:rsid w:val="008F105D"/>
    <w:rsid w:val="00902FDC"/>
    <w:rsid w:val="00906630"/>
    <w:rsid w:val="009112EA"/>
    <w:rsid w:val="009147A6"/>
    <w:rsid w:val="0091741A"/>
    <w:rsid w:val="009222DD"/>
    <w:rsid w:val="00922574"/>
    <w:rsid w:val="00924274"/>
    <w:rsid w:val="00925C24"/>
    <w:rsid w:val="00942DE0"/>
    <w:rsid w:val="00946C6A"/>
    <w:rsid w:val="00950481"/>
    <w:rsid w:val="00952FC5"/>
    <w:rsid w:val="00957EB6"/>
    <w:rsid w:val="009601B2"/>
    <w:rsid w:val="00973148"/>
    <w:rsid w:val="009757DE"/>
    <w:rsid w:val="009767AB"/>
    <w:rsid w:val="009825C9"/>
    <w:rsid w:val="0099716A"/>
    <w:rsid w:val="009A0A04"/>
    <w:rsid w:val="009A0EC1"/>
    <w:rsid w:val="009A2B87"/>
    <w:rsid w:val="009A6080"/>
    <w:rsid w:val="009B0307"/>
    <w:rsid w:val="009B2E83"/>
    <w:rsid w:val="009B681A"/>
    <w:rsid w:val="009B7418"/>
    <w:rsid w:val="009C2DF8"/>
    <w:rsid w:val="009C7F41"/>
    <w:rsid w:val="009D3565"/>
    <w:rsid w:val="009D54CD"/>
    <w:rsid w:val="009F18AF"/>
    <w:rsid w:val="009F58E4"/>
    <w:rsid w:val="009F6764"/>
    <w:rsid w:val="009F7351"/>
    <w:rsid w:val="00A02DAF"/>
    <w:rsid w:val="00A136D7"/>
    <w:rsid w:val="00A1489C"/>
    <w:rsid w:val="00A15595"/>
    <w:rsid w:val="00A15AE9"/>
    <w:rsid w:val="00A24603"/>
    <w:rsid w:val="00A30B34"/>
    <w:rsid w:val="00A342ED"/>
    <w:rsid w:val="00A3632A"/>
    <w:rsid w:val="00A36F5C"/>
    <w:rsid w:val="00A43377"/>
    <w:rsid w:val="00A47807"/>
    <w:rsid w:val="00A47AC8"/>
    <w:rsid w:val="00A47BAD"/>
    <w:rsid w:val="00A47D54"/>
    <w:rsid w:val="00A50373"/>
    <w:rsid w:val="00A508EE"/>
    <w:rsid w:val="00A51593"/>
    <w:rsid w:val="00A5739B"/>
    <w:rsid w:val="00A57C76"/>
    <w:rsid w:val="00A61033"/>
    <w:rsid w:val="00A610B3"/>
    <w:rsid w:val="00A62A74"/>
    <w:rsid w:val="00A65EC9"/>
    <w:rsid w:val="00A67EAC"/>
    <w:rsid w:val="00A704C7"/>
    <w:rsid w:val="00A76080"/>
    <w:rsid w:val="00A81FFB"/>
    <w:rsid w:val="00A83911"/>
    <w:rsid w:val="00AA2401"/>
    <w:rsid w:val="00AA4290"/>
    <w:rsid w:val="00AB33F8"/>
    <w:rsid w:val="00AB43E5"/>
    <w:rsid w:val="00AB6361"/>
    <w:rsid w:val="00AC6B87"/>
    <w:rsid w:val="00AD237A"/>
    <w:rsid w:val="00AE13ED"/>
    <w:rsid w:val="00AE6A79"/>
    <w:rsid w:val="00AF7DC0"/>
    <w:rsid w:val="00B00398"/>
    <w:rsid w:val="00B02275"/>
    <w:rsid w:val="00B02FA5"/>
    <w:rsid w:val="00B12936"/>
    <w:rsid w:val="00B164EE"/>
    <w:rsid w:val="00B174BE"/>
    <w:rsid w:val="00B2626D"/>
    <w:rsid w:val="00B351C6"/>
    <w:rsid w:val="00B410CD"/>
    <w:rsid w:val="00B53924"/>
    <w:rsid w:val="00B6333B"/>
    <w:rsid w:val="00B85B2D"/>
    <w:rsid w:val="00B87D43"/>
    <w:rsid w:val="00B90B9B"/>
    <w:rsid w:val="00B975F8"/>
    <w:rsid w:val="00BA3EBF"/>
    <w:rsid w:val="00BA45D6"/>
    <w:rsid w:val="00BA6071"/>
    <w:rsid w:val="00BC1ABE"/>
    <w:rsid w:val="00BC7EFE"/>
    <w:rsid w:val="00BD164B"/>
    <w:rsid w:val="00BD431A"/>
    <w:rsid w:val="00BD44C0"/>
    <w:rsid w:val="00BE35DE"/>
    <w:rsid w:val="00BF026E"/>
    <w:rsid w:val="00BF296E"/>
    <w:rsid w:val="00BF3D3C"/>
    <w:rsid w:val="00BF791D"/>
    <w:rsid w:val="00BF7C96"/>
    <w:rsid w:val="00C04EB4"/>
    <w:rsid w:val="00C117CA"/>
    <w:rsid w:val="00C152FD"/>
    <w:rsid w:val="00C15F54"/>
    <w:rsid w:val="00C16975"/>
    <w:rsid w:val="00C1723F"/>
    <w:rsid w:val="00C204C9"/>
    <w:rsid w:val="00C230DF"/>
    <w:rsid w:val="00C47210"/>
    <w:rsid w:val="00C53D1B"/>
    <w:rsid w:val="00C55E3C"/>
    <w:rsid w:val="00C603E7"/>
    <w:rsid w:val="00C66CC2"/>
    <w:rsid w:val="00C74810"/>
    <w:rsid w:val="00C835FD"/>
    <w:rsid w:val="00C83C44"/>
    <w:rsid w:val="00C87A1C"/>
    <w:rsid w:val="00C90888"/>
    <w:rsid w:val="00C929E4"/>
    <w:rsid w:val="00C92B71"/>
    <w:rsid w:val="00C953C9"/>
    <w:rsid w:val="00CA172F"/>
    <w:rsid w:val="00CB4ADA"/>
    <w:rsid w:val="00CB5353"/>
    <w:rsid w:val="00CD238D"/>
    <w:rsid w:val="00CE65C6"/>
    <w:rsid w:val="00CE77F8"/>
    <w:rsid w:val="00CF17D7"/>
    <w:rsid w:val="00CF1A64"/>
    <w:rsid w:val="00CF4A8B"/>
    <w:rsid w:val="00CF4BB6"/>
    <w:rsid w:val="00CF51A8"/>
    <w:rsid w:val="00CF7651"/>
    <w:rsid w:val="00D03B58"/>
    <w:rsid w:val="00D12BB2"/>
    <w:rsid w:val="00D1709F"/>
    <w:rsid w:val="00D25812"/>
    <w:rsid w:val="00D30BF9"/>
    <w:rsid w:val="00D318B9"/>
    <w:rsid w:val="00D44F4A"/>
    <w:rsid w:val="00D46BB4"/>
    <w:rsid w:val="00D6223D"/>
    <w:rsid w:val="00D639DF"/>
    <w:rsid w:val="00D72811"/>
    <w:rsid w:val="00D77E16"/>
    <w:rsid w:val="00D8428A"/>
    <w:rsid w:val="00D91EB9"/>
    <w:rsid w:val="00DA7658"/>
    <w:rsid w:val="00DB1437"/>
    <w:rsid w:val="00DB4D8A"/>
    <w:rsid w:val="00DB737A"/>
    <w:rsid w:val="00DD0D1C"/>
    <w:rsid w:val="00DD162C"/>
    <w:rsid w:val="00DD5658"/>
    <w:rsid w:val="00DE2A72"/>
    <w:rsid w:val="00DE3F55"/>
    <w:rsid w:val="00DE4339"/>
    <w:rsid w:val="00DE5FD2"/>
    <w:rsid w:val="00DE6D0B"/>
    <w:rsid w:val="00DE6E07"/>
    <w:rsid w:val="00DE7D78"/>
    <w:rsid w:val="00DF12DC"/>
    <w:rsid w:val="00DF14B6"/>
    <w:rsid w:val="00E02923"/>
    <w:rsid w:val="00E0668E"/>
    <w:rsid w:val="00E266AD"/>
    <w:rsid w:val="00E3434A"/>
    <w:rsid w:val="00E35989"/>
    <w:rsid w:val="00E40681"/>
    <w:rsid w:val="00E434B8"/>
    <w:rsid w:val="00E444D2"/>
    <w:rsid w:val="00E46929"/>
    <w:rsid w:val="00E53451"/>
    <w:rsid w:val="00E55ACE"/>
    <w:rsid w:val="00E56981"/>
    <w:rsid w:val="00E605E4"/>
    <w:rsid w:val="00E668B9"/>
    <w:rsid w:val="00E71650"/>
    <w:rsid w:val="00E844C2"/>
    <w:rsid w:val="00E910E9"/>
    <w:rsid w:val="00E94135"/>
    <w:rsid w:val="00EA3300"/>
    <w:rsid w:val="00EA4CD4"/>
    <w:rsid w:val="00EB22A5"/>
    <w:rsid w:val="00EB7571"/>
    <w:rsid w:val="00EC1C26"/>
    <w:rsid w:val="00EC6E49"/>
    <w:rsid w:val="00ED0929"/>
    <w:rsid w:val="00ED0DE7"/>
    <w:rsid w:val="00EE4FB1"/>
    <w:rsid w:val="00EF041E"/>
    <w:rsid w:val="00EF3337"/>
    <w:rsid w:val="00F25D9B"/>
    <w:rsid w:val="00F262A0"/>
    <w:rsid w:val="00F27B46"/>
    <w:rsid w:val="00F308B6"/>
    <w:rsid w:val="00F41ADE"/>
    <w:rsid w:val="00F41C8F"/>
    <w:rsid w:val="00F60398"/>
    <w:rsid w:val="00F62371"/>
    <w:rsid w:val="00F71B02"/>
    <w:rsid w:val="00F74470"/>
    <w:rsid w:val="00F77E6F"/>
    <w:rsid w:val="00F84EDE"/>
    <w:rsid w:val="00F96EC0"/>
    <w:rsid w:val="00FB2466"/>
    <w:rsid w:val="00FC735B"/>
    <w:rsid w:val="00FC7C1A"/>
    <w:rsid w:val="00FD15CF"/>
    <w:rsid w:val="00FD33DF"/>
    <w:rsid w:val="00FE0DC1"/>
    <w:rsid w:val="00FE44C4"/>
    <w:rsid w:val="00FE6ED0"/>
    <w:rsid w:val="00FF3739"/>
    <w:rsid w:val="00FF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FFDD2C"/>
  <w15:docId w15:val="{40F27150-DB29-4D19-AFE8-F8DDC1E5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274"/>
    <w:rPr>
      <w:sz w:val="24"/>
      <w:szCs w:val="24"/>
    </w:rPr>
  </w:style>
  <w:style w:type="paragraph" w:styleId="Heading1">
    <w:name w:val="heading 1"/>
    <w:basedOn w:val="Normal"/>
    <w:next w:val="Normal"/>
    <w:qFormat/>
    <w:rsid w:val="00924274"/>
    <w:pPr>
      <w:keepNext/>
      <w:jc w:val="center"/>
      <w:outlineLvl w:val="0"/>
    </w:pPr>
    <w:rPr>
      <w:b/>
      <w:bCs/>
      <w:sz w:val="20"/>
    </w:rPr>
  </w:style>
  <w:style w:type="paragraph" w:styleId="Heading2">
    <w:name w:val="heading 2"/>
    <w:basedOn w:val="Normal"/>
    <w:next w:val="Normal"/>
    <w:link w:val="Heading2Char"/>
    <w:unhideWhenUsed/>
    <w:qFormat/>
    <w:rsid w:val="009B681A"/>
    <w:pPr>
      <w:keepNext/>
      <w:spacing w:before="240" w:after="60"/>
      <w:outlineLvl w:val="1"/>
    </w:pPr>
    <w:rPr>
      <w:rFonts w:ascii="Cambria" w:hAnsi="Cambria"/>
      <w:b/>
      <w:bCs/>
      <w:i/>
      <w:iCs/>
      <w:sz w:val="28"/>
      <w:szCs w:val="28"/>
    </w:rPr>
  </w:style>
  <w:style w:type="paragraph" w:styleId="Heading3">
    <w:name w:val="heading 3"/>
    <w:basedOn w:val="Normal"/>
    <w:next w:val="Normal"/>
    <w:qFormat/>
    <w:rsid w:val="009242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274"/>
    <w:pPr>
      <w:widowControl w:val="0"/>
      <w:autoSpaceDE w:val="0"/>
      <w:autoSpaceDN w:val="0"/>
      <w:adjustRightInd w:val="0"/>
    </w:pPr>
    <w:rPr>
      <w:color w:val="000000"/>
      <w:sz w:val="24"/>
      <w:szCs w:val="24"/>
    </w:rPr>
  </w:style>
  <w:style w:type="paragraph" w:styleId="BalloonText">
    <w:name w:val="Balloon Text"/>
    <w:basedOn w:val="Normal"/>
    <w:rsid w:val="00924274"/>
    <w:rPr>
      <w:rFonts w:ascii="Tahoma" w:hAnsi="Tahoma" w:cs="Tahoma"/>
      <w:sz w:val="16"/>
      <w:szCs w:val="16"/>
    </w:rPr>
  </w:style>
  <w:style w:type="paragraph" w:styleId="DocumentMap">
    <w:name w:val="Document Map"/>
    <w:basedOn w:val="Normal"/>
    <w:semiHidden/>
    <w:rsid w:val="00924274"/>
    <w:pPr>
      <w:shd w:val="clear" w:color="auto" w:fill="000080"/>
    </w:pPr>
    <w:rPr>
      <w:rFonts w:ascii="Tahoma" w:hAnsi="Tahoma" w:cs="Tahoma"/>
      <w:sz w:val="20"/>
      <w:szCs w:val="20"/>
    </w:rPr>
  </w:style>
  <w:style w:type="paragraph" w:styleId="Title">
    <w:name w:val="Title"/>
    <w:basedOn w:val="Normal"/>
    <w:qFormat/>
    <w:rsid w:val="00924274"/>
    <w:pPr>
      <w:jc w:val="center"/>
    </w:pPr>
    <w:rPr>
      <w:sz w:val="32"/>
    </w:rPr>
  </w:style>
  <w:style w:type="paragraph" w:styleId="BodyText">
    <w:name w:val="Body Text"/>
    <w:basedOn w:val="Normal"/>
    <w:rsid w:val="00924274"/>
    <w:pPr>
      <w:jc w:val="center"/>
    </w:pPr>
    <w:rPr>
      <w:b/>
      <w:bCs/>
    </w:rPr>
  </w:style>
  <w:style w:type="paragraph" w:styleId="BodyText2">
    <w:name w:val="Body Text 2"/>
    <w:basedOn w:val="Normal"/>
    <w:rsid w:val="00924274"/>
    <w:rPr>
      <w:sz w:val="20"/>
    </w:rPr>
  </w:style>
  <w:style w:type="character" w:styleId="Hyperlink">
    <w:name w:val="Hyperlink"/>
    <w:basedOn w:val="DefaultParagraphFont"/>
    <w:rsid w:val="00924274"/>
    <w:rPr>
      <w:color w:val="0000FF"/>
      <w:u w:val="single"/>
    </w:rPr>
  </w:style>
  <w:style w:type="paragraph" w:styleId="Header">
    <w:name w:val="header"/>
    <w:basedOn w:val="Normal"/>
    <w:link w:val="HeaderChar"/>
    <w:uiPriority w:val="99"/>
    <w:rsid w:val="00924274"/>
    <w:pPr>
      <w:tabs>
        <w:tab w:val="center" w:pos="4320"/>
        <w:tab w:val="right" w:pos="8640"/>
      </w:tabs>
    </w:pPr>
  </w:style>
  <w:style w:type="paragraph" w:styleId="Footer">
    <w:name w:val="footer"/>
    <w:basedOn w:val="Normal"/>
    <w:link w:val="FooterChar"/>
    <w:uiPriority w:val="99"/>
    <w:rsid w:val="00924274"/>
    <w:pPr>
      <w:tabs>
        <w:tab w:val="center" w:pos="4320"/>
        <w:tab w:val="right" w:pos="8640"/>
      </w:tabs>
    </w:pPr>
  </w:style>
  <w:style w:type="character" w:styleId="PageNumber">
    <w:name w:val="page number"/>
    <w:basedOn w:val="DefaultParagraphFont"/>
    <w:rsid w:val="00924274"/>
  </w:style>
  <w:style w:type="paragraph" w:styleId="BodyTextIndent">
    <w:name w:val="Body Text Indent"/>
    <w:basedOn w:val="Normal"/>
    <w:rsid w:val="00924274"/>
    <w:pPr>
      <w:spacing w:after="120"/>
      <w:ind w:left="360"/>
    </w:pPr>
  </w:style>
  <w:style w:type="paragraph" w:styleId="BodyTextIndent3">
    <w:name w:val="Body Text Indent 3"/>
    <w:basedOn w:val="Normal"/>
    <w:link w:val="BodyTextIndent3Char"/>
    <w:rsid w:val="00924274"/>
    <w:pPr>
      <w:spacing w:after="120"/>
      <w:ind w:left="360"/>
    </w:pPr>
    <w:rPr>
      <w:sz w:val="16"/>
      <w:szCs w:val="16"/>
    </w:rPr>
  </w:style>
  <w:style w:type="paragraph" w:styleId="NormalWeb">
    <w:name w:val="Normal (Web)"/>
    <w:basedOn w:val="Normal"/>
    <w:uiPriority w:val="99"/>
    <w:rsid w:val="00924274"/>
    <w:pPr>
      <w:spacing w:before="100" w:after="100"/>
    </w:pPr>
    <w:rPr>
      <w:szCs w:val="20"/>
    </w:rPr>
  </w:style>
  <w:style w:type="character" w:styleId="FootnoteReference">
    <w:name w:val="footnote reference"/>
    <w:basedOn w:val="DefaultParagraphFont"/>
    <w:uiPriority w:val="99"/>
    <w:semiHidden/>
    <w:rsid w:val="00924274"/>
    <w:rPr>
      <w:vertAlign w:val="superscript"/>
    </w:rPr>
  </w:style>
  <w:style w:type="paragraph" w:styleId="FootnoteText">
    <w:name w:val="footnote text"/>
    <w:basedOn w:val="Normal"/>
    <w:link w:val="FootnoteTextChar"/>
    <w:uiPriority w:val="99"/>
    <w:semiHidden/>
    <w:rsid w:val="00924274"/>
    <w:pPr>
      <w:overflowPunct w:val="0"/>
      <w:autoSpaceDE w:val="0"/>
      <w:autoSpaceDN w:val="0"/>
      <w:adjustRightInd w:val="0"/>
      <w:spacing w:before="120" w:after="360"/>
      <w:ind w:left="1440" w:hanging="1440"/>
      <w:jc w:val="both"/>
      <w:textAlignment w:val="baseline"/>
    </w:pPr>
    <w:rPr>
      <w:sz w:val="20"/>
      <w:szCs w:val="20"/>
    </w:rPr>
  </w:style>
  <w:style w:type="character" w:customStyle="1" w:styleId="Heading2Char">
    <w:name w:val="Heading 2 Char"/>
    <w:basedOn w:val="DefaultParagraphFont"/>
    <w:link w:val="Heading2"/>
    <w:semiHidden/>
    <w:rsid w:val="009B681A"/>
    <w:rPr>
      <w:rFonts w:ascii="Cambria" w:eastAsia="Times New Roman" w:hAnsi="Cambria" w:cs="Times New Roman"/>
      <w:b/>
      <w:bCs/>
      <w:i/>
      <w:iCs/>
      <w:sz w:val="28"/>
      <w:szCs w:val="28"/>
    </w:rPr>
  </w:style>
  <w:style w:type="paragraph" w:styleId="ListParagraph">
    <w:name w:val="List Paragraph"/>
    <w:basedOn w:val="Normal"/>
    <w:uiPriority w:val="34"/>
    <w:qFormat/>
    <w:rsid w:val="00215A63"/>
    <w:pPr>
      <w:ind w:left="720"/>
    </w:pPr>
  </w:style>
  <w:style w:type="character" w:customStyle="1" w:styleId="longtext1">
    <w:name w:val="long_text1"/>
    <w:basedOn w:val="DefaultParagraphFont"/>
    <w:rsid w:val="007323D3"/>
    <w:rPr>
      <w:sz w:val="20"/>
      <w:szCs w:val="20"/>
    </w:rPr>
  </w:style>
  <w:style w:type="character" w:styleId="CommentReference">
    <w:name w:val="annotation reference"/>
    <w:basedOn w:val="DefaultParagraphFont"/>
    <w:rsid w:val="00D639DF"/>
    <w:rPr>
      <w:sz w:val="16"/>
      <w:szCs w:val="16"/>
    </w:rPr>
  </w:style>
  <w:style w:type="table" w:styleId="TableGrid">
    <w:name w:val="Table Grid"/>
    <w:basedOn w:val="TableNormal"/>
    <w:rsid w:val="00942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041E"/>
    <w:rPr>
      <w:rFonts w:ascii="Calibri" w:hAnsi="Calibri"/>
      <w:sz w:val="22"/>
      <w:szCs w:val="22"/>
    </w:rPr>
  </w:style>
  <w:style w:type="paragraph" w:styleId="CommentText">
    <w:name w:val="annotation text"/>
    <w:basedOn w:val="Normal"/>
    <w:link w:val="CommentTextChar"/>
    <w:semiHidden/>
    <w:unhideWhenUsed/>
    <w:rsid w:val="00BD44C0"/>
    <w:rPr>
      <w:sz w:val="20"/>
      <w:szCs w:val="20"/>
    </w:rPr>
  </w:style>
  <w:style w:type="character" w:customStyle="1" w:styleId="CommentTextChar">
    <w:name w:val="Comment Text Char"/>
    <w:basedOn w:val="DefaultParagraphFont"/>
    <w:link w:val="CommentText"/>
    <w:semiHidden/>
    <w:rsid w:val="00BD44C0"/>
  </w:style>
  <w:style w:type="paragraph" w:styleId="CommentSubject">
    <w:name w:val="annotation subject"/>
    <w:basedOn w:val="CommentText"/>
    <w:next w:val="CommentText"/>
    <w:link w:val="CommentSubjectChar"/>
    <w:semiHidden/>
    <w:unhideWhenUsed/>
    <w:rsid w:val="00BD44C0"/>
    <w:rPr>
      <w:b/>
      <w:bCs/>
    </w:rPr>
  </w:style>
  <w:style w:type="character" w:customStyle="1" w:styleId="CommentSubjectChar">
    <w:name w:val="Comment Subject Char"/>
    <w:basedOn w:val="CommentTextChar"/>
    <w:link w:val="CommentSubject"/>
    <w:semiHidden/>
    <w:rsid w:val="00BD44C0"/>
    <w:rPr>
      <w:b/>
      <w:bCs/>
    </w:rPr>
  </w:style>
  <w:style w:type="character" w:customStyle="1" w:styleId="HeaderChar">
    <w:name w:val="Header Char"/>
    <w:basedOn w:val="DefaultParagraphFont"/>
    <w:link w:val="Header"/>
    <w:uiPriority w:val="99"/>
    <w:rsid w:val="00584A3E"/>
    <w:rPr>
      <w:sz w:val="24"/>
      <w:szCs w:val="24"/>
    </w:rPr>
  </w:style>
  <w:style w:type="character" w:customStyle="1" w:styleId="FooterChar">
    <w:name w:val="Footer Char"/>
    <w:basedOn w:val="DefaultParagraphFont"/>
    <w:link w:val="Footer"/>
    <w:uiPriority w:val="99"/>
    <w:rsid w:val="00584A3E"/>
    <w:rPr>
      <w:sz w:val="24"/>
      <w:szCs w:val="24"/>
    </w:rPr>
  </w:style>
  <w:style w:type="character" w:customStyle="1" w:styleId="BodyTextIndent3Char">
    <w:name w:val="Body Text Indent 3 Char"/>
    <w:basedOn w:val="DefaultParagraphFont"/>
    <w:link w:val="BodyTextIndent3"/>
    <w:rsid w:val="00E266AD"/>
    <w:rPr>
      <w:sz w:val="16"/>
      <w:szCs w:val="16"/>
    </w:rPr>
  </w:style>
  <w:style w:type="character" w:customStyle="1" w:styleId="FootnoteTextChar">
    <w:name w:val="Footnote Text Char"/>
    <w:basedOn w:val="DefaultParagraphFont"/>
    <w:link w:val="FootnoteText"/>
    <w:uiPriority w:val="99"/>
    <w:semiHidden/>
    <w:rsid w:val="00E2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7929">
      <w:bodyDiv w:val="1"/>
      <w:marLeft w:val="0"/>
      <w:marRight w:val="0"/>
      <w:marTop w:val="0"/>
      <w:marBottom w:val="0"/>
      <w:divBdr>
        <w:top w:val="none" w:sz="0" w:space="0" w:color="auto"/>
        <w:left w:val="none" w:sz="0" w:space="0" w:color="auto"/>
        <w:bottom w:val="none" w:sz="0" w:space="0" w:color="auto"/>
        <w:right w:val="none" w:sz="0" w:space="0" w:color="auto"/>
      </w:divBdr>
    </w:div>
    <w:div w:id="206525474">
      <w:bodyDiv w:val="1"/>
      <w:marLeft w:val="0"/>
      <w:marRight w:val="0"/>
      <w:marTop w:val="0"/>
      <w:marBottom w:val="0"/>
      <w:divBdr>
        <w:top w:val="none" w:sz="0" w:space="0" w:color="auto"/>
        <w:left w:val="none" w:sz="0" w:space="0" w:color="auto"/>
        <w:bottom w:val="none" w:sz="0" w:space="0" w:color="auto"/>
        <w:right w:val="none" w:sz="0" w:space="0" w:color="auto"/>
      </w:divBdr>
    </w:div>
    <w:div w:id="645546789">
      <w:bodyDiv w:val="1"/>
      <w:marLeft w:val="0"/>
      <w:marRight w:val="0"/>
      <w:marTop w:val="0"/>
      <w:marBottom w:val="0"/>
      <w:divBdr>
        <w:top w:val="none" w:sz="0" w:space="0" w:color="auto"/>
        <w:left w:val="none" w:sz="0" w:space="0" w:color="auto"/>
        <w:bottom w:val="none" w:sz="0" w:space="0" w:color="auto"/>
        <w:right w:val="none" w:sz="0" w:space="0" w:color="auto"/>
      </w:divBdr>
    </w:div>
    <w:div w:id="660426565">
      <w:bodyDiv w:val="1"/>
      <w:marLeft w:val="0"/>
      <w:marRight w:val="0"/>
      <w:marTop w:val="0"/>
      <w:marBottom w:val="0"/>
      <w:divBdr>
        <w:top w:val="none" w:sz="0" w:space="0" w:color="auto"/>
        <w:left w:val="none" w:sz="0" w:space="0" w:color="auto"/>
        <w:bottom w:val="none" w:sz="0" w:space="0" w:color="auto"/>
        <w:right w:val="none" w:sz="0" w:space="0" w:color="auto"/>
      </w:divBdr>
    </w:div>
    <w:div w:id="766586114">
      <w:bodyDiv w:val="1"/>
      <w:marLeft w:val="0"/>
      <w:marRight w:val="0"/>
      <w:marTop w:val="0"/>
      <w:marBottom w:val="0"/>
      <w:divBdr>
        <w:top w:val="none" w:sz="0" w:space="0" w:color="auto"/>
        <w:left w:val="none" w:sz="0" w:space="0" w:color="auto"/>
        <w:bottom w:val="none" w:sz="0" w:space="0" w:color="auto"/>
        <w:right w:val="none" w:sz="0" w:space="0" w:color="auto"/>
      </w:divBdr>
    </w:div>
    <w:div w:id="1157959476">
      <w:bodyDiv w:val="1"/>
      <w:marLeft w:val="0"/>
      <w:marRight w:val="0"/>
      <w:marTop w:val="0"/>
      <w:marBottom w:val="0"/>
      <w:divBdr>
        <w:top w:val="none" w:sz="0" w:space="0" w:color="auto"/>
        <w:left w:val="none" w:sz="0" w:space="0" w:color="auto"/>
        <w:bottom w:val="none" w:sz="0" w:space="0" w:color="auto"/>
        <w:right w:val="none" w:sz="0" w:space="0" w:color="auto"/>
      </w:divBdr>
    </w:div>
    <w:div w:id="1475871736">
      <w:bodyDiv w:val="1"/>
      <w:marLeft w:val="0"/>
      <w:marRight w:val="0"/>
      <w:marTop w:val="0"/>
      <w:marBottom w:val="0"/>
      <w:divBdr>
        <w:top w:val="none" w:sz="0" w:space="0" w:color="auto"/>
        <w:left w:val="none" w:sz="0" w:space="0" w:color="auto"/>
        <w:bottom w:val="none" w:sz="0" w:space="0" w:color="auto"/>
        <w:right w:val="none" w:sz="0" w:space="0" w:color="auto"/>
      </w:divBdr>
      <w:divsChild>
        <w:div w:id="1141654939">
          <w:marLeft w:val="547"/>
          <w:marRight w:val="0"/>
          <w:marTop w:val="0"/>
          <w:marBottom w:val="0"/>
          <w:divBdr>
            <w:top w:val="none" w:sz="0" w:space="0" w:color="auto"/>
            <w:left w:val="none" w:sz="0" w:space="0" w:color="auto"/>
            <w:bottom w:val="none" w:sz="0" w:space="0" w:color="auto"/>
            <w:right w:val="none" w:sz="0" w:space="0" w:color="auto"/>
          </w:divBdr>
        </w:div>
      </w:divsChild>
    </w:div>
    <w:div w:id="16038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file:///C:\Users\eogle\AppData\Local\Microsoft\Windows\INetCache\Content.Outlook\IA8OBI97\www.stats.indiana.edu"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67BE23-2074-411E-8A06-6A3503C63A37}"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E7817398-6E4B-4188-AE9A-FAB75DEBA9A4}">
      <dgm:prSet phldrT="[Text]"/>
      <dgm:spPr/>
      <dgm:t>
        <a:bodyPr/>
        <a:lstStyle/>
        <a:p>
          <a:r>
            <a:rPr lang="en-US" dirty="0"/>
            <a:t>FY 2019</a:t>
          </a:r>
        </a:p>
      </dgm:t>
    </dgm:pt>
    <dgm:pt modelId="{A830C777-FB93-4117-8310-A13675990C68}" type="parTrans" cxnId="{F0FF77A6-CA22-4325-A10D-FEE83255415F}">
      <dgm:prSet/>
      <dgm:spPr/>
      <dgm:t>
        <a:bodyPr/>
        <a:lstStyle/>
        <a:p>
          <a:endParaRPr lang="en-US"/>
        </a:p>
      </dgm:t>
    </dgm:pt>
    <dgm:pt modelId="{B8D4CD58-B3F1-4C8E-AFF4-6A91D2EB6298}" type="sibTrans" cxnId="{F0FF77A6-CA22-4325-A10D-FEE83255415F}">
      <dgm:prSet/>
      <dgm:spPr/>
      <dgm:t>
        <a:bodyPr/>
        <a:lstStyle/>
        <a:p>
          <a:endParaRPr lang="en-US"/>
        </a:p>
      </dgm:t>
    </dgm:pt>
    <dgm:pt modelId="{8111306F-FB9D-4B1D-A339-D6D5F4065CB1}">
      <dgm:prSet phldrT="[Text]"/>
      <dgm:spPr/>
      <dgm:t>
        <a:bodyPr/>
        <a:lstStyle/>
        <a:p>
          <a:r>
            <a:rPr lang="en-US" dirty="0"/>
            <a:t>$4.5 Million for 2018</a:t>
          </a:r>
        </a:p>
      </dgm:t>
    </dgm:pt>
    <dgm:pt modelId="{D76BA833-0D08-4C77-A3D2-29BFA804220C}" type="parTrans" cxnId="{C02002D1-32E4-4E9B-B682-42EA3C988FAC}">
      <dgm:prSet/>
      <dgm:spPr/>
      <dgm:t>
        <a:bodyPr/>
        <a:lstStyle/>
        <a:p>
          <a:endParaRPr lang="en-US"/>
        </a:p>
      </dgm:t>
    </dgm:pt>
    <dgm:pt modelId="{8A22384F-7841-4A12-95B8-16C4DDFA94AD}" type="sibTrans" cxnId="{C02002D1-32E4-4E9B-B682-42EA3C988FAC}">
      <dgm:prSet/>
      <dgm:spPr/>
      <dgm:t>
        <a:bodyPr/>
        <a:lstStyle/>
        <a:p>
          <a:endParaRPr lang="en-US"/>
        </a:p>
      </dgm:t>
    </dgm:pt>
    <dgm:pt modelId="{54F6D8B2-A5B9-464F-9878-9A43BC811DD0}">
      <dgm:prSet phldrT="[Text]"/>
      <dgm:spPr/>
      <dgm:t>
        <a:bodyPr/>
        <a:lstStyle/>
        <a:p>
          <a:r>
            <a:rPr lang="en-US" dirty="0"/>
            <a:t>FY 2020</a:t>
          </a:r>
        </a:p>
      </dgm:t>
    </dgm:pt>
    <dgm:pt modelId="{FE22AE10-FF0E-48BC-84A5-0D2041C07D96}" type="parTrans" cxnId="{D3C594A3-618B-449F-98D6-C84FE256BCBD}">
      <dgm:prSet/>
      <dgm:spPr/>
      <dgm:t>
        <a:bodyPr/>
        <a:lstStyle/>
        <a:p>
          <a:endParaRPr lang="en-US"/>
        </a:p>
      </dgm:t>
    </dgm:pt>
    <dgm:pt modelId="{E1CE552B-1BBC-4010-9F91-BA07651CB688}" type="sibTrans" cxnId="{D3C594A3-618B-449F-98D6-C84FE256BCBD}">
      <dgm:prSet/>
      <dgm:spPr/>
      <dgm:t>
        <a:bodyPr/>
        <a:lstStyle/>
        <a:p>
          <a:endParaRPr lang="en-US"/>
        </a:p>
      </dgm:t>
    </dgm:pt>
    <dgm:pt modelId="{B010EDB2-6245-47DA-984B-ED1055D40AFE}">
      <dgm:prSet phldrT="[Text]"/>
      <dgm:spPr/>
      <dgm:t>
        <a:bodyPr/>
        <a:lstStyle/>
        <a:p>
          <a:r>
            <a:rPr lang="en-US" dirty="0"/>
            <a:t>$4.5 Million for 2018</a:t>
          </a:r>
        </a:p>
      </dgm:t>
    </dgm:pt>
    <dgm:pt modelId="{D491B57A-89E1-4997-84F7-0A85607A3DE7}" type="parTrans" cxnId="{4AD011CA-5242-4BF9-B623-BB8E03BA6D4E}">
      <dgm:prSet/>
      <dgm:spPr/>
      <dgm:t>
        <a:bodyPr/>
        <a:lstStyle/>
        <a:p>
          <a:endParaRPr lang="en-US"/>
        </a:p>
      </dgm:t>
    </dgm:pt>
    <dgm:pt modelId="{6245AACE-DADA-4840-8A87-457C31706B6E}" type="sibTrans" cxnId="{4AD011CA-5242-4BF9-B623-BB8E03BA6D4E}">
      <dgm:prSet/>
      <dgm:spPr/>
      <dgm:t>
        <a:bodyPr/>
        <a:lstStyle/>
        <a:p>
          <a:endParaRPr lang="en-US"/>
        </a:p>
      </dgm:t>
    </dgm:pt>
    <dgm:pt modelId="{F16FD21C-BB25-476F-90FE-FE6AEB811C90}">
      <dgm:prSet phldrT="[Text]"/>
      <dgm:spPr/>
      <dgm:t>
        <a:bodyPr/>
        <a:lstStyle/>
        <a:p>
          <a:r>
            <a:rPr lang="en-US" dirty="0"/>
            <a:t>$3.5 Million for 2019 Designee</a:t>
          </a:r>
        </a:p>
      </dgm:t>
    </dgm:pt>
    <dgm:pt modelId="{4321C5B4-3ABE-49B9-AFAC-DD8CB35B6F1C}" type="parTrans" cxnId="{2624CB1D-BF19-4103-A473-D1C069B9F72D}">
      <dgm:prSet/>
      <dgm:spPr/>
      <dgm:t>
        <a:bodyPr/>
        <a:lstStyle/>
        <a:p>
          <a:endParaRPr lang="en-US"/>
        </a:p>
      </dgm:t>
    </dgm:pt>
    <dgm:pt modelId="{59109C0A-EDE5-4029-9040-D8CEEC76EA85}" type="sibTrans" cxnId="{2624CB1D-BF19-4103-A473-D1C069B9F72D}">
      <dgm:prSet/>
      <dgm:spPr/>
      <dgm:t>
        <a:bodyPr/>
        <a:lstStyle/>
        <a:p>
          <a:endParaRPr lang="en-US"/>
        </a:p>
      </dgm:t>
    </dgm:pt>
    <dgm:pt modelId="{CD41733C-A3DF-4252-8314-3E678DDEED48}">
      <dgm:prSet phldrT="[Text]"/>
      <dgm:spPr/>
      <dgm:t>
        <a:bodyPr/>
        <a:lstStyle/>
        <a:p>
          <a:r>
            <a:rPr lang="en-US" dirty="0"/>
            <a:t>FY 2021</a:t>
          </a:r>
        </a:p>
      </dgm:t>
    </dgm:pt>
    <dgm:pt modelId="{BF42E94D-EF63-402E-ADE9-98D02ACB947F}" type="parTrans" cxnId="{159BCADD-E665-466F-BEEF-1EB1963FDC43}">
      <dgm:prSet/>
      <dgm:spPr/>
      <dgm:t>
        <a:bodyPr/>
        <a:lstStyle/>
        <a:p>
          <a:endParaRPr lang="en-US"/>
        </a:p>
      </dgm:t>
    </dgm:pt>
    <dgm:pt modelId="{A482F1B8-80B8-4F52-B2B9-FC543ED3FB28}" type="sibTrans" cxnId="{159BCADD-E665-466F-BEEF-1EB1963FDC43}">
      <dgm:prSet/>
      <dgm:spPr/>
      <dgm:t>
        <a:bodyPr/>
        <a:lstStyle/>
        <a:p>
          <a:endParaRPr lang="en-US"/>
        </a:p>
      </dgm:t>
    </dgm:pt>
    <dgm:pt modelId="{BBDCB449-08C8-4CCC-BA90-EA6E2FB3DE5D}">
      <dgm:prSet phldrT="[Text]"/>
      <dgm:spPr/>
      <dgm:t>
        <a:bodyPr/>
        <a:lstStyle/>
        <a:p>
          <a:r>
            <a:rPr lang="en-US" dirty="0"/>
            <a:t>$4.5 Million for 2019</a:t>
          </a:r>
        </a:p>
      </dgm:t>
    </dgm:pt>
    <dgm:pt modelId="{753768AA-5637-4699-B2F2-46B352F112C1}" type="parTrans" cxnId="{7C7A5D9E-2B75-453A-AEDF-8246998EFEAE}">
      <dgm:prSet/>
      <dgm:spPr/>
      <dgm:t>
        <a:bodyPr/>
        <a:lstStyle/>
        <a:p>
          <a:endParaRPr lang="en-US"/>
        </a:p>
      </dgm:t>
    </dgm:pt>
    <dgm:pt modelId="{4FAD44DD-E99F-40B1-BEF2-02B31CCD17EC}" type="sibTrans" cxnId="{7C7A5D9E-2B75-453A-AEDF-8246998EFEAE}">
      <dgm:prSet/>
      <dgm:spPr/>
      <dgm:t>
        <a:bodyPr/>
        <a:lstStyle/>
        <a:p>
          <a:endParaRPr lang="en-US"/>
        </a:p>
      </dgm:t>
    </dgm:pt>
    <dgm:pt modelId="{0CD4ADAB-9319-4663-A844-047C104BD0A6}">
      <dgm:prSet phldrT="[Text]"/>
      <dgm:spPr/>
      <dgm:t>
        <a:bodyPr/>
        <a:lstStyle/>
        <a:p>
          <a:r>
            <a:rPr lang="en-US" dirty="0"/>
            <a:t>$3.5 Million for 2020 Designee</a:t>
          </a:r>
        </a:p>
      </dgm:t>
    </dgm:pt>
    <dgm:pt modelId="{42205F55-0F7B-40FD-815B-20A0A64E1785}" type="parTrans" cxnId="{1230F5E5-A858-4155-AFE4-ABFF0B2C3CF0}">
      <dgm:prSet/>
      <dgm:spPr/>
      <dgm:t>
        <a:bodyPr/>
        <a:lstStyle/>
        <a:p>
          <a:endParaRPr lang="en-US"/>
        </a:p>
      </dgm:t>
    </dgm:pt>
    <dgm:pt modelId="{D3DB460F-C02B-4C58-8CC5-D3B38D39E892}" type="sibTrans" cxnId="{1230F5E5-A858-4155-AFE4-ABFF0B2C3CF0}">
      <dgm:prSet/>
      <dgm:spPr/>
      <dgm:t>
        <a:bodyPr/>
        <a:lstStyle/>
        <a:p>
          <a:endParaRPr lang="en-US"/>
        </a:p>
      </dgm:t>
    </dgm:pt>
    <dgm:pt modelId="{1E30BD38-8C5F-426E-89C2-105CC1F47CB9}">
      <dgm:prSet phldrT="[Text]"/>
      <dgm:spPr/>
      <dgm:t>
        <a:bodyPr/>
        <a:lstStyle/>
        <a:p>
          <a:r>
            <a:rPr lang="en-US" dirty="0"/>
            <a:t>$1 Million for 2019 Finalist</a:t>
          </a:r>
        </a:p>
      </dgm:t>
    </dgm:pt>
    <dgm:pt modelId="{0EE5DD97-D44E-4D44-8A8B-03E9B5A84D98}" type="parTrans" cxnId="{E38BF24B-0DA9-4459-9A8D-66116F3ADED2}">
      <dgm:prSet/>
      <dgm:spPr/>
      <dgm:t>
        <a:bodyPr/>
        <a:lstStyle/>
        <a:p>
          <a:endParaRPr lang="en-US"/>
        </a:p>
      </dgm:t>
    </dgm:pt>
    <dgm:pt modelId="{3E1B3E11-DC79-40A7-BF2D-EECBE0781E1D}" type="sibTrans" cxnId="{E38BF24B-0DA9-4459-9A8D-66116F3ADED2}">
      <dgm:prSet/>
      <dgm:spPr/>
      <dgm:t>
        <a:bodyPr/>
        <a:lstStyle/>
        <a:p>
          <a:endParaRPr lang="en-US"/>
        </a:p>
      </dgm:t>
    </dgm:pt>
    <dgm:pt modelId="{725A5351-9218-4FC9-A67D-2E9656EA2846}">
      <dgm:prSet phldrT="[Text]"/>
      <dgm:spPr/>
      <dgm:t>
        <a:bodyPr/>
        <a:lstStyle/>
        <a:p>
          <a:r>
            <a:rPr lang="en-US" dirty="0"/>
            <a:t>$1 Million for 2020 Finalist</a:t>
          </a:r>
        </a:p>
      </dgm:t>
    </dgm:pt>
    <dgm:pt modelId="{A04197D1-BB53-4DBE-9A9D-BEC807C8B933}" type="parTrans" cxnId="{21FC777F-4706-4229-BFB6-02B2EDFE1E01}">
      <dgm:prSet/>
      <dgm:spPr/>
      <dgm:t>
        <a:bodyPr/>
        <a:lstStyle/>
        <a:p>
          <a:endParaRPr lang="en-US"/>
        </a:p>
      </dgm:t>
    </dgm:pt>
    <dgm:pt modelId="{FB3A3A8B-8BEE-4DF3-963A-EB0D5A671433}" type="sibTrans" cxnId="{21FC777F-4706-4229-BFB6-02B2EDFE1E01}">
      <dgm:prSet/>
      <dgm:spPr/>
      <dgm:t>
        <a:bodyPr/>
        <a:lstStyle/>
        <a:p>
          <a:endParaRPr lang="en-US"/>
        </a:p>
      </dgm:t>
    </dgm:pt>
    <dgm:pt modelId="{508A3FEE-D42A-44E0-99C2-BA6E28D6FE9F}" type="pres">
      <dgm:prSet presAssocID="{4267BE23-2074-411E-8A06-6A3503C63A37}" presName="theList" presStyleCnt="0">
        <dgm:presLayoutVars>
          <dgm:dir/>
          <dgm:animLvl val="lvl"/>
          <dgm:resizeHandles val="exact"/>
        </dgm:presLayoutVars>
      </dgm:prSet>
      <dgm:spPr/>
      <dgm:t>
        <a:bodyPr/>
        <a:lstStyle/>
        <a:p>
          <a:endParaRPr lang="en-US"/>
        </a:p>
      </dgm:t>
    </dgm:pt>
    <dgm:pt modelId="{BDDE4492-46D0-4B34-8CE0-45B27734E1AA}" type="pres">
      <dgm:prSet presAssocID="{E7817398-6E4B-4188-AE9A-FAB75DEBA9A4}" presName="compNode" presStyleCnt="0"/>
      <dgm:spPr/>
    </dgm:pt>
    <dgm:pt modelId="{C90185AC-A292-4E37-BBE0-C1143571B193}" type="pres">
      <dgm:prSet presAssocID="{E7817398-6E4B-4188-AE9A-FAB75DEBA9A4}" presName="aNode" presStyleLbl="bgShp" presStyleIdx="0" presStyleCnt="3"/>
      <dgm:spPr/>
      <dgm:t>
        <a:bodyPr/>
        <a:lstStyle/>
        <a:p>
          <a:endParaRPr lang="en-US"/>
        </a:p>
      </dgm:t>
    </dgm:pt>
    <dgm:pt modelId="{5CE57A84-0BC9-4B33-BCE7-A76E392D4BEF}" type="pres">
      <dgm:prSet presAssocID="{E7817398-6E4B-4188-AE9A-FAB75DEBA9A4}" presName="textNode" presStyleLbl="bgShp" presStyleIdx="0" presStyleCnt="3"/>
      <dgm:spPr/>
      <dgm:t>
        <a:bodyPr/>
        <a:lstStyle/>
        <a:p>
          <a:endParaRPr lang="en-US"/>
        </a:p>
      </dgm:t>
    </dgm:pt>
    <dgm:pt modelId="{E2CAAAD8-358B-4AB9-9922-E7BBEA38258D}" type="pres">
      <dgm:prSet presAssocID="{E7817398-6E4B-4188-AE9A-FAB75DEBA9A4}" presName="compChildNode" presStyleCnt="0"/>
      <dgm:spPr/>
    </dgm:pt>
    <dgm:pt modelId="{CAB5EE5E-9C3E-4AC4-8106-E87300EE74CD}" type="pres">
      <dgm:prSet presAssocID="{E7817398-6E4B-4188-AE9A-FAB75DEBA9A4}" presName="theInnerList" presStyleCnt="0"/>
      <dgm:spPr/>
    </dgm:pt>
    <dgm:pt modelId="{BAFC04C8-1F8F-4479-8C88-32DCA37EE67C}" type="pres">
      <dgm:prSet presAssocID="{8111306F-FB9D-4B1D-A339-D6D5F4065CB1}" presName="childNode" presStyleLbl="node1" presStyleIdx="0" presStyleCnt="7">
        <dgm:presLayoutVars>
          <dgm:bulletEnabled val="1"/>
        </dgm:presLayoutVars>
      </dgm:prSet>
      <dgm:spPr/>
      <dgm:t>
        <a:bodyPr/>
        <a:lstStyle/>
        <a:p>
          <a:endParaRPr lang="en-US"/>
        </a:p>
      </dgm:t>
    </dgm:pt>
    <dgm:pt modelId="{3F159ADF-DAD9-4835-9AC5-057BBB1602E8}" type="pres">
      <dgm:prSet presAssocID="{E7817398-6E4B-4188-AE9A-FAB75DEBA9A4}" presName="aSpace" presStyleCnt="0"/>
      <dgm:spPr/>
    </dgm:pt>
    <dgm:pt modelId="{2DB91A90-EF47-4D7F-ACBF-0F45D4A43B8F}" type="pres">
      <dgm:prSet presAssocID="{54F6D8B2-A5B9-464F-9878-9A43BC811DD0}" presName="compNode" presStyleCnt="0"/>
      <dgm:spPr/>
    </dgm:pt>
    <dgm:pt modelId="{AD3D4360-31EA-4EA3-9D10-717FD625861C}" type="pres">
      <dgm:prSet presAssocID="{54F6D8B2-A5B9-464F-9878-9A43BC811DD0}" presName="aNode" presStyleLbl="bgShp" presStyleIdx="1" presStyleCnt="3"/>
      <dgm:spPr/>
      <dgm:t>
        <a:bodyPr/>
        <a:lstStyle/>
        <a:p>
          <a:endParaRPr lang="en-US"/>
        </a:p>
      </dgm:t>
    </dgm:pt>
    <dgm:pt modelId="{E677C584-9C91-4711-98DD-942090DEA67B}" type="pres">
      <dgm:prSet presAssocID="{54F6D8B2-A5B9-464F-9878-9A43BC811DD0}" presName="textNode" presStyleLbl="bgShp" presStyleIdx="1" presStyleCnt="3"/>
      <dgm:spPr/>
      <dgm:t>
        <a:bodyPr/>
        <a:lstStyle/>
        <a:p>
          <a:endParaRPr lang="en-US"/>
        </a:p>
      </dgm:t>
    </dgm:pt>
    <dgm:pt modelId="{ABC83E41-7A25-4EDD-B57A-8BB02E587C57}" type="pres">
      <dgm:prSet presAssocID="{54F6D8B2-A5B9-464F-9878-9A43BC811DD0}" presName="compChildNode" presStyleCnt="0"/>
      <dgm:spPr/>
    </dgm:pt>
    <dgm:pt modelId="{E6FDD1E6-8FEF-4498-8224-D533A82711E3}" type="pres">
      <dgm:prSet presAssocID="{54F6D8B2-A5B9-464F-9878-9A43BC811DD0}" presName="theInnerList" presStyleCnt="0"/>
      <dgm:spPr/>
    </dgm:pt>
    <dgm:pt modelId="{C7B246B1-393B-4B20-91AC-79F2B0C27DAA}" type="pres">
      <dgm:prSet presAssocID="{B010EDB2-6245-47DA-984B-ED1055D40AFE}" presName="childNode" presStyleLbl="node1" presStyleIdx="1" presStyleCnt="7">
        <dgm:presLayoutVars>
          <dgm:bulletEnabled val="1"/>
        </dgm:presLayoutVars>
      </dgm:prSet>
      <dgm:spPr/>
      <dgm:t>
        <a:bodyPr/>
        <a:lstStyle/>
        <a:p>
          <a:endParaRPr lang="en-US"/>
        </a:p>
      </dgm:t>
    </dgm:pt>
    <dgm:pt modelId="{81F83E4B-9B8F-4E72-851B-C6C27FA9DBA6}" type="pres">
      <dgm:prSet presAssocID="{B010EDB2-6245-47DA-984B-ED1055D40AFE}" presName="aSpace2" presStyleCnt="0"/>
      <dgm:spPr/>
    </dgm:pt>
    <dgm:pt modelId="{10ED7E27-0B91-4846-AFA5-F1FB4BFE5303}" type="pres">
      <dgm:prSet presAssocID="{F16FD21C-BB25-476F-90FE-FE6AEB811C90}" presName="childNode" presStyleLbl="node1" presStyleIdx="2" presStyleCnt="7">
        <dgm:presLayoutVars>
          <dgm:bulletEnabled val="1"/>
        </dgm:presLayoutVars>
      </dgm:prSet>
      <dgm:spPr/>
      <dgm:t>
        <a:bodyPr/>
        <a:lstStyle/>
        <a:p>
          <a:endParaRPr lang="en-US"/>
        </a:p>
      </dgm:t>
    </dgm:pt>
    <dgm:pt modelId="{87F3D502-7719-46C3-8126-9294FE657742}" type="pres">
      <dgm:prSet presAssocID="{F16FD21C-BB25-476F-90FE-FE6AEB811C90}" presName="aSpace2" presStyleCnt="0"/>
      <dgm:spPr/>
    </dgm:pt>
    <dgm:pt modelId="{E7204D01-3065-40BC-A2E8-036A47A72774}" type="pres">
      <dgm:prSet presAssocID="{1E30BD38-8C5F-426E-89C2-105CC1F47CB9}" presName="childNode" presStyleLbl="node1" presStyleIdx="3" presStyleCnt="7">
        <dgm:presLayoutVars>
          <dgm:bulletEnabled val="1"/>
        </dgm:presLayoutVars>
      </dgm:prSet>
      <dgm:spPr/>
      <dgm:t>
        <a:bodyPr/>
        <a:lstStyle/>
        <a:p>
          <a:endParaRPr lang="en-US"/>
        </a:p>
      </dgm:t>
    </dgm:pt>
    <dgm:pt modelId="{78AA5E56-37D2-4B88-9081-BCD493CA0F2D}" type="pres">
      <dgm:prSet presAssocID="{54F6D8B2-A5B9-464F-9878-9A43BC811DD0}" presName="aSpace" presStyleCnt="0"/>
      <dgm:spPr/>
    </dgm:pt>
    <dgm:pt modelId="{8DF4D2A4-BA9A-408E-AAA7-F5786AFBF42A}" type="pres">
      <dgm:prSet presAssocID="{CD41733C-A3DF-4252-8314-3E678DDEED48}" presName="compNode" presStyleCnt="0"/>
      <dgm:spPr/>
    </dgm:pt>
    <dgm:pt modelId="{BD5A8E06-C9FF-4070-AF30-89E37314EA14}" type="pres">
      <dgm:prSet presAssocID="{CD41733C-A3DF-4252-8314-3E678DDEED48}" presName="aNode" presStyleLbl="bgShp" presStyleIdx="2" presStyleCnt="3"/>
      <dgm:spPr/>
      <dgm:t>
        <a:bodyPr/>
        <a:lstStyle/>
        <a:p>
          <a:endParaRPr lang="en-US"/>
        </a:p>
      </dgm:t>
    </dgm:pt>
    <dgm:pt modelId="{D46C7D76-26D6-4DC7-AC3A-787A888178B7}" type="pres">
      <dgm:prSet presAssocID="{CD41733C-A3DF-4252-8314-3E678DDEED48}" presName="textNode" presStyleLbl="bgShp" presStyleIdx="2" presStyleCnt="3"/>
      <dgm:spPr/>
      <dgm:t>
        <a:bodyPr/>
        <a:lstStyle/>
        <a:p>
          <a:endParaRPr lang="en-US"/>
        </a:p>
      </dgm:t>
    </dgm:pt>
    <dgm:pt modelId="{26F56E3F-1CD3-4733-9247-F31855A59890}" type="pres">
      <dgm:prSet presAssocID="{CD41733C-A3DF-4252-8314-3E678DDEED48}" presName="compChildNode" presStyleCnt="0"/>
      <dgm:spPr/>
    </dgm:pt>
    <dgm:pt modelId="{52608C3E-5204-417A-A3A7-23FFDB974EF2}" type="pres">
      <dgm:prSet presAssocID="{CD41733C-A3DF-4252-8314-3E678DDEED48}" presName="theInnerList" presStyleCnt="0"/>
      <dgm:spPr/>
    </dgm:pt>
    <dgm:pt modelId="{6BD2194D-AB80-4C69-93AB-4383E5638B3A}" type="pres">
      <dgm:prSet presAssocID="{BBDCB449-08C8-4CCC-BA90-EA6E2FB3DE5D}" presName="childNode" presStyleLbl="node1" presStyleIdx="4" presStyleCnt="7">
        <dgm:presLayoutVars>
          <dgm:bulletEnabled val="1"/>
        </dgm:presLayoutVars>
      </dgm:prSet>
      <dgm:spPr/>
      <dgm:t>
        <a:bodyPr/>
        <a:lstStyle/>
        <a:p>
          <a:endParaRPr lang="en-US"/>
        </a:p>
      </dgm:t>
    </dgm:pt>
    <dgm:pt modelId="{BDC6C580-6447-45BA-AE82-BFE104498BD3}" type="pres">
      <dgm:prSet presAssocID="{BBDCB449-08C8-4CCC-BA90-EA6E2FB3DE5D}" presName="aSpace2" presStyleCnt="0"/>
      <dgm:spPr/>
    </dgm:pt>
    <dgm:pt modelId="{64388A94-8300-44EE-9D47-D8C8685F8ED7}" type="pres">
      <dgm:prSet presAssocID="{0CD4ADAB-9319-4663-A844-047C104BD0A6}" presName="childNode" presStyleLbl="node1" presStyleIdx="5" presStyleCnt="7">
        <dgm:presLayoutVars>
          <dgm:bulletEnabled val="1"/>
        </dgm:presLayoutVars>
      </dgm:prSet>
      <dgm:spPr/>
      <dgm:t>
        <a:bodyPr/>
        <a:lstStyle/>
        <a:p>
          <a:endParaRPr lang="en-US"/>
        </a:p>
      </dgm:t>
    </dgm:pt>
    <dgm:pt modelId="{C76A56F3-233B-4A5E-AA15-86BADA505F2C}" type="pres">
      <dgm:prSet presAssocID="{0CD4ADAB-9319-4663-A844-047C104BD0A6}" presName="aSpace2" presStyleCnt="0"/>
      <dgm:spPr/>
    </dgm:pt>
    <dgm:pt modelId="{8E0E03BC-154C-49BB-BFB6-D494F8A6B7B7}" type="pres">
      <dgm:prSet presAssocID="{725A5351-9218-4FC9-A67D-2E9656EA2846}" presName="childNode" presStyleLbl="node1" presStyleIdx="6" presStyleCnt="7">
        <dgm:presLayoutVars>
          <dgm:bulletEnabled val="1"/>
        </dgm:presLayoutVars>
      </dgm:prSet>
      <dgm:spPr/>
      <dgm:t>
        <a:bodyPr/>
        <a:lstStyle/>
        <a:p>
          <a:endParaRPr lang="en-US"/>
        </a:p>
      </dgm:t>
    </dgm:pt>
  </dgm:ptLst>
  <dgm:cxnLst>
    <dgm:cxn modelId="{7C7A5D9E-2B75-453A-AEDF-8246998EFEAE}" srcId="{CD41733C-A3DF-4252-8314-3E678DDEED48}" destId="{BBDCB449-08C8-4CCC-BA90-EA6E2FB3DE5D}" srcOrd="0" destOrd="0" parTransId="{753768AA-5637-4699-B2F2-46B352F112C1}" sibTransId="{4FAD44DD-E99F-40B1-BEF2-02B31CCD17EC}"/>
    <dgm:cxn modelId="{9D69624F-C6F5-4ACF-94AF-D4318FE6358B}" type="presOf" srcId="{0CD4ADAB-9319-4663-A844-047C104BD0A6}" destId="{64388A94-8300-44EE-9D47-D8C8685F8ED7}" srcOrd="0" destOrd="0" presId="urn:microsoft.com/office/officeart/2005/8/layout/lProcess2"/>
    <dgm:cxn modelId="{159BCADD-E665-466F-BEEF-1EB1963FDC43}" srcId="{4267BE23-2074-411E-8A06-6A3503C63A37}" destId="{CD41733C-A3DF-4252-8314-3E678DDEED48}" srcOrd="2" destOrd="0" parTransId="{BF42E94D-EF63-402E-ADE9-98D02ACB947F}" sibTransId="{A482F1B8-80B8-4F52-B2B9-FC543ED3FB28}"/>
    <dgm:cxn modelId="{29E0732B-7707-44C4-BAF0-86076866E634}" type="presOf" srcId="{8111306F-FB9D-4B1D-A339-D6D5F4065CB1}" destId="{BAFC04C8-1F8F-4479-8C88-32DCA37EE67C}" srcOrd="0" destOrd="0" presId="urn:microsoft.com/office/officeart/2005/8/layout/lProcess2"/>
    <dgm:cxn modelId="{11F5DFD0-D48D-4734-81F2-6A355480DC0E}" type="presOf" srcId="{CD41733C-A3DF-4252-8314-3E678DDEED48}" destId="{BD5A8E06-C9FF-4070-AF30-89E37314EA14}" srcOrd="0" destOrd="0" presId="urn:microsoft.com/office/officeart/2005/8/layout/lProcess2"/>
    <dgm:cxn modelId="{F0FF77A6-CA22-4325-A10D-FEE83255415F}" srcId="{4267BE23-2074-411E-8A06-6A3503C63A37}" destId="{E7817398-6E4B-4188-AE9A-FAB75DEBA9A4}" srcOrd="0" destOrd="0" parTransId="{A830C777-FB93-4117-8310-A13675990C68}" sibTransId="{B8D4CD58-B3F1-4C8E-AFF4-6A91D2EB6298}"/>
    <dgm:cxn modelId="{34888497-3459-4F40-9BC7-C2E8AAB56CD5}" type="presOf" srcId="{B010EDB2-6245-47DA-984B-ED1055D40AFE}" destId="{C7B246B1-393B-4B20-91AC-79F2B0C27DAA}" srcOrd="0" destOrd="0" presId="urn:microsoft.com/office/officeart/2005/8/layout/lProcess2"/>
    <dgm:cxn modelId="{1230F5E5-A858-4155-AFE4-ABFF0B2C3CF0}" srcId="{CD41733C-A3DF-4252-8314-3E678DDEED48}" destId="{0CD4ADAB-9319-4663-A844-047C104BD0A6}" srcOrd="1" destOrd="0" parTransId="{42205F55-0F7B-40FD-815B-20A0A64E1785}" sibTransId="{D3DB460F-C02B-4C58-8CC5-D3B38D39E892}"/>
    <dgm:cxn modelId="{C02002D1-32E4-4E9B-B682-42EA3C988FAC}" srcId="{E7817398-6E4B-4188-AE9A-FAB75DEBA9A4}" destId="{8111306F-FB9D-4B1D-A339-D6D5F4065CB1}" srcOrd="0" destOrd="0" parTransId="{D76BA833-0D08-4C77-A3D2-29BFA804220C}" sibTransId="{8A22384F-7841-4A12-95B8-16C4DDFA94AD}"/>
    <dgm:cxn modelId="{B514A2B4-A056-41D3-AE31-4F1A7ED6552C}" type="presOf" srcId="{54F6D8B2-A5B9-464F-9878-9A43BC811DD0}" destId="{AD3D4360-31EA-4EA3-9D10-717FD625861C}" srcOrd="0" destOrd="0" presId="urn:microsoft.com/office/officeart/2005/8/layout/lProcess2"/>
    <dgm:cxn modelId="{4DEA1E1C-E4C8-4FEF-BB92-A67084271054}" type="presOf" srcId="{BBDCB449-08C8-4CCC-BA90-EA6E2FB3DE5D}" destId="{6BD2194D-AB80-4C69-93AB-4383E5638B3A}" srcOrd="0" destOrd="0" presId="urn:microsoft.com/office/officeart/2005/8/layout/lProcess2"/>
    <dgm:cxn modelId="{4AD011CA-5242-4BF9-B623-BB8E03BA6D4E}" srcId="{54F6D8B2-A5B9-464F-9878-9A43BC811DD0}" destId="{B010EDB2-6245-47DA-984B-ED1055D40AFE}" srcOrd="0" destOrd="0" parTransId="{D491B57A-89E1-4997-84F7-0A85607A3DE7}" sibTransId="{6245AACE-DADA-4840-8A87-457C31706B6E}"/>
    <dgm:cxn modelId="{A8CDFD14-D0B2-40D8-A7B1-532F2DFB87EE}" type="presOf" srcId="{E7817398-6E4B-4188-AE9A-FAB75DEBA9A4}" destId="{5CE57A84-0BC9-4B33-BCE7-A76E392D4BEF}" srcOrd="1" destOrd="0" presId="urn:microsoft.com/office/officeart/2005/8/layout/lProcess2"/>
    <dgm:cxn modelId="{21FC777F-4706-4229-BFB6-02B2EDFE1E01}" srcId="{CD41733C-A3DF-4252-8314-3E678DDEED48}" destId="{725A5351-9218-4FC9-A67D-2E9656EA2846}" srcOrd="2" destOrd="0" parTransId="{A04197D1-BB53-4DBE-9A9D-BEC807C8B933}" sibTransId="{FB3A3A8B-8BEE-4DF3-963A-EB0D5A671433}"/>
    <dgm:cxn modelId="{62E3F567-2074-47D2-9F17-EDD97DA97C9E}" type="presOf" srcId="{54F6D8B2-A5B9-464F-9878-9A43BC811DD0}" destId="{E677C584-9C91-4711-98DD-942090DEA67B}" srcOrd="1" destOrd="0" presId="urn:microsoft.com/office/officeart/2005/8/layout/lProcess2"/>
    <dgm:cxn modelId="{C55E9DBB-48F7-4550-8C02-DA4F84B44CFF}" type="presOf" srcId="{4267BE23-2074-411E-8A06-6A3503C63A37}" destId="{508A3FEE-D42A-44E0-99C2-BA6E28D6FE9F}" srcOrd="0" destOrd="0" presId="urn:microsoft.com/office/officeart/2005/8/layout/lProcess2"/>
    <dgm:cxn modelId="{D3C594A3-618B-449F-98D6-C84FE256BCBD}" srcId="{4267BE23-2074-411E-8A06-6A3503C63A37}" destId="{54F6D8B2-A5B9-464F-9878-9A43BC811DD0}" srcOrd="1" destOrd="0" parTransId="{FE22AE10-FF0E-48BC-84A5-0D2041C07D96}" sibTransId="{E1CE552B-1BBC-4010-9F91-BA07651CB688}"/>
    <dgm:cxn modelId="{E0D6469C-C694-4F4C-BECE-C8CB83E018B2}" type="presOf" srcId="{725A5351-9218-4FC9-A67D-2E9656EA2846}" destId="{8E0E03BC-154C-49BB-BFB6-D494F8A6B7B7}" srcOrd="0" destOrd="0" presId="urn:microsoft.com/office/officeart/2005/8/layout/lProcess2"/>
    <dgm:cxn modelId="{1F18C2C8-B41A-41F7-85FD-61C198C87F1D}" type="presOf" srcId="{CD41733C-A3DF-4252-8314-3E678DDEED48}" destId="{D46C7D76-26D6-4DC7-AC3A-787A888178B7}" srcOrd="1" destOrd="0" presId="urn:microsoft.com/office/officeart/2005/8/layout/lProcess2"/>
    <dgm:cxn modelId="{D8F2CF34-1EC6-4237-9D01-DB8F3E6C460D}" type="presOf" srcId="{1E30BD38-8C5F-426E-89C2-105CC1F47CB9}" destId="{E7204D01-3065-40BC-A2E8-036A47A72774}" srcOrd="0" destOrd="0" presId="urn:microsoft.com/office/officeart/2005/8/layout/lProcess2"/>
    <dgm:cxn modelId="{D0C0E7CF-1AAF-44F7-A3BB-F5C37CFD47D6}" type="presOf" srcId="{F16FD21C-BB25-476F-90FE-FE6AEB811C90}" destId="{10ED7E27-0B91-4846-AFA5-F1FB4BFE5303}" srcOrd="0" destOrd="0" presId="urn:microsoft.com/office/officeart/2005/8/layout/lProcess2"/>
    <dgm:cxn modelId="{9FF10FC3-355C-4ADB-9907-C9FF1B9D3E63}" type="presOf" srcId="{E7817398-6E4B-4188-AE9A-FAB75DEBA9A4}" destId="{C90185AC-A292-4E37-BBE0-C1143571B193}" srcOrd="0" destOrd="0" presId="urn:microsoft.com/office/officeart/2005/8/layout/lProcess2"/>
    <dgm:cxn modelId="{2624CB1D-BF19-4103-A473-D1C069B9F72D}" srcId="{54F6D8B2-A5B9-464F-9878-9A43BC811DD0}" destId="{F16FD21C-BB25-476F-90FE-FE6AEB811C90}" srcOrd="1" destOrd="0" parTransId="{4321C5B4-3ABE-49B9-AFAC-DD8CB35B6F1C}" sibTransId="{59109C0A-EDE5-4029-9040-D8CEEC76EA85}"/>
    <dgm:cxn modelId="{E38BF24B-0DA9-4459-9A8D-66116F3ADED2}" srcId="{54F6D8B2-A5B9-464F-9878-9A43BC811DD0}" destId="{1E30BD38-8C5F-426E-89C2-105CC1F47CB9}" srcOrd="2" destOrd="0" parTransId="{0EE5DD97-D44E-4D44-8A8B-03E9B5A84D98}" sibTransId="{3E1B3E11-DC79-40A7-BF2D-EECBE0781E1D}"/>
    <dgm:cxn modelId="{9035C354-2D81-4D0C-A2CC-A47F5DFD0CC9}" type="presParOf" srcId="{508A3FEE-D42A-44E0-99C2-BA6E28D6FE9F}" destId="{BDDE4492-46D0-4B34-8CE0-45B27734E1AA}" srcOrd="0" destOrd="0" presId="urn:microsoft.com/office/officeart/2005/8/layout/lProcess2"/>
    <dgm:cxn modelId="{0520802F-036A-454C-A8E8-CAFEC5C16E9C}" type="presParOf" srcId="{BDDE4492-46D0-4B34-8CE0-45B27734E1AA}" destId="{C90185AC-A292-4E37-BBE0-C1143571B193}" srcOrd="0" destOrd="0" presId="urn:microsoft.com/office/officeart/2005/8/layout/lProcess2"/>
    <dgm:cxn modelId="{2DE9FC76-4323-477E-84FE-15E8015236E2}" type="presParOf" srcId="{BDDE4492-46D0-4B34-8CE0-45B27734E1AA}" destId="{5CE57A84-0BC9-4B33-BCE7-A76E392D4BEF}" srcOrd="1" destOrd="0" presId="urn:microsoft.com/office/officeart/2005/8/layout/lProcess2"/>
    <dgm:cxn modelId="{2AB2188B-73A6-49D6-BC8F-7F37452C8649}" type="presParOf" srcId="{BDDE4492-46D0-4B34-8CE0-45B27734E1AA}" destId="{E2CAAAD8-358B-4AB9-9922-E7BBEA38258D}" srcOrd="2" destOrd="0" presId="urn:microsoft.com/office/officeart/2005/8/layout/lProcess2"/>
    <dgm:cxn modelId="{FAC49B09-D60F-4034-B164-EA430C38D41D}" type="presParOf" srcId="{E2CAAAD8-358B-4AB9-9922-E7BBEA38258D}" destId="{CAB5EE5E-9C3E-4AC4-8106-E87300EE74CD}" srcOrd="0" destOrd="0" presId="urn:microsoft.com/office/officeart/2005/8/layout/lProcess2"/>
    <dgm:cxn modelId="{8D75C538-C279-47FC-9917-1B077F53EEC6}" type="presParOf" srcId="{CAB5EE5E-9C3E-4AC4-8106-E87300EE74CD}" destId="{BAFC04C8-1F8F-4479-8C88-32DCA37EE67C}" srcOrd="0" destOrd="0" presId="urn:microsoft.com/office/officeart/2005/8/layout/lProcess2"/>
    <dgm:cxn modelId="{EA0BB183-AAFE-40DB-9CDE-7278766A3742}" type="presParOf" srcId="{508A3FEE-D42A-44E0-99C2-BA6E28D6FE9F}" destId="{3F159ADF-DAD9-4835-9AC5-057BBB1602E8}" srcOrd="1" destOrd="0" presId="urn:microsoft.com/office/officeart/2005/8/layout/lProcess2"/>
    <dgm:cxn modelId="{A84B731D-7287-4B01-AFEA-8C3DB82BF4F6}" type="presParOf" srcId="{508A3FEE-D42A-44E0-99C2-BA6E28D6FE9F}" destId="{2DB91A90-EF47-4D7F-ACBF-0F45D4A43B8F}" srcOrd="2" destOrd="0" presId="urn:microsoft.com/office/officeart/2005/8/layout/lProcess2"/>
    <dgm:cxn modelId="{3F2AC668-02B6-45FC-A20C-4A1D15EFD9B5}" type="presParOf" srcId="{2DB91A90-EF47-4D7F-ACBF-0F45D4A43B8F}" destId="{AD3D4360-31EA-4EA3-9D10-717FD625861C}" srcOrd="0" destOrd="0" presId="urn:microsoft.com/office/officeart/2005/8/layout/lProcess2"/>
    <dgm:cxn modelId="{42ECFD15-D607-4E45-90B0-0659E243AE84}" type="presParOf" srcId="{2DB91A90-EF47-4D7F-ACBF-0F45D4A43B8F}" destId="{E677C584-9C91-4711-98DD-942090DEA67B}" srcOrd="1" destOrd="0" presId="urn:microsoft.com/office/officeart/2005/8/layout/lProcess2"/>
    <dgm:cxn modelId="{84D094EA-1027-431D-96FE-C32FA3D6DCC7}" type="presParOf" srcId="{2DB91A90-EF47-4D7F-ACBF-0F45D4A43B8F}" destId="{ABC83E41-7A25-4EDD-B57A-8BB02E587C57}" srcOrd="2" destOrd="0" presId="urn:microsoft.com/office/officeart/2005/8/layout/lProcess2"/>
    <dgm:cxn modelId="{79307787-405F-4F73-8706-B9FF95F84FEB}" type="presParOf" srcId="{ABC83E41-7A25-4EDD-B57A-8BB02E587C57}" destId="{E6FDD1E6-8FEF-4498-8224-D533A82711E3}" srcOrd="0" destOrd="0" presId="urn:microsoft.com/office/officeart/2005/8/layout/lProcess2"/>
    <dgm:cxn modelId="{4AB0CB1E-002D-45E7-8938-CF91A826FC14}" type="presParOf" srcId="{E6FDD1E6-8FEF-4498-8224-D533A82711E3}" destId="{C7B246B1-393B-4B20-91AC-79F2B0C27DAA}" srcOrd="0" destOrd="0" presId="urn:microsoft.com/office/officeart/2005/8/layout/lProcess2"/>
    <dgm:cxn modelId="{7515819D-1CB8-420E-9811-FB01D97ED31D}" type="presParOf" srcId="{E6FDD1E6-8FEF-4498-8224-D533A82711E3}" destId="{81F83E4B-9B8F-4E72-851B-C6C27FA9DBA6}" srcOrd="1" destOrd="0" presId="urn:microsoft.com/office/officeart/2005/8/layout/lProcess2"/>
    <dgm:cxn modelId="{B6F1286F-0B2D-4CE8-9BA9-EBF8527FABCA}" type="presParOf" srcId="{E6FDD1E6-8FEF-4498-8224-D533A82711E3}" destId="{10ED7E27-0B91-4846-AFA5-F1FB4BFE5303}" srcOrd="2" destOrd="0" presId="urn:microsoft.com/office/officeart/2005/8/layout/lProcess2"/>
    <dgm:cxn modelId="{D21E609A-B13D-44D7-A8D7-6567531923F8}" type="presParOf" srcId="{E6FDD1E6-8FEF-4498-8224-D533A82711E3}" destId="{87F3D502-7719-46C3-8126-9294FE657742}" srcOrd="3" destOrd="0" presId="urn:microsoft.com/office/officeart/2005/8/layout/lProcess2"/>
    <dgm:cxn modelId="{96E41DAA-AD31-4480-8372-00649D772BCE}" type="presParOf" srcId="{E6FDD1E6-8FEF-4498-8224-D533A82711E3}" destId="{E7204D01-3065-40BC-A2E8-036A47A72774}" srcOrd="4" destOrd="0" presId="urn:microsoft.com/office/officeart/2005/8/layout/lProcess2"/>
    <dgm:cxn modelId="{9F226FC8-B0D9-4965-B804-71F1708944FC}" type="presParOf" srcId="{508A3FEE-D42A-44E0-99C2-BA6E28D6FE9F}" destId="{78AA5E56-37D2-4B88-9081-BCD493CA0F2D}" srcOrd="3" destOrd="0" presId="urn:microsoft.com/office/officeart/2005/8/layout/lProcess2"/>
    <dgm:cxn modelId="{A2EBA9EE-2572-457C-BDFA-0FCF3D47B04D}" type="presParOf" srcId="{508A3FEE-D42A-44E0-99C2-BA6E28D6FE9F}" destId="{8DF4D2A4-BA9A-408E-AAA7-F5786AFBF42A}" srcOrd="4" destOrd="0" presId="urn:microsoft.com/office/officeart/2005/8/layout/lProcess2"/>
    <dgm:cxn modelId="{28A9C91E-6CA2-4BB5-BB58-2E4C53964DD2}" type="presParOf" srcId="{8DF4D2A4-BA9A-408E-AAA7-F5786AFBF42A}" destId="{BD5A8E06-C9FF-4070-AF30-89E37314EA14}" srcOrd="0" destOrd="0" presId="urn:microsoft.com/office/officeart/2005/8/layout/lProcess2"/>
    <dgm:cxn modelId="{4C132EDD-68E6-4EE4-A64B-2FFC3920DF11}" type="presParOf" srcId="{8DF4D2A4-BA9A-408E-AAA7-F5786AFBF42A}" destId="{D46C7D76-26D6-4DC7-AC3A-787A888178B7}" srcOrd="1" destOrd="0" presId="urn:microsoft.com/office/officeart/2005/8/layout/lProcess2"/>
    <dgm:cxn modelId="{F546ECC2-062E-4F47-8737-A701DA444C44}" type="presParOf" srcId="{8DF4D2A4-BA9A-408E-AAA7-F5786AFBF42A}" destId="{26F56E3F-1CD3-4733-9247-F31855A59890}" srcOrd="2" destOrd="0" presId="urn:microsoft.com/office/officeart/2005/8/layout/lProcess2"/>
    <dgm:cxn modelId="{7978BA60-7D88-4CBC-A3FB-7CC3981D4A7A}" type="presParOf" srcId="{26F56E3F-1CD3-4733-9247-F31855A59890}" destId="{52608C3E-5204-417A-A3A7-23FFDB974EF2}" srcOrd="0" destOrd="0" presId="urn:microsoft.com/office/officeart/2005/8/layout/lProcess2"/>
    <dgm:cxn modelId="{F1671225-F6C3-4A15-8CA0-D71C1DE29CFC}" type="presParOf" srcId="{52608C3E-5204-417A-A3A7-23FFDB974EF2}" destId="{6BD2194D-AB80-4C69-93AB-4383E5638B3A}" srcOrd="0" destOrd="0" presId="urn:microsoft.com/office/officeart/2005/8/layout/lProcess2"/>
    <dgm:cxn modelId="{4CFB5572-F33F-4235-AC8D-D554702EAA95}" type="presParOf" srcId="{52608C3E-5204-417A-A3A7-23FFDB974EF2}" destId="{BDC6C580-6447-45BA-AE82-BFE104498BD3}" srcOrd="1" destOrd="0" presId="urn:microsoft.com/office/officeart/2005/8/layout/lProcess2"/>
    <dgm:cxn modelId="{A15F7A01-5733-493C-B10E-2BD79EFFEB52}" type="presParOf" srcId="{52608C3E-5204-417A-A3A7-23FFDB974EF2}" destId="{64388A94-8300-44EE-9D47-D8C8685F8ED7}" srcOrd="2" destOrd="0" presId="urn:microsoft.com/office/officeart/2005/8/layout/lProcess2"/>
    <dgm:cxn modelId="{C7C61F15-89A0-44D9-AA11-11798C6804B5}" type="presParOf" srcId="{52608C3E-5204-417A-A3A7-23FFDB974EF2}" destId="{C76A56F3-233B-4A5E-AA15-86BADA505F2C}" srcOrd="3" destOrd="0" presId="urn:microsoft.com/office/officeart/2005/8/layout/lProcess2"/>
    <dgm:cxn modelId="{A97073D1-D10D-4CF4-9724-4F4B3903C006}" type="presParOf" srcId="{52608C3E-5204-417A-A3A7-23FFDB974EF2}" destId="{8E0E03BC-154C-49BB-BFB6-D494F8A6B7B7}" srcOrd="4" destOrd="0" presId="urn:microsoft.com/office/officeart/2005/8/layout/l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0185AC-A292-4E37-BBE0-C1143571B193}">
      <dsp:nvSpPr>
        <dsp:cNvPr id="0" name=""/>
        <dsp:cNvSpPr/>
      </dsp:nvSpPr>
      <dsp:spPr>
        <a:xfrm>
          <a:off x="230" y="0"/>
          <a:ext cx="599003" cy="138257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t>FY 2019</a:t>
          </a:r>
        </a:p>
      </dsp:txBody>
      <dsp:txXfrm>
        <a:off x="230" y="0"/>
        <a:ext cx="599003" cy="414771"/>
      </dsp:txXfrm>
    </dsp:sp>
    <dsp:sp modelId="{BAFC04C8-1F8F-4479-8C88-32DCA37EE67C}">
      <dsp:nvSpPr>
        <dsp:cNvPr id="0" name=""/>
        <dsp:cNvSpPr/>
      </dsp:nvSpPr>
      <dsp:spPr>
        <a:xfrm>
          <a:off x="60130" y="414771"/>
          <a:ext cx="479202" cy="8986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9525" rIns="12700" bIns="9525" numCol="1" spcCol="1270" anchor="ctr" anchorCtr="0">
          <a:noAutofit/>
        </a:bodyPr>
        <a:lstStyle/>
        <a:p>
          <a:pPr lvl="0" algn="ctr" defTabSz="222250">
            <a:lnSpc>
              <a:spcPct val="90000"/>
            </a:lnSpc>
            <a:spcBef>
              <a:spcPct val="0"/>
            </a:spcBef>
            <a:spcAft>
              <a:spcPct val="35000"/>
            </a:spcAft>
          </a:pPr>
          <a:r>
            <a:rPr lang="en-US" sz="500" kern="1200" dirty="0"/>
            <a:t>$4.5 Million for 2018</a:t>
          </a:r>
        </a:p>
      </dsp:txBody>
      <dsp:txXfrm>
        <a:off x="74165" y="428806"/>
        <a:ext cx="451132" cy="870602"/>
      </dsp:txXfrm>
    </dsp:sp>
    <dsp:sp modelId="{AD3D4360-31EA-4EA3-9D10-717FD625861C}">
      <dsp:nvSpPr>
        <dsp:cNvPr id="0" name=""/>
        <dsp:cNvSpPr/>
      </dsp:nvSpPr>
      <dsp:spPr>
        <a:xfrm>
          <a:off x="644159" y="0"/>
          <a:ext cx="599003" cy="138257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t>FY 2020</a:t>
          </a:r>
        </a:p>
      </dsp:txBody>
      <dsp:txXfrm>
        <a:off x="644159" y="0"/>
        <a:ext cx="599003" cy="414771"/>
      </dsp:txXfrm>
    </dsp:sp>
    <dsp:sp modelId="{C7B246B1-393B-4B20-91AC-79F2B0C27DAA}">
      <dsp:nvSpPr>
        <dsp:cNvPr id="0" name=""/>
        <dsp:cNvSpPr/>
      </dsp:nvSpPr>
      <dsp:spPr>
        <a:xfrm>
          <a:off x="704059" y="414890"/>
          <a:ext cx="479202" cy="2716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9525" rIns="12700" bIns="9525" numCol="1" spcCol="1270" anchor="ctr" anchorCtr="0">
          <a:noAutofit/>
        </a:bodyPr>
        <a:lstStyle/>
        <a:p>
          <a:pPr lvl="0" algn="ctr" defTabSz="222250">
            <a:lnSpc>
              <a:spcPct val="90000"/>
            </a:lnSpc>
            <a:spcBef>
              <a:spcPct val="0"/>
            </a:spcBef>
            <a:spcAft>
              <a:spcPct val="35000"/>
            </a:spcAft>
          </a:pPr>
          <a:r>
            <a:rPr lang="en-US" sz="500" kern="1200" dirty="0"/>
            <a:t>$4.5 Million for 2018</a:t>
          </a:r>
        </a:p>
      </dsp:txBody>
      <dsp:txXfrm>
        <a:off x="712014" y="422845"/>
        <a:ext cx="463292" cy="255710"/>
      </dsp:txXfrm>
    </dsp:sp>
    <dsp:sp modelId="{10ED7E27-0B91-4846-AFA5-F1FB4BFE5303}">
      <dsp:nvSpPr>
        <dsp:cNvPr id="0" name=""/>
        <dsp:cNvSpPr/>
      </dsp:nvSpPr>
      <dsp:spPr>
        <a:xfrm>
          <a:off x="704059" y="728298"/>
          <a:ext cx="479202" cy="2716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9525" rIns="12700" bIns="9525" numCol="1" spcCol="1270" anchor="ctr" anchorCtr="0">
          <a:noAutofit/>
        </a:bodyPr>
        <a:lstStyle/>
        <a:p>
          <a:pPr lvl="0" algn="ctr" defTabSz="222250">
            <a:lnSpc>
              <a:spcPct val="90000"/>
            </a:lnSpc>
            <a:spcBef>
              <a:spcPct val="0"/>
            </a:spcBef>
            <a:spcAft>
              <a:spcPct val="35000"/>
            </a:spcAft>
          </a:pPr>
          <a:r>
            <a:rPr lang="en-US" sz="500" kern="1200" dirty="0"/>
            <a:t>$3.5 Million for 2019 Designee</a:t>
          </a:r>
        </a:p>
      </dsp:txBody>
      <dsp:txXfrm>
        <a:off x="712014" y="736253"/>
        <a:ext cx="463292" cy="255710"/>
      </dsp:txXfrm>
    </dsp:sp>
    <dsp:sp modelId="{E7204D01-3065-40BC-A2E8-036A47A72774}">
      <dsp:nvSpPr>
        <dsp:cNvPr id="0" name=""/>
        <dsp:cNvSpPr/>
      </dsp:nvSpPr>
      <dsp:spPr>
        <a:xfrm>
          <a:off x="704059" y="1041705"/>
          <a:ext cx="479202" cy="2716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9525" rIns="12700" bIns="9525" numCol="1" spcCol="1270" anchor="ctr" anchorCtr="0">
          <a:noAutofit/>
        </a:bodyPr>
        <a:lstStyle/>
        <a:p>
          <a:pPr lvl="0" algn="ctr" defTabSz="222250">
            <a:lnSpc>
              <a:spcPct val="90000"/>
            </a:lnSpc>
            <a:spcBef>
              <a:spcPct val="0"/>
            </a:spcBef>
            <a:spcAft>
              <a:spcPct val="35000"/>
            </a:spcAft>
          </a:pPr>
          <a:r>
            <a:rPr lang="en-US" sz="500" kern="1200" dirty="0"/>
            <a:t>$1 Million for 2019 Finalist</a:t>
          </a:r>
        </a:p>
      </dsp:txBody>
      <dsp:txXfrm>
        <a:off x="712014" y="1049660"/>
        <a:ext cx="463292" cy="255710"/>
      </dsp:txXfrm>
    </dsp:sp>
    <dsp:sp modelId="{BD5A8E06-C9FF-4070-AF30-89E37314EA14}">
      <dsp:nvSpPr>
        <dsp:cNvPr id="0" name=""/>
        <dsp:cNvSpPr/>
      </dsp:nvSpPr>
      <dsp:spPr>
        <a:xfrm>
          <a:off x="1288088" y="0"/>
          <a:ext cx="599003" cy="138257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t>FY 2021</a:t>
          </a:r>
        </a:p>
      </dsp:txBody>
      <dsp:txXfrm>
        <a:off x="1288088" y="0"/>
        <a:ext cx="599003" cy="414771"/>
      </dsp:txXfrm>
    </dsp:sp>
    <dsp:sp modelId="{6BD2194D-AB80-4C69-93AB-4383E5638B3A}">
      <dsp:nvSpPr>
        <dsp:cNvPr id="0" name=""/>
        <dsp:cNvSpPr/>
      </dsp:nvSpPr>
      <dsp:spPr>
        <a:xfrm>
          <a:off x="1347988" y="414890"/>
          <a:ext cx="479202" cy="2716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9525" rIns="12700" bIns="9525" numCol="1" spcCol="1270" anchor="ctr" anchorCtr="0">
          <a:noAutofit/>
        </a:bodyPr>
        <a:lstStyle/>
        <a:p>
          <a:pPr lvl="0" algn="ctr" defTabSz="222250">
            <a:lnSpc>
              <a:spcPct val="90000"/>
            </a:lnSpc>
            <a:spcBef>
              <a:spcPct val="0"/>
            </a:spcBef>
            <a:spcAft>
              <a:spcPct val="35000"/>
            </a:spcAft>
          </a:pPr>
          <a:r>
            <a:rPr lang="en-US" sz="500" kern="1200" dirty="0"/>
            <a:t>$4.5 Million for 2019</a:t>
          </a:r>
        </a:p>
      </dsp:txBody>
      <dsp:txXfrm>
        <a:off x="1355943" y="422845"/>
        <a:ext cx="463292" cy="255710"/>
      </dsp:txXfrm>
    </dsp:sp>
    <dsp:sp modelId="{64388A94-8300-44EE-9D47-D8C8685F8ED7}">
      <dsp:nvSpPr>
        <dsp:cNvPr id="0" name=""/>
        <dsp:cNvSpPr/>
      </dsp:nvSpPr>
      <dsp:spPr>
        <a:xfrm>
          <a:off x="1347988" y="728298"/>
          <a:ext cx="479202" cy="2716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9525" rIns="12700" bIns="9525" numCol="1" spcCol="1270" anchor="ctr" anchorCtr="0">
          <a:noAutofit/>
        </a:bodyPr>
        <a:lstStyle/>
        <a:p>
          <a:pPr lvl="0" algn="ctr" defTabSz="222250">
            <a:lnSpc>
              <a:spcPct val="90000"/>
            </a:lnSpc>
            <a:spcBef>
              <a:spcPct val="0"/>
            </a:spcBef>
            <a:spcAft>
              <a:spcPct val="35000"/>
            </a:spcAft>
          </a:pPr>
          <a:r>
            <a:rPr lang="en-US" sz="500" kern="1200" dirty="0"/>
            <a:t>$3.5 Million for 2020 Designee</a:t>
          </a:r>
        </a:p>
      </dsp:txBody>
      <dsp:txXfrm>
        <a:off x="1355943" y="736253"/>
        <a:ext cx="463292" cy="255710"/>
      </dsp:txXfrm>
    </dsp:sp>
    <dsp:sp modelId="{8E0E03BC-154C-49BB-BFB6-D494F8A6B7B7}">
      <dsp:nvSpPr>
        <dsp:cNvPr id="0" name=""/>
        <dsp:cNvSpPr/>
      </dsp:nvSpPr>
      <dsp:spPr>
        <a:xfrm>
          <a:off x="1347988" y="1041705"/>
          <a:ext cx="479202" cy="2716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9525" rIns="12700" bIns="9525" numCol="1" spcCol="1270" anchor="ctr" anchorCtr="0">
          <a:noAutofit/>
        </a:bodyPr>
        <a:lstStyle/>
        <a:p>
          <a:pPr lvl="0" algn="ctr" defTabSz="222250">
            <a:lnSpc>
              <a:spcPct val="90000"/>
            </a:lnSpc>
            <a:spcBef>
              <a:spcPct val="0"/>
            </a:spcBef>
            <a:spcAft>
              <a:spcPct val="35000"/>
            </a:spcAft>
          </a:pPr>
          <a:r>
            <a:rPr lang="en-US" sz="500" kern="1200" dirty="0"/>
            <a:t>$1 Million for 2020 Finalist</a:t>
          </a:r>
        </a:p>
      </dsp:txBody>
      <dsp:txXfrm>
        <a:off x="1355943" y="1049660"/>
        <a:ext cx="463292" cy="25571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A1D9-659E-44C3-9B0E-AC36397A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9746</Words>
  <Characters>53667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STATE OF INDIANA</vt:lpstr>
    </vt:vector>
  </TitlesOfParts>
  <Company>IHCDA</Company>
  <LinksUpToDate>false</LinksUpToDate>
  <CharactersWithSpaces>63287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INDIANA</dc:title>
  <dc:creator>Indiana Dept. of Commerce</dc:creator>
  <cp:lastModifiedBy>Ogle, Eric (OCRA)</cp:lastModifiedBy>
  <cp:revision>3</cp:revision>
  <cp:lastPrinted>2013-03-28T15:27:00Z</cp:lastPrinted>
  <dcterms:created xsi:type="dcterms:W3CDTF">2020-07-16T12:34:00Z</dcterms:created>
  <dcterms:modified xsi:type="dcterms:W3CDTF">2020-07-16T12:54:00Z</dcterms:modified>
</cp:coreProperties>
</file>