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E3EA1" w14:textId="77777777" w:rsidR="00350FC6" w:rsidRPr="003060BB" w:rsidRDefault="00350FC6">
      <w:pPr>
        <w:pStyle w:val="Default"/>
        <w:jc w:val="center"/>
        <w:outlineLvl w:val="0"/>
        <w:rPr>
          <w:rFonts w:asciiTheme="minorHAnsi" w:hAnsiTheme="minorHAnsi" w:cstheme="minorHAnsi"/>
          <w:color w:val="auto"/>
          <w:sz w:val="22"/>
          <w:szCs w:val="22"/>
        </w:rPr>
      </w:pPr>
      <w:r w:rsidRPr="003060BB">
        <w:rPr>
          <w:rFonts w:asciiTheme="minorHAnsi" w:hAnsiTheme="minorHAnsi" w:cstheme="minorHAnsi"/>
          <w:b/>
          <w:bCs/>
          <w:color w:val="auto"/>
          <w:sz w:val="22"/>
          <w:szCs w:val="22"/>
        </w:rPr>
        <w:t xml:space="preserve">STATE OF INDIANA </w:t>
      </w:r>
    </w:p>
    <w:p w14:paraId="78A57516" w14:textId="77777777" w:rsidR="00350FC6" w:rsidRPr="003060BB" w:rsidRDefault="00350FC6">
      <w:pPr>
        <w:pStyle w:val="Default"/>
        <w:jc w:val="center"/>
        <w:rPr>
          <w:rFonts w:asciiTheme="minorHAnsi" w:hAnsiTheme="minorHAnsi" w:cstheme="minorHAnsi"/>
          <w:color w:val="auto"/>
          <w:sz w:val="22"/>
          <w:szCs w:val="22"/>
        </w:rPr>
      </w:pPr>
      <w:r w:rsidRPr="003060BB">
        <w:rPr>
          <w:rFonts w:asciiTheme="minorHAnsi" w:hAnsiTheme="minorHAnsi" w:cstheme="minorHAnsi"/>
          <w:b/>
          <w:bCs/>
          <w:color w:val="auto"/>
          <w:sz w:val="22"/>
          <w:szCs w:val="22"/>
        </w:rPr>
        <w:t xml:space="preserve"> </w:t>
      </w:r>
    </w:p>
    <w:p w14:paraId="7E89BB95" w14:textId="77777777" w:rsidR="00350FC6" w:rsidRPr="003060BB" w:rsidRDefault="00350FC6">
      <w:pPr>
        <w:pStyle w:val="Default"/>
        <w:jc w:val="center"/>
        <w:outlineLvl w:val="0"/>
        <w:rPr>
          <w:rFonts w:asciiTheme="minorHAnsi" w:hAnsiTheme="minorHAnsi" w:cstheme="minorHAnsi"/>
          <w:color w:val="auto"/>
          <w:sz w:val="22"/>
          <w:szCs w:val="22"/>
        </w:rPr>
      </w:pPr>
      <w:r w:rsidRPr="003060BB">
        <w:rPr>
          <w:rFonts w:asciiTheme="minorHAnsi" w:hAnsiTheme="minorHAnsi" w:cstheme="minorHAnsi"/>
          <w:b/>
          <w:bCs/>
          <w:color w:val="auto"/>
          <w:sz w:val="22"/>
          <w:szCs w:val="22"/>
        </w:rPr>
        <w:t xml:space="preserve">STATE COMMUNITY DEVELOPMENT BLOCK GRANT  </w:t>
      </w:r>
    </w:p>
    <w:p w14:paraId="04EE473B" w14:textId="77777777" w:rsidR="00350FC6" w:rsidRPr="003060BB" w:rsidRDefault="00350FC6">
      <w:pPr>
        <w:pStyle w:val="Default"/>
        <w:jc w:val="center"/>
        <w:rPr>
          <w:rFonts w:asciiTheme="minorHAnsi" w:hAnsiTheme="minorHAnsi" w:cstheme="minorHAnsi"/>
          <w:color w:val="auto"/>
          <w:sz w:val="22"/>
          <w:szCs w:val="22"/>
        </w:rPr>
      </w:pPr>
      <w:r w:rsidRPr="003060BB">
        <w:rPr>
          <w:rFonts w:asciiTheme="minorHAnsi" w:hAnsiTheme="minorHAnsi" w:cstheme="minorHAnsi"/>
          <w:b/>
          <w:bCs/>
          <w:color w:val="auto"/>
          <w:sz w:val="22"/>
          <w:szCs w:val="22"/>
        </w:rPr>
        <w:t xml:space="preserve">(CDBG) PROGRAM (CFDA: 14-228) </w:t>
      </w:r>
    </w:p>
    <w:p w14:paraId="442F5EE7" w14:textId="77777777"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 </w:t>
      </w:r>
    </w:p>
    <w:p w14:paraId="2844A8B2" w14:textId="614DE9C3" w:rsidR="00350FC6" w:rsidRPr="003060BB" w:rsidRDefault="00350FC6" w:rsidP="00D8428A">
      <w:pPr>
        <w:pStyle w:val="Default"/>
        <w:jc w:val="center"/>
        <w:outlineLvl w:val="0"/>
        <w:rPr>
          <w:rFonts w:asciiTheme="minorHAnsi" w:hAnsiTheme="minorHAnsi" w:cstheme="minorHAnsi"/>
          <w:color w:val="auto"/>
          <w:sz w:val="22"/>
          <w:szCs w:val="22"/>
        </w:rPr>
      </w:pPr>
      <w:r w:rsidRPr="003060BB">
        <w:rPr>
          <w:rFonts w:asciiTheme="minorHAnsi" w:hAnsiTheme="minorHAnsi" w:cstheme="minorHAnsi"/>
          <w:b/>
          <w:bCs/>
          <w:color w:val="auto"/>
          <w:sz w:val="22"/>
          <w:szCs w:val="22"/>
        </w:rPr>
        <w:t xml:space="preserve">INDIANA OFFICE OF COMMUNITY AND RURAL AFFAIRS </w:t>
      </w:r>
    </w:p>
    <w:p w14:paraId="6D08897B" w14:textId="69044AFB" w:rsidR="00350FC6" w:rsidRDefault="00350FC6">
      <w:pPr>
        <w:pStyle w:val="Default"/>
        <w:jc w:val="center"/>
        <w:outlineLvl w:val="0"/>
        <w:rPr>
          <w:rFonts w:asciiTheme="minorHAnsi" w:hAnsiTheme="minorHAnsi" w:cstheme="minorHAnsi"/>
          <w:b/>
          <w:bCs/>
          <w:color w:val="auto"/>
          <w:sz w:val="22"/>
          <w:szCs w:val="22"/>
        </w:rPr>
      </w:pPr>
      <w:r w:rsidRPr="003060BB">
        <w:rPr>
          <w:rFonts w:asciiTheme="minorHAnsi" w:hAnsiTheme="minorHAnsi" w:cstheme="minorHAnsi"/>
          <w:b/>
          <w:bCs/>
          <w:color w:val="auto"/>
          <w:sz w:val="22"/>
          <w:szCs w:val="22"/>
        </w:rPr>
        <w:t xml:space="preserve">FY </w:t>
      </w:r>
      <w:r w:rsidR="001D4CC1">
        <w:rPr>
          <w:rFonts w:asciiTheme="minorHAnsi" w:hAnsiTheme="minorHAnsi" w:cstheme="minorHAnsi"/>
          <w:b/>
          <w:bCs/>
          <w:color w:val="auto"/>
          <w:sz w:val="22"/>
          <w:szCs w:val="22"/>
        </w:rPr>
        <w:t>2019</w:t>
      </w:r>
      <w:r w:rsidR="00417999" w:rsidRPr="003060BB">
        <w:rPr>
          <w:rFonts w:asciiTheme="minorHAnsi" w:hAnsiTheme="minorHAnsi" w:cstheme="minorHAnsi"/>
          <w:b/>
          <w:bCs/>
          <w:color w:val="auto"/>
          <w:sz w:val="22"/>
          <w:szCs w:val="22"/>
        </w:rPr>
        <w:t xml:space="preserve"> </w:t>
      </w:r>
      <w:r w:rsidRPr="003060BB">
        <w:rPr>
          <w:rFonts w:asciiTheme="minorHAnsi" w:hAnsiTheme="minorHAnsi" w:cstheme="minorHAnsi"/>
          <w:b/>
          <w:bCs/>
          <w:color w:val="auto"/>
          <w:sz w:val="22"/>
          <w:szCs w:val="22"/>
        </w:rPr>
        <w:t>PROGRAM DESIGN AND METHOD OF DISTRIBUTION</w:t>
      </w:r>
    </w:p>
    <w:p w14:paraId="64BD744B" w14:textId="259E8BFA" w:rsidR="00624F9C" w:rsidRPr="003060BB" w:rsidRDefault="00046C2B">
      <w:pPr>
        <w:pStyle w:val="Default"/>
        <w:jc w:val="center"/>
        <w:outlineLvl w:val="0"/>
        <w:rPr>
          <w:rFonts w:asciiTheme="minorHAnsi" w:hAnsiTheme="minorHAnsi" w:cstheme="minorHAnsi"/>
          <w:color w:val="auto"/>
          <w:sz w:val="22"/>
          <w:szCs w:val="22"/>
        </w:rPr>
      </w:pPr>
      <w:r>
        <w:rPr>
          <w:rFonts w:asciiTheme="minorHAnsi" w:hAnsiTheme="minorHAnsi" w:cstheme="minorHAnsi"/>
          <w:b/>
          <w:bCs/>
          <w:color w:val="auto"/>
          <w:sz w:val="22"/>
          <w:szCs w:val="22"/>
        </w:rPr>
        <w:t xml:space="preserve">AMENDMENT – </w:t>
      </w:r>
      <w:r w:rsidR="00EF060E">
        <w:rPr>
          <w:rFonts w:asciiTheme="minorHAnsi" w:hAnsiTheme="minorHAnsi" w:cstheme="minorHAnsi"/>
          <w:b/>
          <w:bCs/>
          <w:color w:val="auto"/>
          <w:sz w:val="22"/>
          <w:szCs w:val="22"/>
        </w:rPr>
        <w:t>October</w:t>
      </w:r>
      <w:r w:rsidR="008D5875">
        <w:rPr>
          <w:rFonts w:asciiTheme="minorHAnsi" w:hAnsiTheme="minorHAnsi" w:cstheme="minorHAnsi"/>
          <w:b/>
          <w:bCs/>
          <w:color w:val="auto"/>
          <w:sz w:val="22"/>
          <w:szCs w:val="22"/>
        </w:rPr>
        <w:t xml:space="preserve"> 2020</w:t>
      </w:r>
    </w:p>
    <w:p w14:paraId="7B8F2532" w14:textId="77777777" w:rsidR="00350FC6" w:rsidRPr="003060BB" w:rsidRDefault="00350FC6">
      <w:pPr>
        <w:pStyle w:val="Default"/>
        <w:ind w:hanging="1440"/>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 </w:t>
      </w:r>
    </w:p>
    <w:p w14:paraId="3D92F68F" w14:textId="77777777"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b/>
          <w:bCs/>
          <w:color w:val="auto"/>
          <w:sz w:val="22"/>
          <w:szCs w:val="22"/>
        </w:rPr>
        <w:t xml:space="preserve"> </w:t>
      </w:r>
    </w:p>
    <w:p w14:paraId="29707451" w14:textId="79218DC7" w:rsidR="00CC22EA" w:rsidRDefault="00CC22EA">
      <w:pPr>
        <w:pStyle w:val="Default"/>
        <w:jc w:val="both"/>
        <w:outlineLvl w:val="0"/>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THIS IS AN AMENDMENT TO THE FY 2019 METHOD OF DISTRIBUTION FOUND IN INDIANA’S 2019 ACTION PLAN. PROGRAMS, CRITERIA, AND POLICIES NOT LISTED WITHIN CONTINUE AS-IS. THIS </w:t>
      </w:r>
      <w:r w:rsidR="00853490">
        <w:rPr>
          <w:rFonts w:asciiTheme="minorHAnsi" w:hAnsiTheme="minorHAnsi" w:cstheme="minorHAnsi"/>
          <w:b/>
          <w:bCs/>
          <w:color w:val="auto"/>
          <w:sz w:val="22"/>
          <w:szCs w:val="22"/>
        </w:rPr>
        <w:t>AMENDMENT</w:t>
      </w:r>
      <w:r>
        <w:rPr>
          <w:rFonts w:asciiTheme="minorHAnsi" w:hAnsiTheme="minorHAnsi" w:cstheme="minorHAnsi"/>
          <w:b/>
          <w:bCs/>
          <w:color w:val="auto"/>
          <w:sz w:val="22"/>
          <w:szCs w:val="22"/>
        </w:rPr>
        <w:t xml:space="preserve"> IS TO ADDRESS </w:t>
      </w:r>
      <w:r w:rsidR="00853490">
        <w:rPr>
          <w:rFonts w:asciiTheme="minorHAnsi" w:hAnsiTheme="minorHAnsi" w:cstheme="minorHAnsi"/>
          <w:b/>
          <w:bCs/>
          <w:color w:val="auto"/>
          <w:sz w:val="22"/>
          <w:szCs w:val="22"/>
        </w:rPr>
        <w:t xml:space="preserve">THE IMPACTS ON SMALL AND RURAL COMMUNITIES BY THE COVID-19 PANDEMIC AND MEET DIRECTIVES OUTLINED IN EXECUTIVE ORDERS ISSUED BY THE GOVERNOR. </w:t>
      </w:r>
    </w:p>
    <w:p w14:paraId="5A2B1D38" w14:textId="77777777" w:rsidR="00CC22EA" w:rsidRDefault="00CC22EA">
      <w:pPr>
        <w:pStyle w:val="Default"/>
        <w:jc w:val="both"/>
        <w:outlineLvl w:val="0"/>
        <w:rPr>
          <w:rFonts w:asciiTheme="minorHAnsi" w:hAnsiTheme="minorHAnsi" w:cstheme="minorHAnsi"/>
          <w:b/>
          <w:bCs/>
          <w:color w:val="auto"/>
          <w:sz w:val="22"/>
          <w:szCs w:val="22"/>
        </w:rPr>
      </w:pPr>
    </w:p>
    <w:p w14:paraId="4A09AE7B" w14:textId="77777777" w:rsidR="00350FC6" w:rsidRPr="003060BB" w:rsidRDefault="00350FC6">
      <w:pPr>
        <w:pStyle w:val="Default"/>
        <w:jc w:val="both"/>
        <w:outlineLvl w:val="0"/>
        <w:rPr>
          <w:rFonts w:asciiTheme="minorHAnsi" w:hAnsiTheme="minorHAnsi" w:cstheme="minorHAnsi"/>
          <w:color w:val="auto"/>
          <w:sz w:val="22"/>
          <w:szCs w:val="22"/>
        </w:rPr>
      </w:pPr>
      <w:r w:rsidRPr="003060BB">
        <w:rPr>
          <w:rFonts w:asciiTheme="minorHAnsi" w:hAnsiTheme="minorHAnsi" w:cstheme="minorHAnsi"/>
          <w:b/>
          <w:bCs/>
          <w:color w:val="auto"/>
          <w:sz w:val="22"/>
          <w:szCs w:val="22"/>
        </w:rPr>
        <w:t xml:space="preserve">GENERAL BACKGROUND INFORMATION AND NATIONAL CDBG OBJECTIVES </w:t>
      </w:r>
    </w:p>
    <w:p w14:paraId="7077790D" w14:textId="77777777"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 </w:t>
      </w:r>
    </w:p>
    <w:p w14:paraId="42B46784" w14:textId="6B4F1864" w:rsidR="00C726EC"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The State of Indiana, through the Indiana Office of Community and Rural Affairs, assumed administrative responsibility for Indiana’s Small Cities Community Development Block Grant (CDBG) Program in 1982, under the auspices of the U.S. Department of Housing and Urban Development (HUD).  In accordance with 570.485(a) and 24 CFR Part 91, the State must submit a Consolidated Plan to HUD by May 15th of each year following an appropriate citizen participation process pursuant to 24 CFR Part 91.325, which prescribes the State's Consolidated Plan  process as well as the proposed method of distribution of CDBG funds for </w:t>
      </w:r>
      <w:r w:rsidR="00C726EC">
        <w:rPr>
          <w:rFonts w:asciiTheme="minorHAnsi" w:hAnsiTheme="minorHAnsi" w:cstheme="minorHAnsi"/>
          <w:color w:val="auto"/>
          <w:sz w:val="22"/>
          <w:szCs w:val="22"/>
        </w:rPr>
        <w:t>2019</w:t>
      </w:r>
      <w:r w:rsidRPr="003060BB">
        <w:rPr>
          <w:rFonts w:asciiTheme="minorHAnsi" w:hAnsiTheme="minorHAnsi" w:cstheme="minorHAnsi"/>
          <w:color w:val="auto"/>
          <w:sz w:val="22"/>
          <w:szCs w:val="22"/>
        </w:rPr>
        <w:t xml:space="preserve">.  </w:t>
      </w:r>
    </w:p>
    <w:p w14:paraId="351A6AC0" w14:textId="77777777" w:rsidR="00C726EC" w:rsidRDefault="00C726EC">
      <w:pPr>
        <w:pStyle w:val="Default"/>
        <w:jc w:val="both"/>
        <w:rPr>
          <w:rFonts w:asciiTheme="minorHAnsi" w:hAnsiTheme="minorHAnsi" w:cstheme="minorHAnsi"/>
          <w:color w:val="auto"/>
          <w:sz w:val="22"/>
          <w:szCs w:val="22"/>
        </w:rPr>
      </w:pPr>
    </w:p>
    <w:p w14:paraId="326BD5CB" w14:textId="0073F021"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b/>
          <w:bCs/>
          <w:color w:val="auto"/>
          <w:sz w:val="22"/>
          <w:szCs w:val="22"/>
        </w:rPr>
        <w:t>Th</w:t>
      </w:r>
      <w:r w:rsidR="00C726EC">
        <w:rPr>
          <w:rFonts w:asciiTheme="minorHAnsi" w:hAnsiTheme="minorHAnsi" w:cstheme="minorHAnsi"/>
          <w:b/>
          <w:bCs/>
          <w:color w:val="auto"/>
          <w:sz w:val="22"/>
          <w:szCs w:val="22"/>
        </w:rPr>
        <w:t>e State of Indiana's</w:t>
      </w:r>
      <w:r w:rsidRPr="003060BB">
        <w:rPr>
          <w:rFonts w:asciiTheme="minorHAnsi" w:hAnsiTheme="minorHAnsi" w:cstheme="minorHAnsi"/>
          <w:b/>
          <w:bCs/>
          <w:color w:val="auto"/>
          <w:sz w:val="22"/>
          <w:szCs w:val="22"/>
        </w:rPr>
        <w:t xml:space="preserve"> allocation of federal Community Development Block Grant (CDBG) funds for FY </w:t>
      </w:r>
      <w:r w:rsidR="001D4CC1">
        <w:rPr>
          <w:rFonts w:asciiTheme="minorHAnsi" w:hAnsiTheme="minorHAnsi" w:cstheme="minorHAnsi"/>
          <w:b/>
          <w:bCs/>
          <w:color w:val="auto"/>
          <w:sz w:val="22"/>
          <w:szCs w:val="22"/>
        </w:rPr>
        <w:t>2019</w:t>
      </w:r>
      <w:r w:rsidR="001D5FEE" w:rsidRPr="003060BB">
        <w:rPr>
          <w:rFonts w:asciiTheme="minorHAnsi" w:hAnsiTheme="minorHAnsi" w:cstheme="minorHAnsi"/>
          <w:b/>
          <w:bCs/>
          <w:color w:val="auto"/>
          <w:sz w:val="22"/>
          <w:szCs w:val="22"/>
        </w:rPr>
        <w:t xml:space="preserve"> </w:t>
      </w:r>
      <w:r w:rsidRPr="003060BB">
        <w:rPr>
          <w:rFonts w:asciiTheme="minorHAnsi" w:hAnsiTheme="minorHAnsi" w:cstheme="minorHAnsi"/>
          <w:b/>
          <w:bCs/>
          <w:color w:val="auto"/>
          <w:sz w:val="22"/>
          <w:szCs w:val="22"/>
        </w:rPr>
        <w:t xml:space="preserve">is </w:t>
      </w:r>
      <w:r w:rsidR="00056CA9" w:rsidRPr="003060BB">
        <w:rPr>
          <w:rFonts w:asciiTheme="minorHAnsi" w:hAnsiTheme="minorHAnsi" w:cstheme="minorHAnsi"/>
          <w:b/>
          <w:color w:val="auto"/>
          <w:sz w:val="22"/>
          <w:szCs w:val="22"/>
        </w:rPr>
        <w:t>$</w:t>
      </w:r>
      <w:r w:rsidR="00EF060E">
        <w:rPr>
          <w:rFonts w:asciiTheme="minorHAnsi" w:hAnsiTheme="minorHAnsi" w:cstheme="minorHAnsi"/>
          <w:b/>
          <w:color w:val="auto"/>
          <w:sz w:val="22"/>
          <w:szCs w:val="22"/>
        </w:rPr>
        <w:t>81,781,503</w:t>
      </w:r>
      <w:r w:rsidR="00056CA9" w:rsidRPr="003060BB">
        <w:rPr>
          <w:rFonts w:asciiTheme="minorHAnsi" w:hAnsiTheme="minorHAnsi" w:cstheme="minorHAnsi"/>
          <w:b/>
          <w:color w:val="auto"/>
          <w:sz w:val="22"/>
          <w:szCs w:val="22"/>
        </w:rPr>
        <w:t>.</w:t>
      </w:r>
    </w:p>
    <w:p w14:paraId="6DF5A024" w14:textId="77777777" w:rsidR="00350FC6" w:rsidRPr="003060BB" w:rsidRDefault="00350FC6" w:rsidP="00D639DF">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 </w:t>
      </w:r>
    </w:p>
    <w:p w14:paraId="030D654A" w14:textId="0E8F94CA" w:rsidR="00350FC6" w:rsidRPr="003060BB" w:rsidRDefault="00C726EC" w:rsidP="00D639DF">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This document applies only to funds allocated to the COVID-19 Response Program which is funded through the</w:t>
      </w:r>
      <w:r w:rsidR="00350FC6" w:rsidRPr="003060BB">
        <w:rPr>
          <w:rFonts w:asciiTheme="minorHAnsi" w:hAnsiTheme="minorHAnsi" w:cstheme="minorHAnsi"/>
          <w:sz w:val="22"/>
          <w:szCs w:val="22"/>
        </w:rPr>
        <w:t xml:space="preserve"> federal Small Cities CDBG funds allocated by HUD to the State of Indiana, through its Office of Community and Rural Affairs. </w:t>
      </w:r>
      <w:r w:rsidR="00350FC6" w:rsidRPr="003060BB">
        <w:rPr>
          <w:rFonts w:asciiTheme="minorHAnsi" w:hAnsiTheme="minorHAnsi" w:cstheme="minorHAnsi"/>
          <w:b/>
          <w:bCs/>
          <w:sz w:val="22"/>
          <w:szCs w:val="22"/>
        </w:rPr>
        <w:t xml:space="preserve"> </w:t>
      </w:r>
    </w:p>
    <w:p w14:paraId="33F3840D" w14:textId="77777777"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b/>
          <w:bCs/>
          <w:color w:val="auto"/>
          <w:sz w:val="22"/>
          <w:szCs w:val="22"/>
        </w:rPr>
        <w:t xml:space="preserve"> </w:t>
      </w:r>
    </w:p>
    <w:p w14:paraId="201DBB19" w14:textId="77777777"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The primary objective of Indiana's Small Cities CDBG Program is to assist in the development and re-development of viable Indiana communities by using CDBG funds to provide a suitable living environment and expand economic opportunities, principally for </w:t>
      </w:r>
      <w:proofErr w:type="gramStart"/>
      <w:r w:rsidRPr="003060BB">
        <w:rPr>
          <w:rFonts w:asciiTheme="minorHAnsi" w:hAnsiTheme="minorHAnsi" w:cstheme="minorHAnsi"/>
          <w:color w:val="auto"/>
          <w:sz w:val="22"/>
          <w:szCs w:val="22"/>
        </w:rPr>
        <w:t>low and moderate income</w:t>
      </w:r>
      <w:proofErr w:type="gramEnd"/>
      <w:r w:rsidRPr="003060BB">
        <w:rPr>
          <w:rFonts w:asciiTheme="minorHAnsi" w:hAnsiTheme="minorHAnsi" w:cstheme="minorHAnsi"/>
          <w:color w:val="auto"/>
          <w:sz w:val="22"/>
          <w:szCs w:val="22"/>
        </w:rPr>
        <w:t xml:space="preserve"> persons. </w:t>
      </w:r>
    </w:p>
    <w:p w14:paraId="2F9F666E" w14:textId="77777777"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 </w:t>
      </w:r>
    </w:p>
    <w:p w14:paraId="11295438" w14:textId="77777777"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Indiana's program will place emphasis on making Indiana communities a better place in which to reside, work, and recreate.  Primary attention will be given to activities, which promote long term community development and create an environment conducive to new or expanded employment opportunities for </w:t>
      </w:r>
      <w:proofErr w:type="gramStart"/>
      <w:r w:rsidRPr="003060BB">
        <w:rPr>
          <w:rFonts w:asciiTheme="minorHAnsi" w:hAnsiTheme="minorHAnsi" w:cstheme="minorHAnsi"/>
          <w:color w:val="auto"/>
          <w:sz w:val="22"/>
          <w:szCs w:val="22"/>
        </w:rPr>
        <w:t>low and moderate income</w:t>
      </w:r>
      <w:proofErr w:type="gramEnd"/>
      <w:r w:rsidRPr="003060BB">
        <w:rPr>
          <w:rFonts w:asciiTheme="minorHAnsi" w:hAnsiTheme="minorHAnsi" w:cstheme="minorHAnsi"/>
          <w:color w:val="auto"/>
          <w:sz w:val="22"/>
          <w:szCs w:val="22"/>
        </w:rPr>
        <w:t xml:space="preserve"> persons. </w:t>
      </w:r>
    </w:p>
    <w:p w14:paraId="79909C0B" w14:textId="77777777"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 </w:t>
      </w:r>
    </w:p>
    <w:p w14:paraId="3BBF3893" w14:textId="77777777"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The Office of Community and Rural Affairs will pursue this goal of </w:t>
      </w:r>
      <w:r w:rsidRPr="003060BB">
        <w:rPr>
          <w:rFonts w:asciiTheme="minorHAnsi" w:hAnsiTheme="minorHAnsi" w:cstheme="minorHAnsi"/>
          <w:bCs/>
          <w:color w:val="auto"/>
          <w:sz w:val="22"/>
          <w:szCs w:val="22"/>
        </w:rPr>
        <w:t>investing CDBG wisely</w:t>
      </w:r>
      <w:r w:rsidRPr="003060BB">
        <w:rPr>
          <w:rFonts w:asciiTheme="minorHAnsi" w:hAnsiTheme="minorHAnsi" w:cstheme="minorHAnsi"/>
          <w:color w:val="auto"/>
          <w:sz w:val="22"/>
          <w:szCs w:val="22"/>
        </w:rPr>
        <w:t xml:space="preserve"> and all applicable strategic priorities by distributing CDBG funds in a manner, which promotes exploration of all alternative resources (financial and </w:t>
      </w:r>
      <w:r w:rsidR="00735F42" w:rsidRPr="003060BB">
        <w:rPr>
          <w:rFonts w:asciiTheme="minorHAnsi" w:hAnsiTheme="minorHAnsi" w:cstheme="minorHAnsi"/>
          <w:color w:val="auto"/>
          <w:sz w:val="22"/>
          <w:szCs w:val="22"/>
        </w:rPr>
        <w:t>personnel</w:t>
      </w:r>
      <w:r w:rsidRPr="003060BB">
        <w:rPr>
          <w:rFonts w:asciiTheme="minorHAnsi" w:hAnsiTheme="minorHAnsi" w:cstheme="minorHAnsi"/>
          <w:color w:val="auto"/>
          <w:sz w:val="22"/>
          <w:szCs w:val="22"/>
        </w:rPr>
        <w:t xml:space="preserve">) when making funding decisions respective to applications for CDBG funding. </w:t>
      </w:r>
    </w:p>
    <w:p w14:paraId="31EA2C81" w14:textId="77777777"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 </w:t>
      </w:r>
      <w:r w:rsidRPr="003060BB">
        <w:rPr>
          <w:rFonts w:asciiTheme="minorHAnsi" w:hAnsiTheme="minorHAnsi" w:cstheme="minorHAnsi"/>
          <w:b/>
          <w:bCs/>
          <w:color w:val="auto"/>
          <w:sz w:val="22"/>
          <w:szCs w:val="22"/>
        </w:rPr>
        <w:t xml:space="preserve"> </w:t>
      </w:r>
    </w:p>
    <w:p w14:paraId="7FBA272D" w14:textId="77777777" w:rsidR="00350FC6" w:rsidRPr="003060BB" w:rsidRDefault="00350FC6">
      <w:pPr>
        <w:pStyle w:val="Default"/>
        <w:jc w:val="both"/>
        <w:outlineLvl w:val="0"/>
        <w:rPr>
          <w:rFonts w:asciiTheme="minorHAnsi" w:hAnsiTheme="minorHAnsi" w:cstheme="minorHAnsi"/>
          <w:color w:val="auto"/>
          <w:sz w:val="22"/>
          <w:szCs w:val="22"/>
        </w:rPr>
      </w:pPr>
      <w:r w:rsidRPr="003060BB">
        <w:rPr>
          <w:rFonts w:asciiTheme="minorHAnsi" w:hAnsiTheme="minorHAnsi" w:cstheme="minorHAnsi"/>
          <w:b/>
          <w:bCs/>
          <w:color w:val="auto"/>
          <w:sz w:val="22"/>
          <w:szCs w:val="22"/>
        </w:rPr>
        <w:br w:type="page"/>
      </w:r>
      <w:r w:rsidRPr="003060BB">
        <w:rPr>
          <w:rFonts w:asciiTheme="minorHAnsi" w:hAnsiTheme="minorHAnsi" w:cstheme="minorHAnsi"/>
          <w:b/>
          <w:bCs/>
          <w:color w:val="auto"/>
          <w:sz w:val="22"/>
          <w:szCs w:val="22"/>
        </w:rPr>
        <w:lastRenderedPageBreak/>
        <w:t>PROGRAM AMENDMENTS</w:t>
      </w:r>
      <w:r w:rsidRPr="003060BB">
        <w:rPr>
          <w:rFonts w:asciiTheme="minorHAnsi" w:hAnsiTheme="minorHAnsi" w:cstheme="minorHAnsi"/>
          <w:color w:val="auto"/>
          <w:sz w:val="22"/>
          <w:szCs w:val="22"/>
        </w:rPr>
        <w:t xml:space="preserve"> </w:t>
      </w:r>
    </w:p>
    <w:p w14:paraId="237DF325" w14:textId="77777777"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 </w:t>
      </w:r>
    </w:p>
    <w:p w14:paraId="31E5876B" w14:textId="46736159"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The Indiana Office of Community and Rural Affairs reserves</w:t>
      </w:r>
      <w:r w:rsidR="004D6683">
        <w:rPr>
          <w:rFonts w:asciiTheme="minorHAnsi" w:hAnsiTheme="minorHAnsi" w:cstheme="minorHAnsi"/>
          <w:color w:val="auto"/>
          <w:sz w:val="22"/>
          <w:szCs w:val="22"/>
        </w:rPr>
        <w:t xml:space="preserve"> the right to transfer up to twenty-five percent (25</w:t>
      </w:r>
      <w:r w:rsidRPr="003060BB">
        <w:rPr>
          <w:rFonts w:asciiTheme="minorHAnsi" w:hAnsiTheme="minorHAnsi" w:cstheme="minorHAnsi"/>
          <w:color w:val="auto"/>
          <w:sz w:val="22"/>
          <w:szCs w:val="22"/>
        </w:rPr>
        <w:t xml:space="preserve">%) of each fiscal year’s available allocation of CDBG funds (i.e. FY </w:t>
      </w:r>
      <w:r w:rsidR="001D4CC1">
        <w:rPr>
          <w:rFonts w:asciiTheme="minorHAnsi" w:hAnsiTheme="minorHAnsi" w:cstheme="minorHAnsi"/>
          <w:color w:val="auto"/>
          <w:sz w:val="22"/>
          <w:szCs w:val="22"/>
        </w:rPr>
        <w:t>2019</w:t>
      </w:r>
      <w:r w:rsidR="00A5739B" w:rsidRPr="003060BB">
        <w:rPr>
          <w:rFonts w:asciiTheme="minorHAnsi" w:hAnsiTheme="minorHAnsi" w:cstheme="minorHAnsi"/>
          <w:color w:val="auto"/>
          <w:sz w:val="22"/>
          <w:szCs w:val="22"/>
        </w:rPr>
        <w:t xml:space="preserve"> </w:t>
      </w:r>
      <w:r w:rsidRPr="003060BB">
        <w:rPr>
          <w:rFonts w:asciiTheme="minorHAnsi" w:hAnsiTheme="minorHAnsi" w:cstheme="minorHAnsi"/>
          <w:color w:val="auto"/>
          <w:sz w:val="22"/>
          <w:szCs w:val="22"/>
        </w:rPr>
        <w:t xml:space="preserve">as well as prior-years’ reversions balances) between the programs described herein in order to optimize the use and timeliness of distribution and expenditure of CDBG funds, without formal amendment of this Consolidated Plan.   </w:t>
      </w:r>
    </w:p>
    <w:p w14:paraId="4D88D775" w14:textId="77777777"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 </w:t>
      </w:r>
    </w:p>
    <w:p w14:paraId="15BE7734" w14:textId="32110681"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The Office of Community and Rural Affairs will provide citizens and general units of local government with reasonable notice of, and opportunity to comment on, any substantial change proposed to be made in the use of FY </w:t>
      </w:r>
      <w:r w:rsidR="001D4CC1">
        <w:rPr>
          <w:rFonts w:asciiTheme="minorHAnsi" w:hAnsiTheme="minorHAnsi" w:cstheme="minorHAnsi"/>
          <w:color w:val="auto"/>
          <w:sz w:val="22"/>
          <w:szCs w:val="22"/>
        </w:rPr>
        <w:t>2019</w:t>
      </w:r>
      <w:r w:rsidR="00A5739B" w:rsidRPr="003060BB">
        <w:rPr>
          <w:rFonts w:asciiTheme="minorHAnsi" w:hAnsiTheme="minorHAnsi" w:cstheme="minorHAnsi"/>
          <w:color w:val="auto"/>
          <w:sz w:val="22"/>
          <w:szCs w:val="22"/>
        </w:rPr>
        <w:t xml:space="preserve"> </w:t>
      </w:r>
      <w:r w:rsidRPr="003060BB">
        <w:rPr>
          <w:rFonts w:asciiTheme="minorHAnsi" w:hAnsiTheme="minorHAnsi" w:cstheme="minorHAnsi"/>
          <w:color w:val="auto"/>
          <w:sz w:val="22"/>
          <w:szCs w:val="22"/>
        </w:rPr>
        <w:t>CDBG as well as reversions and residual available balances of prior-years’ CDBG funds.  "Substantial Change" shall mean the movement b</w:t>
      </w:r>
      <w:r w:rsidR="004D6683">
        <w:rPr>
          <w:rFonts w:asciiTheme="minorHAnsi" w:hAnsiTheme="minorHAnsi" w:cstheme="minorHAnsi"/>
          <w:color w:val="auto"/>
          <w:sz w:val="22"/>
          <w:szCs w:val="22"/>
        </w:rPr>
        <w:t>etween programs of more than twenty-five percent (25</w:t>
      </w:r>
      <w:r w:rsidRPr="003060BB">
        <w:rPr>
          <w:rFonts w:asciiTheme="minorHAnsi" w:hAnsiTheme="minorHAnsi" w:cstheme="minorHAnsi"/>
          <w:color w:val="auto"/>
          <w:sz w:val="22"/>
          <w:szCs w:val="22"/>
        </w:rPr>
        <w:t>%) of the total allocation for a given fiscal year’s CDBG funding allocation.</w:t>
      </w:r>
      <w:r w:rsidR="004D6683">
        <w:rPr>
          <w:rFonts w:asciiTheme="minorHAnsi" w:hAnsiTheme="minorHAnsi" w:cstheme="minorHAnsi"/>
          <w:color w:val="auto"/>
          <w:sz w:val="22"/>
          <w:szCs w:val="22"/>
        </w:rPr>
        <w:t xml:space="preserve"> The twenty-five percent (25</w:t>
      </w:r>
      <w:r w:rsidR="00F41ADE">
        <w:rPr>
          <w:rFonts w:asciiTheme="minorHAnsi" w:hAnsiTheme="minorHAnsi" w:cstheme="minorHAnsi"/>
          <w:color w:val="auto"/>
          <w:sz w:val="22"/>
          <w:szCs w:val="22"/>
        </w:rPr>
        <w:t>%)</w:t>
      </w:r>
      <w:r w:rsidR="00D8428A">
        <w:rPr>
          <w:rFonts w:asciiTheme="minorHAnsi" w:hAnsiTheme="minorHAnsi" w:cstheme="minorHAnsi"/>
          <w:color w:val="auto"/>
          <w:sz w:val="22"/>
          <w:szCs w:val="22"/>
        </w:rPr>
        <w:t xml:space="preserve"> does not include the reallocation of </w:t>
      </w:r>
      <w:r w:rsidR="00DF14B6">
        <w:rPr>
          <w:rFonts w:asciiTheme="minorHAnsi" w:hAnsiTheme="minorHAnsi" w:cstheme="minorHAnsi"/>
          <w:color w:val="auto"/>
          <w:sz w:val="22"/>
          <w:szCs w:val="22"/>
        </w:rPr>
        <w:t>reverted funds</w:t>
      </w:r>
      <w:r w:rsidR="00D8428A">
        <w:rPr>
          <w:rFonts w:asciiTheme="minorHAnsi" w:hAnsiTheme="minorHAnsi" w:cstheme="minorHAnsi"/>
          <w:color w:val="auto"/>
          <w:sz w:val="22"/>
          <w:szCs w:val="22"/>
        </w:rPr>
        <w:t>.</w:t>
      </w:r>
      <w:r w:rsidRPr="003060BB">
        <w:rPr>
          <w:rFonts w:asciiTheme="minorHAnsi" w:hAnsiTheme="minorHAnsi" w:cstheme="minorHAnsi"/>
          <w:color w:val="auto"/>
          <w:sz w:val="22"/>
          <w:szCs w:val="22"/>
        </w:rPr>
        <w:t xml:space="preserve">  The Office of Community and Rural Affairs, in consultation with the Indianapolis office of the US Department of Housing and Urban Development (HUD), will determine those actions, which may constitute a “substantial change”.  </w:t>
      </w:r>
    </w:p>
    <w:p w14:paraId="46EFB53F" w14:textId="77777777"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 </w:t>
      </w:r>
    </w:p>
    <w:p w14:paraId="750903EE" w14:textId="1D62D501"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The State (OCRA) will formally amend its FY </w:t>
      </w:r>
      <w:r w:rsidR="001D5FEE" w:rsidRPr="003060BB">
        <w:rPr>
          <w:rFonts w:asciiTheme="minorHAnsi" w:hAnsiTheme="minorHAnsi" w:cstheme="minorHAnsi"/>
          <w:color w:val="auto"/>
          <w:sz w:val="22"/>
          <w:szCs w:val="22"/>
        </w:rPr>
        <w:t>2015</w:t>
      </w:r>
      <w:r w:rsidRPr="003060BB">
        <w:rPr>
          <w:rFonts w:asciiTheme="minorHAnsi" w:hAnsiTheme="minorHAnsi" w:cstheme="minorHAnsi"/>
          <w:color w:val="auto"/>
          <w:sz w:val="22"/>
          <w:szCs w:val="22"/>
        </w:rPr>
        <w:t xml:space="preserve"> Consolidated Plan if the Office of Community and Rural Affairs’ </w:t>
      </w:r>
      <w:r w:rsidRPr="003060BB">
        <w:rPr>
          <w:rFonts w:asciiTheme="minorHAnsi" w:hAnsiTheme="minorHAnsi" w:cstheme="minorHAnsi"/>
          <w:b/>
          <w:bCs/>
          <w:color w:val="auto"/>
          <w:sz w:val="22"/>
          <w:szCs w:val="22"/>
        </w:rPr>
        <w:t xml:space="preserve">Method of Distribution for FY </w:t>
      </w:r>
      <w:r w:rsidR="001D4CC1">
        <w:rPr>
          <w:rFonts w:asciiTheme="minorHAnsi" w:hAnsiTheme="minorHAnsi" w:cstheme="minorHAnsi"/>
          <w:b/>
          <w:bCs/>
          <w:color w:val="auto"/>
          <w:sz w:val="22"/>
          <w:szCs w:val="22"/>
        </w:rPr>
        <w:t>2019</w:t>
      </w:r>
      <w:r w:rsidRPr="003060BB">
        <w:rPr>
          <w:rFonts w:asciiTheme="minorHAnsi" w:hAnsiTheme="minorHAnsi" w:cstheme="minorHAnsi"/>
          <w:b/>
          <w:bCs/>
          <w:color w:val="auto"/>
          <w:sz w:val="22"/>
          <w:szCs w:val="22"/>
        </w:rPr>
        <w:t xml:space="preserve"> and prior-</w:t>
      </w:r>
      <w:r w:rsidR="008603E9" w:rsidRPr="003060BB">
        <w:rPr>
          <w:rFonts w:asciiTheme="minorHAnsi" w:hAnsiTheme="minorHAnsi" w:cstheme="minorHAnsi"/>
          <w:b/>
          <w:bCs/>
          <w:color w:val="auto"/>
          <w:sz w:val="22"/>
          <w:szCs w:val="22"/>
        </w:rPr>
        <w:t>years’</w:t>
      </w:r>
      <w:r w:rsidRPr="003060BB">
        <w:rPr>
          <w:rFonts w:asciiTheme="minorHAnsi" w:hAnsiTheme="minorHAnsi" w:cstheme="minorHAnsi"/>
          <w:b/>
          <w:bCs/>
          <w:color w:val="auto"/>
          <w:sz w:val="22"/>
          <w:szCs w:val="22"/>
        </w:rPr>
        <w:t xml:space="preserve"> funds</w:t>
      </w:r>
      <w:r w:rsidRPr="003060BB">
        <w:rPr>
          <w:rFonts w:asciiTheme="minorHAnsi" w:hAnsiTheme="minorHAnsi" w:cstheme="minorHAnsi"/>
          <w:color w:val="auto"/>
          <w:sz w:val="22"/>
          <w:szCs w:val="22"/>
        </w:rPr>
        <w:t xml:space="preserve"> prescribed herein are to be significantly changed.  The OCRA will determine the necessary changes, prepare the proposed amendment, provide the public and units of general local government with reasonable notice and opportunity to comment on the proposed amendment, consider the comments</w:t>
      </w:r>
      <w:r w:rsidR="004D6683">
        <w:rPr>
          <w:rFonts w:asciiTheme="minorHAnsi" w:hAnsiTheme="minorHAnsi" w:cstheme="minorHAnsi"/>
          <w:color w:val="auto"/>
          <w:sz w:val="22"/>
          <w:szCs w:val="22"/>
        </w:rPr>
        <w:t xml:space="preserve"> received, and make the amendment </w:t>
      </w:r>
      <w:r w:rsidRPr="003060BB">
        <w:rPr>
          <w:rFonts w:asciiTheme="minorHAnsi" w:hAnsiTheme="minorHAnsi" w:cstheme="minorHAnsi"/>
          <w:color w:val="auto"/>
          <w:sz w:val="22"/>
          <w:szCs w:val="22"/>
        </w:rPr>
        <w:t>available to the public at th</w:t>
      </w:r>
      <w:r w:rsidR="004D6683">
        <w:rPr>
          <w:rFonts w:asciiTheme="minorHAnsi" w:hAnsiTheme="minorHAnsi" w:cstheme="minorHAnsi"/>
          <w:color w:val="auto"/>
          <w:sz w:val="22"/>
          <w:szCs w:val="22"/>
        </w:rPr>
        <w:t>e time it is submitted to HUD.</w:t>
      </w:r>
    </w:p>
    <w:p w14:paraId="75E8BDB0" w14:textId="77777777"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  </w:t>
      </w:r>
    </w:p>
    <w:p w14:paraId="2A0F3D7E" w14:textId="77777777" w:rsidR="004C2BB8" w:rsidRDefault="00350FC6" w:rsidP="004C2BB8">
      <w:pPr>
        <w:pStyle w:val="Default"/>
        <w:jc w:val="both"/>
        <w:outlineLvl w:val="0"/>
        <w:rPr>
          <w:rFonts w:asciiTheme="minorHAnsi" w:hAnsiTheme="minorHAnsi" w:cstheme="minorHAnsi"/>
          <w:b/>
          <w:bCs/>
          <w:color w:val="auto"/>
          <w:sz w:val="22"/>
          <w:szCs w:val="22"/>
        </w:rPr>
      </w:pPr>
      <w:r w:rsidRPr="003060BB">
        <w:rPr>
          <w:rFonts w:asciiTheme="minorHAnsi" w:hAnsiTheme="minorHAnsi" w:cstheme="minorHAnsi"/>
          <w:b/>
          <w:bCs/>
          <w:color w:val="auto"/>
          <w:sz w:val="22"/>
          <w:szCs w:val="22"/>
        </w:rPr>
        <w:t xml:space="preserve">FY </w:t>
      </w:r>
      <w:r w:rsidR="004E2FD6">
        <w:rPr>
          <w:rFonts w:asciiTheme="minorHAnsi" w:hAnsiTheme="minorHAnsi" w:cstheme="minorHAnsi"/>
          <w:b/>
          <w:bCs/>
          <w:color w:val="auto"/>
          <w:sz w:val="22"/>
          <w:szCs w:val="22"/>
        </w:rPr>
        <w:t>2019</w:t>
      </w:r>
      <w:r w:rsidRPr="003060BB">
        <w:rPr>
          <w:rFonts w:asciiTheme="minorHAnsi" w:hAnsiTheme="minorHAnsi" w:cstheme="minorHAnsi"/>
          <w:b/>
          <w:bCs/>
          <w:color w:val="auto"/>
          <w:sz w:val="22"/>
          <w:szCs w:val="22"/>
        </w:rPr>
        <w:t xml:space="preserve"> FUND DISTRIBUTION </w:t>
      </w:r>
    </w:p>
    <w:p w14:paraId="1E63DD43" w14:textId="77777777" w:rsidR="004C2BB8" w:rsidRDefault="004C2BB8" w:rsidP="004C2BB8">
      <w:pPr>
        <w:pStyle w:val="Default"/>
        <w:jc w:val="both"/>
        <w:outlineLvl w:val="0"/>
        <w:rPr>
          <w:rFonts w:asciiTheme="minorHAnsi" w:hAnsiTheme="minorHAnsi" w:cstheme="minorHAnsi"/>
          <w:color w:val="auto"/>
          <w:sz w:val="22"/>
          <w:szCs w:val="22"/>
        </w:rPr>
      </w:pPr>
    </w:p>
    <w:p w14:paraId="65506AF7" w14:textId="54729CB5" w:rsidR="00350FC6" w:rsidRPr="003060BB" w:rsidRDefault="00350FC6" w:rsidP="004C2BB8">
      <w:pPr>
        <w:pStyle w:val="Default"/>
        <w:jc w:val="both"/>
        <w:outlineLvl w:val="0"/>
        <w:rPr>
          <w:rFonts w:asciiTheme="minorHAnsi" w:hAnsiTheme="minorHAnsi" w:cstheme="minorHAnsi"/>
          <w:color w:val="auto"/>
          <w:sz w:val="22"/>
          <w:szCs w:val="22"/>
        </w:rPr>
      </w:pPr>
      <w:r w:rsidRPr="003060BB">
        <w:rPr>
          <w:rFonts w:asciiTheme="minorHAnsi" w:hAnsiTheme="minorHAnsi" w:cstheme="minorHAnsi"/>
          <w:b/>
          <w:bCs/>
          <w:color w:val="auto"/>
          <w:sz w:val="22"/>
          <w:szCs w:val="22"/>
        </w:rPr>
        <w:t xml:space="preserve">Sources of Funds: </w:t>
      </w:r>
    </w:p>
    <w:p w14:paraId="59248422" w14:textId="77777777" w:rsidR="00D318B9" w:rsidRPr="003060BB" w:rsidRDefault="00350FC6" w:rsidP="004C2BB8">
      <w:pPr>
        <w:pStyle w:val="Default"/>
        <w:tabs>
          <w:tab w:val="decimal" w:pos="5130"/>
        </w:tabs>
        <w:ind w:left="720"/>
        <w:jc w:val="both"/>
        <w:rPr>
          <w:rFonts w:asciiTheme="minorHAnsi" w:hAnsiTheme="minorHAnsi" w:cstheme="minorHAnsi"/>
          <w:b/>
          <w:bCs/>
          <w:color w:val="auto"/>
          <w:sz w:val="22"/>
          <w:szCs w:val="22"/>
        </w:rPr>
      </w:pPr>
      <w:r w:rsidRPr="003060BB">
        <w:rPr>
          <w:rFonts w:asciiTheme="minorHAnsi" w:hAnsiTheme="minorHAnsi" w:cstheme="minorHAnsi"/>
          <w:color w:val="auto"/>
          <w:sz w:val="22"/>
          <w:szCs w:val="22"/>
        </w:rPr>
        <w:t xml:space="preserve">FY </w:t>
      </w:r>
      <w:r w:rsidR="004E2FD6">
        <w:rPr>
          <w:rFonts w:asciiTheme="minorHAnsi" w:hAnsiTheme="minorHAnsi" w:cstheme="minorHAnsi"/>
          <w:color w:val="auto"/>
          <w:sz w:val="22"/>
          <w:szCs w:val="22"/>
        </w:rPr>
        <w:t>2019</w:t>
      </w:r>
      <w:r w:rsidRPr="003060BB">
        <w:rPr>
          <w:rFonts w:asciiTheme="minorHAnsi" w:hAnsiTheme="minorHAnsi" w:cstheme="minorHAnsi"/>
          <w:color w:val="auto"/>
          <w:sz w:val="22"/>
          <w:szCs w:val="22"/>
        </w:rPr>
        <w:t xml:space="preserve"> CDBG Allocation          </w:t>
      </w:r>
      <w:r w:rsidRPr="003060BB">
        <w:rPr>
          <w:rFonts w:asciiTheme="minorHAnsi" w:hAnsiTheme="minorHAnsi" w:cstheme="minorHAnsi"/>
          <w:color w:val="auto"/>
          <w:sz w:val="22"/>
          <w:szCs w:val="22"/>
        </w:rPr>
        <w:tab/>
      </w:r>
      <w:r w:rsidR="000E4B0A" w:rsidRPr="003060BB">
        <w:rPr>
          <w:rFonts w:asciiTheme="minorHAnsi" w:hAnsiTheme="minorHAnsi" w:cstheme="minorHAnsi"/>
          <w:b/>
          <w:bCs/>
          <w:color w:val="auto"/>
          <w:sz w:val="22"/>
          <w:szCs w:val="22"/>
        </w:rPr>
        <w:t>$</w:t>
      </w:r>
      <w:r w:rsidR="00952FC5">
        <w:rPr>
          <w:rFonts w:asciiTheme="minorHAnsi" w:hAnsiTheme="minorHAnsi" w:cstheme="minorHAnsi"/>
          <w:b/>
          <w:bCs/>
          <w:color w:val="auto"/>
          <w:sz w:val="22"/>
          <w:szCs w:val="22"/>
        </w:rPr>
        <w:t>30,644,288</w:t>
      </w:r>
    </w:p>
    <w:p w14:paraId="01D53D94" w14:textId="68FC8CC9" w:rsidR="00BF19CE" w:rsidRDefault="00BF19CE" w:rsidP="004C2BB8">
      <w:pPr>
        <w:pStyle w:val="Default"/>
        <w:tabs>
          <w:tab w:val="decimal" w:pos="5130"/>
        </w:tabs>
        <w:ind w:left="720"/>
        <w:jc w:val="both"/>
        <w:rPr>
          <w:rFonts w:asciiTheme="minorHAnsi" w:hAnsiTheme="minorHAnsi" w:cstheme="minorHAnsi"/>
          <w:color w:val="auto"/>
          <w:sz w:val="22"/>
          <w:szCs w:val="22"/>
        </w:rPr>
      </w:pPr>
      <w:r>
        <w:rPr>
          <w:rFonts w:asciiTheme="minorHAnsi" w:hAnsiTheme="minorHAnsi" w:cstheme="minorHAnsi"/>
          <w:color w:val="auto"/>
          <w:sz w:val="22"/>
          <w:szCs w:val="22"/>
        </w:rPr>
        <w:t>CDBG-</w:t>
      </w:r>
      <w:proofErr w:type="spellStart"/>
      <w:r>
        <w:rPr>
          <w:rFonts w:asciiTheme="minorHAnsi" w:hAnsiTheme="minorHAnsi" w:cstheme="minorHAnsi"/>
          <w:color w:val="auto"/>
          <w:sz w:val="22"/>
          <w:szCs w:val="22"/>
        </w:rPr>
        <w:t>CV</w:t>
      </w:r>
      <w:r w:rsidR="0050068C">
        <w:rPr>
          <w:rFonts w:asciiTheme="minorHAnsi" w:hAnsiTheme="minorHAnsi" w:cstheme="minorHAnsi"/>
          <w:color w:val="auto"/>
          <w:sz w:val="22"/>
          <w:szCs w:val="22"/>
        </w:rPr>
        <w:t>1</w:t>
      </w:r>
      <w:proofErr w:type="spellEnd"/>
      <w:r>
        <w:rPr>
          <w:rFonts w:asciiTheme="minorHAnsi" w:hAnsiTheme="minorHAnsi" w:cstheme="minorHAnsi"/>
          <w:color w:val="auto"/>
          <w:sz w:val="22"/>
          <w:szCs w:val="22"/>
        </w:rPr>
        <w:t xml:space="preserve"> Allocation</w:t>
      </w:r>
      <w:r>
        <w:rPr>
          <w:rFonts w:asciiTheme="minorHAnsi" w:hAnsiTheme="minorHAnsi" w:cstheme="minorHAnsi"/>
          <w:color w:val="auto"/>
          <w:sz w:val="22"/>
          <w:szCs w:val="22"/>
        </w:rPr>
        <w:tab/>
        <w:t>$18,668,114</w:t>
      </w:r>
    </w:p>
    <w:p w14:paraId="49FFD882" w14:textId="53B847CA" w:rsidR="0050068C" w:rsidRDefault="0050068C" w:rsidP="004C2BB8">
      <w:pPr>
        <w:pStyle w:val="Default"/>
        <w:tabs>
          <w:tab w:val="decimal" w:pos="5130"/>
        </w:tabs>
        <w:ind w:left="720"/>
        <w:jc w:val="both"/>
        <w:rPr>
          <w:rFonts w:asciiTheme="minorHAnsi" w:hAnsiTheme="minorHAnsi" w:cstheme="minorHAnsi"/>
          <w:color w:val="auto"/>
          <w:sz w:val="22"/>
          <w:szCs w:val="22"/>
        </w:rPr>
      </w:pPr>
      <w:r w:rsidRPr="00332EE8">
        <w:rPr>
          <w:rFonts w:asciiTheme="minorHAnsi" w:hAnsiTheme="minorHAnsi" w:cstheme="minorHAnsi"/>
          <w:color w:val="auto"/>
          <w:sz w:val="22"/>
          <w:szCs w:val="22"/>
        </w:rPr>
        <w:t>CDBG-</w:t>
      </w:r>
      <w:proofErr w:type="spellStart"/>
      <w:r w:rsidRPr="00332EE8">
        <w:rPr>
          <w:rFonts w:asciiTheme="minorHAnsi" w:hAnsiTheme="minorHAnsi" w:cstheme="minorHAnsi"/>
          <w:color w:val="auto"/>
          <w:sz w:val="22"/>
          <w:szCs w:val="22"/>
        </w:rPr>
        <w:t>CV2</w:t>
      </w:r>
      <w:proofErr w:type="spellEnd"/>
      <w:r w:rsidRPr="00332EE8">
        <w:rPr>
          <w:rFonts w:asciiTheme="minorHAnsi" w:hAnsiTheme="minorHAnsi" w:cstheme="minorHAnsi"/>
          <w:color w:val="auto"/>
          <w:sz w:val="22"/>
          <w:szCs w:val="22"/>
        </w:rPr>
        <w:t xml:space="preserve"> Allocation</w:t>
      </w:r>
      <w:r w:rsidRPr="00332EE8">
        <w:rPr>
          <w:rFonts w:asciiTheme="minorHAnsi" w:hAnsiTheme="minorHAnsi" w:cstheme="minorHAnsi"/>
          <w:color w:val="auto"/>
          <w:sz w:val="22"/>
          <w:szCs w:val="22"/>
        </w:rPr>
        <w:tab/>
        <w:t>$19,783,146</w:t>
      </w:r>
    </w:p>
    <w:p w14:paraId="5FA6F16A" w14:textId="7D50BFFA" w:rsidR="00332EE8" w:rsidRDefault="00332EE8" w:rsidP="004C2BB8">
      <w:pPr>
        <w:pStyle w:val="Default"/>
        <w:tabs>
          <w:tab w:val="decimal" w:pos="5130"/>
        </w:tabs>
        <w:ind w:left="720"/>
        <w:jc w:val="both"/>
        <w:rPr>
          <w:rFonts w:asciiTheme="minorHAnsi" w:hAnsiTheme="minorHAnsi" w:cstheme="minorHAnsi"/>
          <w:color w:val="auto"/>
          <w:sz w:val="22"/>
          <w:szCs w:val="22"/>
        </w:rPr>
      </w:pPr>
      <w:r w:rsidRPr="00396A83">
        <w:rPr>
          <w:rFonts w:asciiTheme="minorHAnsi" w:hAnsiTheme="minorHAnsi" w:cstheme="minorHAnsi"/>
          <w:color w:val="auto"/>
          <w:sz w:val="22"/>
          <w:szCs w:val="22"/>
          <w:highlight w:val="cyan"/>
        </w:rPr>
        <w:t>CDBG-</w:t>
      </w:r>
      <w:proofErr w:type="spellStart"/>
      <w:r w:rsidRPr="00396A83">
        <w:rPr>
          <w:rFonts w:asciiTheme="minorHAnsi" w:hAnsiTheme="minorHAnsi" w:cstheme="minorHAnsi"/>
          <w:color w:val="auto"/>
          <w:sz w:val="22"/>
          <w:szCs w:val="22"/>
          <w:highlight w:val="cyan"/>
        </w:rPr>
        <w:t>CV3</w:t>
      </w:r>
      <w:proofErr w:type="spellEnd"/>
      <w:r w:rsidRPr="00396A83">
        <w:rPr>
          <w:rFonts w:asciiTheme="minorHAnsi" w:hAnsiTheme="minorHAnsi" w:cstheme="minorHAnsi"/>
          <w:color w:val="auto"/>
          <w:sz w:val="22"/>
          <w:szCs w:val="22"/>
          <w:highlight w:val="cyan"/>
        </w:rPr>
        <w:t xml:space="preserve"> Allocation</w:t>
      </w:r>
      <w:r w:rsidRPr="00396A83">
        <w:rPr>
          <w:rFonts w:asciiTheme="minorHAnsi" w:hAnsiTheme="minorHAnsi" w:cstheme="minorHAnsi"/>
          <w:color w:val="auto"/>
          <w:sz w:val="22"/>
          <w:szCs w:val="22"/>
          <w:highlight w:val="cyan"/>
        </w:rPr>
        <w:tab/>
        <w:t>$12,685,955</w:t>
      </w:r>
    </w:p>
    <w:p w14:paraId="68EDF699" w14:textId="77777777" w:rsidR="00350FC6" w:rsidRPr="003060BB" w:rsidRDefault="00350FC6" w:rsidP="004C2BB8">
      <w:pPr>
        <w:pStyle w:val="Default"/>
        <w:tabs>
          <w:tab w:val="decimal" w:pos="5130"/>
        </w:tabs>
        <w:ind w:left="720"/>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CDBG </w:t>
      </w:r>
      <w:r w:rsidR="001F6002" w:rsidRPr="003060BB">
        <w:rPr>
          <w:rFonts w:asciiTheme="minorHAnsi" w:hAnsiTheme="minorHAnsi" w:cstheme="minorHAnsi"/>
          <w:color w:val="auto"/>
          <w:sz w:val="22"/>
          <w:szCs w:val="22"/>
        </w:rPr>
        <w:t>Program Income</w:t>
      </w:r>
      <w:r w:rsidRPr="003060BB">
        <w:rPr>
          <w:rFonts w:asciiTheme="minorHAnsi" w:hAnsiTheme="minorHAnsi" w:cstheme="minorHAnsi"/>
          <w:color w:val="auto"/>
          <w:sz w:val="22"/>
          <w:szCs w:val="22"/>
        </w:rPr>
        <w:t xml:space="preserve">                   </w:t>
      </w:r>
      <w:r w:rsidRPr="003060BB">
        <w:rPr>
          <w:rFonts w:asciiTheme="minorHAnsi" w:hAnsiTheme="minorHAnsi" w:cstheme="minorHAnsi"/>
          <w:color w:val="auto"/>
          <w:sz w:val="22"/>
          <w:szCs w:val="22"/>
        </w:rPr>
        <w:tab/>
        <w:t xml:space="preserve">$0   </w:t>
      </w:r>
    </w:p>
    <w:p w14:paraId="655C0C66" w14:textId="56C56022" w:rsidR="00350FC6" w:rsidRPr="00624F9C" w:rsidRDefault="00350FC6" w:rsidP="00624F9C">
      <w:pPr>
        <w:pStyle w:val="Default"/>
        <w:tabs>
          <w:tab w:val="decimal" w:pos="5130"/>
        </w:tabs>
        <w:jc w:val="both"/>
        <w:rPr>
          <w:rFonts w:asciiTheme="minorHAnsi" w:hAnsiTheme="minorHAnsi" w:cstheme="minorHAnsi"/>
          <w:b/>
          <w:color w:val="auto"/>
          <w:sz w:val="22"/>
          <w:szCs w:val="22"/>
        </w:rPr>
      </w:pPr>
      <w:r w:rsidRPr="003060BB">
        <w:rPr>
          <w:rFonts w:asciiTheme="minorHAnsi" w:hAnsiTheme="minorHAnsi" w:cstheme="minorHAnsi"/>
          <w:color w:val="auto"/>
          <w:sz w:val="22"/>
          <w:szCs w:val="22"/>
        </w:rPr>
        <w:t xml:space="preserve">           </w:t>
      </w:r>
      <w:r w:rsidRPr="003060BB">
        <w:rPr>
          <w:rFonts w:asciiTheme="minorHAnsi" w:hAnsiTheme="minorHAnsi" w:cstheme="minorHAnsi"/>
          <w:b/>
          <w:bCs/>
          <w:color w:val="auto"/>
          <w:sz w:val="22"/>
          <w:szCs w:val="22"/>
        </w:rPr>
        <w:t>Total:</w:t>
      </w:r>
      <w:r w:rsidRPr="003060BB">
        <w:rPr>
          <w:rFonts w:asciiTheme="minorHAnsi" w:hAnsiTheme="minorHAnsi" w:cstheme="minorHAnsi"/>
          <w:color w:val="auto"/>
          <w:sz w:val="22"/>
          <w:szCs w:val="22"/>
        </w:rPr>
        <w:t xml:space="preserve">     </w:t>
      </w:r>
      <w:r w:rsidRPr="003060BB">
        <w:rPr>
          <w:rFonts w:asciiTheme="minorHAnsi" w:hAnsiTheme="minorHAnsi" w:cstheme="minorHAnsi"/>
          <w:color w:val="auto"/>
          <w:sz w:val="22"/>
          <w:szCs w:val="22"/>
        </w:rPr>
        <w:tab/>
      </w:r>
      <w:r w:rsidR="0007128C" w:rsidRPr="00332EE8">
        <w:rPr>
          <w:rFonts w:asciiTheme="minorHAnsi" w:hAnsiTheme="minorHAnsi" w:cstheme="minorHAnsi"/>
          <w:b/>
          <w:color w:val="auto"/>
          <w:sz w:val="22"/>
          <w:szCs w:val="22"/>
        </w:rPr>
        <w:t>$</w:t>
      </w:r>
      <w:r w:rsidR="00332EE8">
        <w:rPr>
          <w:rFonts w:asciiTheme="minorHAnsi" w:hAnsiTheme="minorHAnsi" w:cstheme="minorHAnsi"/>
          <w:b/>
          <w:color w:val="auto"/>
          <w:sz w:val="22"/>
          <w:szCs w:val="22"/>
        </w:rPr>
        <w:t>81,781,503</w:t>
      </w:r>
    </w:p>
    <w:p w14:paraId="17549EF7" w14:textId="77777777" w:rsidR="000E4B0A" w:rsidRPr="003060BB" w:rsidRDefault="000E4B0A">
      <w:pPr>
        <w:pStyle w:val="Default"/>
        <w:tabs>
          <w:tab w:val="decimal" w:pos="5130"/>
        </w:tabs>
        <w:ind w:hanging="1440"/>
        <w:jc w:val="both"/>
        <w:rPr>
          <w:rFonts w:asciiTheme="minorHAnsi" w:hAnsiTheme="minorHAnsi" w:cstheme="minorHAnsi"/>
          <w:color w:val="auto"/>
          <w:sz w:val="22"/>
          <w:szCs w:val="22"/>
        </w:rPr>
      </w:pPr>
    </w:p>
    <w:p w14:paraId="0C6F48E2" w14:textId="4FBD272E" w:rsidR="00350FC6" w:rsidRPr="003060BB" w:rsidRDefault="00350FC6" w:rsidP="004C2BB8">
      <w:pPr>
        <w:pStyle w:val="Default"/>
        <w:tabs>
          <w:tab w:val="decimal" w:pos="5130"/>
        </w:tabs>
        <w:jc w:val="both"/>
        <w:outlineLvl w:val="0"/>
        <w:rPr>
          <w:rFonts w:asciiTheme="minorHAnsi" w:hAnsiTheme="minorHAnsi" w:cstheme="minorHAnsi"/>
          <w:color w:val="auto"/>
          <w:sz w:val="22"/>
          <w:szCs w:val="22"/>
        </w:rPr>
      </w:pPr>
      <w:r w:rsidRPr="003060BB">
        <w:rPr>
          <w:rFonts w:asciiTheme="minorHAnsi" w:hAnsiTheme="minorHAnsi" w:cstheme="minorHAnsi"/>
          <w:b/>
          <w:bCs/>
          <w:color w:val="auto"/>
          <w:sz w:val="22"/>
          <w:szCs w:val="22"/>
        </w:rPr>
        <w:t xml:space="preserve">Uses of Funds: </w:t>
      </w:r>
    </w:p>
    <w:p w14:paraId="244BB4DC" w14:textId="77777777" w:rsidR="00350FC6" w:rsidRPr="003060BB" w:rsidRDefault="00350FC6" w:rsidP="007E6C33">
      <w:pPr>
        <w:pStyle w:val="Default"/>
        <w:numPr>
          <w:ilvl w:val="0"/>
          <w:numId w:val="25"/>
        </w:numPr>
        <w:tabs>
          <w:tab w:val="left" w:pos="4140"/>
          <w:tab w:val="decimal" w:pos="5130"/>
        </w:tabs>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Housing Program</w:t>
      </w:r>
      <w:r w:rsidR="00AB43E5" w:rsidRPr="003060BB">
        <w:rPr>
          <w:rFonts w:asciiTheme="minorHAnsi" w:hAnsiTheme="minorHAnsi" w:cstheme="minorHAnsi"/>
          <w:color w:val="auto"/>
          <w:sz w:val="22"/>
          <w:szCs w:val="22"/>
        </w:rPr>
        <w:t>s</w:t>
      </w:r>
      <w:r w:rsidR="00425FE2" w:rsidRPr="003060BB">
        <w:rPr>
          <w:rFonts w:asciiTheme="minorHAnsi" w:hAnsiTheme="minorHAnsi" w:cstheme="minorHAnsi"/>
          <w:color w:val="auto"/>
          <w:sz w:val="22"/>
          <w:szCs w:val="22"/>
        </w:rPr>
        <w:t xml:space="preserve"> (</w:t>
      </w:r>
      <w:proofErr w:type="gramStart"/>
      <w:r w:rsidR="00425FE2" w:rsidRPr="003060BB">
        <w:rPr>
          <w:rFonts w:asciiTheme="minorHAnsi" w:hAnsiTheme="minorHAnsi" w:cstheme="minorHAnsi"/>
          <w:color w:val="auto"/>
          <w:sz w:val="22"/>
          <w:szCs w:val="22"/>
        </w:rPr>
        <w:t>IHCDA)</w:t>
      </w:r>
      <w:r w:rsidRPr="003060BB">
        <w:rPr>
          <w:rFonts w:asciiTheme="minorHAnsi" w:hAnsiTheme="minorHAnsi" w:cstheme="minorHAnsi"/>
          <w:color w:val="auto"/>
          <w:sz w:val="22"/>
          <w:szCs w:val="22"/>
        </w:rPr>
        <w:t xml:space="preserve">   </w:t>
      </w:r>
      <w:proofErr w:type="gramEnd"/>
      <w:r w:rsidRPr="003060BB">
        <w:rPr>
          <w:rFonts w:asciiTheme="minorHAnsi" w:hAnsiTheme="minorHAnsi" w:cstheme="minorHAnsi"/>
          <w:color w:val="auto"/>
          <w:sz w:val="22"/>
          <w:szCs w:val="22"/>
        </w:rPr>
        <w:t xml:space="preserve">             </w:t>
      </w:r>
      <w:r w:rsidR="001D4CC1">
        <w:rPr>
          <w:rFonts w:asciiTheme="minorHAnsi" w:hAnsiTheme="minorHAnsi" w:cstheme="minorHAnsi"/>
          <w:color w:val="auto"/>
          <w:sz w:val="22"/>
          <w:szCs w:val="22"/>
        </w:rPr>
        <w:tab/>
      </w:r>
      <w:r w:rsidRPr="003060BB">
        <w:rPr>
          <w:rFonts w:asciiTheme="minorHAnsi" w:hAnsiTheme="minorHAnsi" w:cstheme="minorHAnsi"/>
          <w:color w:val="auto"/>
          <w:sz w:val="22"/>
          <w:szCs w:val="22"/>
        </w:rPr>
        <w:t xml:space="preserve">   </w:t>
      </w:r>
      <w:r w:rsidR="008A59F5" w:rsidRPr="003060BB">
        <w:rPr>
          <w:rFonts w:asciiTheme="minorHAnsi" w:hAnsiTheme="minorHAnsi" w:cstheme="minorHAnsi"/>
          <w:color w:val="auto"/>
          <w:sz w:val="22"/>
          <w:szCs w:val="22"/>
        </w:rPr>
        <w:tab/>
      </w:r>
      <w:r w:rsidRPr="003060BB">
        <w:rPr>
          <w:rFonts w:asciiTheme="minorHAnsi" w:hAnsiTheme="minorHAnsi" w:cstheme="minorHAnsi"/>
          <w:color w:val="auto"/>
          <w:sz w:val="22"/>
          <w:szCs w:val="22"/>
        </w:rPr>
        <w:t xml:space="preserve">  </w:t>
      </w:r>
      <w:r w:rsidRPr="003060BB">
        <w:rPr>
          <w:rFonts w:asciiTheme="minorHAnsi" w:hAnsiTheme="minorHAnsi" w:cstheme="minorHAnsi"/>
          <w:color w:val="auto"/>
          <w:sz w:val="22"/>
          <w:szCs w:val="22"/>
        </w:rPr>
        <w:tab/>
        <w:t>$</w:t>
      </w:r>
      <w:r w:rsidR="001D4CC1">
        <w:rPr>
          <w:rFonts w:asciiTheme="minorHAnsi" w:hAnsiTheme="minorHAnsi" w:cstheme="minorHAnsi"/>
          <w:color w:val="auto"/>
          <w:sz w:val="22"/>
          <w:szCs w:val="22"/>
        </w:rPr>
        <w:t xml:space="preserve">  </w:t>
      </w:r>
      <w:r w:rsidR="004E2FD6">
        <w:rPr>
          <w:rFonts w:asciiTheme="minorHAnsi" w:hAnsiTheme="minorHAnsi" w:cstheme="minorHAnsi"/>
          <w:color w:val="auto"/>
          <w:sz w:val="22"/>
          <w:szCs w:val="22"/>
        </w:rPr>
        <w:t>3,064,428</w:t>
      </w:r>
      <w:r w:rsidRPr="003060BB">
        <w:rPr>
          <w:rFonts w:asciiTheme="minorHAnsi" w:hAnsiTheme="minorHAnsi" w:cstheme="minorHAnsi"/>
          <w:color w:val="auto"/>
          <w:sz w:val="22"/>
          <w:szCs w:val="22"/>
        </w:rPr>
        <w:t xml:space="preserve"> </w:t>
      </w:r>
    </w:p>
    <w:p w14:paraId="07661C97" w14:textId="77777777" w:rsidR="00FF3739" w:rsidRPr="003060BB" w:rsidRDefault="00FF3739" w:rsidP="007E6C33">
      <w:pPr>
        <w:pStyle w:val="Default"/>
        <w:numPr>
          <w:ilvl w:val="0"/>
          <w:numId w:val="25"/>
        </w:numPr>
        <w:tabs>
          <w:tab w:val="left" w:pos="4140"/>
          <w:tab w:val="decimal" w:pos="5130"/>
        </w:tabs>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Stellar </w:t>
      </w:r>
      <w:r w:rsidR="004E2FD6">
        <w:rPr>
          <w:rFonts w:asciiTheme="minorHAnsi" w:hAnsiTheme="minorHAnsi" w:cstheme="minorHAnsi"/>
          <w:color w:val="auto"/>
          <w:sz w:val="22"/>
          <w:szCs w:val="22"/>
        </w:rPr>
        <w:t>Regions</w:t>
      </w:r>
      <w:r w:rsidRPr="003060BB">
        <w:rPr>
          <w:rFonts w:asciiTheme="minorHAnsi" w:hAnsiTheme="minorHAnsi" w:cstheme="minorHAnsi"/>
          <w:color w:val="auto"/>
          <w:sz w:val="22"/>
          <w:szCs w:val="22"/>
        </w:rPr>
        <w:t xml:space="preserve"> Program</w:t>
      </w:r>
      <w:r w:rsidRPr="003060BB">
        <w:rPr>
          <w:rFonts w:asciiTheme="minorHAnsi" w:hAnsiTheme="minorHAnsi" w:cstheme="minorHAnsi"/>
          <w:color w:val="auto"/>
          <w:sz w:val="22"/>
          <w:szCs w:val="22"/>
        </w:rPr>
        <w:tab/>
      </w:r>
      <w:r w:rsidR="008A59F5" w:rsidRPr="003060BB">
        <w:rPr>
          <w:rFonts w:asciiTheme="minorHAnsi" w:hAnsiTheme="minorHAnsi" w:cstheme="minorHAnsi"/>
          <w:color w:val="auto"/>
          <w:sz w:val="22"/>
          <w:szCs w:val="22"/>
        </w:rPr>
        <w:tab/>
      </w:r>
      <w:r w:rsidR="008A59F5" w:rsidRPr="003060BB">
        <w:rPr>
          <w:rFonts w:asciiTheme="minorHAnsi" w:hAnsiTheme="minorHAnsi" w:cstheme="minorHAnsi"/>
          <w:color w:val="auto"/>
          <w:sz w:val="22"/>
          <w:szCs w:val="22"/>
        </w:rPr>
        <w:tab/>
      </w:r>
      <w:proofErr w:type="gramStart"/>
      <w:r w:rsidRPr="003060BB">
        <w:rPr>
          <w:rFonts w:asciiTheme="minorHAnsi" w:hAnsiTheme="minorHAnsi" w:cstheme="minorHAnsi"/>
          <w:color w:val="auto"/>
          <w:sz w:val="22"/>
          <w:szCs w:val="22"/>
        </w:rPr>
        <w:t>$</w:t>
      </w:r>
      <w:r w:rsidR="001D4CC1">
        <w:rPr>
          <w:rFonts w:asciiTheme="minorHAnsi" w:hAnsiTheme="minorHAnsi" w:cstheme="minorHAnsi"/>
          <w:color w:val="auto"/>
          <w:sz w:val="22"/>
          <w:szCs w:val="22"/>
        </w:rPr>
        <w:t xml:space="preserve">  </w:t>
      </w:r>
      <w:r w:rsidR="006831C6" w:rsidRPr="003060BB">
        <w:rPr>
          <w:rFonts w:asciiTheme="minorHAnsi" w:hAnsiTheme="minorHAnsi" w:cstheme="minorHAnsi"/>
          <w:color w:val="auto"/>
          <w:sz w:val="22"/>
          <w:szCs w:val="22"/>
        </w:rPr>
        <w:t>4,000,000</w:t>
      </w:r>
      <w:proofErr w:type="gramEnd"/>
    </w:p>
    <w:p w14:paraId="736376F6" w14:textId="05075B01" w:rsidR="003B07A4" w:rsidRPr="003060BB" w:rsidRDefault="003B07A4" w:rsidP="003B07A4">
      <w:pPr>
        <w:pStyle w:val="Default"/>
        <w:numPr>
          <w:ilvl w:val="0"/>
          <w:numId w:val="25"/>
        </w:numPr>
        <w:tabs>
          <w:tab w:val="left" w:pos="4140"/>
          <w:tab w:val="decimal" w:pos="5130"/>
        </w:tabs>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Blight Clearance Program 2.0     </w:t>
      </w:r>
      <w:r w:rsidRPr="003060BB">
        <w:rPr>
          <w:rFonts w:asciiTheme="minorHAnsi" w:hAnsiTheme="minorHAnsi" w:cstheme="minorHAnsi"/>
          <w:color w:val="auto"/>
          <w:sz w:val="22"/>
          <w:szCs w:val="22"/>
        </w:rPr>
        <w:tab/>
      </w:r>
      <w:r w:rsidRPr="003060BB">
        <w:rPr>
          <w:rFonts w:asciiTheme="minorHAnsi" w:hAnsiTheme="minorHAnsi" w:cstheme="minorHAnsi"/>
          <w:color w:val="auto"/>
          <w:sz w:val="22"/>
          <w:szCs w:val="22"/>
        </w:rPr>
        <w:tab/>
      </w:r>
      <w:r w:rsidRPr="003060BB">
        <w:rPr>
          <w:rFonts w:asciiTheme="minorHAnsi" w:hAnsiTheme="minorHAnsi" w:cstheme="minorHAnsi"/>
          <w:color w:val="auto"/>
          <w:sz w:val="22"/>
          <w:szCs w:val="22"/>
        </w:rPr>
        <w:tab/>
      </w:r>
      <w:r w:rsidR="001D4CC1">
        <w:rPr>
          <w:rFonts w:asciiTheme="minorHAnsi" w:hAnsiTheme="minorHAnsi" w:cstheme="minorHAnsi"/>
          <w:color w:val="auto"/>
          <w:sz w:val="22"/>
          <w:szCs w:val="22"/>
        </w:rPr>
        <w:t xml:space="preserve">$ </w:t>
      </w:r>
      <w:r w:rsidR="00853490">
        <w:rPr>
          <w:rFonts w:asciiTheme="minorHAnsi" w:hAnsiTheme="minorHAnsi" w:cstheme="minorHAnsi"/>
          <w:color w:val="auto"/>
          <w:sz w:val="22"/>
          <w:szCs w:val="22"/>
        </w:rPr>
        <w:tab/>
        <w:t xml:space="preserve"> </w:t>
      </w:r>
      <w:r w:rsidR="001D4CC1">
        <w:rPr>
          <w:rFonts w:asciiTheme="minorHAnsi" w:hAnsiTheme="minorHAnsi" w:cstheme="minorHAnsi"/>
          <w:color w:val="auto"/>
          <w:sz w:val="22"/>
          <w:szCs w:val="22"/>
        </w:rPr>
        <w:t xml:space="preserve"> </w:t>
      </w:r>
      <w:r w:rsidR="00853490">
        <w:rPr>
          <w:rFonts w:asciiTheme="minorHAnsi" w:hAnsiTheme="minorHAnsi" w:cstheme="minorHAnsi"/>
          <w:color w:val="auto"/>
          <w:sz w:val="22"/>
          <w:szCs w:val="22"/>
        </w:rPr>
        <w:t xml:space="preserve">   0</w:t>
      </w:r>
    </w:p>
    <w:p w14:paraId="49D7BEB7" w14:textId="1B964234" w:rsidR="004B5D32" w:rsidRPr="003060BB" w:rsidRDefault="008F105D" w:rsidP="007E6C33">
      <w:pPr>
        <w:pStyle w:val="Default"/>
        <w:numPr>
          <w:ilvl w:val="0"/>
          <w:numId w:val="25"/>
        </w:numPr>
        <w:tabs>
          <w:tab w:val="left" w:pos="4140"/>
          <w:tab w:val="decimal" w:pos="5130"/>
        </w:tabs>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Main Street Revitalization Program</w:t>
      </w:r>
      <w:r w:rsidR="004B5D32" w:rsidRPr="003060BB">
        <w:rPr>
          <w:rFonts w:asciiTheme="minorHAnsi" w:hAnsiTheme="minorHAnsi" w:cstheme="minorHAnsi"/>
          <w:color w:val="auto"/>
          <w:sz w:val="22"/>
          <w:szCs w:val="22"/>
        </w:rPr>
        <w:tab/>
      </w:r>
      <w:r w:rsidR="008A59F5" w:rsidRPr="003060BB">
        <w:rPr>
          <w:rFonts w:asciiTheme="minorHAnsi" w:hAnsiTheme="minorHAnsi" w:cstheme="minorHAnsi"/>
          <w:color w:val="auto"/>
          <w:sz w:val="22"/>
          <w:szCs w:val="22"/>
        </w:rPr>
        <w:tab/>
      </w:r>
      <w:r w:rsidR="004B5D32" w:rsidRPr="003060BB">
        <w:rPr>
          <w:rFonts w:asciiTheme="minorHAnsi" w:hAnsiTheme="minorHAnsi" w:cstheme="minorHAnsi"/>
          <w:color w:val="auto"/>
          <w:sz w:val="22"/>
          <w:szCs w:val="22"/>
        </w:rPr>
        <w:tab/>
      </w:r>
      <w:proofErr w:type="gramStart"/>
      <w:r w:rsidR="00B90B9B" w:rsidRPr="003060BB">
        <w:rPr>
          <w:rFonts w:asciiTheme="minorHAnsi" w:hAnsiTheme="minorHAnsi" w:cstheme="minorHAnsi"/>
          <w:color w:val="auto"/>
          <w:sz w:val="22"/>
          <w:szCs w:val="22"/>
        </w:rPr>
        <w:t>$</w:t>
      </w:r>
      <w:r w:rsidR="00853490">
        <w:rPr>
          <w:rFonts w:asciiTheme="minorHAnsi" w:hAnsiTheme="minorHAnsi" w:cstheme="minorHAnsi"/>
          <w:color w:val="auto"/>
          <w:sz w:val="22"/>
          <w:szCs w:val="22"/>
        </w:rPr>
        <w:t xml:space="preserve">  1,2</w:t>
      </w:r>
      <w:r w:rsidR="006831C6" w:rsidRPr="003060BB">
        <w:rPr>
          <w:rFonts w:asciiTheme="minorHAnsi" w:hAnsiTheme="minorHAnsi" w:cstheme="minorHAnsi"/>
          <w:color w:val="auto"/>
          <w:sz w:val="22"/>
          <w:szCs w:val="22"/>
        </w:rPr>
        <w:t>00,000</w:t>
      </w:r>
      <w:proofErr w:type="gramEnd"/>
    </w:p>
    <w:p w14:paraId="74BC5C5A" w14:textId="534D16CD" w:rsidR="003B07A4" w:rsidRPr="003060BB" w:rsidRDefault="003B07A4" w:rsidP="003B07A4">
      <w:pPr>
        <w:pStyle w:val="Default"/>
        <w:numPr>
          <w:ilvl w:val="0"/>
          <w:numId w:val="25"/>
        </w:numPr>
        <w:tabs>
          <w:tab w:val="left" w:pos="4140"/>
          <w:tab w:val="decimal" w:pos="5130"/>
        </w:tabs>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Public Facilities Program</w:t>
      </w:r>
      <w:r w:rsidRPr="003060BB">
        <w:rPr>
          <w:rFonts w:asciiTheme="minorHAnsi" w:hAnsiTheme="minorHAnsi" w:cstheme="minorHAnsi"/>
          <w:color w:val="auto"/>
          <w:sz w:val="22"/>
          <w:szCs w:val="22"/>
        </w:rPr>
        <w:tab/>
      </w:r>
      <w:r w:rsidRPr="003060BB">
        <w:rPr>
          <w:rFonts w:asciiTheme="minorHAnsi" w:hAnsiTheme="minorHAnsi" w:cstheme="minorHAnsi"/>
          <w:color w:val="auto"/>
          <w:sz w:val="22"/>
          <w:szCs w:val="22"/>
        </w:rPr>
        <w:tab/>
      </w:r>
      <w:r w:rsidRPr="003060BB">
        <w:rPr>
          <w:rFonts w:asciiTheme="minorHAnsi" w:hAnsiTheme="minorHAnsi" w:cstheme="minorHAnsi"/>
          <w:color w:val="auto"/>
          <w:sz w:val="22"/>
          <w:szCs w:val="22"/>
        </w:rPr>
        <w:tab/>
      </w:r>
      <w:proofErr w:type="gramStart"/>
      <w:r w:rsidRPr="003060BB">
        <w:rPr>
          <w:rFonts w:asciiTheme="minorHAnsi" w:hAnsiTheme="minorHAnsi" w:cstheme="minorHAnsi"/>
          <w:color w:val="auto"/>
          <w:sz w:val="22"/>
          <w:szCs w:val="22"/>
        </w:rPr>
        <w:t>$</w:t>
      </w:r>
      <w:r w:rsidR="00853490">
        <w:rPr>
          <w:rFonts w:asciiTheme="minorHAnsi" w:hAnsiTheme="minorHAnsi" w:cstheme="minorHAnsi"/>
          <w:color w:val="auto"/>
          <w:sz w:val="22"/>
          <w:szCs w:val="22"/>
        </w:rPr>
        <w:t xml:space="preserve">  2,5</w:t>
      </w:r>
      <w:r w:rsidRPr="003060BB">
        <w:rPr>
          <w:rFonts w:asciiTheme="minorHAnsi" w:hAnsiTheme="minorHAnsi" w:cstheme="minorHAnsi"/>
          <w:color w:val="auto"/>
          <w:sz w:val="22"/>
          <w:szCs w:val="22"/>
        </w:rPr>
        <w:t>00,000</w:t>
      </w:r>
      <w:proofErr w:type="gramEnd"/>
    </w:p>
    <w:p w14:paraId="792FDBC8" w14:textId="08B70F07" w:rsidR="003B07A4" w:rsidRPr="003060BB" w:rsidRDefault="003B07A4" w:rsidP="003B07A4">
      <w:pPr>
        <w:pStyle w:val="Default"/>
        <w:numPr>
          <w:ilvl w:val="0"/>
          <w:numId w:val="25"/>
        </w:numPr>
        <w:tabs>
          <w:tab w:val="left" w:pos="4140"/>
          <w:tab w:val="decimal" w:pos="5130"/>
        </w:tabs>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Storm Water Improvements Program</w:t>
      </w:r>
      <w:r w:rsidRPr="003060BB">
        <w:rPr>
          <w:rFonts w:asciiTheme="minorHAnsi" w:hAnsiTheme="minorHAnsi" w:cstheme="minorHAnsi"/>
          <w:color w:val="auto"/>
          <w:sz w:val="22"/>
          <w:szCs w:val="22"/>
        </w:rPr>
        <w:tab/>
      </w:r>
      <w:r w:rsidRPr="003060BB">
        <w:rPr>
          <w:rFonts w:asciiTheme="minorHAnsi" w:hAnsiTheme="minorHAnsi" w:cstheme="minorHAnsi"/>
          <w:color w:val="auto"/>
          <w:sz w:val="22"/>
          <w:szCs w:val="22"/>
        </w:rPr>
        <w:tab/>
      </w:r>
      <w:r w:rsidRPr="003060BB">
        <w:rPr>
          <w:rFonts w:asciiTheme="minorHAnsi" w:hAnsiTheme="minorHAnsi" w:cstheme="minorHAnsi"/>
          <w:color w:val="auto"/>
          <w:sz w:val="22"/>
          <w:szCs w:val="22"/>
        </w:rPr>
        <w:tab/>
      </w:r>
      <w:proofErr w:type="gramStart"/>
      <w:r w:rsidRPr="003060BB">
        <w:rPr>
          <w:rFonts w:asciiTheme="minorHAnsi" w:hAnsiTheme="minorHAnsi" w:cstheme="minorHAnsi"/>
          <w:color w:val="auto"/>
          <w:sz w:val="22"/>
          <w:szCs w:val="22"/>
        </w:rPr>
        <w:t>$</w:t>
      </w:r>
      <w:r w:rsidR="00853490">
        <w:rPr>
          <w:rFonts w:asciiTheme="minorHAnsi" w:hAnsiTheme="minorHAnsi" w:cstheme="minorHAnsi"/>
          <w:color w:val="auto"/>
          <w:sz w:val="22"/>
          <w:szCs w:val="22"/>
        </w:rPr>
        <w:t xml:space="preserve">  3</w:t>
      </w:r>
      <w:r w:rsidR="001D4CC1">
        <w:rPr>
          <w:rFonts w:asciiTheme="minorHAnsi" w:hAnsiTheme="minorHAnsi" w:cstheme="minorHAnsi"/>
          <w:color w:val="auto"/>
          <w:sz w:val="22"/>
          <w:szCs w:val="22"/>
        </w:rPr>
        <w:t>,0</w:t>
      </w:r>
      <w:r w:rsidRPr="003060BB">
        <w:rPr>
          <w:rFonts w:asciiTheme="minorHAnsi" w:hAnsiTheme="minorHAnsi" w:cstheme="minorHAnsi"/>
          <w:color w:val="auto"/>
          <w:sz w:val="22"/>
          <w:szCs w:val="22"/>
        </w:rPr>
        <w:t>00,000</w:t>
      </w:r>
      <w:proofErr w:type="gramEnd"/>
    </w:p>
    <w:p w14:paraId="3C0F87DC" w14:textId="1895C3F1" w:rsidR="00A15AE9" w:rsidRPr="003060BB" w:rsidRDefault="00A15AE9" w:rsidP="007E6C33">
      <w:pPr>
        <w:pStyle w:val="Default"/>
        <w:numPr>
          <w:ilvl w:val="0"/>
          <w:numId w:val="25"/>
        </w:numPr>
        <w:tabs>
          <w:tab w:val="left" w:pos="4140"/>
          <w:tab w:val="decimal" w:pos="5130"/>
        </w:tabs>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Wastewater</w:t>
      </w:r>
      <w:r w:rsidR="002E0CF2" w:rsidRPr="003060BB">
        <w:rPr>
          <w:rFonts w:asciiTheme="minorHAnsi" w:hAnsiTheme="minorHAnsi" w:cstheme="minorHAnsi"/>
          <w:color w:val="auto"/>
          <w:sz w:val="22"/>
          <w:szCs w:val="22"/>
        </w:rPr>
        <w:t>/Drinking Water Improvements</w:t>
      </w:r>
      <w:r w:rsidR="007E6C33" w:rsidRPr="003060BB">
        <w:rPr>
          <w:rFonts w:asciiTheme="minorHAnsi" w:hAnsiTheme="minorHAnsi" w:cstheme="minorHAnsi"/>
          <w:color w:val="auto"/>
          <w:sz w:val="22"/>
          <w:szCs w:val="22"/>
        </w:rPr>
        <w:t xml:space="preserve"> Progra</w:t>
      </w:r>
      <w:r w:rsidR="007E2653" w:rsidRPr="003060BB">
        <w:rPr>
          <w:rFonts w:asciiTheme="minorHAnsi" w:hAnsiTheme="minorHAnsi" w:cstheme="minorHAnsi"/>
          <w:color w:val="auto"/>
          <w:sz w:val="22"/>
          <w:szCs w:val="22"/>
        </w:rPr>
        <w:t>m</w:t>
      </w:r>
      <w:r w:rsidR="007E6C33" w:rsidRPr="003060BB">
        <w:rPr>
          <w:rFonts w:asciiTheme="minorHAnsi" w:hAnsiTheme="minorHAnsi" w:cstheme="minorHAnsi"/>
          <w:color w:val="auto"/>
          <w:sz w:val="22"/>
          <w:szCs w:val="22"/>
        </w:rPr>
        <w:t xml:space="preserve">     </w:t>
      </w:r>
      <w:r w:rsidR="00B90B9B" w:rsidRPr="003060BB">
        <w:rPr>
          <w:rFonts w:asciiTheme="minorHAnsi" w:hAnsiTheme="minorHAnsi" w:cstheme="minorHAnsi"/>
          <w:color w:val="auto"/>
          <w:sz w:val="22"/>
          <w:szCs w:val="22"/>
        </w:rPr>
        <w:t xml:space="preserve"> </w:t>
      </w:r>
      <w:r w:rsidRPr="003060BB">
        <w:rPr>
          <w:rFonts w:asciiTheme="minorHAnsi" w:hAnsiTheme="minorHAnsi" w:cstheme="minorHAnsi"/>
          <w:color w:val="auto"/>
          <w:sz w:val="22"/>
          <w:szCs w:val="22"/>
        </w:rPr>
        <w:t>$</w:t>
      </w:r>
      <w:r w:rsidR="00BF19CE">
        <w:rPr>
          <w:rFonts w:asciiTheme="minorHAnsi" w:hAnsiTheme="minorHAnsi" w:cstheme="minorHAnsi"/>
          <w:color w:val="auto"/>
          <w:sz w:val="22"/>
          <w:szCs w:val="22"/>
        </w:rPr>
        <w:t>11,0</w:t>
      </w:r>
      <w:r w:rsidR="006831C6" w:rsidRPr="003060BB">
        <w:rPr>
          <w:rFonts w:asciiTheme="minorHAnsi" w:hAnsiTheme="minorHAnsi" w:cstheme="minorHAnsi"/>
          <w:color w:val="auto"/>
          <w:sz w:val="22"/>
          <w:szCs w:val="22"/>
        </w:rPr>
        <w:t>00,000</w:t>
      </w:r>
    </w:p>
    <w:p w14:paraId="3ADBD4AB" w14:textId="77777777" w:rsidR="00CF4BB6" w:rsidRPr="003060BB" w:rsidRDefault="00CF4BB6" w:rsidP="007E6C33">
      <w:pPr>
        <w:pStyle w:val="Default"/>
        <w:numPr>
          <w:ilvl w:val="0"/>
          <w:numId w:val="25"/>
        </w:numPr>
        <w:tabs>
          <w:tab w:val="left" w:pos="4140"/>
          <w:tab w:val="decimal" w:pos="5130"/>
        </w:tabs>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Urgent Need Fund</w:t>
      </w:r>
      <w:r w:rsidRPr="003060BB">
        <w:rPr>
          <w:rFonts w:asciiTheme="minorHAnsi" w:hAnsiTheme="minorHAnsi" w:cstheme="minorHAnsi"/>
          <w:color w:val="auto"/>
          <w:sz w:val="22"/>
          <w:szCs w:val="22"/>
        </w:rPr>
        <w:tab/>
      </w:r>
      <w:r w:rsidR="007E6C33" w:rsidRPr="003060BB">
        <w:rPr>
          <w:rFonts w:asciiTheme="minorHAnsi" w:hAnsiTheme="minorHAnsi" w:cstheme="minorHAnsi"/>
          <w:color w:val="auto"/>
          <w:sz w:val="22"/>
          <w:szCs w:val="22"/>
        </w:rPr>
        <w:tab/>
      </w:r>
      <w:r w:rsidR="007E6C33" w:rsidRPr="003060BB">
        <w:rPr>
          <w:rFonts w:asciiTheme="minorHAnsi" w:hAnsiTheme="minorHAnsi" w:cstheme="minorHAnsi"/>
          <w:color w:val="auto"/>
          <w:sz w:val="22"/>
          <w:szCs w:val="22"/>
        </w:rPr>
        <w:tab/>
        <w:t>$</w:t>
      </w:r>
      <w:r w:rsidR="001D4CC1">
        <w:rPr>
          <w:rFonts w:asciiTheme="minorHAnsi" w:hAnsiTheme="minorHAnsi" w:cstheme="minorHAnsi"/>
          <w:color w:val="auto"/>
          <w:sz w:val="22"/>
          <w:szCs w:val="22"/>
        </w:rPr>
        <w:t xml:space="preserve">   </w:t>
      </w:r>
      <w:r w:rsidR="007E6C33" w:rsidRPr="003060BB">
        <w:rPr>
          <w:rFonts w:asciiTheme="minorHAnsi" w:hAnsiTheme="minorHAnsi" w:cstheme="minorHAnsi"/>
          <w:color w:val="auto"/>
          <w:sz w:val="22"/>
          <w:szCs w:val="22"/>
        </w:rPr>
        <w:tab/>
        <w:t xml:space="preserve">  </w:t>
      </w:r>
      <w:r w:rsidR="001D4CC1">
        <w:rPr>
          <w:rFonts w:asciiTheme="minorHAnsi" w:hAnsiTheme="minorHAnsi" w:cstheme="minorHAnsi"/>
          <w:color w:val="auto"/>
          <w:sz w:val="22"/>
          <w:szCs w:val="22"/>
        </w:rPr>
        <w:t xml:space="preserve">   </w:t>
      </w:r>
      <w:r w:rsidRPr="003060BB">
        <w:rPr>
          <w:rFonts w:asciiTheme="minorHAnsi" w:hAnsiTheme="minorHAnsi" w:cstheme="minorHAnsi"/>
          <w:color w:val="auto"/>
          <w:sz w:val="22"/>
          <w:szCs w:val="22"/>
        </w:rPr>
        <w:t>0</w:t>
      </w:r>
    </w:p>
    <w:p w14:paraId="1E7A847B" w14:textId="703C0578" w:rsidR="00AE6A79" w:rsidRDefault="00AE6A79" w:rsidP="00AE6A79">
      <w:pPr>
        <w:pStyle w:val="Default"/>
        <w:numPr>
          <w:ilvl w:val="0"/>
          <w:numId w:val="25"/>
        </w:numPr>
        <w:tabs>
          <w:tab w:val="left" w:pos="4140"/>
          <w:tab w:val="decimal" w:pos="5130"/>
        </w:tabs>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Planning Fund                   </w:t>
      </w:r>
      <w:r w:rsidRPr="003060BB">
        <w:rPr>
          <w:rFonts w:asciiTheme="minorHAnsi" w:hAnsiTheme="minorHAnsi" w:cstheme="minorHAnsi"/>
          <w:color w:val="auto"/>
          <w:sz w:val="22"/>
          <w:szCs w:val="22"/>
        </w:rPr>
        <w:tab/>
      </w:r>
      <w:r w:rsidRPr="003060BB">
        <w:rPr>
          <w:rFonts w:asciiTheme="minorHAnsi" w:hAnsiTheme="minorHAnsi" w:cstheme="minorHAnsi"/>
          <w:color w:val="auto"/>
          <w:sz w:val="22"/>
          <w:szCs w:val="22"/>
        </w:rPr>
        <w:tab/>
      </w:r>
      <w:r w:rsidRPr="003060BB">
        <w:rPr>
          <w:rFonts w:asciiTheme="minorHAnsi" w:hAnsiTheme="minorHAnsi" w:cstheme="minorHAnsi"/>
          <w:color w:val="auto"/>
          <w:sz w:val="22"/>
          <w:szCs w:val="22"/>
        </w:rPr>
        <w:tab/>
        <w:t>$</w:t>
      </w:r>
      <w:r w:rsidR="001D4CC1">
        <w:rPr>
          <w:rFonts w:asciiTheme="minorHAnsi" w:hAnsiTheme="minorHAnsi" w:cstheme="minorHAnsi"/>
          <w:color w:val="auto"/>
          <w:sz w:val="22"/>
          <w:szCs w:val="22"/>
        </w:rPr>
        <w:t xml:space="preserve">  </w:t>
      </w:r>
      <w:r w:rsidR="00BF19CE">
        <w:rPr>
          <w:rFonts w:asciiTheme="minorHAnsi" w:hAnsiTheme="minorHAnsi" w:cstheme="minorHAnsi"/>
          <w:color w:val="auto"/>
          <w:sz w:val="22"/>
          <w:szCs w:val="22"/>
        </w:rPr>
        <w:t xml:space="preserve">   246,65</w:t>
      </w:r>
      <w:r w:rsidR="00853490">
        <w:rPr>
          <w:rFonts w:asciiTheme="minorHAnsi" w:hAnsiTheme="minorHAnsi" w:cstheme="minorHAnsi"/>
          <w:color w:val="auto"/>
          <w:sz w:val="22"/>
          <w:szCs w:val="22"/>
        </w:rPr>
        <w:t>0</w:t>
      </w:r>
    </w:p>
    <w:p w14:paraId="4DA2C7DC" w14:textId="0C6BF3CE" w:rsidR="004D6683" w:rsidRPr="003060BB" w:rsidRDefault="004D6683" w:rsidP="00AE6A79">
      <w:pPr>
        <w:pStyle w:val="Default"/>
        <w:numPr>
          <w:ilvl w:val="0"/>
          <w:numId w:val="25"/>
        </w:numPr>
        <w:tabs>
          <w:tab w:val="left" w:pos="4140"/>
          <w:tab w:val="decimal" w:pos="5130"/>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COVID-19 </w:t>
      </w:r>
      <w:r w:rsidR="00BF19CE">
        <w:rPr>
          <w:rFonts w:asciiTheme="minorHAnsi" w:hAnsiTheme="minorHAnsi" w:cstheme="minorHAnsi"/>
          <w:color w:val="auto"/>
          <w:sz w:val="22"/>
          <w:szCs w:val="22"/>
        </w:rPr>
        <w:t>Response</w:t>
      </w:r>
      <w:r>
        <w:rPr>
          <w:rFonts w:asciiTheme="minorHAnsi" w:hAnsiTheme="minorHAnsi" w:cstheme="minorHAnsi"/>
          <w:color w:val="auto"/>
          <w:sz w:val="22"/>
          <w:szCs w:val="22"/>
        </w:rPr>
        <w:t xml:space="preserve"> Program</w:t>
      </w:r>
      <w:r w:rsidR="004C2BB8">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4C2BB8" w:rsidRPr="00396A83">
        <w:rPr>
          <w:rFonts w:asciiTheme="minorHAnsi" w:hAnsiTheme="minorHAnsi" w:cstheme="minorHAnsi"/>
          <w:color w:val="auto"/>
          <w:sz w:val="22"/>
          <w:szCs w:val="22"/>
          <w:highlight w:val="cyan"/>
        </w:rPr>
        <w:t>$</w:t>
      </w:r>
      <w:r w:rsidR="00396A83" w:rsidRPr="00396A83">
        <w:rPr>
          <w:rFonts w:asciiTheme="minorHAnsi" w:hAnsiTheme="minorHAnsi" w:cstheme="minorHAnsi"/>
          <w:color w:val="auto"/>
          <w:sz w:val="22"/>
          <w:szCs w:val="22"/>
          <w:highlight w:val="cyan"/>
        </w:rPr>
        <w:t>52</w:t>
      </w:r>
      <w:r w:rsidR="00396A83" w:rsidRPr="00063881">
        <w:rPr>
          <w:rFonts w:asciiTheme="minorHAnsi" w:hAnsiTheme="minorHAnsi" w:cstheme="minorHAnsi"/>
          <w:color w:val="auto"/>
          <w:sz w:val="22"/>
          <w:szCs w:val="22"/>
          <w:highlight w:val="cyan"/>
        </w:rPr>
        <w:t>,</w:t>
      </w:r>
      <w:r w:rsidR="00063881" w:rsidRPr="00063881">
        <w:rPr>
          <w:rFonts w:asciiTheme="minorHAnsi" w:hAnsiTheme="minorHAnsi" w:cstheme="minorHAnsi"/>
          <w:color w:val="auto"/>
          <w:sz w:val="22"/>
          <w:szCs w:val="22"/>
          <w:highlight w:val="cyan"/>
        </w:rPr>
        <w:t>545149</w:t>
      </w:r>
    </w:p>
    <w:p w14:paraId="5D392CC9" w14:textId="43AFB50B" w:rsidR="00FE44C4" w:rsidRPr="003060BB" w:rsidRDefault="00FE44C4" w:rsidP="007E6C33">
      <w:pPr>
        <w:pStyle w:val="Default"/>
        <w:numPr>
          <w:ilvl w:val="0"/>
          <w:numId w:val="25"/>
        </w:numPr>
        <w:tabs>
          <w:tab w:val="left" w:pos="4140"/>
          <w:tab w:val="decimal" w:pos="5130"/>
        </w:tabs>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Te</w:t>
      </w:r>
      <w:r w:rsidR="004C2BB8">
        <w:rPr>
          <w:rFonts w:asciiTheme="minorHAnsi" w:hAnsiTheme="minorHAnsi" w:cstheme="minorHAnsi"/>
          <w:color w:val="auto"/>
          <w:sz w:val="22"/>
          <w:szCs w:val="22"/>
        </w:rPr>
        <w:t>chnical Assistance</w:t>
      </w:r>
      <w:r w:rsidR="004C2BB8">
        <w:rPr>
          <w:rFonts w:asciiTheme="minorHAnsi" w:hAnsiTheme="minorHAnsi" w:cstheme="minorHAnsi"/>
          <w:color w:val="auto"/>
          <w:sz w:val="22"/>
          <w:szCs w:val="22"/>
        </w:rPr>
        <w:tab/>
      </w:r>
      <w:r w:rsidR="004C2BB8">
        <w:rPr>
          <w:rFonts w:asciiTheme="minorHAnsi" w:hAnsiTheme="minorHAnsi" w:cstheme="minorHAnsi"/>
          <w:color w:val="auto"/>
          <w:sz w:val="22"/>
          <w:szCs w:val="22"/>
        </w:rPr>
        <w:tab/>
      </w:r>
      <w:r w:rsidR="004C2BB8">
        <w:rPr>
          <w:rFonts w:asciiTheme="minorHAnsi" w:hAnsiTheme="minorHAnsi" w:cstheme="minorHAnsi"/>
          <w:color w:val="auto"/>
          <w:sz w:val="22"/>
          <w:szCs w:val="22"/>
        </w:rPr>
        <w:tab/>
      </w:r>
      <w:proofErr w:type="gramStart"/>
      <w:r w:rsidRPr="00396A83">
        <w:rPr>
          <w:rFonts w:asciiTheme="minorHAnsi" w:hAnsiTheme="minorHAnsi" w:cstheme="minorHAnsi"/>
          <w:color w:val="auto"/>
          <w:sz w:val="22"/>
          <w:szCs w:val="22"/>
          <w:highlight w:val="cyan"/>
        </w:rPr>
        <w:t>$</w:t>
      </w:r>
      <w:r w:rsidR="004C2BB8" w:rsidRPr="00396A83">
        <w:rPr>
          <w:rFonts w:asciiTheme="minorHAnsi" w:hAnsiTheme="minorHAnsi" w:cstheme="minorHAnsi"/>
          <w:color w:val="auto"/>
          <w:sz w:val="22"/>
          <w:szCs w:val="22"/>
          <w:highlight w:val="cyan"/>
        </w:rPr>
        <w:t xml:space="preserve"> </w:t>
      </w:r>
      <w:r w:rsidR="001D4CC1" w:rsidRPr="00396A83">
        <w:rPr>
          <w:rFonts w:asciiTheme="minorHAnsi" w:hAnsiTheme="minorHAnsi" w:cstheme="minorHAnsi"/>
          <w:color w:val="auto"/>
          <w:sz w:val="22"/>
          <w:szCs w:val="22"/>
          <w:highlight w:val="cyan"/>
        </w:rPr>
        <w:t xml:space="preserve"> </w:t>
      </w:r>
      <w:r w:rsidR="00396A83">
        <w:rPr>
          <w:rFonts w:asciiTheme="minorHAnsi" w:hAnsiTheme="minorHAnsi" w:cstheme="minorHAnsi"/>
          <w:color w:val="auto"/>
          <w:sz w:val="22"/>
          <w:szCs w:val="22"/>
          <w:highlight w:val="cyan"/>
        </w:rPr>
        <w:t>1,030</w:t>
      </w:r>
      <w:r w:rsidR="000E4B0A" w:rsidRPr="00396A83">
        <w:rPr>
          <w:rFonts w:asciiTheme="minorHAnsi" w:hAnsiTheme="minorHAnsi" w:cstheme="minorHAnsi"/>
          <w:color w:val="auto"/>
          <w:sz w:val="22"/>
          <w:szCs w:val="22"/>
          <w:highlight w:val="cyan"/>
        </w:rPr>
        <w:t>,000</w:t>
      </w:r>
      <w:proofErr w:type="gramEnd"/>
      <w:r w:rsidRPr="003060BB">
        <w:rPr>
          <w:rFonts w:asciiTheme="minorHAnsi" w:hAnsiTheme="minorHAnsi" w:cstheme="minorHAnsi"/>
          <w:color w:val="auto"/>
          <w:sz w:val="22"/>
          <w:szCs w:val="22"/>
        </w:rPr>
        <w:t xml:space="preserve"> </w:t>
      </w:r>
    </w:p>
    <w:p w14:paraId="75780D82" w14:textId="1B348C7F" w:rsidR="00FE44C4" w:rsidRPr="003060BB" w:rsidRDefault="00FE44C4" w:rsidP="00447F24">
      <w:pPr>
        <w:pStyle w:val="Default"/>
        <w:numPr>
          <w:ilvl w:val="0"/>
          <w:numId w:val="25"/>
        </w:numPr>
        <w:tabs>
          <w:tab w:val="left" w:pos="4140"/>
          <w:tab w:val="decimal" w:pos="5130"/>
        </w:tabs>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Administration               </w:t>
      </w:r>
      <w:r w:rsidRPr="003060BB">
        <w:rPr>
          <w:rFonts w:asciiTheme="minorHAnsi" w:hAnsiTheme="minorHAnsi" w:cstheme="minorHAnsi"/>
          <w:color w:val="auto"/>
          <w:sz w:val="22"/>
          <w:szCs w:val="22"/>
        </w:rPr>
        <w:tab/>
      </w:r>
      <w:r w:rsidRPr="003060BB">
        <w:rPr>
          <w:rFonts w:asciiTheme="minorHAnsi" w:hAnsiTheme="minorHAnsi" w:cstheme="minorHAnsi"/>
          <w:color w:val="auto"/>
          <w:sz w:val="22"/>
          <w:szCs w:val="22"/>
        </w:rPr>
        <w:tab/>
      </w:r>
      <w:r w:rsidR="008A59F5" w:rsidRPr="003060BB">
        <w:rPr>
          <w:rFonts w:asciiTheme="minorHAnsi" w:hAnsiTheme="minorHAnsi" w:cstheme="minorHAnsi"/>
          <w:color w:val="auto"/>
          <w:sz w:val="22"/>
          <w:szCs w:val="22"/>
        </w:rPr>
        <w:tab/>
      </w:r>
      <w:proofErr w:type="gramStart"/>
      <w:r w:rsidRPr="00396A83">
        <w:rPr>
          <w:rFonts w:asciiTheme="minorHAnsi" w:hAnsiTheme="minorHAnsi" w:cstheme="minorHAnsi"/>
          <w:color w:val="auto"/>
          <w:sz w:val="22"/>
          <w:szCs w:val="22"/>
          <w:highlight w:val="cyan"/>
          <w:u w:val="single"/>
        </w:rPr>
        <w:t>$</w:t>
      </w:r>
      <w:r w:rsidR="008A59F5" w:rsidRPr="00396A83">
        <w:rPr>
          <w:rFonts w:asciiTheme="minorHAnsi" w:hAnsiTheme="minorHAnsi" w:cstheme="minorHAnsi"/>
          <w:color w:val="auto"/>
          <w:sz w:val="22"/>
          <w:szCs w:val="22"/>
          <w:highlight w:val="cyan"/>
          <w:u w:val="single"/>
        </w:rPr>
        <w:t xml:space="preserve">  </w:t>
      </w:r>
      <w:r w:rsidR="00396A83" w:rsidRPr="00396A83">
        <w:rPr>
          <w:rFonts w:asciiTheme="minorHAnsi" w:hAnsiTheme="minorHAnsi" w:cstheme="minorHAnsi"/>
          <w:color w:val="auto"/>
          <w:sz w:val="22"/>
          <w:szCs w:val="22"/>
          <w:highlight w:val="cyan"/>
          <w:u w:val="single"/>
        </w:rPr>
        <w:t>3,195,276</w:t>
      </w:r>
      <w:proofErr w:type="gramEnd"/>
    </w:p>
    <w:p w14:paraId="27DFA4CE" w14:textId="7D253699" w:rsidR="00624F9C" w:rsidRPr="00BF19CE" w:rsidRDefault="004C2BB8" w:rsidP="00BF19CE">
      <w:pPr>
        <w:pStyle w:val="Default"/>
        <w:tabs>
          <w:tab w:val="left" w:pos="3780"/>
          <w:tab w:val="right" w:pos="5130"/>
        </w:tabs>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       </w:t>
      </w:r>
      <w:r w:rsidR="00350FC6" w:rsidRPr="003060BB">
        <w:rPr>
          <w:rFonts w:asciiTheme="minorHAnsi" w:hAnsiTheme="minorHAnsi" w:cstheme="minorHAnsi"/>
          <w:b/>
          <w:bCs/>
          <w:color w:val="auto"/>
          <w:sz w:val="22"/>
          <w:szCs w:val="22"/>
        </w:rPr>
        <w:t>Total</w:t>
      </w:r>
      <w:r w:rsidR="0083679B" w:rsidRPr="003060BB">
        <w:rPr>
          <w:rFonts w:asciiTheme="minorHAnsi" w:hAnsiTheme="minorHAnsi" w:cstheme="minorHAnsi"/>
          <w:b/>
          <w:bCs/>
          <w:color w:val="auto"/>
          <w:sz w:val="22"/>
          <w:szCs w:val="22"/>
        </w:rPr>
        <w:t>:</w:t>
      </w:r>
      <w:r w:rsidR="00350FC6" w:rsidRPr="003060BB">
        <w:rPr>
          <w:rFonts w:asciiTheme="minorHAnsi" w:hAnsiTheme="minorHAnsi" w:cstheme="minorHAnsi"/>
          <w:b/>
          <w:bCs/>
          <w:color w:val="auto"/>
          <w:sz w:val="22"/>
          <w:szCs w:val="22"/>
        </w:rPr>
        <w:t xml:space="preserve"> </w:t>
      </w:r>
      <w:r w:rsidR="009757DE" w:rsidRPr="003060BB">
        <w:rPr>
          <w:rFonts w:asciiTheme="minorHAnsi" w:hAnsiTheme="minorHAnsi" w:cstheme="minorHAnsi"/>
          <w:b/>
          <w:bCs/>
          <w:color w:val="auto"/>
          <w:sz w:val="22"/>
          <w:szCs w:val="22"/>
        </w:rPr>
        <w:tab/>
      </w:r>
      <w:proofErr w:type="gramStart"/>
      <w:r w:rsidR="009757DE" w:rsidRPr="003060BB">
        <w:rPr>
          <w:rFonts w:asciiTheme="minorHAnsi" w:hAnsiTheme="minorHAnsi" w:cstheme="minorHAnsi"/>
          <w:b/>
          <w:bCs/>
          <w:color w:val="auto"/>
          <w:sz w:val="22"/>
          <w:szCs w:val="22"/>
        </w:rPr>
        <w:tab/>
      </w:r>
      <w:r w:rsidR="000E4B0A" w:rsidRPr="003060BB">
        <w:rPr>
          <w:rFonts w:asciiTheme="minorHAnsi" w:hAnsiTheme="minorHAnsi" w:cstheme="minorHAnsi"/>
          <w:b/>
          <w:bCs/>
          <w:color w:val="auto"/>
          <w:sz w:val="22"/>
          <w:szCs w:val="22"/>
        </w:rPr>
        <w:t xml:space="preserve">  </w:t>
      </w:r>
      <w:r w:rsidR="000E4B0A" w:rsidRPr="003060BB">
        <w:rPr>
          <w:rFonts w:asciiTheme="minorHAnsi" w:hAnsiTheme="minorHAnsi" w:cstheme="minorHAnsi"/>
          <w:b/>
          <w:bCs/>
          <w:color w:val="auto"/>
          <w:sz w:val="22"/>
          <w:szCs w:val="22"/>
        </w:rPr>
        <w:tab/>
      </w:r>
      <w:proofErr w:type="gramEnd"/>
      <w:r w:rsidR="004E2FD6" w:rsidRPr="00396A83">
        <w:rPr>
          <w:rFonts w:asciiTheme="minorHAnsi" w:hAnsiTheme="minorHAnsi" w:cstheme="minorHAnsi"/>
          <w:b/>
          <w:bCs/>
          <w:color w:val="auto"/>
          <w:sz w:val="22"/>
          <w:szCs w:val="22"/>
          <w:highlight w:val="cyan"/>
        </w:rPr>
        <w:t>$</w:t>
      </w:r>
      <w:r w:rsidR="00396A83" w:rsidRPr="00396A83">
        <w:rPr>
          <w:rFonts w:asciiTheme="minorHAnsi" w:hAnsiTheme="minorHAnsi" w:cstheme="minorHAnsi"/>
          <w:b/>
          <w:bCs/>
          <w:color w:val="auto"/>
          <w:sz w:val="22"/>
          <w:szCs w:val="22"/>
          <w:highlight w:val="cyan"/>
        </w:rPr>
        <w:t>81,781,503</w:t>
      </w:r>
      <w:r w:rsidR="00624F9C">
        <w:rPr>
          <w:rFonts w:asciiTheme="minorHAnsi" w:hAnsiTheme="minorHAnsi" w:cstheme="minorHAnsi"/>
          <w:b/>
          <w:bCs/>
          <w:sz w:val="22"/>
          <w:szCs w:val="22"/>
        </w:rPr>
        <w:br w:type="page"/>
      </w:r>
    </w:p>
    <w:p w14:paraId="394A30F7" w14:textId="77777777" w:rsidR="00350FC6" w:rsidRPr="003060BB" w:rsidRDefault="00350FC6">
      <w:pPr>
        <w:pStyle w:val="Default"/>
        <w:jc w:val="both"/>
        <w:outlineLvl w:val="0"/>
        <w:rPr>
          <w:rFonts w:asciiTheme="minorHAnsi" w:hAnsiTheme="minorHAnsi" w:cstheme="minorHAnsi"/>
          <w:color w:val="auto"/>
          <w:sz w:val="22"/>
          <w:szCs w:val="22"/>
        </w:rPr>
      </w:pPr>
      <w:r w:rsidRPr="003060BB">
        <w:rPr>
          <w:rFonts w:asciiTheme="minorHAnsi" w:hAnsiTheme="minorHAnsi" w:cstheme="minorHAnsi"/>
          <w:b/>
          <w:bCs/>
          <w:color w:val="auto"/>
          <w:sz w:val="22"/>
          <w:szCs w:val="22"/>
        </w:rPr>
        <w:lastRenderedPageBreak/>
        <w:t xml:space="preserve">METHOD OF DISTRIBUTION </w:t>
      </w:r>
    </w:p>
    <w:p w14:paraId="6E4555BC" w14:textId="77777777"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b/>
          <w:bCs/>
          <w:color w:val="auto"/>
          <w:sz w:val="22"/>
          <w:szCs w:val="22"/>
        </w:rPr>
        <w:t xml:space="preserve"> </w:t>
      </w:r>
    </w:p>
    <w:p w14:paraId="74F6FD9D" w14:textId="0752E9EA"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The choice of activities on which the State (Office of Community and Rural Affairs) CDBG funds are expended represents a determination by Office of Community and Rural Affairs and eligible units of general local government, developed </w:t>
      </w:r>
      <w:r w:rsidR="00F41ADE">
        <w:rPr>
          <w:rFonts w:asciiTheme="minorHAnsi" w:hAnsiTheme="minorHAnsi" w:cstheme="minorHAnsi"/>
          <w:color w:val="auto"/>
          <w:sz w:val="22"/>
          <w:szCs w:val="22"/>
        </w:rPr>
        <w:t>in accordance with the Office</w:t>
      </w:r>
      <w:r w:rsidRPr="003060BB">
        <w:rPr>
          <w:rFonts w:asciiTheme="minorHAnsi" w:hAnsiTheme="minorHAnsi" w:cstheme="minorHAnsi"/>
          <w:color w:val="auto"/>
          <w:sz w:val="22"/>
          <w:szCs w:val="22"/>
        </w:rPr>
        <w:t>'s CDBG program design an</w:t>
      </w:r>
      <w:r w:rsidR="00102AF1">
        <w:rPr>
          <w:rFonts w:asciiTheme="minorHAnsi" w:hAnsiTheme="minorHAnsi" w:cstheme="minorHAnsi"/>
          <w:color w:val="auto"/>
          <w:sz w:val="22"/>
          <w:szCs w:val="22"/>
        </w:rPr>
        <w:t xml:space="preserve">d procedures prescribed herein. </w:t>
      </w:r>
      <w:r w:rsidRPr="003060BB">
        <w:rPr>
          <w:rFonts w:asciiTheme="minorHAnsi" w:hAnsiTheme="minorHAnsi" w:cstheme="minorHAnsi"/>
          <w:color w:val="auto"/>
          <w:sz w:val="22"/>
          <w:szCs w:val="22"/>
        </w:rPr>
        <w:t xml:space="preserve"> The eligible activities enumerated in the following Method of Distribution are eligible CDBG activities as provided for under Section 105(a) of the Federal Act, as amended. </w:t>
      </w:r>
    </w:p>
    <w:p w14:paraId="426C54AA" w14:textId="77777777"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 </w:t>
      </w:r>
    </w:p>
    <w:p w14:paraId="50F8D580" w14:textId="77777777" w:rsidR="00350FC6"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All projects/activities funded by the State (Office of Community and Rural Affairs) will be made on a basis which addresses one (1) of the three (3) national objectives of the Small Cities CDBG Program as prescribed under Section 104(b)(3) of the Federal Act and 24 CFR 570.483 of implementing regulations promulgated by HUD.  CDBG funds will be distributed according to the following Method of Distribution (program descriptions): </w:t>
      </w:r>
    </w:p>
    <w:p w14:paraId="68D53410" w14:textId="0C5AB6BB" w:rsidR="00652937"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b/>
          <w:bCs/>
          <w:color w:val="auto"/>
          <w:sz w:val="22"/>
          <w:szCs w:val="22"/>
        </w:rPr>
        <w:t xml:space="preserve"> </w:t>
      </w:r>
    </w:p>
    <w:p w14:paraId="69E753F4" w14:textId="38F05AA6" w:rsidR="00FF3739" w:rsidRPr="00BA6071" w:rsidRDefault="009A60F3" w:rsidP="00FF373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COVID-19 Response</w:t>
      </w:r>
      <w:r w:rsidR="00FF3739" w:rsidRPr="00BA6071">
        <w:rPr>
          <w:rFonts w:asciiTheme="minorHAnsi" w:hAnsiTheme="minorHAnsi" w:cstheme="minorHAnsi"/>
          <w:b/>
          <w:bCs/>
          <w:color w:val="auto"/>
          <w:sz w:val="22"/>
          <w:szCs w:val="22"/>
        </w:rPr>
        <w:t xml:space="preserve"> Program: </w:t>
      </w:r>
      <w:r w:rsidR="004C2BB8" w:rsidRPr="00B8579F">
        <w:rPr>
          <w:rFonts w:asciiTheme="minorHAnsi" w:hAnsiTheme="minorHAnsi" w:cstheme="minorHAnsi"/>
          <w:bCs/>
          <w:color w:val="auto"/>
          <w:sz w:val="22"/>
          <w:szCs w:val="22"/>
          <w:highlight w:val="cyan"/>
        </w:rPr>
        <w:t>$</w:t>
      </w:r>
      <w:r w:rsidR="00B8579F" w:rsidRPr="00B8579F">
        <w:rPr>
          <w:rFonts w:asciiTheme="minorHAnsi" w:hAnsiTheme="minorHAnsi" w:cstheme="minorHAnsi"/>
          <w:bCs/>
          <w:color w:val="auto"/>
          <w:sz w:val="22"/>
          <w:szCs w:val="22"/>
          <w:highlight w:val="cyan"/>
        </w:rPr>
        <w:t>52</w:t>
      </w:r>
      <w:r w:rsidR="004C2BB8" w:rsidRPr="00B8579F">
        <w:rPr>
          <w:rFonts w:asciiTheme="minorHAnsi" w:hAnsiTheme="minorHAnsi" w:cstheme="minorHAnsi"/>
          <w:bCs/>
          <w:color w:val="auto"/>
          <w:sz w:val="22"/>
          <w:szCs w:val="22"/>
          <w:highlight w:val="cyan"/>
        </w:rPr>
        <w:t>,</w:t>
      </w:r>
      <w:r w:rsidR="00B8579F" w:rsidRPr="00B8579F">
        <w:rPr>
          <w:rFonts w:asciiTheme="minorHAnsi" w:hAnsiTheme="minorHAnsi" w:cstheme="minorHAnsi"/>
          <w:bCs/>
          <w:color w:val="auto"/>
          <w:sz w:val="22"/>
          <w:szCs w:val="22"/>
          <w:highlight w:val="cyan"/>
        </w:rPr>
        <w:t>354</w:t>
      </w:r>
      <w:r w:rsidR="00C726EC" w:rsidRPr="00B8579F">
        <w:rPr>
          <w:rFonts w:asciiTheme="minorHAnsi" w:hAnsiTheme="minorHAnsi" w:cstheme="minorHAnsi"/>
          <w:bCs/>
          <w:color w:val="auto"/>
          <w:sz w:val="22"/>
          <w:szCs w:val="22"/>
          <w:highlight w:val="cyan"/>
        </w:rPr>
        <w:t>,</w:t>
      </w:r>
      <w:r w:rsidR="00B8579F" w:rsidRPr="00B8579F">
        <w:rPr>
          <w:rFonts w:asciiTheme="minorHAnsi" w:hAnsiTheme="minorHAnsi" w:cstheme="minorHAnsi"/>
          <w:bCs/>
          <w:color w:val="auto"/>
          <w:sz w:val="22"/>
          <w:szCs w:val="22"/>
          <w:highlight w:val="cyan"/>
        </w:rPr>
        <w:t>763</w:t>
      </w:r>
    </w:p>
    <w:p w14:paraId="6A8CA901" w14:textId="77777777" w:rsidR="00FF3739" w:rsidRPr="00BA6071" w:rsidRDefault="00FF3739" w:rsidP="009222DD">
      <w:pPr>
        <w:pStyle w:val="Default"/>
        <w:jc w:val="both"/>
        <w:rPr>
          <w:rFonts w:asciiTheme="minorHAnsi" w:hAnsiTheme="minorHAnsi" w:cstheme="minorHAnsi"/>
          <w:b/>
          <w:bCs/>
          <w:color w:val="auto"/>
          <w:sz w:val="22"/>
          <w:szCs w:val="22"/>
        </w:rPr>
      </w:pPr>
    </w:p>
    <w:p w14:paraId="313C84C0" w14:textId="382ACA0F" w:rsidR="001D5FEE" w:rsidRPr="00BA6071" w:rsidRDefault="00FF3739" w:rsidP="197C930E">
      <w:pPr>
        <w:jc w:val="both"/>
        <w:rPr>
          <w:rFonts w:asciiTheme="minorHAnsi" w:hAnsiTheme="minorHAnsi" w:cstheme="minorBidi"/>
          <w:sz w:val="22"/>
          <w:szCs w:val="22"/>
        </w:rPr>
      </w:pPr>
      <w:r w:rsidRPr="197C930E">
        <w:rPr>
          <w:rFonts w:asciiTheme="minorHAnsi" w:hAnsiTheme="minorHAnsi" w:cstheme="minorBidi"/>
          <w:sz w:val="22"/>
          <w:szCs w:val="22"/>
        </w:rPr>
        <w:t xml:space="preserve">The State of Indiana </w:t>
      </w:r>
      <w:proofErr w:type="gramStart"/>
      <w:r w:rsidRPr="197C930E">
        <w:rPr>
          <w:rFonts w:asciiTheme="minorHAnsi" w:hAnsiTheme="minorHAnsi" w:cstheme="minorBidi"/>
          <w:sz w:val="22"/>
          <w:szCs w:val="22"/>
        </w:rPr>
        <w:t>will to</w:t>
      </w:r>
      <w:proofErr w:type="gramEnd"/>
      <w:r w:rsidRPr="197C930E">
        <w:rPr>
          <w:rFonts w:asciiTheme="minorHAnsi" w:hAnsiTheme="minorHAnsi" w:cstheme="minorBidi"/>
          <w:sz w:val="22"/>
          <w:szCs w:val="22"/>
        </w:rPr>
        <w:t xml:space="preserve"> set aside </w:t>
      </w:r>
      <w:r w:rsidR="00B8579F" w:rsidRPr="00B8579F">
        <w:rPr>
          <w:rFonts w:asciiTheme="minorHAnsi" w:hAnsiTheme="minorHAnsi" w:cstheme="minorHAnsi"/>
          <w:bCs/>
          <w:sz w:val="22"/>
          <w:szCs w:val="22"/>
          <w:highlight w:val="cyan"/>
        </w:rPr>
        <w:t>$52,354,763</w:t>
      </w:r>
      <w:r w:rsidR="00B8579F">
        <w:rPr>
          <w:rFonts w:asciiTheme="minorHAnsi" w:hAnsiTheme="minorHAnsi" w:cstheme="minorHAnsi"/>
          <w:bCs/>
          <w:sz w:val="22"/>
          <w:szCs w:val="22"/>
        </w:rPr>
        <w:t xml:space="preserve"> </w:t>
      </w:r>
      <w:r w:rsidR="00C726EC">
        <w:rPr>
          <w:rFonts w:asciiTheme="minorHAnsi" w:hAnsiTheme="minorHAnsi" w:cstheme="minorBidi"/>
          <w:sz w:val="22"/>
          <w:szCs w:val="22"/>
        </w:rPr>
        <w:t xml:space="preserve">of its FY 2019 </w:t>
      </w:r>
      <w:r w:rsidRPr="197C930E">
        <w:rPr>
          <w:rFonts w:asciiTheme="minorHAnsi" w:hAnsiTheme="minorHAnsi" w:cstheme="minorBidi"/>
          <w:sz w:val="22"/>
          <w:szCs w:val="22"/>
        </w:rPr>
        <w:t>CDBG</w:t>
      </w:r>
      <w:r w:rsidR="004C2BB8">
        <w:rPr>
          <w:rFonts w:asciiTheme="minorHAnsi" w:hAnsiTheme="minorHAnsi" w:cstheme="minorBidi"/>
          <w:sz w:val="22"/>
          <w:szCs w:val="22"/>
        </w:rPr>
        <w:t>, CDBG-</w:t>
      </w:r>
      <w:proofErr w:type="spellStart"/>
      <w:r w:rsidR="004C2BB8">
        <w:rPr>
          <w:rFonts w:asciiTheme="minorHAnsi" w:hAnsiTheme="minorHAnsi" w:cstheme="minorBidi"/>
          <w:sz w:val="22"/>
          <w:szCs w:val="22"/>
        </w:rPr>
        <w:t>CV1</w:t>
      </w:r>
      <w:proofErr w:type="spellEnd"/>
      <w:r w:rsidR="004C2BB8">
        <w:rPr>
          <w:rFonts w:asciiTheme="minorHAnsi" w:hAnsiTheme="minorHAnsi" w:cstheme="minorBidi"/>
          <w:sz w:val="22"/>
          <w:szCs w:val="22"/>
        </w:rPr>
        <w:t xml:space="preserve">, </w:t>
      </w:r>
      <w:r w:rsidR="004C2BB8" w:rsidRPr="00D20736">
        <w:rPr>
          <w:rFonts w:asciiTheme="minorHAnsi" w:hAnsiTheme="minorHAnsi" w:cstheme="minorBidi"/>
          <w:sz w:val="22"/>
          <w:szCs w:val="22"/>
        </w:rPr>
        <w:t>CDBG-</w:t>
      </w:r>
      <w:proofErr w:type="spellStart"/>
      <w:r w:rsidR="004C2BB8" w:rsidRPr="00D20736">
        <w:rPr>
          <w:rFonts w:asciiTheme="minorHAnsi" w:hAnsiTheme="minorHAnsi" w:cstheme="minorBidi"/>
          <w:sz w:val="22"/>
          <w:szCs w:val="22"/>
        </w:rPr>
        <w:t>CV2</w:t>
      </w:r>
      <w:proofErr w:type="spellEnd"/>
      <w:r w:rsidR="00D20736">
        <w:rPr>
          <w:rFonts w:asciiTheme="minorHAnsi" w:hAnsiTheme="minorHAnsi" w:cstheme="minorBidi"/>
          <w:sz w:val="22"/>
          <w:szCs w:val="22"/>
        </w:rPr>
        <w:t xml:space="preserve">, and </w:t>
      </w:r>
      <w:r w:rsidR="00D20736" w:rsidRPr="00D20736">
        <w:rPr>
          <w:rFonts w:asciiTheme="minorHAnsi" w:hAnsiTheme="minorHAnsi" w:cstheme="minorBidi"/>
          <w:sz w:val="22"/>
          <w:szCs w:val="22"/>
          <w:highlight w:val="cyan"/>
        </w:rPr>
        <w:t>CDBG-</w:t>
      </w:r>
      <w:proofErr w:type="spellStart"/>
      <w:r w:rsidR="00D20736" w:rsidRPr="00D20736">
        <w:rPr>
          <w:rFonts w:asciiTheme="minorHAnsi" w:hAnsiTheme="minorHAnsi" w:cstheme="minorBidi"/>
          <w:sz w:val="22"/>
          <w:szCs w:val="22"/>
          <w:highlight w:val="cyan"/>
        </w:rPr>
        <w:t>CV3</w:t>
      </w:r>
      <w:proofErr w:type="spellEnd"/>
      <w:r w:rsidRPr="197C930E">
        <w:rPr>
          <w:rFonts w:asciiTheme="minorHAnsi" w:hAnsiTheme="minorHAnsi" w:cstheme="minorBidi"/>
          <w:sz w:val="22"/>
          <w:szCs w:val="22"/>
        </w:rPr>
        <w:t xml:space="preserve"> funds for th</w:t>
      </w:r>
      <w:r w:rsidR="001D5FEE" w:rsidRPr="197C930E">
        <w:rPr>
          <w:rFonts w:asciiTheme="minorHAnsi" w:hAnsiTheme="minorHAnsi" w:cstheme="minorBidi"/>
          <w:sz w:val="22"/>
          <w:szCs w:val="22"/>
        </w:rPr>
        <w:t xml:space="preserve">e </w:t>
      </w:r>
      <w:r w:rsidR="009A60F3" w:rsidRPr="197C930E">
        <w:rPr>
          <w:rFonts w:asciiTheme="minorHAnsi" w:hAnsiTheme="minorHAnsi" w:cstheme="minorBidi"/>
          <w:sz w:val="22"/>
          <w:szCs w:val="22"/>
        </w:rPr>
        <w:t xml:space="preserve">COVID-19 Response Program. The program is to address the immediate and long-terms impacts on small and rural communities due to the COVID-19 pandemic. </w:t>
      </w:r>
      <w:proofErr w:type="gramStart"/>
      <w:r w:rsidR="009A60F3" w:rsidRPr="197C930E">
        <w:rPr>
          <w:rFonts w:asciiTheme="minorHAnsi" w:hAnsiTheme="minorHAnsi" w:cstheme="minorBidi"/>
          <w:sz w:val="22"/>
          <w:szCs w:val="22"/>
        </w:rPr>
        <w:t>In order to</w:t>
      </w:r>
      <w:proofErr w:type="gramEnd"/>
      <w:r w:rsidR="009A60F3" w:rsidRPr="197C930E">
        <w:rPr>
          <w:rFonts w:asciiTheme="minorHAnsi" w:hAnsiTheme="minorHAnsi" w:cstheme="minorBidi"/>
          <w:sz w:val="22"/>
          <w:szCs w:val="22"/>
        </w:rPr>
        <w:t xml:space="preserve"> respond quickly the program policies and processes have been adjusted by OCRA, but those adjustment</w:t>
      </w:r>
      <w:r w:rsidR="11093F0D" w:rsidRPr="197C930E">
        <w:rPr>
          <w:rFonts w:asciiTheme="minorHAnsi" w:hAnsiTheme="minorHAnsi" w:cstheme="minorBidi"/>
          <w:sz w:val="22"/>
          <w:szCs w:val="22"/>
        </w:rPr>
        <w:t>s</w:t>
      </w:r>
      <w:r w:rsidR="009A60F3" w:rsidRPr="197C930E">
        <w:rPr>
          <w:rFonts w:asciiTheme="minorHAnsi" w:hAnsiTheme="minorHAnsi" w:cstheme="minorBidi"/>
          <w:sz w:val="22"/>
          <w:szCs w:val="22"/>
        </w:rPr>
        <w:t xml:space="preserve"> only apply to this program. There is no local match requirement for this program. Details of the program criteria are outlined below.</w:t>
      </w:r>
      <w:r w:rsidR="004C2BB8">
        <w:rPr>
          <w:rFonts w:asciiTheme="minorHAnsi" w:hAnsiTheme="minorHAnsi" w:cstheme="minorBidi"/>
          <w:sz w:val="22"/>
          <w:szCs w:val="22"/>
        </w:rPr>
        <w:t xml:space="preserve"> </w:t>
      </w:r>
      <w:r w:rsidR="004C2BB8" w:rsidRPr="00D20736">
        <w:rPr>
          <w:rFonts w:asciiTheme="minorHAnsi" w:hAnsiTheme="minorHAnsi" w:cstheme="minorBidi"/>
          <w:sz w:val="22"/>
          <w:szCs w:val="22"/>
        </w:rPr>
        <w:t xml:space="preserve">OCRA may also partner with other state agencies to administer </w:t>
      </w:r>
      <w:r w:rsidR="00046C2B" w:rsidRPr="00D20736">
        <w:rPr>
          <w:rFonts w:asciiTheme="minorHAnsi" w:hAnsiTheme="minorHAnsi" w:cstheme="minorBidi"/>
          <w:sz w:val="22"/>
          <w:szCs w:val="22"/>
        </w:rPr>
        <w:t>COVID-19 related grant programs.</w:t>
      </w:r>
      <w:r w:rsidR="00046C2B">
        <w:rPr>
          <w:rFonts w:asciiTheme="minorHAnsi" w:hAnsiTheme="minorHAnsi" w:cstheme="minorBidi"/>
          <w:sz w:val="22"/>
          <w:szCs w:val="22"/>
        </w:rPr>
        <w:t xml:space="preserve"> </w:t>
      </w:r>
    </w:p>
    <w:p w14:paraId="324EFE9A" w14:textId="77777777" w:rsidR="00FF3739" w:rsidRPr="00BA6071" w:rsidRDefault="00FF3739" w:rsidP="00FF3739">
      <w:pPr>
        <w:rPr>
          <w:rFonts w:asciiTheme="minorHAnsi" w:hAnsiTheme="minorHAnsi" w:cstheme="minorHAnsi"/>
          <w:sz w:val="22"/>
          <w:szCs w:val="22"/>
        </w:rPr>
      </w:pPr>
    </w:p>
    <w:p w14:paraId="1B8A1D29" w14:textId="77777777" w:rsidR="00EB22A5" w:rsidRPr="00BA6071" w:rsidRDefault="00FF3739" w:rsidP="00EB22A5">
      <w:pPr>
        <w:pStyle w:val="Default"/>
        <w:jc w:val="both"/>
        <w:rPr>
          <w:rFonts w:asciiTheme="minorHAnsi" w:hAnsiTheme="minorHAnsi" w:cstheme="minorHAnsi"/>
          <w:color w:val="auto"/>
          <w:sz w:val="22"/>
          <w:szCs w:val="22"/>
        </w:rPr>
      </w:pPr>
      <w:r w:rsidRPr="00BA6071">
        <w:rPr>
          <w:rFonts w:asciiTheme="minorHAnsi" w:hAnsiTheme="minorHAnsi" w:cstheme="minorHAnsi"/>
          <w:color w:val="auto"/>
          <w:sz w:val="22"/>
          <w:szCs w:val="22"/>
        </w:rPr>
        <w:t xml:space="preserve">All projects funded by OCRA </w:t>
      </w:r>
      <w:r w:rsidR="00EB22A5" w:rsidRPr="00BA6071">
        <w:rPr>
          <w:rFonts w:asciiTheme="minorHAnsi" w:hAnsiTheme="minorHAnsi" w:cstheme="minorHAnsi"/>
          <w:color w:val="auto"/>
          <w:sz w:val="22"/>
          <w:szCs w:val="22"/>
        </w:rPr>
        <w:t xml:space="preserve">will be eligible for funding under a national objective of the Federal Act and requirements of 24 CFR 570.208 and 24 CFR 570.483 of applicable HUD regulations. </w:t>
      </w:r>
    </w:p>
    <w:p w14:paraId="1589BECF" w14:textId="77777777" w:rsidR="009A60F3" w:rsidRPr="003060BB" w:rsidRDefault="009A60F3" w:rsidP="009A60F3">
      <w:pPr>
        <w:pStyle w:val="Default"/>
        <w:jc w:val="both"/>
        <w:rPr>
          <w:rFonts w:asciiTheme="minorHAnsi" w:hAnsiTheme="minorHAnsi" w:cstheme="minorHAnsi"/>
          <w:color w:val="auto"/>
          <w:sz w:val="22"/>
          <w:szCs w:val="22"/>
        </w:rPr>
      </w:pPr>
    </w:p>
    <w:p w14:paraId="68BCCA01" w14:textId="77777777" w:rsidR="00350FC6" w:rsidRPr="003060BB" w:rsidRDefault="00350FC6">
      <w:pPr>
        <w:pStyle w:val="Default"/>
        <w:jc w:val="both"/>
        <w:outlineLvl w:val="0"/>
        <w:rPr>
          <w:rFonts w:asciiTheme="minorHAnsi" w:hAnsiTheme="minorHAnsi" w:cstheme="minorHAnsi"/>
          <w:color w:val="auto"/>
          <w:sz w:val="22"/>
          <w:szCs w:val="22"/>
        </w:rPr>
      </w:pPr>
      <w:r w:rsidRPr="003060BB">
        <w:rPr>
          <w:rFonts w:asciiTheme="minorHAnsi" w:hAnsiTheme="minorHAnsi" w:cstheme="minorHAnsi"/>
          <w:b/>
          <w:bCs/>
          <w:color w:val="auto"/>
          <w:sz w:val="22"/>
          <w:szCs w:val="22"/>
        </w:rPr>
        <w:t>PROGRAM APPLICATION</w:t>
      </w:r>
      <w:r w:rsidRPr="003060BB">
        <w:rPr>
          <w:rFonts w:asciiTheme="minorHAnsi" w:hAnsiTheme="minorHAnsi" w:cstheme="minorHAnsi"/>
          <w:color w:val="auto"/>
          <w:sz w:val="22"/>
          <w:szCs w:val="22"/>
        </w:rPr>
        <w:t xml:space="preserve"> </w:t>
      </w:r>
    </w:p>
    <w:p w14:paraId="5DE07A2A" w14:textId="771D6439" w:rsidR="005E43A5" w:rsidRPr="003060BB" w:rsidRDefault="00350FC6">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 </w:t>
      </w:r>
    </w:p>
    <w:p w14:paraId="42D6D213" w14:textId="6CE804EB" w:rsidR="00350FC6" w:rsidRDefault="009A60F3" w:rsidP="00583A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The</w:t>
      </w:r>
      <w:r w:rsidR="00C726EC">
        <w:rPr>
          <w:rFonts w:asciiTheme="minorHAnsi" w:hAnsiTheme="minorHAnsi" w:cstheme="minorHAnsi"/>
          <w:color w:val="auto"/>
          <w:sz w:val="22"/>
          <w:szCs w:val="22"/>
        </w:rPr>
        <w:t xml:space="preserve"> </w:t>
      </w:r>
      <w:r w:rsidR="00B8579F">
        <w:rPr>
          <w:rFonts w:asciiTheme="minorHAnsi" w:hAnsiTheme="minorHAnsi" w:cstheme="minorHAnsi"/>
          <w:color w:val="auto"/>
          <w:sz w:val="22"/>
          <w:szCs w:val="22"/>
        </w:rPr>
        <w:t>Phase 1</w:t>
      </w:r>
      <w:r w:rsidR="00C726EC">
        <w:rPr>
          <w:rFonts w:asciiTheme="minorHAnsi" w:hAnsiTheme="minorHAnsi" w:cstheme="minorHAnsi"/>
          <w:color w:val="auto"/>
          <w:sz w:val="22"/>
          <w:szCs w:val="22"/>
        </w:rPr>
        <w:t xml:space="preserve"> of the</w:t>
      </w:r>
      <w:r>
        <w:rPr>
          <w:rFonts w:asciiTheme="minorHAnsi" w:hAnsiTheme="minorHAnsi" w:cstheme="minorHAnsi"/>
          <w:color w:val="auto"/>
          <w:sz w:val="22"/>
          <w:szCs w:val="22"/>
        </w:rPr>
        <w:t xml:space="preserve"> grant program will start with </w:t>
      </w:r>
      <w:r w:rsidR="001F3EB6" w:rsidRPr="003060BB">
        <w:rPr>
          <w:rFonts w:asciiTheme="minorHAnsi" w:hAnsiTheme="minorHAnsi" w:cstheme="minorHAnsi"/>
          <w:color w:val="auto"/>
          <w:sz w:val="22"/>
          <w:szCs w:val="22"/>
        </w:rPr>
        <w:t>e</w:t>
      </w:r>
      <w:r w:rsidR="00350FC6" w:rsidRPr="003060BB">
        <w:rPr>
          <w:rFonts w:asciiTheme="minorHAnsi" w:hAnsiTheme="minorHAnsi" w:cstheme="minorHAnsi"/>
          <w:color w:val="auto"/>
          <w:sz w:val="22"/>
          <w:szCs w:val="22"/>
        </w:rPr>
        <w:t>ligible applicants submit</w:t>
      </w:r>
      <w:r>
        <w:rPr>
          <w:rFonts w:asciiTheme="minorHAnsi" w:hAnsiTheme="minorHAnsi" w:cstheme="minorHAnsi"/>
          <w:color w:val="auto"/>
          <w:sz w:val="22"/>
          <w:szCs w:val="22"/>
        </w:rPr>
        <w:t>ting</w:t>
      </w:r>
      <w:r w:rsidR="00350FC6" w:rsidRPr="003060BB">
        <w:rPr>
          <w:rFonts w:asciiTheme="minorHAnsi" w:hAnsiTheme="minorHAnsi" w:cstheme="minorHAnsi"/>
          <w:color w:val="auto"/>
          <w:sz w:val="22"/>
          <w:szCs w:val="22"/>
        </w:rPr>
        <w:t xml:space="preserve"> </w:t>
      </w:r>
      <w:r>
        <w:rPr>
          <w:rFonts w:asciiTheme="minorHAnsi" w:hAnsiTheme="minorHAnsi" w:cstheme="minorHAnsi"/>
          <w:color w:val="auto"/>
          <w:sz w:val="22"/>
          <w:szCs w:val="22"/>
        </w:rPr>
        <w:t>a Letter of Need</w:t>
      </w:r>
      <w:r w:rsidR="00350FC6" w:rsidRPr="003060BB">
        <w:rPr>
          <w:rFonts w:asciiTheme="minorHAnsi" w:hAnsiTheme="minorHAnsi" w:cstheme="minorHAnsi"/>
          <w:color w:val="auto"/>
          <w:sz w:val="22"/>
          <w:szCs w:val="22"/>
        </w:rPr>
        <w:t>.</w:t>
      </w:r>
      <w:r>
        <w:rPr>
          <w:rFonts w:asciiTheme="minorHAnsi" w:hAnsiTheme="minorHAnsi" w:cstheme="minorHAnsi"/>
          <w:color w:val="auto"/>
          <w:sz w:val="22"/>
          <w:szCs w:val="22"/>
        </w:rPr>
        <w:t xml:space="preserve"> In the Letter of Need the applicant outlines the impact of their community, identifies the eligible activity they are proposing, and outline how they will accomplish that activity. </w:t>
      </w:r>
      <w:r w:rsidR="00583AEB">
        <w:rPr>
          <w:rFonts w:asciiTheme="minorHAnsi" w:hAnsiTheme="minorHAnsi" w:cstheme="minorHAnsi"/>
          <w:color w:val="auto"/>
          <w:sz w:val="22"/>
          <w:szCs w:val="22"/>
        </w:rPr>
        <w:t xml:space="preserve">Once received by OCRA, each applicant will be assigned an OCRA staff member to guide them through the application process. The applicant will work with the assigned individual to complete the application and administer any award grant funds. </w:t>
      </w:r>
      <w:r w:rsidR="00C726EC">
        <w:rPr>
          <w:rFonts w:asciiTheme="minorHAnsi" w:hAnsiTheme="minorHAnsi" w:cstheme="minorHAnsi"/>
          <w:color w:val="auto"/>
          <w:sz w:val="22"/>
          <w:szCs w:val="22"/>
        </w:rPr>
        <w:t xml:space="preserve">Grants will be awarded on a first come first serve basis and the program maybe discontinued at any point. </w:t>
      </w:r>
    </w:p>
    <w:p w14:paraId="5C7E0936" w14:textId="77777777" w:rsidR="00C726EC" w:rsidRDefault="00C726EC" w:rsidP="00583AEB">
      <w:pPr>
        <w:pStyle w:val="Default"/>
        <w:jc w:val="both"/>
        <w:rPr>
          <w:rFonts w:asciiTheme="minorHAnsi" w:hAnsiTheme="minorHAnsi" w:cstheme="minorHAnsi"/>
          <w:color w:val="auto"/>
          <w:sz w:val="22"/>
          <w:szCs w:val="22"/>
        </w:rPr>
      </w:pPr>
    </w:p>
    <w:p w14:paraId="6A344CDC" w14:textId="638CBD17" w:rsidR="00C726EC" w:rsidRDefault="00B8579F" w:rsidP="00583A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Any additional</w:t>
      </w:r>
      <w:r w:rsidR="00C726EC">
        <w:rPr>
          <w:rFonts w:asciiTheme="minorHAnsi" w:hAnsiTheme="minorHAnsi" w:cstheme="minorHAnsi"/>
          <w:color w:val="auto"/>
          <w:sz w:val="22"/>
          <w:szCs w:val="22"/>
        </w:rPr>
        <w:t xml:space="preserve"> phase of the grant program will consist of a </w:t>
      </w:r>
      <w:r w:rsidR="00C726EC" w:rsidRPr="003060BB">
        <w:rPr>
          <w:rFonts w:asciiTheme="minorHAnsi" w:hAnsiTheme="minorHAnsi" w:cstheme="minorHAnsi"/>
          <w:color w:val="auto"/>
          <w:sz w:val="22"/>
          <w:szCs w:val="22"/>
        </w:rPr>
        <w:t xml:space="preserve">two-stage process, eligible applicants will first submit an abbreviated </w:t>
      </w:r>
      <w:r w:rsidR="00C726EC">
        <w:rPr>
          <w:rFonts w:asciiTheme="minorHAnsi" w:hAnsiTheme="minorHAnsi" w:cstheme="minorHAnsi"/>
          <w:color w:val="auto"/>
          <w:sz w:val="22"/>
          <w:szCs w:val="22"/>
        </w:rPr>
        <w:t>proposal</w:t>
      </w:r>
      <w:r w:rsidR="00C726EC" w:rsidRPr="003060BB">
        <w:rPr>
          <w:rFonts w:asciiTheme="minorHAnsi" w:hAnsiTheme="minorHAnsi" w:cstheme="minorHAnsi"/>
          <w:color w:val="auto"/>
          <w:sz w:val="22"/>
          <w:szCs w:val="22"/>
        </w:rPr>
        <w:t xml:space="preserve">.  For each </w:t>
      </w:r>
      <w:r w:rsidR="00C726EC">
        <w:rPr>
          <w:rFonts w:asciiTheme="minorHAnsi" w:hAnsiTheme="minorHAnsi" w:cstheme="minorHAnsi"/>
          <w:color w:val="auto"/>
          <w:sz w:val="22"/>
          <w:szCs w:val="22"/>
        </w:rPr>
        <w:t>proposal</w:t>
      </w:r>
      <w:r w:rsidR="00C726EC" w:rsidRPr="003060BB">
        <w:rPr>
          <w:rFonts w:asciiTheme="minorHAnsi" w:hAnsiTheme="minorHAnsi" w:cstheme="minorHAnsi"/>
          <w:color w:val="auto"/>
          <w:sz w:val="22"/>
          <w:szCs w:val="22"/>
        </w:rPr>
        <w:t>,</w:t>
      </w:r>
      <w:r w:rsidR="00C726EC">
        <w:rPr>
          <w:rFonts w:asciiTheme="minorHAnsi" w:hAnsiTheme="minorHAnsi" w:cstheme="minorHAnsi"/>
          <w:color w:val="auto"/>
          <w:sz w:val="22"/>
          <w:szCs w:val="22"/>
        </w:rPr>
        <w:t xml:space="preserve"> OCRA will work with the community on submission of an</w:t>
      </w:r>
      <w:r w:rsidR="00C726EC" w:rsidRPr="003060BB">
        <w:rPr>
          <w:rFonts w:asciiTheme="minorHAnsi" w:hAnsiTheme="minorHAnsi" w:cstheme="minorHAnsi"/>
          <w:color w:val="auto"/>
          <w:sz w:val="22"/>
          <w:szCs w:val="22"/>
        </w:rPr>
        <w:t xml:space="preserve"> application</w:t>
      </w:r>
      <w:r w:rsidR="00C726EC">
        <w:rPr>
          <w:rFonts w:asciiTheme="minorHAnsi" w:hAnsiTheme="minorHAnsi" w:cstheme="minorHAnsi"/>
          <w:color w:val="auto"/>
          <w:sz w:val="22"/>
          <w:szCs w:val="22"/>
        </w:rPr>
        <w:t xml:space="preserve"> that</w:t>
      </w:r>
      <w:r w:rsidR="00C726EC" w:rsidRPr="003060BB">
        <w:rPr>
          <w:rFonts w:asciiTheme="minorHAnsi" w:hAnsiTheme="minorHAnsi" w:cstheme="minorHAnsi"/>
          <w:color w:val="auto"/>
          <w:sz w:val="22"/>
          <w:szCs w:val="22"/>
        </w:rPr>
        <w:t xml:space="preserve"> will</w:t>
      </w:r>
      <w:r w:rsidR="00C726EC">
        <w:rPr>
          <w:rFonts w:asciiTheme="minorHAnsi" w:hAnsiTheme="minorHAnsi" w:cstheme="minorHAnsi"/>
          <w:color w:val="auto"/>
          <w:sz w:val="22"/>
          <w:szCs w:val="22"/>
        </w:rPr>
        <w:t xml:space="preserve"> then be reviewed and scored</w:t>
      </w:r>
      <w:r w:rsidR="00C726EC" w:rsidRPr="003060BB">
        <w:rPr>
          <w:rFonts w:asciiTheme="minorHAnsi" w:hAnsiTheme="minorHAnsi" w:cstheme="minorHAnsi"/>
          <w:color w:val="auto"/>
          <w:sz w:val="22"/>
          <w:szCs w:val="22"/>
        </w:rPr>
        <w:t xml:space="preserve">. </w:t>
      </w:r>
      <w:r w:rsidR="00C726EC">
        <w:rPr>
          <w:rFonts w:asciiTheme="minorHAnsi" w:hAnsiTheme="minorHAnsi" w:cstheme="minorHAnsi"/>
          <w:color w:val="auto"/>
          <w:sz w:val="22"/>
          <w:szCs w:val="22"/>
        </w:rPr>
        <w:t>Awards will be made on a competitive basis.</w:t>
      </w:r>
      <w:r w:rsidR="00C726EC" w:rsidRPr="003060BB">
        <w:rPr>
          <w:rFonts w:asciiTheme="minorHAnsi" w:hAnsiTheme="minorHAnsi" w:cstheme="minorHAnsi"/>
          <w:color w:val="auto"/>
          <w:sz w:val="22"/>
          <w:szCs w:val="22"/>
        </w:rPr>
        <w:t xml:space="preserve"> The Office of Community and Rural Affairs, as applicable, will provide technical assistance to the communities in the development of </w:t>
      </w:r>
      <w:r w:rsidR="00C726EC">
        <w:rPr>
          <w:rFonts w:asciiTheme="minorHAnsi" w:hAnsiTheme="minorHAnsi" w:cstheme="minorHAnsi"/>
          <w:color w:val="auto"/>
          <w:sz w:val="22"/>
          <w:szCs w:val="22"/>
        </w:rPr>
        <w:t>an application</w:t>
      </w:r>
      <w:r w:rsidR="00C726EC" w:rsidRPr="003060BB">
        <w:rPr>
          <w:rFonts w:asciiTheme="minorHAnsi" w:hAnsiTheme="minorHAnsi" w:cstheme="minorHAnsi"/>
          <w:color w:val="auto"/>
          <w:sz w:val="22"/>
          <w:szCs w:val="22"/>
        </w:rPr>
        <w:t xml:space="preserve">. </w:t>
      </w:r>
    </w:p>
    <w:p w14:paraId="1EEFBE8C" w14:textId="77777777" w:rsidR="00583AEB" w:rsidRDefault="00583AEB" w:rsidP="00583AEB">
      <w:pPr>
        <w:pStyle w:val="Default"/>
        <w:jc w:val="both"/>
        <w:rPr>
          <w:rFonts w:asciiTheme="minorHAnsi" w:hAnsiTheme="minorHAnsi" w:cstheme="minorHAnsi"/>
          <w:color w:val="auto"/>
          <w:sz w:val="22"/>
          <w:szCs w:val="22"/>
        </w:rPr>
      </w:pPr>
    </w:p>
    <w:p w14:paraId="1EB788F2" w14:textId="7C03AC7E" w:rsidR="00046C2B" w:rsidRDefault="00046C2B" w:rsidP="00583AEB">
      <w:pPr>
        <w:pStyle w:val="Default"/>
        <w:jc w:val="both"/>
        <w:rPr>
          <w:rFonts w:asciiTheme="minorHAnsi" w:hAnsiTheme="minorHAnsi" w:cstheme="minorHAnsi"/>
          <w:color w:val="auto"/>
          <w:sz w:val="22"/>
          <w:szCs w:val="22"/>
        </w:rPr>
      </w:pPr>
      <w:r w:rsidRPr="00D20736">
        <w:rPr>
          <w:rFonts w:asciiTheme="minorHAnsi" w:hAnsiTheme="minorHAnsi" w:cstheme="minorHAnsi"/>
          <w:color w:val="auto"/>
          <w:sz w:val="22"/>
          <w:szCs w:val="22"/>
        </w:rPr>
        <w:t>COVID-19 related grant programs administered by other state agencies will determine their own application processes and scoring criteria while still meeting as CDBG regulations and laws.</w:t>
      </w:r>
      <w:r>
        <w:rPr>
          <w:rFonts w:asciiTheme="minorHAnsi" w:hAnsiTheme="minorHAnsi" w:cstheme="minorHAnsi"/>
          <w:color w:val="auto"/>
          <w:sz w:val="22"/>
          <w:szCs w:val="22"/>
        </w:rPr>
        <w:t xml:space="preserve"> </w:t>
      </w:r>
    </w:p>
    <w:p w14:paraId="020D671D" w14:textId="77777777" w:rsidR="00046C2B" w:rsidRPr="003060BB" w:rsidRDefault="00046C2B" w:rsidP="00583AEB">
      <w:pPr>
        <w:pStyle w:val="Default"/>
        <w:jc w:val="both"/>
        <w:rPr>
          <w:rFonts w:asciiTheme="minorHAnsi" w:hAnsiTheme="minorHAnsi" w:cstheme="minorHAnsi"/>
          <w:color w:val="auto"/>
          <w:sz w:val="22"/>
          <w:szCs w:val="22"/>
        </w:rPr>
      </w:pPr>
    </w:p>
    <w:p w14:paraId="5AF7063D" w14:textId="64CB78EA" w:rsidR="00ED0DE7" w:rsidRPr="003060BB" w:rsidRDefault="00350FC6" w:rsidP="00046C2B">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An eligible applicant may submit only one</w:t>
      </w:r>
      <w:r w:rsidR="00583AEB">
        <w:rPr>
          <w:rFonts w:asciiTheme="minorHAnsi" w:hAnsiTheme="minorHAnsi" w:cstheme="minorHAnsi"/>
          <w:color w:val="auto"/>
          <w:sz w:val="22"/>
          <w:szCs w:val="22"/>
        </w:rPr>
        <w:t xml:space="preserve"> </w:t>
      </w:r>
      <w:r w:rsidR="00C726EC">
        <w:rPr>
          <w:rFonts w:asciiTheme="minorHAnsi" w:hAnsiTheme="minorHAnsi" w:cstheme="minorHAnsi"/>
          <w:color w:val="auto"/>
          <w:sz w:val="22"/>
          <w:szCs w:val="22"/>
        </w:rPr>
        <w:t>application</w:t>
      </w:r>
      <w:r w:rsidR="00583AEB">
        <w:rPr>
          <w:rFonts w:asciiTheme="minorHAnsi" w:hAnsiTheme="minorHAnsi" w:cstheme="minorHAnsi"/>
          <w:color w:val="auto"/>
          <w:sz w:val="22"/>
          <w:szCs w:val="22"/>
        </w:rPr>
        <w:t xml:space="preserve"> at a time</w:t>
      </w:r>
      <w:r w:rsidRPr="003060BB">
        <w:rPr>
          <w:rFonts w:asciiTheme="minorHAnsi" w:hAnsiTheme="minorHAnsi" w:cstheme="minorHAnsi"/>
          <w:color w:val="auto"/>
          <w:sz w:val="22"/>
          <w:szCs w:val="22"/>
        </w:rPr>
        <w:t xml:space="preserve">.  The Office of Community and Rural Affairs reserves the right to </w:t>
      </w:r>
      <w:r w:rsidR="00583AEB">
        <w:rPr>
          <w:rFonts w:asciiTheme="minorHAnsi" w:hAnsiTheme="minorHAnsi" w:cstheme="minorHAnsi"/>
          <w:color w:val="auto"/>
          <w:sz w:val="22"/>
          <w:szCs w:val="22"/>
        </w:rPr>
        <w:t xml:space="preserve">deny any request for grant funds if the applicant fails to provide items requested by </w:t>
      </w:r>
      <w:proofErr w:type="gramStart"/>
      <w:r w:rsidR="00583AEB">
        <w:rPr>
          <w:rFonts w:asciiTheme="minorHAnsi" w:hAnsiTheme="minorHAnsi" w:cstheme="minorHAnsi"/>
          <w:color w:val="auto"/>
          <w:sz w:val="22"/>
          <w:szCs w:val="22"/>
        </w:rPr>
        <w:t>OCRA, or</w:t>
      </w:r>
      <w:proofErr w:type="gramEnd"/>
      <w:r w:rsidR="00583AEB">
        <w:rPr>
          <w:rFonts w:asciiTheme="minorHAnsi" w:hAnsiTheme="minorHAnsi" w:cstheme="minorHAnsi"/>
          <w:color w:val="auto"/>
          <w:sz w:val="22"/>
          <w:szCs w:val="22"/>
        </w:rPr>
        <w:t xml:space="preserve"> does not meet the minimum federal requires and program criteria. </w:t>
      </w:r>
      <w:r w:rsidRPr="003060BB">
        <w:rPr>
          <w:rFonts w:asciiTheme="minorHAnsi" w:hAnsiTheme="minorHAnsi" w:cstheme="minorHAnsi"/>
          <w:color w:val="auto"/>
          <w:sz w:val="22"/>
          <w:szCs w:val="22"/>
        </w:rPr>
        <w:t xml:space="preserve"> </w:t>
      </w:r>
      <w:r w:rsidRPr="003060BB">
        <w:rPr>
          <w:rFonts w:asciiTheme="minorHAnsi" w:hAnsiTheme="minorHAnsi" w:cstheme="minorHAnsi"/>
          <w:b/>
          <w:bCs/>
          <w:color w:val="auto"/>
          <w:sz w:val="22"/>
          <w:szCs w:val="22"/>
        </w:rPr>
        <w:br w:type="page"/>
      </w:r>
    </w:p>
    <w:p w14:paraId="7E8088AF" w14:textId="3FB6B694" w:rsidR="00E266AD" w:rsidRPr="003060BB" w:rsidRDefault="00E12CCE" w:rsidP="00E266AD">
      <w:pPr>
        <w:pStyle w:val="Default"/>
        <w:jc w:val="center"/>
        <w:outlineLvl w:val="0"/>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COVID-19 RESPONSE PROGRAM</w:t>
      </w:r>
      <w:r w:rsidR="00E266AD" w:rsidRPr="003060BB">
        <w:rPr>
          <w:rFonts w:asciiTheme="minorHAnsi" w:hAnsiTheme="minorHAnsi" w:cstheme="minorHAnsi"/>
          <w:b/>
          <w:bCs/>
          <w:color w:val="auto"/>
          <w:sz w:val="22"/>
          <w:szCs w:val="22"/>
        </w:rPr>
        <w:t xml:space="preserve"> SELECTION CRITERIA </w:t>
      </w:r>
    </w:p>
    <w:p w14:paraId="24089B69" w14:textId="77777777" w:rsidR="00E266AD" w:rsidRPr="003060BB" w:rsidRDefault="00E266AD" w:rsidP="00E266AD">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 </w:t>
      </w:r>
    </w:p>
    <w:p w14:paraId="793ECC1B" w14:textId="77777777" w:rsidR="00E266AD" w:rsidRPr="003060BB" w:rsidRDefault="00E266AD" w:rsidP="00E266AD">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 </w:t>
      </w:r>
    </w:p>
    <w:p w14:paraId="79291427" w14:textId="0BFF57C5" w:rsidR="00E266AD" w:rsidRPr="003060BB" w:rsidRDefault="00E266AD" w:rsidP="00E266AD">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The Office of Community and Rural Affairs (OCRA) will consider the following general criteria when evaluating a project</w:t>
      </w:r>
      <w:r w:rsidR="00E12CCE">
        <w:rPr>
          <w:rFonts w:asciiTheme="minorHAnsi" w:hAnsiTheme="minorHAnsi" w:cstheme="minorHAnsi"/>
          <w:color w:val="auto"/>
          <w:sz w:val="22"/>
          <w:szCs w:val="22"/>
        </w:rPr>
        <w:t xml:space="preserve"> for the COVID-19 program. </w:t>
      </w:r>
    </w:p>
    <w:p w14:paraId="37F70F2F" w14:textId="77777777" w:rsidR="00E266AD" w:rsidRPr="003060BB" w:rsidRDefault="00E266AD" w:rsidP="00E266AD">
      <w:pPr>
        <w:pStyle w:val="Default"/>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 </w:t>
      </w:r>
    </w:p>
    <w:p w14:paraId="1C0E5106" w14:textId="5F8710FF" w:rsidR="00E266AD" w:rsidRPr="003060BB" w:rsidRDefault="00E266AD" w:rsidP="00E266AD">
      <w:pPr>
        <w:pStyle w:val="Default"/>
        <w:ind w:left="450" w:hanging="450"/>
        <w:jc w:val="both"/>
        <w:rPr>
          <w:rFonts w:asciiTheme="minorHAnsi" w:hAnsiTheme="minorHAnsi" w:cstheme="minorHAnsi"/>
          <w:color w:val="auto"/>
          <w:sz w:val="22"/>
          <w:szCs w:val="22"/>
        </w:rPr>
      </w:pPr>
      <w:r w:rsidRPr="003060BB">
        <w:rPr>
          <w:rFonts w:asciiTheme="minorHAnsi" w:hAnsiTheme="minorHAnsi" w:cstheme="minorHAnsi"/>
          <w:b/>
          <w:bCs/>
          <w:color w:val="auto"/>
          <w:sz w:val="22"/>
          <w:szCs w:val="22"/>
        </w:rPr>
        <w:t>A.  General Criteri</w:t>
      </w:r>
      <w:r w:rsidR="00E12CCE">
        <w:rPr>
          <w:rFonts w:asciiTheme="minorHAnsi" w:hAnsiTheme="minorHAnsi" w:cstheme="minorHAnsi"/>
          <w:b/>
          <w:bCs/>
          <w:color w:val="auto"/>
          <w:sz w:val="22"/>
          <w:szCs w:val="22"/>
        </w:rPr>
        <w:t>a for COVID-19 Response Program</w:t>
      </w:r>
      <w:r w:rsidRPr="003060BB">
        <w:rPr>
          <w:rFonts w:asciiTheme="minorHAnsi" w:hAnsiTheme="minorHAnsi" w:cstheme="minorHAnsi"/>
          <w:b/>
          <w:bCs/>
          <w:color w:val="auto"/>
          <w:sz w:val="22"/>
          <w:szCs w:val="22"/>
        </w:rPr>
        <w:t xml:space="preserve"> </w:t>
      </w:r>
    </w:p>
    <w:p w14:paraId="6C470993" w14:textId="77777777" w:rsidR="00E266AD" w:rsidRPr="003060BB" w:rsidRDefault="00E266AD" w:rsidP="00E266AD">
      <w:pPr>
        <w:pStyle w:val="Default"/>
        <w:jc w:val="both"/>
        <w:rPr>
          <w:rFonts w:asciiTheme="minorHAnsi" w:hAnsiTheme="minorHAnsi" w:cstheme="minorHAnsi"/>
          <w:color w:val="auto"/>
          <w:sz w:val="22"/>
          <w:szCs w:val="22"/>
        </w:rPr>
      </w:pPr>
      <w:r w:rsidRPr="003060BB">
        <w:rPr>
          <w:rFonts w:asciiTheme="minorHAnsi" w:hAnsiTheme="minorHAnsi" w:cstheme="minorHAnsi"/>
          <w:b/>
          <w:bCs/>
          <w:color w:val="auto"/>
          <w:sz w:val="22"/>
          <w:szCs w:val="22"/>
        </w:rPr>
        <w:t xml:space="preserve"> </w:t>
      </w:r>
    </w:p>
    <w:p w14:paraId="7C4747A8" w14:textId="77777777" w:rsidR="00E266AD" w:rsidRPr="003060BB" w:rsidRDefault="00E266AD" w:rsidP="00E266AD">
      <w:pPr>
        <w:pStyle w:val="Default"/>
        <w:numPr>
          <w:ilvl w:val="0"/>
          <w:numId w:val="6"/>
        </w:numPr>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The applicant must be a legally constituted </w:t>
      </w:r>
      <w:proofErr w:type="gramStart"/>
      <w:r w:rsidRPr="003060BB">
        <w:rPr>
          <w:rFonts w:asciiTheme="minorHAnsi" w:hAnsiTheme="minorHAnsi" w:cstheme="minorHAnsi"/>
          <w:color w:val="auto"/>
          <w:sz w:val="22"/>
          <w:szCs w:val="22"/>
        </w:rPr>
        <w:t>general purpose</w:t>
      </w:r>
      <w:proofErr w:type="gramEnd"/>
      <w:r w:rsidRPr="003060BB">
        <w:rPr>
          <w:rFonts w:asciiTheme="minorHAnsi" w:hAnsiTheme="minorHAnsi" w:cstheme="minorHAnsi"/>
          <w:color w:val="auto"/>
          <w:sz w:val="22"/>
          <w:szCs w:val="22"/>
        </w:rPr>
        <w:t xml:space="preserve"> unit of local government and eligible to apply for the state program. </w:t>
      </w:r>
    </w:p>
    <w:p w14:paraId="5594F097" w14:textId="77777777" w:rsidR="00E266AD" w:rsidRPr="003060BB" w:rsidRDefault="00E266AD" w:rsidP="00E266AD">
      <w:pPr>
        <w:pStyle w:val="Default"/>
        <w:ind w:firstLine="45"/>
        <w:jc w:val="both"/>
        <w:rPr>
          <w:rFonts w:asciiTheme="minorHAnsi" w:hAnsiTheme="minorHAnsi" w:cstheme="minorHAnsi"/>
          <w:color w:val="auto"/>
          <w:sz w:val="22"/>
          <w:szCs w:val="22"/>
        </w:rPr>
      </w:pPr>
    </w:p>
    <w:p w14:paraId="4DDEB4BC" w14:textId="77777777" w:rsidR="00E266AD" w:rsidRPr="003060BB" w:rsidRDefault="00E266AD" w:rsidP="00E266AD">
      <w:pPr>
        <w:pStyle w:val="Default"/>
        <w:numPr>
          <w:ilvl w:val="0"/>
          <w:numId w:val="6"/>
        </w:numPr>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The applicant must possess the legal capacity to carry out the proposed program. </w:t>
      </w:r>
    </w:p>
    <w:p w14:paraId="73C86F01" w14:textId="77777777" w:rsidR="00E266AD" w:rsidRPr="003060BB" w:rsidRDefault="00E266AD" w:rsidP="00E266AD">
      <w:pPr>
        <w:pStyle w:val="Default"/>
        <w:ind w:firstLine="45"/>
        <w:jc w:val="both"/>
        <w:rPr>
          <w:rFonts w:asciiTheme="minorHAnsi" w:hAnsiTheme="minorHAnsi" w:cstheme="minorHAnsi"/>
          <w:color w:val="auto"/>
          <w:sz w:val="22"/>
          <w:szCs w:val="22"/>
        </w:rPr>
      </w:pPr>
    </w:p>
    <w:p w14:paraId="6B5769FA" w14:textId="77777777" w:rsidR="00E266AD" w:rsidRPr="003060BB" w:rsidRDefault="00E266AD" w:rsidP="00E266AD">
      <w:pPr>
        <w:pStyle w:val="Default"/>
        <w:numPr>
          <w:ilvl w:val="0"/>
          <w:numId w:val="6"/>
        </w:numPr>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If the applicant has previously received funds under CDBG, they must have successfully carried out the program.  An applicant must not have any overdue closeout reports, State Board of Accounts audit findings or unresolved OCRA/IHCDA monitoring findings (where the community is responsible for resolution.)  Any determination of “overdue” is solely at the discretion of the Indiana Office of Community and Rural Affairs. </w:t>
      </w:r>
    </w:p>
    <w:p w14:paraId="13899C53" w14:textId="77777777" w:rsidR="00E266AD" w:rsidRPr="003060BB" w:rsidRDefault="00E266AD" w:rsidP="00E266AD">
      <w:pPr>
        <w:pStyle w:val="Default"/>
        <w:ind w:firstLine="45"/>
        <w:jc w:val="both"/>
        <w:rPr>
          <w:rFonts w:asciiTheme="minorHAnsi" w:hAnsiTheme="minorHAnsi" w:cstheme="minorHAnsi"/>
          <w:color w:val="auto"/>
          <w:sz w:val="22"/>
          <w:szCs w:val="22"/>
        </w:rPr>
      </w:pPr>
    </w:p>
    <w:p w14:paraId="213EE369" w14:textId="77777777" w:rsidR="00E266AD" w:rsidRPr="003060BB" w:rsidRDefault="00E266AD" w:rsidP="00E266AD">
      <w:pPr>
        <w:pStyle w:val="Default"/>
        <w:numPr>
          <w:ilvl w:val="0"/>
          <w:numId w:val="6"/>
        </w:numPr>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An applicant must not have any overdue CDBG semi-annual Grantee Performance Reports, subrecipient reports or other reporting requirements of the OCRA/IHCDA.  Any determination of “overdue” is solely at the discretion of the Indiana Office of Community and Rural Affairs. </w:t>
      </w:r>
    </w:p>
    <w:p w14:paraId="04A70306" w14:textId="77777777" w:rsidR="00E266AD" w:rsidRPr="003060BB" w:rsidRDefault="00E266AD" w:rsidP="00E266AD">
      <w:pPr>
        <w:pStyle w:val="Default"/>
        <w:ind w:firstLine="60"/>
        <w:jc w:val="both"/>
        <w:rPr>
          <w:rFonts w:asciiTheme="minorHAnsi" w:hAnsiTheme="minorHAnsi" w:cstheme="minorHAnsi"/>
          <w:color w:val="auto"/>
          <w:sz w:val="22"/>
          <w:szCs w:val="22"/>
        </w:rPr>
      </w:pPr>
    </w:p>
    <w:p w14:paraId="162BA26C" w14:textId="50CB6FB0" w:rsidR="00E266AD" w:rsidRDefault="00E266AD" w:rsidP="00E266AD">
      <w:pPr>
        <w:pStyle w:val="Default"/>
        <w:numPr>
          <w:ilvl w:val="0"/>
          <w:numId w:val="6"/>
        </w:numPr>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The applicant must clearly show the </w:t>
      </w:r>
      <w:proofErr w:type="gramStart"/>
      <w:r w:rsidRPr="003060BB">
        <w:rPr>
          <w:rFonts w:asciiTheme="minorHAnsi" w:hAnsiTheme="minorHAnsi" w:cstheme="minorHAnsi"/>
          <w:color w:val="auto"/>
          <w:sz w:val="22"/>
          <w:szCs w:val="22"/>
        </w:rPr>
        <w:t>manner in which</w:t>
      </w:r>
      <w:proofErr w:type="gramEnd"/>
      <w:r w:rsidRPr="003060BB">
        <w:rPr>
          <w:rFonts w:asciiTheme="minorHAnsi" w:hAnsiTheme="minorHAnsi" w:cstheme="minorHAnsi"/>
          <w:color w:val="auto"/>
          <w:sz w:val="22"/>
          <w:szCs w:val="22"/>
        </w:rPr>
        <w:t xml:space="preserve"> the proposed </w:t>
      </w:r>
      <w:r w:rsidR="003812F4">
        <w:rPr>
          <w:rFonts w:asciiTheme="minorHAnsi" w:hAnsiTheme="minorHAnsi" w:cstheme="minorHAnsi"/>
          <w:color w:val="auto"/>
          <w:sz w:val="22"/>
          <w:szCs w:val="22"/>
        </w:rPr>
        <w:t>activity</w:t>
      </w:r>
      <w:r w:rsidRPr="003060BB">
        <w:rPr>
          <w:rFonts w:asciiTheme="minorHAnsi" w:hAnsiTheme="minorHAnsi" w:cstheme="minorHAnsi"/>
          <w:color w:val="auto"/>
          <w:sz w:val="22"/>
          <w:szCs w:val="22"/>
        </w:rPr>
        <w:t xml:space="preserve"> will meet one of the</w:t>
      </w:r>
      <w:r w:rsidR="00D934E5">
        <w:rPr>
          <w:rFonts w:asciiTheme="minorHAnsi" w:hAnsiTheme="minorHAnsi" w:cstheme="minorHAnsi"/>
          <w:color w:val="auto"/>
          <w:sz w:val="22"/>
          <w:szCs w:val="22"/>
        </w:rPr>
        <w:t xml:space="preserve"> following CDBG National O</w:t>
      </w:r>
      <w:r w:rsidRPr="003060BB">
        <w:rPr>
          <w:rFonts w:asciiTheme="minorHAnsi" w:hAnsiTheme="minorHAnsi" w:cstheme="minorHAnsi"/>
          <w:color w:val="auto"/>
          <w:sz w:val="22"/>
          <w:szCs w:val="22"/>
        </w:rPr>
        <w:t xml:space="preserve">bjectives and meet the criteria </w:t>
      </w:r>
      <w:r w:rsidR="00D934E5">
        <w:rPr>
          <w:rFonts w:asciiTheme="minorHAnsi" w:hAnsiTheme="minorHAnsi" w:cstheme="minorHAnsi"/>
          <w:color w:val="auto"/>
          <w:sz w:val="22"/>
          <w:szCs w:val="22"/>
        </w:rPr>
        <w:t>set forth under 24 CFR 570.483:</w:t>
      </w:r>
    </w:p>
    <w:p w14:paraId="719EFB86" w14:textId="7A9BB410" w:rsidR="00D934E5" w:rsidRDefault="003812F4" w:rsidP="00D934E5">
      <w:pPr>
        <w:pStyle w:val="Default"/>
        <w:numPr>
          <w:ilvl w:val="1"/>
          <w:numId w:val="6"/>
        </w:numPr>
        <w:jc w:val="both"/>
        <w:rPr>
          <w:rFonts w:asciiTheme="minorHAnsi" w:hAnsiTheme="minorHAnsi" w:cstheme="minorHAnsi"/>
          <w:color w:val="auto"/>
          <w:sz w:val="22"/>
          <w:szCs w:val="22"/>
        </w:rPr>
      </w:pPr>
      <w:r>
        <w:rPr>
          <w:rFonts w:asciiTheme="minorHAnsi" w:hAnsiTheme="minorHAnsi" w:cstheme="minorHAnsi"/>
          <w:color w:val="auto"/>
          <w:sz w:val="22"/>
          <w:szCs w:val="22"/>
        </w:rPr>
        <w:t>Benefit to LOW- and Moderate-Income Persons or Households</w:t>
      </w:r>
    </w:p>
    <w:p w14:paraId="0FA2FB9F" w14:textId="491C03C0" w:rsidR="003812F4" w:rsidRDefault="003812F4" w:rsidP="003812F4">
      <w:pPr>
        <w:pStyle w:val="Default"/>
        <w:numPr>
          <w:ilvl w:val="2"/>
          <w:numId w:val="6"/>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Area Benefit – the proposed activity benefits all residents in a defined area in which at least 51% of the residents are </w:t>
      </w:r>
      <w:proofErr w:type="spellStart"/>
      <w:r>
        <w:rPr>
          <w:rFonts w:asciiTheme="minorHAnsi" w:hAnsiTheme="minorHAnsi" w:cstheme="minorHAnsi"/>
          <w:color w:val="auto"/>
          <w:sz w:val="22"/>
          <w:szCs w:val="22"/>
        </w:rPr>
        <w:t>LMI</w:t>
      </w:r>
      <w:proofErr w:type="spellEnd"/>
      <w:r>
        <w:rPr>
          <w:rFonts w:asciiTheme="minorHAnsi" w:hAnsiTheme="minorHAnsi" w:cstheme="minorHAnsi"/>
          <w:color w:val="auto"/>
          <w:sz w:val="22"/>
          <w:szCs w:val="22"/>
        </w:rPr>
        <w:t xml:space="preserve"> persons.</w:t>
      </w:r>
    </w:p>
    <w:p w14:paraId="4257B795" w14:textId="745F6334" w:rsidR="003812F4" w:rsidRDefault="003812F4" w:rsidP="003812F4">
      <w:pPr>
        <w:pStyle w:val="Default"/>
        <w:numPr>
          <w:ilvl w:val="2"/>
          <w:numId w:val="6"/>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Limited Clientele – the proposed activity benefits a defined group of persons and at least 51% of </w:t>
      </w:r>
      <w:proofErr w:type="gramStart"/>
      <w:r>
        <w:rPr>
          <w:rFonts w:asciiTheme="minorHAnsi" w:hAnsiTheme="minorHAnsi" w:cstheme="minorHAnsi"/>
          <w:color w:val="auto"/>
          <w:sz w:val="22"/>
          <w:szCs w:val="22"/>
        </w:rPr>
        <w:t>those person</w:t>
      </w:r>
      <w:proofErr w:type="gramEnd"/>
      <w:r>
        <w:rPr>
          <w:rFonts w:asciiTheme="minorHAnsi" w:hAnsiTheme="minorHAnsi" w:cstheme="minorHAnsi"/>
          <w:color w:val="auto"/>
          <w:sz w:val="22"/>
          <w:szCs w:val="22"/>
        </w:rPr>
        <w:t xml:space="preserve"> are </w:t>
      </w:r>
      <w:proofErr w:type="spellStart"/>
      <w:r>
        <w:rPr>
          <w:rFonts w:asciiTheme="minorHAnsi" w:hAnsiTheme="minorHAnsi" w:cstheme="minorHAnsi"/>
          <w:color w:val="auto"/>
          <w:sz w:val="22"/>
          <w:szCs w:val="22"/>
        </w:rPr>
        <w:t>LMI</w:t>
      </w:r>
      <w:proofErr w:type="spellEnd"/>
      <w:r>
        <w:rPr>
          <w:rFonts w:asciiTheme="minorHAnsi" w:hAnsiTheme="minorHAnsi" w:cstheme="minorHAnsi"/>
          <w:color w:val="auto"/>
          <w:sz w:val="22"/>
          <w:szCs w:val="22"/>
        </w:rPr>
        <w:t xml:space="preserve"> persons.</w:t>
      </w:r>
    </w:p>
    <w:p w14:paraId="123C3CC9" w14:textId="57BF91EC" w:rsidR="003812F4" w:rsidRPr="003060BB" w:rsidRDefault="003812F4" w:rsidP="003812F4">
      <w:pPr>
        <w:pStyle w:val="Default"/>
        <w:numPr>
          <w:ilvl w:val="2"/>
          <w:numId w:val="6"/>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Job Retention – the proposed activity retains permanent jobs of which at least 51% are held or would be made available to </w:t>
      </w:r>
      <w:proofErr w:type="spellStart"/>
      <w:r>
        <w:rPr>
          <w:rFonts w:asciiTheme="minorHAnsi" w:hAnsiTheme="minorHAnsi" w:cstheme="minorHAnsi"/>
          <w:color w:val="auto"/>
          <w:sz w:val="22"/>
          <w:szCs w:val="22"/>
        </w:rPr>
        <w:t>LMI</w:t>
      </w:r>
      <w:proofErr w:type="spellEnd"/>
      <w:r>
        <w:rPr>
          <w:rFonts w:asciiTheme="minorHAnsi" w:hAnsiTheme="minorHAnsi" w:cstheme="minorHAnsi"/>
          <w:color w:val="auto"/>
          <w:sz w:val="22"/>
          <w:szCs w:val="22"/>
        </w:rPr>
        <w:t xml:space="preserve"> persons. </w:t>
      </w:r>
    </w:p>
    <w:p w14:paraId="2302C747" w14:textId="77777777" w:rsidR="00E266AD" w:rsidRPr="003060BB" w:rsidRDefault="00E266AD" w:rsidP="00E266AD">
      <w:pPr>
        <w:pStyle w:val="Default"/>
        <w:ind w:firstLine="45"/>
        <w:jc w:val="both"/>
        <w:rPr>
          <w:rFonts w:asciiTheme="minorHAnsi" w:hAnsiTheme="minorHAnsi" w:cstheme="minorHAnsi"/>
          <w:color w:val="auto"/>
          <w:sz w:val="22"/>
          <w:szCs w:val="22"/>
        </w:rPr>
      </w:pPr>
    </w:p>
    <w:p w14:paraId="3CA3B18E" w14:textId="115257C4" w:rsidR="00E266AD" w:rsidRDefault="00E266AD" w:rsidP="00E266AD">
      <w:pPr>
        <w:pStyle w:val="Default"/>
        <w:numPr>
          <w:ilvl w:val="0"/>
          <w:numId w:val="6"/>
        </w:numPr>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The applicant must show that the proposed</w:t>
      </w:r>
      <w:r w:rsidR="003812F4">
        <w:rPr>
          <w:rFonts w:asciiTheme="minorHAnsi" w:hAnsiTheme="minorHAnsi" w:cstheme="minorHAnsi"/>
          <w:color w:val="auto"/>
          <w:sz w:val="22"/>
          <w:szCs w:val="22"/>
        </w:rPr>
        <w:t xml:space="preserve"> activity</w:t>
      </w:r>
      <w:r w:rsidR="00452D73">
        <w:rPr>
          <w:rFonts w:asciiTheme="minorHAnsi" w:hAnsiTheme="minorHAnsi" w:cstheme="minorHAnsi"/>
          <w:color w:val="auto"/>
          <w:sz w:val="22"/>
          <w:szCs w:val="22"/>
        </w:rPr>
        <w:t xml:space="preserve"> is one of the following eligible activities or an eligible activity under the Act:</w:t>
      </w:r>
    </w:p>
    <w:p w14:paraId="35AEE34A" w14:textId="6BB514A9" w:rsidR="00452D73" w:rsidRDefault="00452D73" w:rsidP="00452D73">
      <w:pPr>
        <w:pStyle w:val="Default"/>
        <w:numPr>
          <w:ilvl w:val="1"/>
          <w:numId w:val="6"/>
        </w:numPr>
        <w:jc w:val="both"/>
        <w:rPr>
          <w:rFonts w:asciiTheme="minorHAnsi" w:hAnsiTheme="minorHAnsi" w:cstheme="minorHAnsi"/>
          <w:color w:val="auto"/>
          <w:sz w:val="22"/>
          <w:szCs w:val="22"/>
        </w:rPr>
      </w:pPr>
      <w:r>
        <w:rPr>
          <w:rFonts w:asciiTheme="minorHAnsi" w:hAnsiTheme="minorHAnsi" w:cstheme="minorHAnsi"/>
          <w:color w:val="auto"/>
          <w:sz w:val="22"/>
          <w:szCs w:val="22"/>
        </w:rPr>
        <w:t>Public Facilities</w:t>
      </w:r>
      <w:r w:rsidR="00C726EC">
        <w:rPr>
          <w:rFonts w:asciiTheme="minorHAnsi" w:hAnsiTheme="minorHAnsi" w:cstheme="minorHAnsi"/>
          <w:color w:val="auto"/>
          <w:sz w:val="22"/>
          <w:szCs w:val="22"/>
        </w:rPr>
        <w:t xml:space="preserve"> (Immediate Need phase only)</w:t>
      </w:r>
    </w:p>
    <w:p w14:paraId="39045F7C" w14:textId="2887E12F" w:rsidR="00452D73" w:rsidRDefault="00452D73" w:rsidP="00452D73">
      <w:pPr>
        <w:pStyle w:val="Default"/>
        <w:numPr>
          <w:ilvl w:val="2"/>
          <w:numId w:val="6"/>
        </w:numPr>
        <w:jc w:val="both"/>
        <w:rPr>
          <w:rFonts w:asciiTheme="minorHAnsi" w:hAnsiTheme="minorHAnsi" w:cstheme="minorHAnsi"/>
          <w:color w:val="auto"/>
          <w:sz w:val="22"/>
          <w:szCs w:val="22"/>
        </w:rPr>
      </w:pPr>
      <w:r>
        <w:rPr>
          <w:rFonts w:asciiTheme="minorHAnsi" w:hAnsiTheme="minorHAnsi" w:cstheme="minorHAnsi"/>
          <w:color w:val="auto"/>
          <w:sz w:val="22"/>
          <w:szCs w:val="22"/>
        </w:rPr>
        <w:t>Convert a public facility for use as a testing, diagnosis, or treatment facility</w:t>
      </w:r>
    </w:p>
    <w:p w14:paraId="7FD69B51" w14:textId="70755346" w:rsidR="00452D73" w:rsidRDefault="00452D73" w:rsidP="00452D73">
      <w:pPr>
        <w:pStyle w:val="Default"/>
        <w:numPr>
          <w:ilvl w:val="2"/>
          <w:numId w:val="6"/>
        </w:numPr>
        <w:jc w:val="both"/>
        <w:rPr>
          <w:rFonts w:asciiTheme="minorHAnsi" w:hAnsiTheme="minorHAnsi" w:cstheme="minorHAnsi"/>
          <w:color w:val="auto"/>
          <w:sz w:val="22"/>
          <w:szCs w:val="22"/>
        </w:rPr>
      </w:pPr>
      <w:r>
        <w:rPr>
          <w:rFonts w:asciiTheme="minorHAnsi" w:hAnsiTheme="minorHAnsi" w:cstheme="minorHAnsi"/>
          <w:color w:val="auto"/>
          <w:sz w:val="22"/>
          <w:szCs w:val="22"/>
        </w:rPr>
        <w:t>Rehabilitate a facility to centralize patients undergoing treatment</w:t>
      </w:r>
    </w:p>
    <w:p w14:paraId="6008993E" w14:textId="048E67B8" w:rsidR="00452D73" w:rsidRDefault="00452D73" w:rsidP="00452D73">
      <w:pPr>
        <w:pStyle w:val="Default"/>
        <w:numPr>
          <w:ilvl w:val="1"/>
          <w:numId w:val="6"/>
        </w:numPr>
        <w:jc w:val="both"/>
        <w:rPr>
          <w:rFonts w:asciiTheme="minorHAnsi" w:hAnsiTheme="minorHAnsi" w:cstheme="minorHAnsi"/>
          <w:color w:val="auto"/>
          <w:sz w:val="22"/>
          <w:szCs w:val="22"/>
        </w:rPr>
      </w:pPr>
      <w:r>
        <w:rPr>
          <w:rFonts w:asciiTheme="minorHAnsi" w:hAnsiTheme="minorHAnsi" w:cstheme="minorHAnsi"/>
          <w:color w:val="auto"/>
          <w:sz w:val="22"/>
          <w:szCs w:val="22"/>
        </w:rPr>
        <w:t>Public Services</w:t>
      </w:r>
      <w:r w:rsidR="00C726EC">
        <w:rPr>
          <w:rFonts w:asciiTheme="minorHAnsi" w:hAnsiTheme="minorHAnsi" w:cstheme="minorHAnsi"/>
          <w:color w:val="auto"/>
          <w:sz w:val="22"/>
          <w:szCs w:val="22"/>
        </w:rPr>
        <w:t xml:space="preserve"> (Immediate Need phase only)</w:t>
      </w:r>
    </w:p>
    <w:p w14:paraId="44EBC042" w14:textId="3973CDD6" w:rsidR="00452D73" w:rsidRDefault="00452D73" w:rsidP="00452D73">
      <w:pPr>
        <w:pStyle w:val="Default"/>
        <w:numPr>
          <w:ilvl w:val="2"/>
          <w:numId w:val="6"/>
        </w:numPr>
        <w:jc w:val="both"/>
        <w:rPr>
          <w:rFonts w:asciiTheme="minorHAnsi" w:hAnsiTheme="minorHAnsi" w:cstheme="minorHAnsi"/>
          <w:color w:val="auto"/>
          <w:sz w:val="22"/>
          <w:szCs w:val="22"/>
        </w:rPr>
      </w:pPr>
      <w:r>
        <w:rPr>
          <w:rFonts w:asciiTheme="minorHAnsi" w:hAnsiTheme="minorHAnsi" w:cstheme="minorHAnsi"/>
          <w:color w:val="auto"/>
          <w:sz w:val="22"/>
          <w:szCs w:val="22"/>
        </w:rPr>
        <w:t>Provide testing, diagnosis, or other services at a fixed or mobile location</w:t>
      </w:r>
    </w:p>
    <w:p w14:paraId="1239C08A" w14:textId="09C519AD" w:rsidR="00452D73" w:rsidRDefault="00452D73" w:rsidP="00452D73">
      <w:pPr>
        <w:pStyle w:val="Default"/>
        <w:numPr>
          <w:ilvl w:val="2"/>
          <w:numId w:val="6"/>
        </w:numPr>
        <w:jc w:val="both"/>
        <w:rPr>
          <w:rFonts w:asciiTheme="minorHAnsi" w:hAnsiTheme="minorHAnsi" w:cstheme="minorHAnsi"/>
          <w:color w:val="auto"/>
          <w:sz w:val="22"/>
          <w:szCs w:val="22"/>
        </w:rPr>
      </w:pPr>
      <w:r>
        <w:rPr>
          <w:rFonts w:asciiTheme="minorHAnsi" w:hAnsiTheme="minorHAnsi" w:cstheme="minorHAnsi"/>
          <w:color w:val="auto"/>
          <w:sz w:val="22"/>
          <w:szCs w:val="22"/>
        </w:rPr>
        <w:t>Increase the capacity or availability of COVID-19 health services at an existing health facility</w:t>
      </w:r>
    </w:p>
    <w:p w14:paraId="50709305" w14:textId="43BF744F" w:rsidR="00452D73" w:rsidRDefault="00452D73" w:rsidP="00452D73">
      <w:pPr>
        <w:pStyle w:val="Default"/>
        <w:numPr>
          <w:ilvl w:val="2"/>
          <w:numId w:val="6"/>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Create a local delivery service for providing needed supplies (food, medicines, </w:t>
      </w:r>
      <w:proofErr w:type="spellStart"/>
      <w:r w:rsidR="00C84F19">
        <w:rPr>
          <w:rFonts w:asciiTheme="minorHAnsi" w:hAnsiTheme="minorHAnsi" w:cstheme="minorHAnsi"/>
          <w:color w:val="auto"/>
          <w:sz w:val="22"/>
          <w:szCs w:val="22"/>
        </w:rPr>
        <w:t>etc</w:t>
      </w:r>
      <w:proofErr w:type="spellEnd"/>
      <w:r w:rsidR="00C84F19">
        <w:rPr>
          <w:rFonts w:asciiTheme="minorHAnsi" w:hAnsiTheme="minorHAnsi" w:cstheme="minorHAnsi"/>
          <w:color w:val="auto"/>
          <w:sz w:val="22"/>
          <w:szCs w:val="22"/>
        </w:rPr>
        <w:t>) to quarantined individuals that must maintain social distancing due to medical vulnerabilities or limitations</w:t>
      </w:r>
    </w:p>
    <w:p w14:paraId="22DDC75A" w14:textId="159ACE8A" w:rsidR="00C84F19" w:rsidRDefault="00C84F19" w:rsidP="00C84F19">
      <w:pPr>
        <w:pStyle w:val="Default"/>
        <w:numPr>
          <w:ilvl w:val="1"/>
          <w:numId w:val="6"/>
        </w:numPr>
        <w:jc w:val="both"/>
        <w:rPr>
          <w:rFonts w:asciiTheme="minorHAnsi" w:hAnsiTheme="minorHAnsi" w:cstheme="minorHAnsi"/>
          <w:color w:val="auto"/>
          <w:sz w:val="22"/>
          <w:szCs w:val="22"/>
        </w:rPr>
      </w:pPr>
      <w:r>
        <w:rPr>
          <w:rFonts w:asciiTheme="minorHAnsi" w:hAnsiTheme="minorHAnsi" w:cstheme="minorHAnsi"/>
          <w:color w:val="auto"/>
          <w:sz w:val="22"/>
          <w:szCs w:val="22"/>
        </w:rPr>
        <w:t>Economic Development</w:t>
      </w:r>
    </w:p>
    <w:p w14:paraId="6EF25042" w14:textId="0802FC5B" w:rsidR="00C84F19" w:rsidRDefault="00C84F19" w:rsidP="00C84F19">
      <w:pPr>
        <w:pStyle w:val="Default"/>
        <w:numPr>
          <w:ilvl w:val="2"/>
          <w:numId w:val="6"/>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Provide grants to businesses as short-term working capital to retain jobs held by </w:t>
      </w:r>
      <w:proofErr w:type="spellStart"/>
      <w:r>
        <w:rPr>
          <w:rFonts w:asciiTheme="minorHAnsi" w:hAnsiTheme="minorHAnsi" w:cstheme="minorHAnsi"/>
          <w:color w:val="auto"/>
          <w:sz w:val="22"/>
          <w:szCs w:val="22"/>
        </w:rPr>
        <w:t>LMI</w:t>
      </w:r>
      <w:proofErr w:type="spellEnd"/>
      <w:r>
        <w:rPr>
          <w:rFonts w:asciiTheme="minorHAnsi" w:hAnsiTheme="minorHAnsi" w:cstheme="minorHAnsi"/>
          <w:color w:val="auto"/>
          <w:sz w:val="22"/>
          <w:szCs w:val="22"/>
        </w:rPr>
        <w:t xml:space="preserve"> persons and continue operations</w:t>
      </w:r>
    </w:p>
    <w:p w14:paraId="1702510C" w14:textId="7ACBD7AA" w:rsidR="00C84F19" w:rsidRDefault="00C84F19" w:rsidP="00C84F19">
      <w:pPr>
        <w:pStyle w:val="Default"/>
        <w:numPr>
          <w:ilvl w:val="2"/>
          <w:numId w:val="6"/>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Provide loans to businesses as short-term working capital to retain jobs held by </w:t>
      </w:r>
      <w:proofErr w:type="spellStart"/>
      <w:r>
        <w:rPr>
          <w:rFonts w:asciiTheme="minorHAnsi" w:hAnsiTheme="minorHAnsi" w:cstheme="minorHAnsi"/>
          <w:color w:val="auto"/>
          <w:sz w:val="22"/>
          <w:szCs w:val="22"/>
        </w:rPr>
        <w:t>LMI</w:t>
      </w:r>
      <w:proofErr w:type="spellEnd"/>
      <w:r>
        <w:rPr>
          <w:rFonts w:asciiTheme="minorHAnsi" w:hAnsiTheme="minorHAnsi" w:cstheme="minorHAnsi"/>
          <w:color w:val="auto"/>
          <w:sz w:val="22"/>
          <w:szCs w:val="22"/>
        </w:rPr>
        <w:t xml:space="preserve"> persons and continue operations (Requires an existing Revolving Loan Fund or similar financial instrument)</w:t>
      </w:r>
    </w:p>
    <w:p w14:paraId="6EDF685A" w14:textId="77777777" w:rsidR="00E266AD" w:rsidRPr="003060BB" w:rsidRDefault="00E266AD" w:rsidP="00E266AD">
      <w:pPr>
        <w:pStyle w:val="Default"/>
        <w:ind w:firstLine="45"/>
        <w:jc w:val="both"/>
        <w:rPr>
          <w:rFonts w:asciiTheme="minorHAnsi" w:hAnsiTheme="minorHAnsi" w:cstheme="minorHAnsi"/>
          <w:color w:val="auto"/>
          <w:sz w:val="22"/>
          <w:szCs w:val="22"/>
        </w:rPr>
      </w:pPr>
    </w:p>
    <w:p w14:paraId="0BB347C0" w14:textId="5BA4008B" w:rsidR="00E266AD" w:rsidRPr="003060BB" w:rsidRDefault="00E266AD" w:rsidP="00E266AD">
      <w:pPr>
        <w:pStyle w:val="Default"/>
        <w:numPr>
          <w:ilvl w:val="0"/>
          <w:numId w:val="6"/>
        </w:numPr>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The applicant must first encumber/expend all CDBG program income receipts before applying for additional grant funds from the Office of Community and Rural </w:t>
      </w:r>
      <w:proofErr w:type="gramStart"/>
      <w:r w:rsidRPr="003060BB">
        <w:rPr>
          <w:rFonts w:asciiTheme="minorHAnsi" w:hAnsiTheme="minorHAnsi" w:cstheme="minorHAnsi"/>
          <w:color w:val="auto"/>
          <w:sz w:val="22"/>
          <w:szCs w:val="22"/>
        </w:rPr>
        <w:t>Affairs;</w:t>
      </w:r>
      <w:proofErr w:type="gramEnd"/>
      <w:r w:rsidRPr="003060BB">
        <w:rPr>
          <w:rFonts w:asciiTheme="minorHAnsi" w:hAnsiTheme="minorHAnsi" w:cstheme="minorHAnsi"/>
          <w:color w:val="auto"/>
          <w:sz w:val="22"/>
          <w:szCs w:val="22"/>
        </w:rPr>
        <w:t xml:space="preserve"> </w:t>
      </w:r>
    </w:p>
    <w:p w14:paraId="0E9BA891" w14:textId="6502227A" w:rsidR="00E266AD" w:rsidRPr="003060BB" w:rsidRDefault="00E266AD" w:rsidP="00296429">
      <w:pPr>
        <w:pStyle w:val="Default"/>
        <w:ind w:left="1440"/>
        <w:jc w:val="both"/>
        <w:rPr>
          <w:rFonts w:asciiTheme="minorHAnsi" w:hAnsiTheme="minorHAnsi" w:cstheme="minorHAnsi"/>
          <w:color w:val="auto"/>
          <w:sz w:val="22"/>
          <w:szCs w:val="22"/>
        </w:rPr>
      </w:pPr>
    </w:p>
    <w:p w14:paraId="049E6DC3" w14:textId="59D801A5" w:rsidR="00E266AD" w:rsidRPr="003060BB" w:rsidRDefault="00E12CCE" w:rsidP="00E266AD">
      <w:pPr>
        <w:pStyle w:val="Default"/>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8</w:t>
      </w:r>
      <w:r w:rsidR="00E266AD" w:rsidRPr="003060BB">
        <w:rPr>
          <w:rFonts w:asciiTheme="minorHAnsi" w:hAnsiTheme="minorHAnsi" w:cstheme="minorHAnsi"/>
          <w:color w:val="auto"/>
          <w:sz w:val="22"/>
          <w:szCs w:val="22"/>
        </w:rPr>
        <w:t xml:space="preserve">.  To be eligible to apply at the time of application submission, an applicant must not have: </w:t>
      </w:r>
    </w:p>
    <w:p w14:paraId="4CE59653" w14:textId="77777777" w:rsidR="00E266AD" w:rsidRPr="003060BB" w:rsidRDefault="00E266AD" w:rsidP="00E266AD">
      <w:pPr>
        <w:pStyle w:val="Default"/>
        <w:ind w:left="720"/>
        <w:jc w:val="both"/>
        <w:rPr>
          <w:rFonts w:asciiTheme="minorHAnsi" w:hAnsiTheme="minorHAnsi" w:cstheme="minorHAnsi"/>
          <w:color w:val="auto"/>
          <w:sz w:val="22"/>
          <w:szCs w:val="22"/>
        </w:rPr>
      </w:pPr>
    </w:p>
    <w:p w14:paraId="1EC4C8BE" w14:textId="77777777" w:rsidR="00E266AD" w:rsidRPr="003060BB" w:rsidRDefault="00E266AD" w:rsidP="00E266AD">
      <w:pPr>
        <w:pStyle w:val="Default"/>
        <w:numPr>
          <w:ilvl w:val="1"/>
          <w:numId w:val="6"/>
        </w:numPr>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Any unresolved complaints filed against the applying party with the Indiana Civil Rights Commission or any other local human relations commission with jurisdiction (collectively “Commissions”)</w:t>
      </w:r>
      <w:r w:rsidRPr="003060BB">
        <w:rPr>
          <w:rStyle w:val="FootnoteReference"/>
          <w:rFonts w:asciiTheme="minorHAnsi" w:hAnsiTheme="minorHAnsi" w:cstheme="minorHAnsi"/>
          <w:color w:val="auto"/>
          <w:sz w:val="22"/>
          <w:szCs w:val="22"/>
        </w:rPr>
        <w:footnoteReference w:id="1"/>
      </w:r>
    </w:p>
    <w:p w14:paraId="7E55EBA6" w14:textId="77777777" w:rsidR="00E266AD" w:rsidRPr="003060BB" w:rsidRDefault="00E266AD" w:rsidP="00E266AD">
      <w:pPr>
        <w:pStyle w:val="Default"/>
        <w:ind w:left="1440"/>
        <w:jc w:val="both"/>
        <w:rPr>
          <w:rFonts w:asciiTheme="minorHAnsi" w:hAnsiTheme="minorHAnsi" w:cstheme="minorHAnsi"/>
          <w:color w:val="auto"/>
          <w:sz w:val="22"/>
          <w:szCs w:val="22"/>
        </w:rPr>
      </w:pPr>
    </w:p>
    <w:p w14:paraId="413E3C36" w14:textId="77777777" w:rsidR="00E266AD" w:rsidRPr="003060BB" w:rsidRDefault="00E266AD" w:rsidP="00E266AD">
      <w:pPr>
        <w:pStyle w:val="Default"/>
        <w:numPr>
          <w:ilvl w:val="2"/>
          <w:numId w:val="6"/>
        </w:numPr>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A complaint during the investigation stage can be resolved for the purposes of this application if the applying party provides the response it submitted to the Commissions and provides verification that it is cooperating in the investigation. </w:t>
      </w:r>
    </w:p>
    <w:p w14:paraId="0B98B5AB" w14:textId="77777777" w:rsidR="00E266AD" w:rsidRPr="003060BB" w:rsidRDefault="00E266AD" w:rsidP="00E266AD">
      <w:pPr>
        <w:pStyle w:val="Default"/>
        <w:ind w:left="2160"/>
        <w:jc w:val="both"/>
        <w:rPr>
          <w:rFonts w:asciiTheme="minorHAnsi" w:hAnsiTheme="minorHAnsi" w:cstheme="minorHAnsi"/>
          <w:color w:val="auto"/>
          <w:sz w:val="22"/>
          <w:szCs w:val="22"/>
        </w:rPr>
      </w:pPr>
    </w:p>
    <w:p w14:paraId="7C7E109F" w14:textId="77777777" w:rsidR="00E266AD" w:rsidRPr="003060BB" w:rsidRDefault="00E266AD" w:rsidP="00E266AD">
      <w:pPr>
        <w:pStyle w:val="Default"/>
        <w:numPr>
          <w:ilvl w:val="2"/>
          <w:numId w:val="6"/>
        </w:numPr>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To resolve a complaint for the purposes of this application that has received a finding of Probable or Reasonable Cause, the complaint must be closed in a manner that includes the applying party taking a fair housing training and implementing a relevant policy to prevent future possible discriminatory incidents.  The applying party need not take the training or implement the policy prior to the application being submitted if the applying party can provide proof that it intends to complete the training and implement the policy within a reasonable period of time.  If a complaint has been closed and the closure did not include training or the implementation of a policy, then the applying party can elect to contact the Commissions to voluntarily complete training and have Commissions assist in the implementation of a relevant policy. </w:t>
      </w:r>
    </w:p>
    <w:p w14:paraId="0B50AA1D" w14:textId="77777777" w:rsidR="00E266AD" w:rsidRPr="003060BB" w:rsidRDefault="00E266AD" w:rsidP="00E266AD">
      <w:pPr>
        <w:pStyle w:val="Default"/>
        <w:jc w:val="both"/>
        <w:rPr>
          <w:rFonts w:asciiTheme="minorHAnsi" w:hAnsiTheme="minorHAnsi" w:cstheme="minorHAnsi"/>
          <w:color w:val="auto"/>
          <w:sz w:val="22"/>
          <w:szCs w:val="22"/>
        </w:rPr>
      </w:pPr>
    </w:p>
    <w:p w14:paraId="309AC1E0" w14:textId="743973FA" w:rsidR="00E266AD" w:rsidRPr="003060BB" w:rsidRDefault="00E266AD" w:rsidP="00E266AD">
      <w:pPr>
        <w:pStyle w:val="Default"/>
        <w:numPr>
          <w:ilvl w:val="2"/>
          <w:numId w:val="6"/>
        </w:numPr>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To resolve a complaint that merits litigation, the applying party must submit evidence that the complaint cannot be settled </w:t>
      </w:r>
      <w:r w:rsidR="006F788D">
        <w:rPr>
          <w:rFonts w:asciiTheme="minorHAnsi" w:hAnsiTheme="minorHAnsi" w:cstheme="minorHAnsi"/>
          <w:color w:val="auto"/>
          <w:sz w:val="22"/>
          <w:szCs w:val="22"/>
        </w:rPr>
        <w:t>(i.e. settlement ask too high e</w:t>
      </w:r>
      <w:r w:rsidRPr="003060BB">
        <w:rPr>
          <w:rFonts w:asciiTheme="minorHAnsi" w:hAnsiTheme="minorHAnsi" w:cstheme="minorHAnsi"/>
          <w:color w:val="auto"/>
          <w:sz w:val="22"/>
          <w:szCs w:val="22"/>
        </w:rPr>
        <w:t>t</w:t>
      </w:r>
      <w:r w:rsidR="006F788D">
        <w:rPr>
          <w:rFonts w:asciiTheme="minorHAnsi" w:hAnsiTheme="minorHAnsi" w:cstheme="minorHAnsi"/>
          <w:color w:val="auto"/>
          <w:sz w:val="22"/>
          <w:szCs w:val="22"/>
        </w:rPr>
        <w:t>c</w:t>
      </w:r>
      <w:r w:rsidRPr="003060BB">
        <w:rPr>
          <w:rFonts w:asciiTheme="minorHAnsi" w:hAnsiTheme="minorHAnsi" w:cstheme="minorHAnsi"/>
          <w:color w:val="auto"/>
          <w:sz w:val="22"/>
          <w:szCs w:val="22"/>
        </w:rPr>
        <w:t xml:space="preserve">.) and evidence that training and a policy are not the impediments to settlement.  Possible evidence can include offer letters, statements of disputed legal questions, statements of disputed facts, statements on behalf of the Commissions that they are unwilling to settle the case, or any similar document that illustrates the case is not ripe for settlement. </w:t>
      </w:r>
    </w:p>
    <w:p w14:paraId="3C0C6FB7" w14:textId="77777777" w:rsidR="00E266AD" w:rsidRPr="003060BB" w:rsidRDefault="00E266AD" w:rsidP="00E266AD">
      <w:pPr>
        <w:pStyle w:val="Default"/>
        <w:ind w:left="1980"/>
        <w:jc w:val="both"/>
        <w:rPr>
          <w:rFonts w:asciiTheme="minorHAnsi" w:hAnsiTheme="minorHAnsi" w:cstheme="minorHAnsi"/>
          <w:color w:val="auto"/>
          <w:sz w:val="22"/>
          <w:szCs w:val="22"/>
        </w:rPr>
      </w:pPr>
    </w:p>
    <w:p w14:paraId="442681F1" w14:textId="77777777" w:rsidR="00E266AD" w:rsidRPr="003060BB" w:rsidRDefault="00E266AD" w:rsidP="00E266AD">
      <w:pPr>
        <w:pStyle w:val="Default"/>
        <w:numPr>
          <w:ilvl w:val="1"/>
          <w:numId w:val="6"/>
        </w:numPr>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An unresolved pattern of complaints filed against the applying party with the Indiana Civil Rights Commission or any other local human relations commission with jurisdiction (collectively “Commissions”)</w:t>
      </w:r>
    </w:p>
    <w:p w14:paraId="1453D8D0" w14:textId="77777777" w:rsidR="00E266AD" w:rsidRPr="003060BB" w:rsidRDefault="00E266AD" w:rsidP="00E266AD">
      <w:pPr>
        <w:pStyle w:val="Default"/>
        <w:ind w:left="1440"/>
        <w:jc w:val="both"/>
        <w:rPr>
          <w:rFonts w:asciiTheme="minorHAnsi" w:hAnsiTheme="minorHAnsi" w:cstheme="minorHAnsi"/>
          <w:color w:val="auto"/>
          <w:sz w:val="22"/>
          <w:szCs w:val="22"/>
        </w:rPr>
      </w:pPr>
    </w:p>
    <w:p w14:paraId="6FB16A5E" w14:textId="77777777" w:rsidR="00E266AD" w:rsidRPr="003060BB" w:rsidRDefault="00E266AD" w:rsidP="00E266AD">
      <w:pPr>
        <w:pStyle w:val="Default"/>
        <w:numPr>
          <w:ilvl w:val="2"/>
          <w:numId w:val="6"/>
        </w:numPr>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A pattern for purposes of this application is defined as any more than an average of two complaints over a period of four years, regardless of outcome. </w:t>
      </w:r>
    </w:p>
    <w:p w14:paraId="044A8AF1" w14:textId="77777777" w:rsidR="00E266AD" w:rsidRPr="003060BB" w:rsidRDefault="00E266AD" w:rsidP="00E266AD">
      <w:pPr>
        <w:pStyle w:val="Default"/>
        <w:ind w:left="2160"/>
        <w:jc w:val="both"/>
        <w:rPr>
          <w:rFonts w:asciiTheme="minorHAnsi" w:hAnsiTheme="minorHAnsi" w:cstheme="minorHAnsi"/>
          <w:color w:val="auto"/>
          <w:sz w:val="22"/>
          <w:szCs w:val="22"/>
        </w:rPr>
      </w:pPr>
    </w:p>
    <w:p w14:paraId="65F85012" w14:textId="5E7AA20F" w:rsidR="00E266AD" w:rsidRPr="00E12CCE" w:rsidRDefault="00E266AD" w:rsidP="00E12CCE">
      <w:pPr>
        <w:pStyle w:val="Default"/>
        <w:numPr>
          <w:ilvl w:val="2"/>
          <w:numId w:val="6"/>
        </w:numPr>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To resolve a pattern of complaints for purposes of this application, the applying party must partner with the Commissions or other equivalent housing organization to fully review the applying party’s current policies for best practices as well as for compliance with the Indiana Fair Housing Act and Indiana Civil Rights Law.  Additionally, the applying party must show proof that the applying party intends to undergo annual fair housing training for </w:t>
      </w:r>
      <w:proofErr w:type="gramStart"/>
      <w:r w:rsidRPr="003060BB">
        <w:rPr>
          <w:rFonts w:asciiTheme="minorHAnsi" w:hAnsiTheme="minorHAnsi" w:cstheme="minorHAnsi"/>
          <w:color w:val="auto"/>
          <w:sz w:val="22"/>
          <w:szCs w:val="22"/>
        </w:rPr>
        <w:t>all of</w:t>
      </w:r>
      <w:proofErr w:type="gramEnd"/>
      <w:r w:rsidRPr="003060BB">
        <w:rPr>
          <w:rFonts w:asciiTheme="minorHAnsi" w:hAnsiTheme="minorHAnsi" w:cstheme="minorHAnsi"/>
          <w:color w:val="auto"/>
          <w:sz w:val="22"/>
          <w:szCs w:val="22"/>
        </w:rPr>
        <w:t xml:space="preserve"> its employees that regularly interact with tenants and biannual training for all supervising employees for at least one year. </w:t>
      </w:r>
      <w:r w:rsidRPr="00E12CCE">
        <w:rPr>
          <w:rFonts w:asciiTheme="minorHAnsi" w:hAnsiTheme="minorHAnsi" w:cstheme="minorHAnsi"/>
          <w:color w:val="auto"/>
          <w:sz w:val="22"/>
          <w:szCs w:val="22"/>
        </w:rPr>
        <w:t xml:space="preserve"> </w:t>
      </w:r>
    </w:p>
    <w:p w14:paraId="0224AD64" w14:textId="77777777" w:rsidR="00E266AD" w:rsidRPr="003060BB" w:rsidRDefault="00E266AD" w:rsidP="00E266AD">
      <w:pPr>
        <w:pStyle w:val="Default"/>
        <w:ind w:left="810" w:hanging="360"/>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 </w:t>
      </w:r>
    </w:p>
    <w:p w14:paraId="0E7B8C31" w14:textId="2A4DF796" w:rsidR="00E266AD" w:rsidRPr="003060BB" w:rsidRDefault="00E266AD" w:rsidP="00D934E5">
      <w:pPr>
        <w:pStyle w:val="Default"/>
        <w:ind w:left="720" w:hanging="360"/>
        <w:jc w:val="both"/>
        <w:rPr>
          <w:rFonts w:asciiTheme="minorHAnsi" w:hAnsiTheme="minorHAnsi" w:cstheme="minorHAnsi"/>
          <w:color w:val="auto"/>
          <w:sz w:val="22"/>
          <w:szCs w:val="22"/>
        </w:rPr>
      </w:pPr>
      <w:r w:rsidRPr="003060BB">
        <w:rPr>
          <w:rFonts w:asciiTheme="minorHAnsi" w:hAnsiTheme="minorHAnsi" w:cstheme="minorHAnsi"/>
          <w:color w:val="auto"/>
          <w:sz w:val="22"/>
          <w:szCs w:val="22"/>
        </w:rPr>
        <w:t xml:space="preserve">12. The applicant may only submit one application </w:t>
      </w:r>
      <w:r w:rsidR="00D934E5">
        <w:rPr>
          <w:rFonts w:asciiTheme="minorHAnsi" w:hAnsiTheme="minorHAnsi" w:cstheme="minorHAnsi"/>
          <w:color w:val="auto"/>
          <w:sz w:val="22"/>
          <w:szCs w:val="22"/>
        </w:rPr>
        <w:t>at a time</w:t>
      </w:r>
      <w:r w:rsidRPr="003060BB">
        <w:rPr>
          <w:rFonts w:asciiTheme="minorHAnsi" w:hAnsiTheme="minorHAnsi" w:cstheme="minorHAnsi"/>
          <w:color w:val="auto"/>
          <w:sz w:val="22"/>
          <w:szCs w:val="22"/>
        </w:rPr>
        <w:t>.  Counties may submit either for their own project or an “on-behalf-of” application for projects of other eligible applicants within the county.   However, no application will be invited from an applicant where the purpose is clearly to circumvent the “one application per round” requirement</w:t>
      </w:r>
      <w:r w:rsidR="00D934E5">
        <w:rPr>
          <w:rFonts w:asciiTheme="minorHAnsi" w:hAnsiTheme="minorHAnsi" w:cstheme="minorHAnsi"/>
          <w:color w:val="auto"/>
          <w:sz w:val="22"/>
          <w:szCs w:val="22"/>
        </w:rPr>
        <w:t xml:space="preserve"> for other eligible applicants.</w:t>
      </w:r>
    </w:p>
    <w:p w14:paraId="4F6DEB76" w14:textId="7C155524" w:rsidR="00A92B79" w:rsidRPr="003060BB" w:rsidRDefault="00E266AD" w:rsidP="00B8579F">
      <w:pPr>
        <w:pStyle w:val="Default"/>
        <w:outlineLvl w:val="0"/>
        <w:rPr>
          <w:rFonts w:asciiTheme="minorHAnsi" w:hAnsiTheme="minorHAnsi" w:cstheme="minorHAnsi"/>
          <w:color w:val="auto"/>
          <w:sz w:val="22"/>
          <w:szCs w:val="22"/>
        </w:rPr>
      </w:pPr>
      <w:r w:rsidRPr="003060BB">
        <w:rPr>
          <w:rFonts w:asciiTheme="minorHAnsi" w:hAnsiTheme="minorHAnsi" w:cstheme="minorHAnsi"/>
          <w:b/>
          <w:bCs/>
          <w:color w:val="auto"/>
          <w:sz w:val="22"/>
          <w:szCs w:val="22"/>
        </w:rPr>
        <w:t xml:space="preserve"> </w:t>
      </w:r>
    </w:p>
    <w:p w14:paraId="46EEE742" w14:textId="41D1CF0F" w:rsidR="00A92B79" w:rsidRPr="003060BB" w:rsidRDefault="00046C2B" w:rsidP="00A92B79">
      <w:pPr>
        <w:pStyle w:val="Default"/>
        <w:ind w:left="1296" w:hanging="1440"/>
        <w:jc w:val="center"/>
        <w:outlineLvl w:val="0"/>
        <w:rPr>
          <w:rFonts w:asciiTheme="minorHAnsi" w:hAnsiTheme="minorHAnsi" w:cstheme="minorHAnsi"/>
          <w:b/>
          <w:bCs/>
          <w:color w:val="auto"/>
          <w:sz w:val="22"/>
          <w:szCs w:val="22"/>
        </w:rPr>
      </w:pPr>
      <w:r>
        <w:rPr>
          <w:rFonts w:asciiTheme="minorHAnsi" w:hAnsiTheme="minorHAnsi" w:cstheme="minorHAnsi"/>
          <w:b/>
          <w:bCs/>
          <w:color w:val="auto"/>
          <w:sz w:val="22"/>
          <w:szCs w:val="22"/>
        </w:rPr>
        <w:t>PHASE 2</w:t>
      </w:r>
      <w:r w:rsidR="00A92B79" w:rsidRPr="003060BB">
        <w:rPr>
          <w:rFonts w:asciiTheme="minorHAnsi" w:hAnsiTheme="minorHAnsi" w:cstheme="minorHAnsi"/>
          <w:b/>
          <w:bCs/>
          <w:color w:val="auto"/>
          <w:sz w:val="22"/>
          <w:szCs w:val="22"/>
        </w:rPr>
        <w:t xml:space="preserve"> EVALUATION CRITERIA </w:t>
      </w:r>
    </w:p>
    <w:p w14:paraId="562A9D33" w14:textId="48795E06" w:rsidR="00A92B79" w:rsidRPr="003060BB" w:rsidRDefault="00B8579F" w:rsidP="00A92B79">
      <w:pPr>
        <w:pStyle w:val="Default"/>
        <w:ind w:left="1296" w:hanging="1440"/>
        <w:jc w:val="center"/>
        <w:outlineLvl w:val="0"/>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380 </w:t>
      </w:r>
      <w:r w:rsidR="00A92B79" w:rsidRPr="003060BB">
        <w:rPr>
          <w:rFonts w:asciiTheme="minorHAnsi" w:hAnsiTheme="minorHAnsi" w:cstheme="minorHAnsi"/>
          <w:b/>
          <w:bCs/>
          <w:color w:val="auto"/>
          <w:sz w:val="22"/>
          <w:szCs w:val="22"/>
        </w:rPr>
        <w:t xml:space="preserve">POINTS </w:t>
      </w:r>
      <w:proofErr w:type="gramStart"/>
      <w:r w:rsidR="00A92B79" w:rsidRPr="003060BB">
        <w:rPr>
          <w:rFonts w:asciiTheme="minorHAnsi" w:hAnsiTheme="minorHAnsi" w:cstheme="minorHAnsi"/>
          <w:b/>
          <w:bCs/>
          <w:color w:val="auto"/>
          <w:sz w:val="22"/>
          <w:szCs w:val="22"/>
        </w:rPr>
        <w:t>TOTAL</w:t>
      </w:r>
      <w:proofErr w:type="gramEnd"/>
      <w:r w:rsidR="00A92B79" w:rsidRPr="003060BB">
        <w:rPr>
          <w:rFonts w:asciiTheme="minorHAnsi" w:hAnsiTheme="minorHAnsi" w:cstheme="minorHAnsi"/>
          <w:b/>
          <w:bCs/>
          <w:color w:val="auto"/>
          <w:sz w:val="22"/>
          <w:szCs w:val="22"/>
        </w:rPr>
        <w:t xml:space="preserve"> </w:t>
      </w:r>
    </w:p>
    <w:p w14:paraId="3BDD9FA5" w14:textId="77777777" w:rsidR="00A92B79" w:rsidRPr="003060BB" w:rsidRDefault="00A92B79" w:rsidP="00A92B79">
      <w:pPr>
        <w:pStyle w:val="Default"/>
        <w:ind w:left="1296" w:hanging="1440"/>
        <w:jc w:val="center"/>
        <w:outlineLvl w:val="0"/>
        <w:rPr>
          <w:rFonts w:asciiTheme="minorHAnsi" w:hAnsiTheme="minorHAnsi" w:cstheme="minorHAnsi"/>
          <w:color w:val="auto"/>
          <w:sz w:val="22"/>
          <w:szCs w:val="22"/>
        </w:rPr>
      </w:pPr>
    </w:p>
    <w:p w14:paraId="0C50AAF6" w14:textId="72E8D46C" w:rsidR="00B80288" w:rsidRDefault="00A92B79" w:rsidP="00A92B79">
      <w:pPr>
        <w:jc w:val="both"/>
        <w:rPr>
          <w:rFonts w:asciiTheme="minorHAnsi" w:hAnsiTheme="minorHAnsi" w:cstheme="minorHAnsi"/>
          <w:sz w:val="22"/>
          <w:szCs w:val="22"/>
        </w:rPr>
      </w:pPr>
      <w:r w:rsidRPr="003060BB">
        <w:rPr>
          <w:rFonts w:asciiTheme="minorHAnsi" w:hAnsiTheme="minorHAnsi" w:cstheme="minorHAnsi"/>
          <w:sz w:val="22"/>
          <w:szCs w:val="22"/>
        </w:rPr>
        <w:t>Applications mu</w:t>
      </w:r>
      <w:r>
        <w:rPr>
          <w:rFonts w:asciiTheme="minorHAnsi" w:hAnsiTheme="minorHAnsi" w:cstheme="minorHAnsi"/>
          <w:sz w:val="22"/>
          <w:szCs w:val="22"/>
        </w:rPr>
        <w:t>st pass threshold review to be eligible for funding</w:t>
      </w:r>
      <w:r w:rsidR="00B8579F">
        <w:rPr>
          <w:rFonts w:asciiTheme="minorHAnsi" w:hAnsiTheme="minorHAnsi" w:cstheme="minorHAnsi"/>
          <w:sz w:val="22"/>
          <w:szCs w:val="22"/>
        </w:rPr>
        <w:t xml:space="preserve"> and will be awarded based on rank and fund availability</w:t>
      </w:r>
      <w:r w:rsidRPr="003060BB">
        <w:rPr>
          <w:rFonts w:asciiTheme="minorHAnsi" w:hAnsiTheme="minorHAnsi" w:cstheme="minorHAnsi"/>
          <w:sz w:val="22"/>
          <w:szCs w:val="22"/>
        </w:rPr>
        <w:t>.</w:t>
      </w:r>
    </w:p>
    <w:p w14:paraId="67490FEC" w14:textId="77777777" w:rsidR="00B80288" w:rsidRDefault="00B80288" w:rsidP="00A92B79">
      <w:pPr>
        <w:jc w:val="both"/>
        <w:rPr>
          <w:rFonts w:asciiTheme="minorHAnsi" w:hAnsiTheme="minorHAnsi" w:cstheme="minorHAnsi"/>
          <w:sz w:val="22"/>
          <w:szCs w:val="22"/>
        </w:rPr>
      </w:pPr>
    </w:p>
    <w:p w14:paraId="0719923C" w14:textId="0C91319A" w:rsidR="00A92B79" w:rsidRPr="00B80288" w:rsidRDefault="00B80288" w:rsidP="00A92B79">
      <w:pPr>
        <w:jc w:val="both"/>
        <w:rPr>
          <w:rFonts w:asciiTheme="minorHAnsi" w:hAnsiTheme="minorHAnsi" w:cstheme="minorHAnsi"/>
          <w:b/>
          <w:sz w:val="22"/>
          <w:szCs w:val="22"/>
          <w:u w:val="single"/>
        </w:rPr>
      </w:pPr>
      <w:r w:rsidRPr="00B80288">
        <w:rPr>
          <w:rFonts w:asciiTheme="minorHAnsi" w:hAnsiTheme="minorHAnsi" w:cstheme="minorHAnsi"/>
          <w:b/>
          <w:sz w:val="22"/>
          <w:szCs w:val="22"/>
          <w:u w:val="single"/>
        </w:rPr>
        <w:t>DATA BASED FACTORS</w:t>
      </w:r>
      <w:r w:rsidR="00A92B79" w:rsidRPr="00B80288">
        <w:rPr>
          <w:rFonts w:asciiTheme="minorHAnsi" w:hAnsiTheme="minorHAnsi" w:cstheme="minorHAnsi"/>
          <w:b/>
          <w:sz w:val="22"/>
          <w:szCs w:val="22"/>
          <w:u w:val="single"/>
        </w:rPr>
        <w:t xml:space="preserve"> </w:t>
      </w:r>
      <w:r w:rsidRPr="00B80288">
        <w:rPr>
          <w:rFonts w:asciiTheme="minorHAnsi" w:hAnsiTheme="minorHAnsi" w:cstheme="minorHAnsi"/>
          <w:b/>
          <w:sz w:val="22"/>
          <w:szCs w:val="22"/>
          <w:u w:val="single"/>
        </w:rPr>
        <w:t>(</w:t>
      </w:r>
      <w:r w:rsidR="00B8579F">
        <w:rPr>
          <w:rFonts w:asciiTheme="minorHAnsi" w:hAnsiTheme="minorHAnsi" w:cstheme="minorHAnsi"/>
          <w:b/>
          <w:sz w:val="22"/>
          <w:szCs w:val="22"/>
          <w:u w:val="single"/>
        </w:rPr>
        <w:t>180</w:t>
      </w:r>
      <w:r w:rsidRPr="00B80288">
        <w:rPr>
          <w:rFonts w:asciiTheme="minorHAnsi" w:hAnsiTheme="minorHAnsi" w:cstheme="minorHAnsi"/>
          <w:b/>
          <w:sz w:val="22"/>
          <w:szCs w:val="22"/>
          <w:u w:val="single"/>
        </w:rPr>
        <w:t xml:space="preserve"> POINTS):</w:t>
      </w:r>
    </w:p>
    <w:p w14:paraId="7F053E2B" w14:textId="77777777" w:rsidR="00B80288" w:rsidRPr="00B80288" w:rsidRDefault="00B80288" w:rsidP="00B80288">
      <w:pPr>
        <w:numPr>
          <w:ilvl w:val="1"/>
          <w:numId w:val="31"/>
        </w:numPr>
        <w:jc w:val="both"/>
        <w:rPr>
          <w:rFonts w:asciiTheme="minorHAnsi" w:hAnsiTheme="minorHAnsi" w:cstheme="minorHAnsi"/>
          <w:sz w:val="22"/>
          <w:szCs w:val="22"/>
        </w:rPr>
      </w:pPr>
      <w:proofErr w:type="spellStart"/>
      <w:r w:rsidRPr="00B80288">
        <w:rPr>
          <w:rFonts w:asciiTheme="minorHAnsi" w:hAnsiTheme="minorHAnsi" w:cstheme="minorHAnsi"/>
          <w:sz w:val="22"/>
          <w:szCs w:val="22"/>
        </w:rPr>
        <w:t>LMI</w:t>
      </w:r>
      <w:proofErr w:type="spellEnd"/>
      <w:r w:rsidRPr="00B80288">
        <w:rPr>
          <w:rFonts w:asciiTheme="minorHAnsi" w:hAnsiTheme="minorHAnsi" w:cstheme="minorHAnsi"/>
          <w:sz w:val="22"/>
          <w:szCs w:val="22"/>
        </w:rPr>
        <w:t xml:space="preserve"> % via Census Data – 60 pts</w:t>
      </w:r>
    </w:p>
    <w:p w14:paraId="30B2424B" w14:textId="77777777" w:rsidR="00B80288" w:rsidRPr="00B80288" w:rsidRDefault="00B80288" w:rsidP="00B80288">
      <w:pPr>
        <w:numPr>
          <w:ilvl w:val="2"/>
          <w:numId w:val="32"/>
        </w:numPr>
        <w:jc w:val="both"/>
        <w:rPr>
          <w:rFonts w:asciiTheme="minorHAnsi" w:hAnsiTheme="minorHAnsi" w:cstheme="minorHAnsi"/>
          <w:sz w:val="22"/>
          <w:szCs w:val="22"/>
        </w:rPr>
      </w:pPr>
      <w:r w:rsidRPr="00B80288">
        <w:rPr>
          <w:rFonts w:asciiTheme="minorHAnsi" w:hAnsiTheme="minorHAnsi" w:cstheme="minorHAnsi"/>
          <w:sz w:val="22"/>
          <w:szCs w:val="22"/>
        </w:rPr>
        <w:t xml:space="preserve">Max of 60 Points; 1% -&gt; </w:t>
      </w:r>
      <w:proofErr w:type="spellStart"/>
      <w:r w:rsidRPr="00B80288">
        <w:rPr>
          <w:rFonts w:asciiTheme="minorHAnsi" w:hAnsiTheme="minorHAnsi" w:cstheme="minorHAnsi"/>
          <w:sz w:val="22"/>
          <w:szCs w:val="22"/>
        </w:rPr>
        <w:t>1pt</w:t>
      </w:r>
      <w:proofErr w:type="spellEnd"/>
    </w:p>
    <w:p w14:paraId="042B12C0" w14:textId="77777777" w:rsidR="00B80288" w:rsidRPr="00B80288" w:rsidRDefault="00B80288" w:rsidP="00B80288">
      <w:pPr>
        <w:numPr>
          <w:ilvl w:val="1"/>
          <w:numId w:val="31"/>
        </w:numPr>
        <w:jc w:val="both"/>
        <w:rPr>
          <w:rFonts w:asciiTheme="minorHAnsi" w:hAnsiTheme="minorHAnsi" w:cstheme="minorHAnsi"/>
          <w:sz w:val="22"/>
          <w:szCs w:val="22"/>
        </w:rPr>
      </w:pPr>
      <w:r w:rsidRPr="00B80288">
        <w:rPr>
          <w:rFonts w:asciiTheme="minorHAnsi" w:hAnsiTheme="minorHAnsi" w:cstheme="minorHAnsi"/>
          <w:sz w:val="22"/>
          <w:szCs w:val="22"/>
        </w:rPr>
        <w:t xml:space="preserve">Local Match – Points for % of local funds to grant request 20 pts </w:t>
      </w:r>
    </w:p>
    <w:p w14:paraId="037AFC90" w14:textId="77777777" w:rsidR="00B80288" w:rsidRPr="00B80288" w:rsidRDefault="00B80288" w:rsidP="00B80288">
      <w:pPr>
        <w:numPr>
          <w:ilvl w:val="1"/>
          <w:numId w:val="31"/>
        </w:numPr>
        <w:jc w:val="both"/>
        <w:rPr>
          <w:rFonts w:asciiTheme="minorHAnsi" w:hAnsiTheme="minorHAnsi" w:cstheme="minorHAnsi"/>
          <w:sz w:val="22"/>
          <w:szCs w:val="22"/>
        </w:rPr>
      </w:pPr>
      <w:r w:rsidRPr="00B80288">
        <w:rPr>
          <w:rFonts w:asciiTheme="minorHAnsi" w:hAnsiTheme="minorHAnsi" w:cstheme="minorHAnsi"/>
          <w:sz w:val="22"/>
          <w:szCs w:val="22"/>
        </w:rPr>
        <w:t>Weekly Continued Unemployment Claims for the County – 50 pts</w:t>
      </w:r>
    </w:p>
    <w:p w14:paraId="16971726" w14:textId="77777777" w:rsidR="00B80288" w:rsidRPr="00B80288" w:rsidRDefault="00B80288" w:rsidP="00B80288">
      <w:pPr>
        <w:numPr>
          <w:ilvl w:val="2"/>
          <w:numId w:val="31"/>
        </w:numPr>
        <w:jc w:val="both"/>
        <w:rPr>
          <w:rFonts w:asciiTheme="minorHAnsi" w:hAnsiTheme="minorHAnsi" w:cstheme="minorHAnsi"/>
          <w:sz w:val="22"/>
          <w:szCs w:val="22"/>
        </w:rPr>
      </w:pPr>
      <w:r w:rsidRPr="00B80288">
        <w:rPr>
          <w:rFonts w:asciiTheme="minorHAnsi" w:hAnsiTheme="minorHAnsi" w:cstheme="minorHAnsi"/>
          <w:sz w:val="22"/>
          <w:szCs w:val="22"/>
        </w:rPr>
        <w:t>Less than 500 – 0 pts</w:t>
      </w:r>
    </w:p>
    <w:p w14:paraId="3D5FB9B0" w14:textId="77777777" w:rsidR="00B80288" w:rsidRPr="00B80288" w:rsidRDefault="00B80288" w:rsidP="00B80288">
      <w:pPr>
        <w:numPr>
          <w:ilvl w:val="2"/>
          <w:numId w:val="31"/>
        </w:numPr>
        <w:jc w:val="both"/>
        <w:rPr>
          <w:rFonts w:asciiTheme="minorHAnsi" w:hAnsiTheme="minorHAnsi" w:cstheme="minorHAnsi"/>
          <w:sz w:val="22"/>
          <w:szCs w:val="22"/>
        </w:rPr>
      </w:pPr>
      <w:r w:rsidRPr="00B80288">
        <w:rPr>
          <w:rFonts w:asciiTheme="minorHAnsi" w:hAnsiTheme="minorHAnsi" w:cstheme="minorHAnsi"/>
          <w:sz w:val="22"/>
          <w:szCs w:val="22"/>
        </w:rPr>
        <w:t>500-999 – 5 pts</w:t>
      </w:r>
    </w:p>
    <w:p w14:paraId="1C636736" w14:textId="77777777" w:rsidR="00B80288" w:rsidRPr="00B80288" w:rsidRDefault="00B80288" w:rsidP="00B80288">
      <w:pPr>
        <w:numPr>
          <w:ilvl w:val="2"/>
          <w:numId w:val="31"/>
        </w:numPr>
        <w:jc w:val="both"/>
        <w:rPr>
          <w:rFonts w:asciiTheme="minorHAnsi" w:hAnsiTheme="minorHAnsi" w:cstheme="minorHAnsi"/>
          <w:sz w:val="22"/>
          <w:szCs w:val="22"/>
        </w:rPr>
      </w:pPr>
      <w:r w:rsidRPr="00B80288">
        <w:rPr>
          <w:rFonts w:asciiTheme="minorHAnsi" w:hAnsiTheme="minorHAnsi" w:cstheme="minorHAnsi"/>
          <w:sz w:val="22"/>
          <w:szCs w:val="22"/>
        </w:rPr>
        <w:t>1000-1999 – 10 pts</w:t>
      </w:r>
    </w:p>
    <w:p w14:paraId="2C7B4707" w14:textId="77777777" w:rsidR="00B80288" w:rsidRPr="00B80288" w:rsidRDefault="00B80288" w:rsidP="00B80288">
      <w:pPr>
        <w:numPr>
          <w:ilvl w:val="2"/>
          <w:numId w:val="31"/>
        </w:numPr>
        <w:jc w:val="both"/>
        <w:rPr>
          <w:rFonts w:asciiTheme="minorHAnsi" w:hAnsiTheme="minorHAnsi" w:cstheme="minorHAnsi"/>
          <w:sz w:val="22"/>
          <w:szCs w:val="22"/>
        </w:rPr>
      </w:pPr>
      <w:r w:rsidRPr="00B80288">
        <w:rPr>
          <w:rFonts w:asciiTheme="minorHAnsi" w:hAnsiTheme="minorHAnsi" w:cstheme="minorHAnsi"/>
          <w:sz w:val="22"/>
          <w:szCs w:val="22"/>
        </w:rPr>
        <w:t>2000-2999 – 20 pts</w:t>
      </w:r>
    </w:p>
    <w:p w14:paraId="1060AB2B" w14:textId="77777777" w:rsidR="00B80288" w:rsidRPr="00B80288" w:rsidRDefault="00B80288" w:rsidP="00B80288">
      <w:pPr>
        <w:numPr>
          <w:ilvl w:val="2"/>
          <w:numId w:val="31"/>
        </w:numPr>
        <w:jc w:val="both"/>
        <w:rPr>
          <w:rFonts w:asciiTheme="minorHAnsi" w:hAnsiTheme="minorHAnsi" w:cstheme="minorHAnsi"/>
          <w:sz w:val="22"/>
          <w:szCs w:val="22"/>
        </w:rPr>
      </w:pPr>
      <w:r w:rsidRPr="00B80288">
        <w:rPr>
          <w:rFonts w:asciiTheme="minorHAnsi" w:hAnsiTheme="minorHAnsi" w:cstheme="minorHAnsi"/>
          <w:sz w:val="22"/>
          <w:szCs w:val="22"/>
        </w:rPr>
        <w:t>3000-3999 – 30 pts</w:t>
      </w:r>
    </w:p>
    <w:p w14:paraId="67933901" w14:textId="77777777" w:rsidR="00B80288" w:rsidRPr="00B80288" w:rsidRDefault="00B80288" w:rsidP="00B80288">
      <w:pPr>
        <w:numPr>
          <w:ilvl w:val="2"/>
          <w:numId w:val="31"/>
        </w:numPr>
        <w:jc w:val="both"/>
        <w:rPr>
          <w:rFonts w:asciiTheme="minorHAnsi" w:hAnsiTheme="minorHAnsi" w:cstheme="minorHAnsi"/>
          <w:sz w:val="22"/>
          <w:szCs w:val="22"/>
        </w:rPr>
      </w:pPr>
      <w:r w:rsidRPr="00B80288">
        <w:rPr>
          <w:rFonts w:asciiTheme="minorHAnsi" w:hAnsiTheme="minorHAnsi" w:cstheme="minorHAnsi"/>
          <w:sz w:val="22"/>
          <w:szCs w:val="22"/>
        </w:rPr>
        <w:t>4000-5000 – 40 pts</w:t>
      </w:r>
    </w:p>
    <w:p w14:paraId="15FED7E6" w14:textId="77777777" w:rsidR="00B80288" w:rsidRPr="00B80288" w:rsidRDefault="00B80288" w:rsidP="00B80288">
      <w:pPr>
        <w:numPr>
          <w:ilvl w:val="2"/>
          <w:numId w:val="31"/>
        </w:numPr>
        <w:jc w:val="both"/>
        <w:rPr>
          <w:rFonts w:asciiTheme="minorHAnsi" w:hAnsiTheme="minorHAnsi" w:cstheme="minorHAnsi"/>
          <w:sz w:val="22"/>
          <w:szCs w:val="22"/>
        </w:rPr>
      </w:pPr>
      <w:r w:rsidRPr="00B80288">
        <w:rPr>
          <w:rFonts w:asciiTheme="minorHAnsi" w:hAnsiTheme="minorHAnsi" w:cstheme="minorHAnsi"/>
          <w:sz w:val="22"/>
          <w:szCs w:val="22"/>
        </w:rPr>
        <w:t>More than 5000 – 50 pts</w:t>
      </w:r>
    </w:p>
    <w:p w14:paraId="02987380" w14:textId="77777777" w:rsidR="00B80288" w:rsidRPr="00B80288" w:rsidRDefault="00B80288" w:rsidP="00B80288">
      <w:pPr>
        <w:numPr>
          <w:ilvl w:val="1"/>
          <w:numId w:val="31"/>
        </w:numPr>
        <w:jc w:val="both"/>
        <w:rPr>
          <w:rFonts w:asciiTheme="minorHAnsi" w:hAnsiTheme="minorHAnsi" w:cstheme="minorHAnsi"/>
          <w:sz w:val="22"/>
          <w:szCs w:val="22"/>
        </w:rPr>
      </w:pPr>
      <w:r w:rsidRPr="00B80288">
        <w:rPr>
          <w:rFonts w:asciiTheme="minorHAnsi" w:hAnsiTheme="minorHAnsi" w:cstheme="minorHAnsi"/>
          <w:sz w:val="22"/>
          <w:szCs w:val="22"/>
        </w:rPr>
        <w:t xml:space="preserve">Status of Current </w:t>
      </w:r>
      <w:proofErr w:type="spellStart"/>
      <w:r w:rsidRPr="00B80288">
        <w:rPr>
          <w:rFonts w:asciiTheme="minorHAnsi" w:hAnsiTheme="minorHAnsi" w:cstheme="minorHAnsi"/>
          <w:sz w:val="22"/>
          <w:szCs w:val="22"/>
        </w:rPr>
        <w:t>RLF</w:t>
      </w:r>
      <w:proofErr w:type="spellEnd"/>
      <w:r w:rsidRPr="00B80288">
        <w:rPr>
          <w:rFonts w:asciiTheme="minorHAnsi" w:hAnsiTheme="minorHAnsi" w:cstheme="minorHAnsi"/>
          <w:sz w:val="22"/>
          <w:szCs w:val="22"/>
        </w:rPr>
        <w:t xml:space="preserve"> – 10 pts</w:t>
      </w:r>
    </w:p>
    <w:p w14:paraId="2D93ADFF" w14:textId="77777777" w:rsidR="00B80288" w:rsidRPr="00B80288" w:rsidRDefault="00B80288" w:rsidP="00B80288">
      <w:pPr>
        <w:numPr>
          <w:ilvl w:val="2"/>
          <w:numId w:val="31"/>
        </w:numPr>
        <w:jc w:val="both"/>
        <w:rPr>
          <w:rFonts w:asciiTheme="minorHAnsi" w:hAnsiTheme="minorHAnsi" w:cstheme="minorHAnsi"/>
          <w:sz w:val="22"/>
          <w:szCs w:val="22"/>
        </w:rPr>
      </w:pPr>
      <w:r w:rsidRPr="00B80288">
        <w:rPr>
          <w:rFonts w:asciiTheme="minorHAnsi" w:hAnsiTheme="minorHAnsi" w:cstheme="minorHAnsi"/>
          <w:sz w:val="22"/>
          <w:szCs w:val="22"/>
        </w:rPr>
        <w:t xml:space="preserve">All funds in </w:t>
      </w:r>
      <w:proofErr w:type="spellStart"/>
      <w:r w:rsidRPr="00B80288">
        <w:rPr>
          <w:rFonts w:asciiTheme="minorHAnsi" w:hAnsiTheme="minorHAnsi" w:cstheme="minorHAnsi"/>
          <w:sz w:val="22"/>
          <w:szCs w:val="22"/>
        </w:rPr>
        <w:t>RLF</w:t>
      </w:r>
      <w:proofErr w:type="spellEnd"/>
      <w:r w:rsidRPr="00B80288">
        <w:rPr>
          <w:rFonts w:asciiTheme="minorHAnsi" w:hAnsiTheme="minorHAnsi" w:cstheme="minorHAnsi"/>
          <w:sz w:val="22"/>
          <w:szCs w:val="22"/>
        </w:rPr>
        <w:t xml:space="preserve"> are currently obligated/expended – </w:t>
      </w:r>
      <w:proofErr w:type="spellStart"/>
      <w:r w:rsidRPr="00B80288">
        <w:rPr>
          <w:rFonts w:asciiTheme="minorHAnsi" w:hAnsiTheme="minorHAnsi" w:cstheme="minorHAnsi"/>
          <w:sz w:val="22"/>
          <w:szCs w:val="22"/>
        </w:rPr>
        <w:t>5pts</w:t>
      </w:r>
      <w:proofErr w:type="spellEnd"/>
    </w:p>
    <w:p w14:paraId="1586E7D5" w14:textId="77777777" w:rsidR="00B80288" w:rsidRPr="00B80288" w:rsidRDefault="00B80288" w:rsidP="00B80288">
      <w:pPr>
        <w:numPr>
          <w:ilvl w:val="2"/>
          <w:numId w:val="31"/>
        </w:numPr>
        <w:jc w:val="both"/>
        <w:rPr>
          <w:rFonts w:asciiTheme="minorHAnsi" w:hAnsiTheme="minorHAnsi" w:cstheme="minorHAnsi"/>
          <w:sz w:val="22"/>
          <w:szCs w:val="22"/>
        </w:rPr>
      </w:pPr>
      <w:r w:rsidRPr="00B80288">
        <w:rPr>
          <w:rFonts w:asciiTheme="minorHAnsi" w:hAnsiTheme="minorHAnsi" w:cstheme="minorHAnsi"/>
          <w:sz w:val="22"/>
          <w:szCs w:val="22"/>
        </w:rPr>
        <w:t xml:space="preserve">There is a waiting list for </w:t>
      </w:r>
      <w:proofErr w:type="spellStart"/>
      <w:r w:rsidRPr="00B80288">
        <w:rPr>
          <w:rFonts w:asciiTheme="minorHAnsi" w:hAnsiTheme="minorHAnsi" w:cstheme="minorHAnsi"/>
          <w:sz w:val="22"/>
          <w:szCs w:val="22"/>
        </w:rPr>
        <w:t>RLF</w:t>
      </w:r>
      <w:proofErr w:type="spellEnd"/>
      <w:r w:rsidRPr="00B80288">
        <w:rPr>
          <w:rFonts w:asciiTheme="minorHAnsi" w:hAnsiTheme="minorHAnsi" w:cstheme="minorHAnsi"/>
          <w:sz w:val="22"/>
          <w:szCs w:val="22"/>
        </w:rPr>
        <w:t xml:space="preserve"> funds – </w:t>
      </w:r>
      <w:proofErr w:type="spellStart"/>
      <w:r w:rsidRPr="00B80288">
        <w:rPr>
          <w:rFonts w:asciiTheme="minorHAnsi" w:hAnsiTheme="minorHAnsi" w:cstheme="minorHAnsi"/>
          <w:sz w:val="22"/>
          <w:szCs w:val="22"/>
        </w:rPr>
        <w:t>5pts</w:t>
      </w:r>
      <w:proofErr w:type="spellEnd"/>
    </w:p>
    <w:p w14:paraId="737898D6" w14:textId="0D343668" w:rsidR="00B80288" w:rsidRPr="00B80288" w:rsidRDefault="00B80288" w:rsidP="00B80288">
      <w:pPr>
        <w:numPr>
          <w:ilvl w:val="1"/>
          <w:numId w:val="31"/>
        </w:numPr>
        <w:jc w:val="both"/>
        <w:rPr>
          <w:rFonts w:asciiTheme="minorHAnsi" w:hAnsiTheme="minorHAnsi" w:cstheme="minorHAnsi"/>
          <w:sz w:val="22"/>
          <w:szCs w:val="22"/>
        </w:rPr>
      </w:pPr>
      <w:r w:rsidRPr="00B80288">
        <w:rPr>
          <w:rFonts w:asciiTheme="minorHAnsi" w:hAnsiTheme="minorHAnsi" w:cstheme="minorHAnsi"/>
          <w:sz w:val="22"/>
          <w:szCs w:val="22"/>
        </w:rPr>
        <w:t>Focus on Minority-, Women-, or Veteran-Owned Business – 10 pts</w:t>
      </w:r>
    </w:p>
    <w:p w14:paraId="748C4E5D" w14:textId="77777777" w:rsidR="00B80288" w:rsidRPr="00B80288" w:rsidRDefault="00B80288" w:rsidP="00B80288">
      <w:pPr>
        <w:numPr>
          <w:ilvl w:val="1"/>
          <w:numId w:val="31"/>
        </w:numPr>
        <w:jc w:val="both"/>
        <w:rPr>
          <w:rFonts w:asciiTheme="minorHAnsi" w:hAnsiTheme="minorHAnsi" w:cstheme="minorHAnsi"/>
          <w:sz w:val="22"/>
          <w:szCs w:val="22"/>
        </w:rPr>
      </w:pPr>
      <w:r w:rsidRPr="00B80288">
        <w:rPr>
          <w:rFonts w:asciiTheme="minorHAnsi" w:hAnsiTheme="minorHAnsi" w:cstheme="minorHAnsi"/>
          <w:sz w:val="22"/>
          <w:szCs w:val="22"/>
        </w:rPr>
        <w:t xml:space="preserve">Community Applied to Immediate Need Phase but were not Awarded – 10 pts </w:t>
      </w:r>
    </w:p>
    <w:p w14:paraId="45A7331B" w14:textId="77777777" w:rsidR="00B80288" w:rsidRPr="00B80288" w:rsidRDefault="00B80288" w:rsidP="00B80288">
      <w:pPr>
        <w:numPr>
          <w:ilvl w:val="1"/>
          <w:numId w:val="31"/>
        </w:numPr>
        <w:jc w:val="both"/>
        <w:rPr>
          <w:rFonts w:asciiTheme="minorHAnsi" w:hAnsiTheme="minorHAnsi" w:cstheme="minorHAnsi"/>
          <w:sz w:val="22"/>
          <w:szCs w:val="22"/>
        </w:rPr>
      </w:pPr>
      <w:r w:rsidRPr="00B80288">
        <w:rPr>
          <w:rFonts w:asciiTheme="minorHAnsi" w:hAnsiTheme="minorHAnsi" w:cstheme="minorHAnsi"/>
          <w:sz w:val="22"/>
          <w:szCs w:val="22"/>
        </w:rPr>
        <w:t>Regional Collaboration – 10 pts</w:t>
      </w:r>
    </w:p>
    <w:p w14:paraId="685D13E9" w14:textId="77777777" w:rsidR="00B80288" w:rsidRDefault="00B80288" w:rsidP="00B80288">
      <w:pPr>
        <w:numPr>
          <w:ilvl w:val="1"/>
          <w:numId w:val="31"/>
        </w:numPr>
        <w:jc w:val="both"/>
        <w:rPr>
          <w:rFonts w:asciiTheme="minorHAnsi" w:hAnsiTheme="minorHAnsi" w:cstheme="minorHAnsi"/>
          <w:sz w:val="22"/>
          <w:szCs w:val="22"/>
        </w:rPr>
      </w:pPr>
      <w:r w:rsidRPr="00B80288">
        <w:rPr>
          <w:rFonts w:asciiTheme="minorHAnsi" w:hAnsiTheme="minorHAnsi" w:cstheme="minorHAnsi"/>
          <w:sz w:val="22"/>
          <w:szCs w:val="22"/>
        </w:rPr>
        <w:t xml:space="preserve">Participating in </w:t>
      </w:r>
      <w:proofErr w:type="spellStart"/>
      <w:r w:rsidRPr="00B80288">
        <w:rPr>
          <w:rFonts w:asciiTheme="minorHAnsi" w:hAnsiTheme="minorHAnsi" w:cstheme="minorHAnsi"/>
          <w:sz w:val="22"/>
          <w:szCs w:val="22"/>
        </w:rPr>
        <w:t>HBPI</w:t>
      </w:r>
      <w:proofErr w:type="spellEnd"/>
      <w:r w:rsidRPr="00B80288">
        <w:rPr>
          <w:rFonts w:asciiTheme="minorHAnsi" w:hAnsiTheme="minorHAnsi" w:cstheme="minorHAnsi"/>
          <w:sz w:val="22"/>
          <w:szCs w:val="22"/>
        </w:rPr>
        <w:t xml:space="preserve"> – 5 pts</w:t>
      </w:r>
    </w:p>
    <w:p w14:paraId="7C1B437B" w14:textId="55D1BD04" w:rsidR="00B80288" w:rsidRPr="00B80288" w:rsidRDefault="00B80288" w:rsidP="00B80288">
      <w:pPr>
        <w:numPr>
          <w:ilvl w:val="1"/>
          <w:numId w:val="31"/>
        </w:numPr>
        <w:jc w:val="both"/>
        <w:rPr>
          <w:rFonts w:asciiTheme="minorHAnsi" w:hAnsiTheme="minorHAnsi" w:cstheme="minorHAnsi"/>
          <w:sz w:val="22"/>
          <w:szCs w:val="22"/>
        </w:rPr>
      </w:pPr>
      <w:r w:rsidRPr="00B80288">
        <w:rPr>
          <w:rFonts w:asciiTheme="minorHAnsi" w:hAnsiTheme="minorHAnsi" w:cstheme="minorHAnsi"/>
          <w:sz w:val="22"/>
          <w:szCs w:val="22"/>
        </w:rPr>
        <w:t>Collaboration with Local Main Street organization – 5 pts</w:t>
      </w:r>
    </w:p>
    <w:p w14:paraId="7B0BBA5F" w14:textId="77777777" w:rsidR="00A92B79" w:rsidRPr="003060BB" w:rsidRDefault="00A92B79" w:rsidP="00A92B79">
      <w:pPr>
        <w:jc w:val="both"/>
        <w:rPr>
          <w:rFonts w:asciiTheme="minorHAnsi" w:hAnsiTheme="minorHAnsi" w:cstheme="minorHAnsi"/>
          <w:b/>
          <w:sz w:val="22"/>
          <w:szCs w:val="22"/>
          <w:u w:val="single"/>
        </w:rPr>
      </w:pPr>
    </w:p>
    <w:p w14:paraId="0BF9BFA8" w14:textId="473A4F44" w:rsidR="00A92B79" w:rsidRPr="003060BB" w:rsidRDefault="00B80288" w:rsidP="00A92B79">
      <w:pPr>
        <w:jc w:val="both"/>
        <w:rPr>
          <w:rFonts w:asciiTheme="minorHAnsi" w:hAnsiTheme="minorHAnsi" w:cstheme="minorHAnsi"/>
          <w:sz w:val="22"/>
          <w:szCs w:val="22"/>
          <w:u w:val="single"/>
        </w:rPr>
      </w:pPr>
      <w:r>
        <w:rPr>
          <w:rFonts w:asciiTheme="minorHAnsi" w:hAnsiTheme="minorHAnsi" w:cstheme="minorHAnsi"/>
          <w:b/>
          <w:sz w:val="22"/>
          <w:szCs w:val="22"/>
          <w:u w:val="single"/>
        </w:rPr>
        <w:t>PROGRAM</w:t>
      </w:r>
      <w:r w:rsidR="00A92B79">
        <w:rPr>
          <w:rFonts w:asciiTheme="minorHAnsi" w:hAnsiTheme="minorHAnsi" w:cstheme="minorHAnsi"/>
          <w:b/>
          <w:sz w:val="22"/>
          <w:szCs w:val="22"/>
          <w:u w:val="single"/>
        </w:rPr>
        <w:t xml:space="preserve"> DESIGN FACTORS (2</w:t>
      </w:r>
      <w:r w:rsidR="00A92B79" w:rsidRPr="003060BB">
        <w:rPr>
          <w:rFonts w:asciiTheme="minorHAnsi" w:hAnsiTheme="minorHAnsi" w:cstheme="minorHAnsi"/>
          <w:b/>
          <w:sz w:val="22"/>
          <w:szCs w:val="22"/>
          <w:u w:val="single"/>
        </w:rPr>
        <w:t>00 POINTS):</w:t>
      </w:r>
    </w:p>
    <w:p w14:paraId="073A4E4D" w14:textId="725785C7" w:rsidR="00A92B79" w:rsidRPr="003060BB" w:rsidRDefault="00B80288" w:rsidP="00A92B79">
      <w:pPr>
        <w:jc w:val="both"/>
        <w:rPr>
          <w:rFonts w:asciiTheme="minorHAnsi" w:hAnsiTheme="minorHAnsi" w:cstheme="minorHAnsi"/>
          <w:sz w:val="22"/>
          <w:szCs w:val="22"/>
        </w:rPr>
      </w:pPr>
      <w:r>
        <w:rPr>
          <w:rFonts w:asciiTheme="minorHAnsi" w:hAnsiTheme="minorHAnsi" w:cstheme="minorHAnsi"/>
          <w:sz w:val="22"/>
          <w:szCs w:val="22"/>
        </w:rPr>
        <w:t>A maximum of 2</w:t>
      </w:r>
      <w:r w:rsidR="00A92B79" w:rsidRPr="003060BB">
        <w:rPr>
          <w:rFonts w:asciiTheme="minorHAnsi" w:hAnsiTheme="minorHAnsi" w:cstheme="minorHAnsi"/>
          <w:sz w:val="22"/>
          <w:szCs w:val="22"/>
        </w:rPr>
        <w:t>00 points awarded according to the evaluation in three areas:</w:t>
      </w:r>
    </w:p>
    <w:p w14:paraId="62DA9146" w14:textId="77777777" w:rsidR="00A92B79" w:rsidRPr="003060BB" w:rsidRDefault="00A92B79" w:rsidP="00A92B79">
      <w:pPr>
        <w:jc w:val="both"/>
        <w:rPr>
          <w:rFonts w:asciiTheme="minorHAnsi" w:hAnsiTheme="minorHAnsi" w:cstheme="minorHAnsi"/>
          <w:b/>
          <w:sz w:val="22"/>
          <w:szCs w:val="22"/>
        </w:rPr>
      </w:pPr>
    </w:p>
    <w:p w14:paraId="76041832" w14:textId="31839325" w:rsidR="00A92B79" w:rsidRPr="003060BB" w:rsidRDefault="00A92B79" w:rsidP="00A92B79">
      <w:pPr>
        <w:tabs>
          <w:tab w:val="left" w:pos="360"/>
        </w:tabs>
        <w:ind w:left="720"/>
        <w:jc w:val="both"/>
        <w:rPr>
          <w:rFonts w:asciiTheme="minorHAnsi" w:hAnsiTheme="minorHAnsi" w:cstheme="minorHAnsi"/>
          <w:b/>
          <w:sz w:val="22"/>
          <w:szCs w:val="22"/>
        </w:rPr>
      </w:pPr>
      <w:r>
        <w:rPr>
          <w:rFonts w:asciiTheme="minorHAnsi" w:hAnsiTheme="minorHAnsi" w:cstheme="minorHAnsi"/>
          <w:b/>
          <w:sz w:val="22"/>
          <w:szCs w:val="22"/>
        </w:rPr>
        <w:t>Local Program</w:t>
      </w:r>
      <w:r w:rsidRPr="003060BB">
        <w:rPr>
          <w:rFonts w:asciiTheme="minorHAnsi" w:hAnsiTheme="minorHAnsi" w:cstheme="minorHAnsi"/>
          <w:b/>
          <w:sz w:val="22"/>
          <w:szCs w:val="22"/>
        </w:rPr>
        <w:t xml:space="preserve"> Description </w:t>
      </w:r>
      <w:r w:rsidRPr="003060BB">
        <w:rPr>
          <w:rFonts w:asciiTheme="minorHAnsi" w:hAnsiTheme="minorHAnsi" w:cstheme="minorHAnsi"/>
          <w:sz w:val="22"/>
          <w:szCs w:val="22"/>
        </w:rPr>
        <w:t>– 50 points</w:t>
      </w:r>
    </w:p>
    <w:p w14:paraId="16213A57" w14:textId="622EA1A5" w:rsidR="00A92B79" w:rsidRPr="003060BB" w:rsidRDefault="00B80288" w:rsidP="00A92B79">
      <w:pPr>
        <w:tabs>
          <w:tab w:val="left" w:pos="360"/>
        </w:tabs>
        <w:ind w:left="720"/>
        <w:jc w:val="both"/>
        <w:rPr>
          <w:rFonts w:asciiTheme="minorHAnsi" w:hAnsiTheme="minorHAnsi" w:cstheme="minorHAnsi"/>
          <w:b/>
          <w:sz w:val="22"/>
          <w:szCs w:val="22"/>
        </w:rPr>
      </w:pPr>
      <w:r>
        <w:rPr>
          <w:rFonts w:asciiTheme="minorHAnsi" w:hAnsiTheme="minorHAnsi" w:cstheme="minorHAnsi"/>
          <w:b/>
          <w:sz w:val="22"/>
          <w:szCs w:val="22"/>
        </w:rPr>
        <w:t>Local Program Management</w:t>
      </w:r>
      <w:r w:rsidR="00A92B79" w:rsidRPr="003060BB">
        <w:rPr>
          <w:rFonts w:asciiTheme="minorHAnsi" w:hAnsiTheme="minorHAnsi" w:cstheme="minorHAnsi"/>
          <w:b/>
          <w:sz w:val="22"/>
          <w:szCs w:val="22"/>
        </w:rPr>
        <w:t xml:space="preserve"> </w:t>
      </w:r>
      <w:r>
        <w:rPr>
          <w:rFonts w:asciiTheme="minorHAnsi" w:hAnsiTheme="minorHAnsi" w:cstheme="minorHAnsi"/>
          <w:sz w:val="22"/>
          <w:szCs w:val="22"/>
        </w:rPr>
        <w:t>- 70</w:t>
      </w:r>
      <w:r w:rsidR="00A92B79" w:rsidRPr="003060BB">
        <w:rPr>
          <w:rFonts w:asciiTheme="minorHAnsi" w:hAnsiTheme="minorHAnsi" w:cstheme="minorHAnsi"/>
          <w:sz w:val="22"/>
          <w:szCs w:val="22"/>
        </w:rPr>
        <w:t xml:space="preserve"> points</w:t>
      </w:r>
    </w:p>
    <w:p w14:paraId="13C7DEF8" w14:textId="7C300B3A" w:rsidR="00A92B79" w:rsidRPr="003060BB" w:rsidRDefault="00B80288" w:rsidP="00A92B79">
      <w:pPr>
        <w:tabs>
          <w:tab w:val="left" w:pos="360"/>
        </w:tabs>
        <w:ind w:left="720"/>
        <w:jc w:val="both"/>
        <w:rPr>
          <w:rFonts w:asciiTheme="minorHAnsi" w:hAnsiTheme="minorHAnsi" w:cstheme="minorHAnsi"/>
          <w:b/>
          <w:sz w:val="22"/>
          <w:szCs w:val="22"/>
        </w:rPr>
      </w:pPr>
      <w:r>
        <w:rPr>
          <w:rFonts w:asciiTheme="minorHAnsi" w:hAnsiTheme="minorHAnsi" w:cstheme="minorHAnsi"/>
          <w:b/>
          <w:sz w:val="22"/>
          <w:szCs w:val="22"/>
        </w:rPr>
        <w:lastRenderedPageBreak/>
        <w:t>Program Need</w:t>
      </w:r>
      <w:r w:rsidR="00A92B79" w:rsidRPr="003060BB">
        <w:rPr>
          <w:rFonts w:asciiTheme="minorHAnsi" w:hAnsiTheme="minorHAnsi" w:cstheme="minorHAnsi"/>
          <w:b/>
          <w:sz w:val="22"/>
          <w:szCs w:val="22"/>
        </w:rPr>
        <w:t xml:space="preserve"> </w:t>
      </w:r>
      <w:r>
        <w:rPr>
          <w:rFonts w:asciiTheme="minorHAnsi" w:hAnsiTheme="minorHAnsi" w:cstheme="minorHAnsi"/>
          <w:sz w:val="22"/>
          <w:szCs w:val="22"/>
        </w:rPr>
        <w:t>– 70 points</w:t>
      </w:r>
    </w:p>
    <w:p w14:paraId="75C18EE1" w14:textId="77777777" w:rsidR="00A92B79" w:rsidRPr="003060BB" w:rsidRDefault="00A92B79" w:rsidP="00A92B79">
      <w:pPr>
        <w:jc w:val="both"/>
        <w:rPr>
          <w:rFonts w:asciiTheme="minorHAnsi" w:hAnsiTheme="minorHAnsi" w:cstheme="minorHAnsi"/>
          <w:sz w:val="22"/>
          <w:szCs w:val="22"/>
        </w:rPr>
      </w:pPr>
    </w:p>
    <w:p w14:paraId="1D93562F" w14:textId="5D7C78D6" w:rsidR="00A92B79" w:rsidRPr="003060BB" w:rsidRDefault="00A92B79" w:rsidP="00A92B79">
      <w:pPr>
        <w:ind w:right="36"/>
        <w:jc w:val="both"/>
        <w:rPr>
          <w:rFonts w:asciiTheme="minorHAnsi" w:hAnsiTheme="minorHAnsi" w:cstheme="minorHAnsi"/>
          <w:sz w:val="22"/>
          <w:szCs w:val="22"/>
        </w:rPr>
      </w:pPr>
      <w:r w:rsidRPr="003060BB">
        <w:rPr>
          <w:rFonts w:asciiTheme="minorHAnsi" w:hAnsiTheme="minorHAnsi" w:cstheme="minorHAnsi"/>
          <w:sz w:val="22"/>
          <w:szCs w:val="22"/>
        </w:rPr>
        <w:t>The points in these categories are awarded by the OCRA Scoring Committee when evaluating the projects</w:t>
      </w:r>
      <w:r w:rsidRPr="003060BB">
        <w:rPr>
          <w:rFonts w:asciiTheme="minorHAnsi" w:hAnsiTheme="minorHAnsi" w:cstheme="minorHAnsi"/>
          <w:b/>
          <w:sz w:val="22"/>
          <w:szCs w:val="22"/>
        </w:rPr>
        <w:t xml:space="preserve">. </w:t>
      </w:r>
      <w:r>
        <w:rPr>
          <w:rFonts w:asciiTheme="minorHAnsi" w:hAnsiTheme="minorHAnsi" w:cstheme="minorHAnsi"/>
          <w:sz w:val="22"/>
          <w:szCs w:val="22"/>
        </w:rPr>
        <w:t>Scoring questions for these categories are defined for each round and are provided to applicants that s</w:t>
      </w:r>
      <w:r w:rsidR="00B80288">
        <w:rPr>
          <w:rFonts w:asciiTheme="minorHAnsi" w:hAnsiTheme="minorHAnsi" w:cstheme="minorHAnsi"/>
          <w:sz w:val="22"/>
          <w:szCs w:val="22"/>
        </w:rPr>
        <w:t>ubmit a proposal</w:t>
      </w:r>
      <w:r>
        <w:rPr>
          <w:rFonts w:asciiTheme="minorHAnsi" w:hAnsiTheme="minorHAnsi" w:cstheme="minorHAnsi"/>
          <w:sz w:val="22"/>
          <w:szCs w:val="22"/>
        </w:rPr>
        <w:t>. The questions are subject to change each round</w:t>
      </w:r>
      <w:r w:rsidRPr="003060BB">
        <w:rPr>
          <w:rFonts w:asciiTheme="minorHAnsi" w:hAnsiTheme="minorHAnsi" w:cstheme="minorHAnsi"/>
          <w:b/>
          <w:sz w:val="22"/>
          <w:szCs w:val="22"/>
        </w:rPr>
        <w:t>.</w:t>
      </w:r>
      <w:r>
        <w:rPr>
          <w:rFonts w:asciiTheme="minorHAnsi" w:hAnsiTheme="minorHAnsi" w:cstheme="minorHAnsi"/>
          <w:sz w:val="22"/>
          <w:szCs w:val="22"/>
        </w:rPr>
        <w:t xml:space="preserve">  Applicants are encouraged </w:t>
      </w:r>
      <w:r w:rsidRPr="003060BB">
        <w:rPr>
          <w:rFonts w:asciiTheme="minorHAnsi" w:hAnsiTheme="minorHAnsi" w:cstheme="minorHAnsi"/>
          <w:sz w:val="22"/>
          <w:szCs w:val="22"/>
        </w:rPr>
        <w:t>work with their OCRA Community Liaison to identify ways to increase their project’s competitiveness in these areas</w:t>
      </w:r>
      <w:r>
        <w:rPr>
          <w:rFonts w:asciiTheme="minorHAnsi" w:hAnsiTheme="minorHAnsi" w:cstheme="minorHAnsi"/>
          <w:sz w:val="22"/>
          <w:szCs w:val="22"/>
        </w:rPr>
        <w:t xml:space="preserve"> and of the </w:t>
      </w:r>
      <w:proofErr w:type="gramStart"/>
      <w:r>
        <w:rPr>
          <w:rFonts w:asciiTheme="minorHAnsi" w:hAnsiTheme="minorHAnsi" w:cstheme="minorHAnsi"/>
          <w:sz w:val="22"/>
          <w:szCs w:val="22"/>
        </w:rPr>
        <w:t>application as a whole</w:t>
      </w:r>
      <w:proofErr w:type="gramEnd"/>
      <w:r w:rsidRPr="003060BB">
        <w:rPr>
          <w:rFonts w:asciiTheme="minorHAnsi" w:hAnsiTheme="minorHAnsi" w:cstheme="minorHAnsi"/>
          <w:sz w:val="22"/>
          <w:szCs w:val="22"/>
        </w:rPr>
        <w:t xml:space="preserve">. </w:t>
      </w:r>
    </w:p>
    <w:p w14:paraId="6AEE1BF2" w14:textId="692A2499" w:rsidR="00D934E5" w:rsidRDefault="00D934E5" w:rsidP="00D934E5">
      <w:pPr>
        <w:pStyle w:val="Default"/>
        <w:jc w:val="both"/>
        <w:rPr>
          <w:rFonts w:asciiTheme="minorHAnsi" w:hAnsiTheme="minorHAnsi" w:cstheme="minorHAnsi"/>
          <w:color w:val="auto"/>
          <w:sz w:val="22"/>
          <w:szCs w:val="22"/>
        </w:rPr>
      </w:pPr>
    </w:p>
    <w:p w14:paraId="65608D2C" w14:textId="2DD0940E" w:rsidR="008D5875" w:rsidRPr="00EF060E" w:rsidRDefault="008D5875" w:rsidP="008D5875">
      <w:pPr>
        <w:pStyle w:val="Default"/>
        <w:ind w:left="1296" w:hanging="1440"/>
        <w:jc w:val="center"/>
        <w:outlineLvl w:val="0"/>
        <w:rPr>
          <w:rFonts w:asciiTheme="minorHAnsi" w:hAnsiTheme="minorHAnsi" w:cstheme="minorHAnsi"/>
          <w:b/>
          <w:bCs/>
          <w:color w:val="auto"/>
          <w:sz w:val="22"/>
          <w:szCs w:val="22"/>
          <w:highlight w:val="cyan"/>
        </w:rPr>
      </w:pPr>
      <w:r w:rsidRPr="00EF060E">
        <w:rPr>
          <w:rFonts w:asciiTheme="minorHAnsi" w:hAnsiTheme="minorHAnsi" w:cstheme="minorHAnsi"/>
          <w:b/>
          <w:bCs/>
          <w:color w:val="auto"/>
          <w:sz w:val="22"/>
          <w:szCs w:val="22"/>
          <w:highlight w:val="cyan"/>
        </w:rPr>
        <w:t xml:space="preserve">PHASE 3 EVALUATION CRITERIA </w:t>
      </w:r>
    </w:p>
    <w:p w14:paraId="1857C3FB" w14:textId="15D690D4" w:rsidR="00EF060E" w:rsidRPr="00EF060E" w:rsidRDefault="00EF060E" w:rsidP="00EF060E">
      <w:pPr>
        <w:pStyle w:val="Default"/>
        <w:ind w:left="1296" w:hanging="1440"/>
        <w:jc w:val="center"/>
        <w:outlineLvl w:val="0"/>
        <w:rPr>
          <w:rFonts w:asciiTheme="minorHAnsi" w:hAnsiTheme="minorHAnsi" w:cstheme="minorHAnsi"/>
          <w:b/>
          <w:bCs/>
          <w:color w:val="auto"/>
          <w:sz w:val="22"/>
          <w:szCs w:val="22"/>
          <w:highlight w:val="cyan"/>
        </w:rPr>
      </w:pPr>
      <w:r w:rsidRPr="00EF060E">
        <w:rPr>
          <w:rFonts w:asciiTheme="minorHAnsi" w:hAnsiTheme="minorHAnsi" w:cstheme="minorHAnsi"/>
          <w:b/>
          <w:bCs/>
          <w:color w:val="auto"/>
          <w:sz w:val="22"/>
          <w:szCs w:val="22"/>
          <w:highlight w:val="cyan"/>
        </w:rPr>
        <w:t xml:space="preserve">320 POINTS </w:t>
      </w:r>
      <w:proofErr w:type="gramStart"/>
      <w:r w:rsidRPr="00EF060E">
        <w:rPr>
          <w:rFonts w:asciiTheme="minorHAnsi" w:hAnsiTheme="minorHAnsi" w:cstheme="minorHAnsi"/>
          <w:b/>
          <w:bCs/>
          <w:color w:val="auto"/>
          <w:sz w:val="22"/>
          <w:szCs w:val="22"/>
          <w:highlight w:val="cyan"/>
        </w:rPr>
        <w:t>TOTAL</w:t>
      </w:r>
      <w:proofErr w:type="gramEnd"/>
      <w:r w:rsidRPr="00EF060E">
        <w:rPr>
          <w:rFonts w:asciiTheme="minorHAnsi" w:hAnsiTheme="minorHAnsi" w:cstheme="minorHAnsi"/>
          <w:b/>
          <w:bCs/>
          <w:color w:val="auto"/>
          <w:sz w:val="22"/>
          <w:szCs w:val="22"/>
          <w:highlight w:val="cyan"/>
        </w:rPr>
        <w:t xml:space="preserve"> </w:t>
      </w:r>
    </w:p>
    <w:p w14:paraId="7A062EED" w14:textId="77777777" w:rsidR="00EF060E" w:rsidRPr="00EF060E" w:rsidRDefault="00EF060E" w:rsidP="00EF060E">
      <w:pPr>
        <w:pStyle w:val="Default"/>
        <w:ind w:left="1296" w:hanging="1440"/>
        <w:jc w:val="center"/>
        <w:outlineLvl w:val="0"/>
        <w:rPr>
          <w:rFonts w:asciiTheme="minorHAnsi" w:hAnsiTheme="minorHAnsi" w:cstheme="minorHAnsi"/>
          <w:color w:val="auto"/>
          <w:sz w:val="22"/>
          <w:szCs w:val="22"/>
          <w:highlight w:val="cyan"/>
        </w:rPr>
      </w:pPr>
    </w:p>
    <w:p w14:paraId="5A433A86" w14:textId="77777777" w:rsidR="00EF060E" w:rsidRPr="00EF060E" w:rsidRDefault="00EF060E" w:rsidP="00EF060E">
      <w:pPr>
        <w:jc w:val="both"/>
        <w:rPr>
          <w:rFonts w:asciiTheme="minorHAnsi" w:hAnsiTheme="minorHAnsi" w:cstheme="minorHAnsi"/>
          <w:sz w:val="22"/>
          <w:szCs w:val="22"/>
          <w:highlight w:val="cyan"/>
        </w:rPr>
      </w:pPr>
      <w:r w:rsidRPr="00EF060E">
        <w:rPr>
          <w:rFonts w:asciiTheme="minorHAnsi" w:hAnsiTheme="minorHAnsi" w:cstheme="minorHAnsi"/>
          <w:sz w:val="22"/>
          <w:szCs w:val="22"/>
          <w:highlight w:val="cyan"/>
        </w:rPr>
        <w:t>Applications must pass threshold review to be eligible for funding and will be awarded based on rank and fund availability.</w:t>
      </w:r>
    </w:p>
    <w:p w14:paraId="60290D68" w14:textId="77777777" w:rsidR="00EF060E" w:rsidRPr="00EF060E" w:rsidRDefault="00EF060E" w:rsidP="00EF060E">
      <w:pPr>
        <w:jc w:val="both"/>
        <w:rPr>
          <w:rFonts w:asciiTheme="minorHAnsi" w:hAnsiTheme="minorHAnsi" w:cstheme="minorHAnsi"/>
          <w:sz w:val="22"/>
          <w:szCs w:val="22"/>
          <w:highlight w:val="cyan"/>
        </w:rPr>
      </w:pPr>
    </w:p>
    <w:p w14:paraId="21F429BF" w14:textId="596ED366" w:rsidR="00EF060E" w:rsidRPr="00EF060E" w:rsidRDefault="00EF060E" w:rsidP="00EF060E">
      <w:pPr>
        <w:jc w:val="both"/>
        <w:rPr>
          <w:rFonts w:asciiTheme="minorHAnsi" w:hAnsiTheme="minorHAnsi" w:cstheme="minorHAnsi"/>
          <w:b/>
          <w:sz w:val="22"/>
          <w:szCs w:val="22"/>
          <w:highlight w:val="cyan"/>
          <w:u w:val="single"/>
        </w:rPr>
      </w:pPr>
      <w:r w:rsidRPr="00EF060E">
        <w:rPr>
          <w:rFonts w:asciiTheme="minorHAnsi" w:hAnsiTheme="minorHAnsi" w:cstheme="minorHAnsi"/>
          <w:b/>
          <w:sz w:val="22"/>
          <w:szCs w:val="22"/>
          <w:highlight w:val="cyan"/>
          <w:u w:val="single"/>
        </w:rPr>
        <w:t>DATA BASED FACTORS (120 POINTS):</w:t>
      </w:r>
    </w:p>
    <w:p w14:paraId="2EF24B7F" w14:textId="77777777" w:rsidR="00EF060E" w:rsidRPr="00EF060E" w:rsidRDefault="00EF060E" w:rsidP="00EF060E">
      <w:pPr>
        <w:numPr>
          <w:ilvl w:val="1"/>
          <w:numId w:val="31"/>
        </w:numPr>
        <w:jc w:val="both"/>
        <w:rPr>
          <w:rFonts w:asciiTheme="minorHAnsi" w:hAnsiTheme="minorHAnsi" w:cstheme="minorHAnsi"/>
          <w:sz w:val="22"/>
          <w:szCs w:val="22"/>
          <w:highlight w:val="cyan"/>
        </w:rPr>
      </w:pPr>
      <w:proofErr w:type="spellStart"/>
      <w:r w:rsidRPr="00EF060E">
        <w:rPr>
          <w:rFonts w:asciiTheme="minorHAnsi" w:hAnsiTheme="minorHAnsi" w:cstheme="minorHAnsi"/>
          <w:sz w:val="22"/>
          <w:szCs w:val="22"/>
          <w:highlight w:val="cyan"/>
        </w:rPr>
        <w:t>LMI</w:t>
      </w:r>
      <w:proofErr w:type="spellEnd"/>
      <w:r w:rsidRPr="00EF060E">
        <w:rPr>
          <w:rFonts w:asciiTheme="minorHAnsi" w:hAnsiTheme="minorHAnsi" w:cstheme="minorHAnsi"/>
          <w:sz w:val="22"/>
          <w:szCs w:val="22"/>
          <w:highlight w:val="cyan"/>
        </w:rPr>
        <w:t xml:space="preserve"> % via Census Data – 60 pts</w:t>
      </w:r>
    </w:p>
    <w:p w14:paraId="20470913" w14:textId="77777777" w:rsidR="00EF060E" w:rsidRPr="00EF060E" w:rsidRDefault="00EF060E" w:rsidP="00EF060E">
      <w:pPr>
        <w:numPr>
          <w:ilvl w:val="2"/>
          <w:numId w:val="32"/>
        </w:numPr>
        <w:jc w:val="both"/>
        <w:rPr>
          <w:rFonts w:asciiTheme="minorHAnsi" w:hAnsiTheme="minorHAnsi" w:cstheme="minorHAnsi"/>
          <w:sz w:val="22"/>
          <w:szCs w:val="22"/>
          <w:highlight w:val="cyan"/>
        </w:rPr>
      </w:pPr>
      <w:r w:rsidRPr="00EF060E">
        <w:rPr>
          <w:rFonts w:asciiTheme="minorHAnsi" w:hAnsiTheme="minorHAnsi" w:cstheme="minorHAnsi"/>
          <w:sz w:val="22"/>
          <w:szCs w:val="22"/>
          <w:highlight w:val="cyan"/>
        </w:rPr>
        <w:t xml:space="preserve">Max of 60 Points; 1% -&gt; </w:t>
      </w:r>
      <w:proofErr w:type="spellStart"/>
      <w:r w:rsidRPr="00EF060E">
        <w:rPr>
          <w:rFonts w:asciiTheme="minorHAnsi" w:hAnsiTheme="minorHAnsi" w:cstheme="minorHAnsi"/>
          <w:sz w:val="22"/>
          <w:szCs w:val="22"/>
          <w:highlight w:val="cyan"/>
        </w:rPr>
        <w:t>1pt</w:t>
      </w:r>
      <w:proofErr w:type="spellEnd"/>
    </w:p>
    <w:p w14:paraId="6033F1BF" w14:textId="77777777" w:rsidR="00EF060E" w:rsidRPr="00EF060E" w:rsidRDefault="00EF060E" w:rsidP="00EF060E">
      <w:pPr>
        <w:numPr>
          <w:ilvl w:val="1"/>
          <w:numId w:val="31"/>
        </w:numPr>
        <w:jc w:val="both"/>
        <w:rPr>
          <w:rFonts w:asciiTheme="minorHAnsi" w:hAnsiTheme="minorHAnsi" w:cstheme="minorHAnsi"/>
          <w:sz w:val="22"/>
          <w:szCs w:val="22"/>
          <w:highlight w:val="cyan"/>
        </w:rPr>
      </w:pPr>
      <w:r w:rsidRPr="00EF060E">
        <w:rPr>
          <w:rFonts w:asciiTheme="minorHAnsi" w:hAnsiTheme="minorHAnsi" w:cstheme="minorHAnsi"/>
          <w:sz w:val="22"/>
          <w:szCs w:val="22"/>
          <w:highlight w:val="cyan"/>
        </w:rPr>
        <w:t xml:space="preserve">Local Match – Points for % of local funds to grant request 20 pts </w:t>
      </w:r>
    </w:p>
    <w:p w14:paraId="43CE100B" w14:textId="77777777" w:rsidR="00EF060E" w:rsidRPr="00EF060E" w:rsidRDefault="00EF060E" w:rsidP="00EF060E">
      <w:pPr>
        <w:numPr>
          <w:ilvl w:val="1"/>
          <w:numId w:val="31"/>
        </w:numPr>
        <w:jc w:val="both"/>
        <w:rPr>
          <w:rFonts w:asciiTheme="minorHAnsi" w:hAnsiTheme="minorHAnsi" w:cstheme="minorHAnsi"/>
          <w:sz w:val="22"/>
          <w:szCs w:val="22"/>
          <w:highlight w:val="cyan"/>
        </w:rPr>
      </w:pPr>
      <w:r w:rsidRPr="00EF060E">
        <w:rPr>
          <w:rFonts w:asciiTheme="minorHAnsi" w:hAnsiTheme="minorHAnsi" w:cstheme="minorHAnsi"/>
          <w:sz w:val="22"/>
          <w:szCs w:val="22"/>
          <w:highlight w:val="cyan"/>
        </w:rPr>
        <w:t>Weekly Continued Unemployment Claims for the County – 50 pts</w:t>
      </w:r>
    </w:p>
    <w:p w14:paraId="534A3FCD" w14:textId="77777777" w:rsidR="00EF060E" w:rsidRPr="00EF060E" w:rsidRDefault="00EF060E" w:rsidP="00EF060E">
      <w:pPr>
        <w:numPr>
          <w:ilvl w:val="2"/>
          <w:numId w:val="31"/>
        </w:numPr>
        <w:jc w:val="both"/>
        <w:rPr>
          <w:rFonts w:asciiTheme="minorHAnsi" w:hAnsiTheme="minorHAnsi" w:cstheme="minorHAnsi"/>
          <w:sz w:val="22"/>
          <w:szCs w:val="22"/>
          <w:highlight w:val="cyan"/>
        </w:rPr>
      </w:pPr>
      <w:r w:rsidRPr="00EF060E">
        <w:rPr>
          <w:rFonts w:asciiTheme="minorHAnsi" w:hAnsiTheme="minorHAnsi" w:cstheme="minorHAnsi"/>
          <w:sz w:val="22"/>
          <w:szCs w:val="22"/>
          <w:highlight w:val="cyan"/>
        </w:rPr>
        <w:t>Less than 500 – 0 pts</w:t>
      </w:r>
    </w:p>
    <w:p w14:paraId="627E7217" w14:textId="77777777" w:rsidR="00EF060E" w:rsidRPr="00EF060E" w:rsidRDefault="00EF060E" w:rsidP="00EF060E">
      <w:pPr>
        <w:numPr>
          <w:ilvl w:val="2"/>
          <w:numId w:val="31"/>
        </w:numPr>
        <w:jc w:val="both"/>
        <w:rPr>
          <w:rFonts w:asciiTheme="minorHAnsi" w:hAnsiTheme="minorHAnsi" w:cstheme="minorHAnsi"/>
          <w:sz w:val="22"/>
          <w:szCs w:val="22"/>
          <w:highlight w:val="cyan"/>
        </w:rPr>
      </w:pPr>
      <w:r w:rsidRPr="00EF060E">
        <w:rPr>
          <w:rFonts w:asciiTheme="minorHAnsi" w:hAnsiTheme="minorHAnsi" w:cstheme="minorHAnsi"/>
          <w:sz w:val="22"/>
          <w:szCs w:val="22"/>
          <w:highlight w:val="cyan"/>
        </w:rPr>
        <w:t>500-999 – 5 pts</w:t>
      </w:r>
    </w:p>
    <w:p w14:paraId="27EBB54C" w14:textId="77777777" w:rsidR="00EF060E" w:rsidRPr="00EF060E" w:rsidRDefault="00EF060E" w:rsidP="00EF060E">
      <w:pPr>
        <w:numPr>
          <w:ilvl w:val="2"/>
          <w:numId w:val="31"/>
        </w:numPr>
        <w:jc w:val="both"/>
        <w:rPr>
          <w:rFonts w:asciiTheme="minorHAnsi" w:hAnsiTheme="minorHAnsi" w:cstheme="minorHAnsi"/>
          <w:sz w:val="22"/>
          <w:szCs w:val="22"/>
          <w:highlight w:val="cyan"/>
        </w:rPr>
      </w:pPr>
      <w:r w:rsidRPr="00EF060E">
        <w:rPr>
          <w:rFonts w:asciiTheme="minorHAnsi" w:hAnsiTheme="minorHAnsi" w:cstheme="minorHAnsi"/>
          <w:sz w:val="22"/>
          <w:szCs w:val="22"/>
          <w:highlight w:val="cyan"/>
        </w:rPr>
        <w:t>1000-1999 – 10 pts</w:t>
      </w:r>
    </w:p>
    <w:p w14:paraId="1896EF64" w14:textId="77777777" w:rsidR="00EF060E" w:rsidRPr="00EF060E" w:rsidRDefault="00EF060E" w:rsidP="00EF060E">
      <w:pPr>
        <w:numPr>
          <w:ilvl w:val="2"/>
          <w:numId w:val="31"/>
        </w:numPr>
        <w:jc w:val="both"/>
        <w:rPr>
          <w:rFonts w:asciiTheme="minorHAnsi" w:hAnsiTheme="minorHAnsi" w:cstheme="minorHAnsi"/>
          <w:sz w:val="22"/>
          <w:szCs w:val="22"/>
          <w:highlight w:val="cyan"/>
        </w:rPr>
      </w:pPr>
      <w:r w:rsidRPr="00EF060E">
        <w:rPr>
          <w:rFonts w:asciiTheme="minorHAnsi" w:hAnsiTheme="minorHAnsi" w:cstheme="minorHAnsi"/>
          <w:sz w:val="22"/>
          <w:szCs w:val="22"/>
          <w:highlight w:val="cyan"/>
        </w:rPr>
        <w:t>2000-2999 – 20 pts</w:t>
      </w:r>
    </w:p>
    <w:p w14:paraId="716A8D71" w14:textId="77777777" w:rsidR="00EF060E" w:rsidRPr="00EF060E" w:rsidRDefault="00EF060E" w:rsidP="00EF060E">
      <w:pPr>
        <w:numPr>
          <w:ilvl w:val="2"/>
          <w:numId w:val="31"/>
        </w:numPr>
        <w:jc w:val="both"/>
        <w:rPr>
          <w:rFonts w:asciiTheme="minorHAnsi" w:hAnsiTheme="minorHAnsi" w:cstheme="minorHAnsi"/>
          <w:sz w:val="22"/>
          <w:szCs w:val="22"/>
          <w:highlight w:val="cyan"/>
        </w:rPr>
      </w:pPr>
      <w:r w:rsidRPr="00EF060E">
        <w:rPr>
          <w:rFonts w:asciiTheme="minorHAnsi" w:hAnsiTheme="minorHAnsi" w:cstheme="minorHAnsi"/>
          <w:sz w:val="22"/>
          <w:szCs w:val="22"/>
          <w:highlight w:val="cyan"/>
        </w:rPr>
        <w:t>3000-3999 – 30 pts</w:t>
      </w:r>
    </w:p>
    <w:p w14:paraId="1FC11825" w14:textId="77777777" w:rsidR="00EF060E" w:rsidRPr="00EF060E" w:rsidRDefault="00EF060E" w:rsidP="00EF060E">
      <w:pPr>
        <w:numPr>
          <w:ilvl w:val="2"/>
          <w:numId w:val="31"/>
        </w:numPr>
        <w:jc w:val="both"/>
        <w:rPr>
          <w:rFonts w:asciiTheme="minorHAnsi" w:hAnsiTheme="minorHAnsi" w:cstheme="minorHAnsi"/>
          <w:sz w:val="22"/>
          <w:szCs w:val="22"/>
          <w:highlight w:val="cyan"/>
        </w:rPr>
      </w:pPr>
      <w:r w:rsidRPr="00EF060E">
        <w:rPr>
          <w:rFonts w:asciiTheme="minorHAnsi" w:hAnsiTheme="minorHAnsi" w:cstheme="minorHAnsi"/>
          <w:sz w:val="22"/>
          <w:szCs w:val="22"/>
          <w:highlight w:val="cyan"/>
        </w:rPr>
        <w:t>4000-5000 – 40 pts</w:t>
      </w:r>
    </w:p>
    <w:p w14:paraId="4DC81317" w14:textId="77777777" w:rsidR="00EF060E" w:rsidRPr="00EF060E" w:rsidRDefault="00EF060E" w:rsidP="00EF060E">
      <w:pPr>
        <w:numPr>
          <w:ilvl w:val="2"/>
          <w:numId w:val="31"/>
        </w:numPr>
        <w:jc w:val="both"/>
        <w:rPr>
          <w:rFonts w:asciiTheme="minorHAnsi" w:hAnsiTheme="minorHAnsi" w:cstheme="minorHAnsi"/>
          <w:sz w:val="22"/>
          <w:szCs w:val="22"/>
          <w:highlight w:val="cyan"/>
        </w:rPr>
      </w:pPr>
      <w:r w:rsidRPr="00EF060E">
        <w:rPr>
          <w:rFonts w:asciiTheme="minorHAnsi" w:hAnsiTheme="minorHAnsi" w:cstheme="minorHAnsi"/>
          <w:sz w:val="22"/>
          <w:szCs w:val="22"/>
          <w:highlight w:val="cyan"/>
        </w:rPr>
        <w:t>More than 5000 – 50 pts</w:t>
      </w:r>
    </w:p>
    <w:p w14:paraId="2C09C44C" w14:textId="79191B6C" w:rsidR="00EF060E" w:rsidRPr="00EF060E" w:rsidRDefault="00EF060E" w:rsidP="00EF060E">
      <w:pPr>
        <w:numPr>
          <w:ilvl w:val="1"/>
          <w:numId w:val="31"/>
        </w:numPr>
        <w:jc w:val="both"/>
        <w:rPr>
          <w:rFonts w:asciiTheme="minorHAnsi" w:hAnsiTheme="minorHAnsi" w:cstheme="minorHAnsi"/>
          <w:sz w:val="22"/>
          <w:szCs w:val="22"/>
          <w:highlight w:val="cyan"/>
        </w:rPr>
      </w:pPr>
      <w:r w:rsidRPr="00EF060E">
        <w:rPr>
          <w:rFonts w:asciiTheme="minorHAnsi" w:hAnsiTheme="minorHAnsi" w:cstheme="minorHAnsi"/>
          <w:sz w:val="22"/>
          <w:szCs w:val="22"/>
          <w:highlight w:val="cyan"/>
        </w:rPr>
        <w:t xml:space="preserve">Focus on Minority-, Women-, or Veteran-Owned Business – 10 pts </w:t>
      </w:r>
    </w:p>
    <w:p w14:paraId="0F8D2F25" w14:textId="77777777" w:rsidR="00EF060E" w:rsidRPr="00EF060E" w:rsidRDefault="00EF060E" w:rsidP="00EF060E">
      <w:pPr>
        <w:numPr>
          <w:ilvl w:val="1"/>
          <w:numId w:val="31"/>
        </w:numPr>
        <w:jc w:val="both"/>
        <w:rPr>
          <w:rFonts w:asciiTheme="minorHAnsi" w:hAnsiTheme="minorHAnsi" w:cstheme="minorHAnsi"/>
          <w:sz w:val="22"/>
          <w:szCs w:val="22"/>
          <w:highlight w:val="cyan"/>
        </w:rPr>
      </w:pPr>
      <w:r w:rsidRPr="00EF060E">
        <w:rPr>
          <w:rFonts w:asciiTheme="minorHAnsi" w:hAnsiTheme="minorHAnsi" w:cstheme="minorHAnsi"/>
          <w:sz w:val="22"/>
          <w:szCs w:val="22"/>
          <w:highlight w:val="cyan"/>
        </w:rPr>
        <w:t>Regional Collaboration – 10 pts</w:t>
      </w:r>
    </w:p>
    <w:p w14:paraId="342B978C" w14:textId="77777777" w:rsidR="00EF060E" w:rsidRPr="00EF060E" w:rsidRDefault="00EF060E" w:rsidP="00EF060E">
      <w:pPr>
        <w:jc w:val="both"/>
        <w:rPr>
          <w:rFonts w:asciiTheme="minorHAnsi" w:hAnsiTheme="minorHAnsi" w:cstheme="minorHAnsi"/>
          <w:b/>
          <w:sz w:val="22"/>
          <w:szCs w:val="22"/>
          <w:highlight w:val="cyan"/>
          <w:u w:val="single"/>
        </w:rPr>
      </w:pPr>
    </w:p>
    <w:p w14:paraId="07619F71" w14:textId="77777777" w:rsidR="00EF060E" w:rsidRPr="00EF060E" w:rsidRDefault="00EF060E" w:rsidP="00EF060E">
      <w:pPr>
        <w:jc w:val="both"/>
        <w:rPr>
          <w:rFonts w:asciiTheme="minorHAnsi" w:hAnsiTheme="minorHAnsi" w:cstheme="minorHAnsi"/>
          <w:sz w:val="22"/>
          <w:szCs w:val="22"/>
          <w:highlight w:val="cyan"/>
          <w:u w:val="single"/>
        </w:rPr>
      </w:pPr>
      <w:r w:rsidRPr="00EF060E">
        <w:rPr>
          <w:rFonts w:asciiTheme="minorHAnsi" w:hAnsiTheme="minorHAnsi" w:cstheme="minorHAnsi"/>
          <w:b/>
          <w:sz w:val="22"/>
          <w:szCs w:val="22"/>
          <w:highlight w:val="cyan"/>
          <w:u w:val="single"/>
        </w:rPr>
        <w:t>PROGRAM DESIGN FACTORS (200 POINTS):</w:t>
      </w:r>
    </w:p>
    <w:p w14:paraId="472E73C3" w14:textId="77777777" w:rsidR="00EF060E" w:rsidRPr="00EF060E" w:rsidRDefault="00EF060E" w:rsidP="00EF060E">
      <w:pPr>
        <w:jc w:val="both"/>
        <w:rPr>
          <w:rFonts w:asciiTheme="minorHAnsi" w:hAnsiTheme="minorHAnsi" w:cstheme="minorHAnsi"/>
          <w:sz w:val="22"/>
          <w:szCs w:val="22"/>
          <w:highlight w:val="cyan"/>
        </w:rPr>
      </w:pPr>
      <w:r w:rsidRPr="00EF060E">
        <w:rPr>
          <w:rFonts w:asciiTheme="minorHAnsi" w:hAnsiTheme="minorHAnsi" w:cstheme="minorHAnsi"/>
          <w:sz w:val="22"/>
          <w:szCs w:val="22"/>
          <w:highlight w:val="cyan"/>
        </w:rPr>
        <w:t>A maximum of 200 points awarded according to the evaluation in three areas:</w:t>
      </w:r>
    </w:p>
    <w:p w14:paraId="5C1BE524" w14:textId="77777777" w:rsidR="00EF060E" w:rsidRPr="00EF060E" w:rsidRDefault="00EF060E" w:rsidP="00EF060E">
      <w:pPr>
        <w:jc w:val="both"/>
        <w:rPr>
          <w:rFonts w:asciiTheme="minorHAnsi" w:hAnsiTheme="minorHAnsi" w:cstheme="minorHAnsi"/>
          <w:b/>
          <w:sz w:val="22"/>
          <w:szCs w:val="22"/>
          <w:highlight w:val="cyan"/>
        </w:rPr>
      </w:pPr>
    </w:p>
    <w:p w14:paraId="35328619" w14:textId="71AB8836" w:rsidR="00EF060E" w:rsidRPr="00EF060E" w:rsidRDefault="00EF060E" w:rsidP="00EF060E">
      <w:pPr>
        <w:tabs>
          <w:tab w:val="left" w:pos="360"/>
        </w:tabs>
        <w:ind w:left="720"/>
        <w:jc w:val="both"/>
        <w:rPr>
          <w:rFonts w:asciiTheme="minorHAnsi" w:hAnsiTheme="minorHAnsi" w:cstheme="minorHAnsi"/>
          <w:b/>
          <w:sz w:val="22"/>
          <w:szCs w:val="22"/>
          <w:highlight w:val="cyan"/>
        </w:rPr>
      </w:pPr>
      <w:r w:rsidRPr="00EF060E">
        <w:rPr>
          <w:rFonts w:asciiTheme="minorHAnsi" w:hAnsiTheme="minorHAnsi" w:cstheme="minorHAnsi"/>
          <w:b/>
          <w:sz w:val="22"/>
          <w:szCs w:val="22"/>
          <w:highlight w:val="cyan"/>
        </w:rPr>
        <w:t xml:space="preserve">Program/Project Description </w:t>
      </w:r>
      <w:r w:rsidRPr="00EF060E">
        <w:rPr>
          <w:rFonts w:asciiTheme="minorHAnsi" w:hAnsiTheme="minorHAnsi" w:cstheme="minorHAnsi"/>
          <w:sz w:val="22"/>
          <w:szCs w:val="22"/>
          <w:highlight w:val="cyan"/>
        </w:rPr>
        <w:t>– 50 points</w:t>
      </w:r>
    </w:p>
    <w:p w14:paraId="6FCE5B05" w14:textId="7908EE96" w:rsidR="00EF060E" w:rsidRPr="00EF060E" w:rsidRDefault="00EF060E" w:rsidP="00EF060E">
      <w:pPr>
        <w:tabs>
          <w:tab w:val="left" w:pos="360"/>
        </w:tabs>
        <w:ind w:left="720"/>
        <w:jc w:val="both"/>
        <w:rPr>
          <w:rFonts w:asciiTheme="minorHAnsi" w:hAnsiTheme="minorHAnsi" w:cstheme="minorHAnsi"/>
          <w:sz w:val="22"/>
          <w:szCs w:val="22"/>
          <w:highlight w:val="cyan"/>
        </w:rPr>
      </w:pPr>
      <w:r w:rsidRPr="00EF060E">
        <w:rPr>
          <w:rFonts w:asciiTheme="minorHAnsi" w:hAnsiTheme="minorHAnsi" w:cstheme="minorHAnsi"/>
          <w:b/>
          <w:sz w:val="22"/>
          <w:szCs w:val="22"/>
          <w:highlight w:val="cyan"/>
        </w:rPr>
        <w:t xml:space="preserve">Program/Project Need </w:t>
      </w:r>
      <w:proofErr w:type="spellStart"/>
      <w:r w:rsidRPr="00EF060E">
        <w:rPr>
          <w:rFonts w:asciiTheme="minorHAnsi" w:hAnsiTheme="minorHAnsi" w:cstheme="minorHAnsi"/>
          <w:b/>
          <w:sz w:val="22"/>
          <w:szCs w:val="22"/>
          <w:highlight w:val="cyan"/>
        </w:rPr>
        <w:t>Need</w:t>
      </w:r>
      <w:proofErr w:type="spellEnd"/>
      <w:r w:rsidRPr="00EF060E">
        <w:rPr>
          <w:rFonts w:asciiTheme="minorHAnsi" w:hAnsiTheme="minorHAnsi" w:cstheme="minorHAnsi"/>
          <w:b/>
          <w:sz w:val="22"/>
          <w:szCs w:val="22"/>
          <w:highlight w:val="cyan"/>
        </w:rPr>
        <w:t xml:space="preserve"> </w:t>
      </w:r>
      <w:r w:rsidRPr="00EF060E">
        <w:rPr>
          <w:rFonts w:asciiTheme="minorHAnsi" w:hAnsiTheme="minorHAnsi" w:cstheme="minorHAnsi"/>
          <w:sz w:val="22"/>
          <w:szCs w:val="22"/>
          <w:highlight w:val="cyan"/>
        </w:rPr>
        <w:t>– 70 points</w:t>
      </w:r>
    </w:p>
    <w:p w14:paraId="66B5F377" w14:textId="6FE2CF79" w:rsidR="00EF060E" w:rsidRPr="00EF060E" w:rsidRDefault="00EF060E" w:rsidP="00EF060E">
      <w:pPr>
        <w:tabs>
          <w:tab w:val="left" w:pos="360"/>
        </w:tabs>
        <w:ind w:left="720"/>
        <w:jc w:val="both"/>
        <w:rPr>
          <w:rFonts w:asciiTheme="minorHAnsi" w:hAnsiTheme="minorHAnsi" w:cstheme="minorHAnsi"/>
          <w:b/>
          <w:sz w:val="22"/>
          <w:szCs w:val="22"/>
          <w:highlight w:val="cyan"/>
        </w:rPr>
      </w:pPr>
      <w:r w:rsidRPr="00EF060E">
        <w:rPr>
          <w:rFonts w:asciiTheme="minorHAnsi" w:hAnsiTheme="minorHAnsi" w:cstheme="minorHAnsi"/>
          <w:b/>
          <w:sz w:val="22"/>
          <w:szCs w:val="22"/>
          <w:highlight w:val="cyan"/>
        </w:rPr>
        <w:t xml:space="preserve">Financial Impact and Management </w:t>
      </w:r>
      <w:r w:rsidRPr="00EF060E">
        <w:rPr>
          <w:rFonts w:asciiTheme="minorHAnsi" w:hAnsiTheme="minorHAnsi" w:cstheme="minorHAnsi"/>
          <w:bCs/>
          <w:sz w:val="22"/>
          <w:szCs w:val="22"/>
          <w:highlight w:val="cyan"/>
        </w:rPr>
        <w:t>– 70 points</w:t>
      </w:r>
    </w:p>
    <w:p w14:paraId="5A86BF48" w14:textId="77777777" w:rsidR="00EF060E" w:rsidRPr="00EF060E" w:rsidRDefault="00EF060E" w:rsidP="00EF060E">
      <w:pPr>
        <w:jc w:val="both"/>
        <w:rPr>
          <w:rFonts w:asciiTheme="minorHAnsi" w:hAnsiTheme="minorHAnsi" w:cstheme="minorHAnsi"/>
          <w:sz w:val="22"/>
          <w:szCs w:val="22"/>
          <w:highlight w:val="cyan"/>
        </w:rPr>
      </w:pPr>
    </w:p>
    <w:p w14:paraId="7E651FB8" w14:textId="287D8C25" w:rsidR="00EF060E" w:rsidRPr="003060BB" w:rsidRDefault="00EF060E" w:rsidP="00EF060E">
      <w:pPr>
        <w:ind w:right="36"/>
        <w:jc w:val="both"/>
        <w:rPr>
          <w:rFonts w:asciiTheme="minorHAnsi" w:hAnsiTheme="minorHAnsi" w:cstheme="minorHAnsi"/>
          <w:sz w:val="22"/>
          <w:szCs w:val="22"/>
        </w:rPr>
      </w:pPr>
      <w:r w:rsidRPr="00EF060E">
        <w:rPr>
          <w:rFonts w:asciiTheme="minorHAnsi" w:hAnsiTheme="minorHAnsi" w:cstheme="minorHAnsi"/>
          <w:sz w:val="22"/>
          <w:szCs w:val="22"/>
          <w:highlight w:val="cyan"/>
        </w:rPr>
        <w:t>The points in these categories are awarded by the OCRA Scoring Committee when evaluating the projects</w:t>
      </w:r>
      <w:r w:rsidRPr="00EF060E">
        <w:rPr>
          <w:rFonts w:asciiTheme="minorHAnsi" w:hAnsiTheme="minorHAnsi" w:cstheme="minorHAnsi"/>
          <w:b/>
          <w:sz w:val="22"/>
          <w:szCs w:val="22"/>
          <w:highlight w:val="cyan"/>
        </w:rPr>
        <w:t xml:space="preserve">. </w:t>
      </w:r>
      <w:r w:rsidRPr="00EF060E">
        <w:rPr>
          <w:rFonts w:asciiTheme="minorHAnsi" w:hAnsiTheme="minorHAnsi" w:cstheme="minorHAnsi"/>
          <w:sz w:val="22"/>
          <w:szCs w:val="22"/>
          <w:highlight w:val="cyan"/>
        </w:rPr>
        <w:t>Scoring questions for these categories are defined for each phase and are provided to applicants that submit a proposal. The questions are subject to change each phase</w:t>
      </w:r>
      <w:r w:rsidRPr="00EF060E">
        <w:rPr>
          <w:rFonts w:asciiTheme="minorHAnsi" w:hAnsiTheme="minorHAnsi" w:cstheme="minorHAnsi"/>
          <w:b/>
          <w:sz w:val="22"/>
          <w:szCs w:val="22"/>
          <w:highlight w:val="cyan"/>
        </w:rPr>
        <w:t>.</w:t>
      </w:r>
      <w:r w:rsidRPr="00EF060E">
        <w:rPr>
          <w:rFonts w:asciiTheme="minorHAnsi" w:hAnsiTheme="minorHAnsi" w:cstheme="minorHAnsi"/>
          <w:sz w:val="22"/>
          <w:szCs w:val="22"/>
          <w:highlight w:val="cyan"/>
        </w:rPr>
        <w:t xml:space="preserve">  Applicants are encouraged work with their OCRA Community Liaison to identify ways to increase their project’s competitiveness in these areas and of the </w:t>
      </w:r>
      <w:proofErr w:type="gramStart"/>
      <w:r w:rsidRPr="00EF060E">
        <w:rPr>
          <w:rFonts w:asciiTheme="minorHAnsi" w:hAnsiTheme="minorHAnsi" w:cstheme="minorHAnsi"/>
          <w:sz w:val="22"/>
          <w:szCs w:val="22"/>
          <w:highlight w:val="cyan"/>
        </w:rPr>
        <w:t>application as a whole</w:t>
      </w:r>
      <w:proofErr w:type="gramEnd"/>
      <w:r w:rsidRPr="00EF060E">
        <w:rPr>
          <w:rFonts w:asciiTheme="minorHAnsi" w:hAnsiTheme="minorHAnsi" w:cstheme="minorHAnsi"/>
          <w:sz w:val="22"/>
          <w:szCs w:val="22"/>
          <w:highlight w:val="cyan"/>
        </w:rPr>
        <w:t>.</w:t>
      </w:r>
      <w:r w:rsidRPr="003060BB">
        <w:rPr>
          <w:rFonts w:asciiTheme="minorHAnsi" w:hAnsiTheme="minorHAnsi" w:cstheme="minorHAnsi"/>
          <w:sz w:val="22"/>
          <w:szCs w:val="22"/>
        </w:rPr>
        <w:t xml:space="preserve"> </w:t>
      </w:r>
    </w:p>
    <w:p w14:paraId="10CAFB0B" w14:textId="377443AE" w:rsidR="00B8579F" w:rsidRPr="00D934E5" w:rsidRDefault="00B8579F" w:rsidP="00EF060E">
      <w:pPr>
        <w:pStyle w:val="Default"/>
        <w:rPr>
          <w:rFonts w:asciiTheme="minorHAnsi" w:hAnsiTheme="minorHAnsi" w:cstheme="minorHAnsi"/>
          <w:color w:val="auto"/>
          <w:sz w:val="22"/>
          <w:szCs w:val="22"/>
        </w:rPr>
      </w:pPr>
    </w:p>
    <w:sectPr w:rsidR="00B8579F" w:rsidRPr="00D934E5" w:rsidSect="00D934E5">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52BB1" w14:textId="77777777" w:rsidR="00671FF3" w:rsidRDefault="00671FF3">
      <w:r>
        <w:separator/>
      </w:r>
    </w:p>
  </w:endnote>
  <w:endnote w:type="continuationSeparator" w:id="0">
    <w:p w14:paraId="70F7A9EE" w14:textId="77777777" w:rsidR="00671FF3" w:rsidRDefault="0067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85D83" w14:textId="7BFBE944" w:rsidR="00BA6071" w:rsidRDefault="00BA6071">
    <w:pPr>
      <w:pStyle w:val="Footer"/>
      <w:rPr>
        <w:sz w:val="20"/>
      </w:rPr>
    </w:pPr>
    <w:r>
      <w:rPr>
        <w:sz w:val="20"/>
      </w:rPr>
      <w:t xml:space="preserve">CDBG 2019 Allocation Plan </w:t>
    </w:r>
    <w:r w:rsidR="00046C2B">
      <w:rPr>
        <w:sz w:val="20"/>
      </w:rPr>
      <w:t xml:space="preserve">– Amendment June </w:t>
    </w:r>
    <w:proofErr w:type="gramStart"/>
    <w:r w:rsidR="00046C2B">
      <w:rPr>
        <w:sz w:val="20"/>
      </w:rPr>
      <w:t xml:space="preserve">2020  </w:t>
    </w:r>
    <w:r>
      <w:rPr>
        <w:sz w:val="20"/>
      </w:rPr>
      <w:tab/>
    </w:r>
    <w:proofErr w:type="gramEnd"/>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046C2B">
      <w:rPr>
        <w:rStyle w:val="PageNumber"/>
        <w:noProof/>
        <w:sz w:val="20"/>
      </w:rPr>
      <w:t>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45922" w14:textId="77777777" w:rsidR="00671FF3" w:rsidRDefault="00671FF3">
      <w:r>
        <w:separator/>
      </w:r>
    </w:p>
  </w:footnote>
  <w:footnote w:type="continuationSeparator" w:id="0">
    <w:p w14:paraId="5449C905" w14:textId="77777777" w:rsidR="00671FF3" w:rsidRDefault="00671FF3">
      <w:r>
        <w:continuationSeparator/>
      </w:r>
    </w:p>
  </w:footnote>
  <w:footnote w:id="1">
    <w:p w14:paraId="5623EB9E" w14:textId="77777777" w:rsidR="00BA6071" w:rsidRDefault="00BA6071" w:rsidP="00E266AD">
      <w:pPr>
        <w:pStyle w:val="FootnoteText"/>
      </w:pPr>
      <w:r>
        <w:rPr>
          <w:rStyle w:val="FootnoteReference"/>
        </w:rPr>
        <w:footnoteRef/>
      </w:r>
      <w:r>
        <w:t xml:space="preserve"> If agreeable, it would be the Indiana Civil Rights Commissions obligation to provide timely responses as well as to provide data retrieved from other relevant local human relations commissions.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462"/>
    <w:multiLevelType w:val="hybridMultilevel"/>
    <w:tmpl w:val="10EC8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5107"/>
    <w:multiLevelType w:val="hybridMultilevel"/>
    <w:tmpl w:val="795073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C2405"/>
    <w:multiLevelType w:val="hybridMultilevel"/>
    <w:tmpl w:val="BB44CDAA"/>
    <w:lvl w:ilvl="0" w:tplc="1E76D5E8">
      <w:start w:val="1"/>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EEA5E8F"/>
    <w:multiLevelType w:val="hybridMultilevel"/>
    <w:tmpl w:val="A126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D0571"/>
    <w:multiLevelType w:val="hybridMultilevel"/>
    <w:tmpl w:val="A4F2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E13A0"/>
    <w:multiLevelType w:val="hybridMultilevel"/>
    <w:tmpl w:val="4446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C15FF"/>
    <w:multiLevelType w:val="hybridMultilevel"/>
    <w:tmpl w:val="37C87674"/>
    <w:lvl w:ilvl="0" w:tplc="0409000F">
      <w:start w:val="1"/>
      <w:numFmt w:val="decimal"/>
      <w:lvlText w:val="%1."/>
      <w:lvlJc w:val="left"/>
      <w:pPr>
        <w:tabs>
          <w:tab w:val="num" w:pos="720"/>
        </w:tabs>
        <w:ind w:left="720" w:hanging="360"/>
      </w:pPr>
      <w:rPr>
        <w:rFonts w:hint="default"/>
      </w:rPr>
    </w:lvl>
    <w:lvl w:ilvl="1" w:tplc="BD32D3D6">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F011921"/>
    <w:multiLevelType w:val="hybridMultilevel"/>
    <w:tmpl w:val="84868DA8"/>
    <w:lvl w:ilvl="0" w:tplc="04090019">
      <w:start w:val="1"/>
      <w:numFmt w:val="lowerLetter"/>
      <w:lvlText w:val="%1."/>
      <w:lvlJc w:val="left"/>
      <w:pPr>
        <w:tabs>
          <w:tab w:val="num" w:pos="720"/>
        </w:tabs>
        <w:ind w:left="720" w:hanging="360"/>
      </w:pPr>
    </w:lvl>
    <w:lvl w:ilvl="1" w:tplc="EFF885E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F53733B"/>
    <w:multiLevelType w:val="hybridMultilevel"/>
    <w:tmpl w:val="FBCA069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15:restartNumberingAfterBreak="0">
    <w:nsid w:val="2007515B"/>
    <w:multiLevelType w:val="hybridMultilevel"/>
    <w:tmpl w:val="B8E4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D70C6"/>
    <w:multiLevelType w:val="hybridMultilevel"/>
    <w:tmpl w:val="FBA6C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F7915"/>
    <w:multiLevelType w:val="hybridMultilevel"/>
    <w:tmpl w:val="D8FE3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F7C1D"/>
    <w:multiLevelType w:val="hybridMultilevel"/>
    <w:tmpl w:val="016CC2CC"/>
    <w:lvl w:ilvl="0" w:tplc="F3709E5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FF86D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C36DD4"/>
    <w:multiLevelType w:val="hybridMultilevel"/>
    <w:tmpl w:val="D09816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FA0E23"/>
    <w:multiLevelType w:val="hybridMultilevel"/>
    <w:tmpl w:val="0888B168"/>
    <w:lvl w:ilvl="0" w:tplc="218658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77846"/>
    <w:multiLevelType w:val="hybridMultilevel"/>
    <w:tmpl w:val="0888B168"/>
    <w:lvl w:ilvl="0" w:tplc="218658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DC0F28"/>
    <w:multiLevelType w:val="hybridMultilevel"/>
    <w:tmpl w:val="B8F40C9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74B5B52"/>
    <w:multiLevelType w:val="hybridMultilevel"/>
    <w:tmpl w:val="0888B168"/>
    <w:lvl w:ilvl="0" w:tplc="218658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26737"/>
    <w:multiLevelType w:val="hybridMultilevel"/>
    <w:tmpl w:val="9FA4CB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F9013E3"/>
    <w:multiLevelType w:val="hybridMultilevel"/>
    <w:tmpl w:val="655CE6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D974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3A85D3B"/>
    <w:multiLevelType w:val="hybridMultilevel"/>
    <w:tmpl w:val="E46699A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7C259F3"/>
    <w:multiLevelType w:val="hybridMultilevel"/>
    <w:tmpl w:val="FBA6C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46E23"/>
    <w:multiLevelType w:val="hybridMultilevel"/>
    <w:tmpl w:val="50F2CB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4C2CEF"/>
    <w:multiLevelType w:val="hybridMultilevel"/>
    <w:tmpl w:val="F864D2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14294E"/>
    <w:multiLevelType w:val="hybridMultilevel"/>
    <w:tmpl w:val="A2EA8572"/>
    <w:lvl w:ilvl="0" w:tplc="0CB265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00496"/>
    <w:multiLevelType w:val="hybridMultilevel"/>
    <w:tmpl w:val="88CEA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674E7"/>
    <w:multiLevelType w:val="hybridMultilevel"/>
    <w:tmpl w:val="0888B168"/>
    <w:lvl w:ilvl="0" w:tplc="218658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67099"/>
    <w:multiLevelType w:val="hybridMultilevel"/>
    <w:tmpl w:val="DC82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F6BAC"/>
    <w:multiLevelType w:val="hybridMultilevel"/>
    <w:tmpl w:val="E29281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7B9F66CF"/>
    <w:multiLevelType w:val="hybridMultilevel"/>
    <w:tmpl w:val="A4443A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335D7"/>
    <w:multiLevelType w:val="hybridMultilevel"/>
    <w:tmpl w:val="BBB48750"/>
    <w:lvl w:ilvl="0" w:tplc="BE903CC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5B1CA4"/>
    <w:multiLevelType w:val="hybridMultilevel"/>
    <w:tmpl w:val="FBA6C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9"/>
  </w:num>
  <w:num w:numId="4">
    <w:abstractNumId w:val="7"/>
  </w:num>
  <w:num w:numId="5">
    <w:abstractNumId w:val="22"/>
  </w:num>
  <w:num w:numId="6">
    <w:abstractNumId w:val="30"/>
  </w:num>
  <w:num w:numId="7">
    <w:abstractNumId w:val="8"/>
  </w:num>
  <w:num w:numId="8">
    <w:abstractNumId w:val="12"/>
  </w:num>
  <w:num w:numId="9">
    <w:abstractNumId w:val="16"/>
  </w:num>
  <w:num w:numId="10">
    <w:abstractNumId w:val="32"/>
  </w:num>
  <w:num w:numId="11">
    <w:abstractNumId w:val="20"/>
  </w:num>
  <w:num w:numId="12">
    <w:abstractNumId w:val="14"/>
  </w:num>
  <w:num w:numId="13">
    <w:abstractNumId w:val="28"/>
  </w:num>
  <w:num w:numId="14">
    <w:abstractNumId w:val="33"/>
  </w:num>
  <w:num w:numId="15">
    <w:abstractNumId w:val="10"/>
  </w:num>
  <w:num w:numId="16">
    <w:abstractNumId w:val="26"/>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
  </w:num>
  <w:num w:numId="21">
    <w:abstractNumId w:val="21"/>
  </w:num>
  <w:num w:numId="22">
    <w:abstractNumId w:val="13"/>
  </w:num>
  <w:num w:numId="23">
    <w:abstractNumId w:val="18"/>
  </w:num>
  <w:num w:numId="24">
    <w:abstractNumId w:val="9"/>
  </w:num>
  <w:num w:numId="25">
    <w:abstractNumId w:val="0"/>
  </w:num>
  <w:num w:numId="26">
    <w:abstractNumId w:val="11"/>
  </w:num>
  <w:num w:numId="27">
    <w:abstractNumId w:val="5"/>
  </w:num>
  <w:num w:numId="28">
    <w:abstractNumId w:val="27"/>
  </w:num>
  <w:num w:numId="29">
    <w:abstractNumId w:val="4"/>
  </w:num>
  <w:num w:numId="30">
    <w:abstractNumId w:val="29"/>
  </w:num>
  <w:num w:numId="31">
    <w:abstractNumId w:val="24"/>
  </w:num>
  <w:num w:numId="32">
    <w:abstractNumId w:val="25"/>
  </w:num>
  <w:num w:numId="33">
    <w:abstractNumId w:val="1"/>
  </w:num>
  <w:num w:numId="34">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3MDM1s7AwMjc1NzVS0lEKTi0uzszPAykwrwUAGshzpSwAAAA="/>
  </w:docVars>
  <w:rsids>
    <w:rsidRoot w:val="00414C17"/>
    <w:rsid w:val="000010FC"/>
    <w:rsid w:val="000103E1"/>
    <w:rsid w:val="00010B35"/>
    <w:rsid w:val="0001130D"/>
    <w:rsid w:val="00011744"/>
    <w:rsid w:val="000173C7"/>
    <w:rsid w:val="00022F66"/>
    <w:rsid w:val="0002608A"/>
    <w:rsid w:val="00026974"/>
    <w:rsid w:val="00036D39"/>
    <w:rsid w:val="000379E8"/>
    <w:rsid w:val="00042240"/>
    <w:rsid w:val="00046C2B"/>
    <w:rsid w:val="00055B1C"/>
    <w:rsid w:val="00056CA9"/>
    <w:rsid w:val="00063881"/>
    <w:rsid w:val="00067630"/>
    <w:rsid w:val="000704F9"/>
    <w:rsid w:val="0007128C"/>
    <w:rsid w:val="00073565"/>
    <w:rsid w:val="00075551"/>
    <w:rsid w:val="00082DE1"/>
    <w:rsid w:val="000B3072"/>
    <w:rsid w:val="000B7DFC"/>
    <w:rsid w:val="000E4B0A"/>
    <w:rsid w:val="000E7A88"/>
    <w:rsid w:val="000F02D8"/>
    <w:rsid w:val="00100E8B"/>
    <w:rsid w:val="00102AF1"/>
    <w:rsid w:val="001057D9"/>
    <w:rsid w:val="00144AE9"/>
    <w:rsid w:val="00144F10"/>
    <w:rsid w:val="00153B7E"/>
    <w:rsid w:val="0018070E"/>
    <w:rsid w:val="00186586"/>
    <w:rsid w:val="001A2C89"/>
    <w:rsid w:val="001A58D1"/>
    <w:rsid w:val="001B555D"/>
    <w:rsid w:val="001C4AD9"/>
    <w:rsid w:val="001C7407"/>
    <w:rsid w:val="001D0FC1"/>
    <w:rsid w:val="001D4CC1"/>
    <w:rsid w:val="001D5FEE"/>
    <w:rsid w:val="001D6A0D"/>
    <w:rsid w:val="001D6AB2"/>
    <w:rsid w:val="001D7C8C"/>
    <w:rsid w:val="001F3EB6"/>
    <w:rsid w:val="001F6002"/>
    <w:rsid w:val="002026FD"/>
    <w:rsid w:val="0020301C"/>
    <w:rsid w:val="002051C5"/>
    <w:rsid w:val="00215A63"/>
    <w:rsid w:val="00216B5A"/>
    <w:rsid w:val="002201CC"/>
    <w:rsid w:val="00224E0C"/>
    <w:rsid w:val="002324C5"/>
    <w:rsid w:val="00235360"/>
    <w:rsid w:val="002524C4"/>
    <w:rsid w:val="00254BAC"/>
    <w:rsid w:val="0026675E"/>
    <w:rsid w:val="00270D34"/>
    <w:rsid w:val="00275D65"/>
    <w:rsid w:val="002878E7"/>
    <w:rsid w:val="00296429"/>
    <w:rsid w:val="002A4A83"/>
    <w:rsid w:val="002B22F9"/>
    <w:rsid w:val="002B4109"/>
    <w:rsid w:val="002B42F8"/>
    <w:rsid w:val="002C2172"/>
    <w:rsid w:val="002D020C"/>
    <w:rsid w:val="002E0CF2"/>
    <w:rsid w:val="002E78A2"/>
    <w:rsid w:val="002F0EDA"/>
    <w:rsid w:val="002F1ECE"/>
    <w:rsid w:val="002F3C14"/>
    <w:rsid w:val="003060BB"/>
    <w:rsid w:val="00310052"/>
    <w:rsid w:val="00332EE8"/>
    <w:rsid w:val="0033694C"/>
    <w:rsid w:val="00340566"/>
    <w:rsid w:val="00350FC6"/>
    <w:rsid w:val="00351FD2"/>
    <w:rsid w:val="00373641"/>
    <w:rsid w:val="003812F4"/>
    <w:rsid w:val="00396A83"/>
    <w:rsid w:val="003A0967"/>
    <w:rsid w:val="003A5FC8"/>
    <w:rsid w:val="003A7F7A"/>
    <w:rsid w:val="003B07A4"/>
    <w:rsid w:val="003B4BDE"/>
    <w:rsid w:val="003C1098"/>
    <w:rsid w:val="003C6AB6"/>
    <w:rsid w:val="003E7FAD"/>
    <w:rsid w:val="003F19A2"/>
    <w:rsid w:val="003F49A8"/>
    <w:rsid w:val="003F5C01"/>
    <w:rsid w:val="00414C17"/>
    <w:rsid w:val="00415B7B"/>
    <w:rsid w:val="004168D3"/>
    <w:rsid w:val="00417999"/>
    <w:rsid w:val="00417B20"/>
    <w:rsid w:val="00420FCE"/>
    <w:rsid w:val="00423CA5"/>
    <w:rsid w:val="00425FE2"/>
    <w:rsid w:val="00427224"/>
    <w:rsid w:val="00433277"/>
    <w:rsid w:val="00447F24"/>
    <w:rsid w:val="004522F3"/>
    <w:rsid w:val="00452D73"/>
    <w:rsid w:val="00453F12"/>
    <w:rsid w:val="004545DA"/>
    <w:rsid w:val="00457E21"/>
    <w:rsid w:val="00471ECD"/>
    <w:rsid w:val="00497DBD"/>
    <w:rsid w:val="004A552A"/>
    <w:rsid w:val="004B0622"/>
    <w:rsid w:val="004B5D32"/>
    <w:rsid w:val="004B6CC4"/>
    <w:rsid w:val="004C1700"/>
    <w:rsid w:val="004C2BB8"/>
    <w:rsid w:val="004C45CF"/>
    <w:rsid w:val="004D1512"/>
    <w:rsid w:val="004D6455"/>
    <w:rsid w:val="004D6683"/>
    <w:rsid w:val="004E157D"/>
    <w:rsid w:val="004E2FD6"/>
    <w:rsid w:val="004E6973"/>
    <w:rsid w:val="004F4E85"/>
    <w:rsid w:val="004F5A2A"/>
    <w:rsid w:val="0050068C"/>
    <w:rsid w:val="00514400"/>
    <w:rsid w:val="00514CF5"/>
    <w:rsid w:val="00516125"/>
    <w:rsid w:val="00537B48"/>
    <w:rsid w:val="005563C7"/>
    <w:rsid w:val="00564080"/>
    <w:rsid w:val="00583AEB"/>
    <w:rsid w:val="00584A3E"/>
    <w:rsid w:val="00586DF1"/>
    <w:rsid w:val="0058753F"/>
    <w:rsid w:val="0059492D"/>
    <w:rsid w:val="00594C00"/>
    <w:rsid w:val="00597482"/>
    <w:rsid w:val="005B29DD"/>
    <w:rsid w:val="005B4ADC"/>
    <w:rsid w:val="005C0A34"/>
    <w:rsid w:val="005C385E"/>
    <w:rsid w:val="005C3927"/>
    <w:rsid w:val="005D33EA"/>
    <w:rsid w:val="005D4F70"/>
    <w:rsid w:val="005E14A8"/>
    <w:rsid w:val="005E32D8"/>
    <w:rsid w:val="005E43A5"/>
    <w:rsid w:val="005F0968"/>
    <w:rsid w:val="005F0DD1"/>
    <w:rsid w:val="005F7C86"/>
    <w:rsid w:val="00603393"/>
    <w:rsid w:val="00612902"/>
    <w:rsid w:val="006175FD"/>
    <w:rsid w:val="00620BCD"/>
    <w:rsid w:val="00624F9C"/>
    <w:rsid w:val="00630462"/>
    <w:rsid w:val="0063346A"/>
    <w:rsid w:val="0064114F"/>
    <w:rsid w:val="00652937"/>
    <w:rsid w:val="0065744D"/>
    <w:rsid w:val="00670C0A"/>
    <w:rsid w:val="00671FF3"/>
    <w:rsid w:val="006737AC"/>
    <w:rsid w:val="00682B9F"/>
    <w:rsid w:val="006831C6"/>
    <w:rsid w:val="00683DB9"/>
    <w:rsid w:val="006978A9"/>
    <w:rsid w:val="006A48BE"/>
    <w:rsid w:val="006A6797"/>
    <w:rsid w:val="006B145B"/>
    <w:rsid w:val="006B210C"/>
    <w:rsid w:val="006B5130"/>
    <w:rsid w:val="006C1D91"/>
    <w:rsid w:val="006C5ED3"/>
    <w:rsid w:val="006F0DBD"/>
    <w:rsid w:val="006F788D"/>
    <w:rsid w:val="007048DE"/>
    <w:rsid w:val="00705A00"/>
    <w:rsid w:val="00714DAE"/>
    <w:rsid w:val="00721559"/>
    <w:rsid w:val="00722B1D"/>
    <w:rsid w:val="00731D98"/>
    <w:rsid w:val="007323D3"/>
    <w:rsid w:val="00732ED8"/>
    <w:rsid w:val="00734170"/>
    <w:rsid w:val="00735F42"/>
    <w:rsid w:val="007455BD"/>
    <w:rsid w:val="007512A9"/>
    <w:rsid w:val="00753690"/>
    <w:rsid w:val="00766BE3"/>
    <w:rsid w:val="00782A6B"/>
    <w:rsid w:val="007862C2"/>
    <w:rsid w:val="0079463D"/>
    <w:rsid w:val="007A2AE3"/>
    <w:rsid w:val="007A4D72"/>
    <w:rsid w:val="007A7FBE"/>
    <w:rsid w:val="007B3C3E"/>
    <w:rsid w:val="007B4ACA"/>
    <w:rsid w:val="007C4C89"/>
    <w:rsid w:val="007C6CA2"/>
    <w:rsid w:val="007E2653"/>
    <w:rsid w:val="007E3234"/>
    <w:rsid w:val="007E6C33"/>
    <w:rsid w:val="007F0FFA"/>
    <w:rsid w:val="007F2C66"/>
    <w:rsid w:val="00803247"/>
    <w:rsid w:val="00805DC6"/>
    <w:rsid w:val="0080652F"/>
    <w:rsid w:val="0081553F"/>
    <w:rsid w:val="00831345"/>
    <w:rsid w:val="00831B6C"/>
    <w:rsid w:val="0083679B"/>
    <w:rsid w:val="00841563"/>
    <w:rsid w:val="008419B8"/>
    <w:rsid w:val="00843DD5"/>
    <w:rsid w:val="00846DC6"/>
    <w:rsid w:val="008516EE"/>
    <w:rsid w:val="00853490"/>
    <w:rsid w:val="008603E9"/>
    <w:rsid w:val="008728CE"/>
    <w:rsid w:val="0087643E"/>
    <w:rsid w:val="0088503C"/>
    <w:rsid w:val="00897FCA"/>
    <w:rsid w:val="008A14DB"/>
    <w:rsid w:val="008A4DA8"/>
    <w:rsid w:val="008A59F5"/>
    <w:rsid w:val="008B2418"/>
    <w:rsid w:val="008B43F4"/>
    <w:rsid w:val="008B7CE5"/>
    <w:rsid w:val="008C0913"/>
    <w:rsid w:val="008C5E08"/>
    <w:rsid w:val="008D2A87"/>
    <w:rsid w:val="008D5875"/>
    <w:rsid w:val="008E3668"/>
    <w:rsid w:val="008E49B0"/>
    <w:rsid w:val="008E684E"/>
    <w:rsid w:val="008E79E0"/>
    <w:rsid w:val="008F0264"/>
    <w:rsid w:val="008F0591"/>
    <w:rsid w:val="008F105D"/>
    <w:rsid w:val="00906630"/>
    <w:rsid w:val="009112EA"/>
    <w:rsid w:val="009147A6"/>
    <w:rsid w:val="0091741A"/>
    <w:rsid w:val="009222DD"/>
    <w:rsid w:val="00922574"/>
    <w:rsid w:val="00924274"/>
    <w:rsid w:val="00925C24"/>
    <w:rsid w:val="00942DE0"/>
    <w:rsid w:val="00946C6A"/>
    <w:rsid w:val="00950481"/>
    <w:rsid w:val="00952FC5"/>
    <w:rsid w:val="00957EB6"/>
    <w:rsid w:val="009601B2"/>
    <w:rsid w:val="009757DE"/>
    <w:rsid w:val="009767AB"/>
    <w:rsid w:val="009825C9"/>
    <w:rsid w:val="0099716A"/>
    <w:rsid w:val="009A0A04"/>
    <w:rsid w:val="009A0EC1"/>
    <w:rsid w:val="009A2B87"/>
    <w:rsid w:val="009A6080"/>
    <w:rsid w:val="009A60F3"/>
    <w:rsid w:val="009B2E83"/>
    <w:rsid w:val="009B681A"/>
    <w:rsid w:val="009B7418"/>
    <w:rsid w:val="009C7F41"/>
    <w:rsid w:val="009D3565"/>
    <w:rsid w:val="009F6764"/>
    <w:rsid w:val="009F7351"/>
    <w:rsid w:val="00A02DAF"/>
    <w:rsid w:val="00A136D7"/>
    <w:rsid w:val="00A1489C"/>
    <w:rsid w:val="00A15595"/>
    <w:rsid w:val="00A15AE9"/>
    <w:rsid w:val="00A24603"/>
    <w:rsid w:val="00A30B34"/>
    <w:rsid w:val="00A342ED"/>
    <w:rsid w:val="00A3632A"/>
    <w:rsid w:val="00A36F5C"/>
    <w:rsid w:val="00A43377"/>
    <w:rsid w:val="00A47807"/>
    <w:rsid w:val="00A47AC8"/>
    <w:rsid w:val="00A47BAD"/>
    <w:rsid w:val="00A47D54"/>
    <w:rsid w:val="00A50373"/>
    <w:rsid w:val="00A508EE"/>
    <w:rsid w:val="00A51593"/>
    <w:rsid w:val="00A5739B"/>
    <w:rsid w:val="00A57C76"/>
    <w:rsid w:val="00A61033"/>
    <w:rsid w:val="00A610B3"/>
    <w:rsid w:val="00A62A74"/>
    <w:rsid w:val="00A65EC9"/>
    <w:rsid w:val="00A67EAC"/>
    <w:rsid w:val="00A704C7"/>
    <w:rsid w:val="00A76080"/>
    <w:rsid w:val="00A81FFB"/>
    <w:rsid w:val="00A83911"/>
    <w:rsid w:val="00A84EF5"/>
    <w:rsid w:val="00A92B79"/>
    <w:rsid w:val="00AA2401"/>
    <w:rsid w:val="00AA4290"/>
    <w:rsid w:val="00AB33F8"/>
    <w:rsid w:val="00AB43E5"/>
    <w:rsid w:val="00AB6361"/>
    <w:rsid w:val="00AC6B87"/>
    <w:rsid w:val="00AD237A"/>
    <w:rsid w:val="00AE13ED"/>
    <w:rsid w:val="00AE6A79"/>
    <w:rsid w:val="00AF7DC0"/>
    <w:rsid w:val="00B00398"/>
    <w:rsid w:val="00B02275"/>
    <w:rsid w:val="00B12936"/>
    <w:rsid w:val="00B164EE"/>
    <w:rsid w:val="00B174BE"/>
    <w:rsid w:val="00B2626D"/>
    <w:rsid w:val="00B351C6"/>
    <w:rsid w:val="00B410CD"/>
    <w:rsid w:val="00B53924"/>
    <w:rsid w:val="00B6333B"/>
    <w:rsid w:val="00B80288"/>
    <w:rsid w:val="00B8579F"/>
    <w:rsid w:val="00B85B2D"/>
    <w:rsid w:val="00B87D43"/>
    <w:rsid w:val="00B90B9B"/>
    <w:rsid w:val="00B975F8"/>
    <w:rsid w:val="00BA3EBF"/>
    <w:rsid w:val="00BA6071"/>
    <w:rsid w:val="00BC1ABE"/>
    <w:rsid w:val="00BC7EFE"/>
    <w:rsid w:val="00BD164B"/>
    <w:rsid w:val="00BD431A"/>
    <w:rsid w:val="00BD44C0"/>
    <w:rsid w:val="00BE35DE"/>
    <w:rsid w:val="00BF19CE"/>
    <w:rsid w:val="00BF296E"/>
    <w:rsid w:val="00BF3D3C"/>
    <w:rsid w:val="00BF791D"/>
    <w:rsid w:val="00BF7C96"/>
    <w:rsid w:val="00C04EB4"/>
    <w:rsid w:val="00C117CA"/>
    <w:rsid w:val="00C152FD"/>
    <w:rsid w:val="00C15F54"/>
    <w:rsid w:val="00C16975"/>
    <w:rsid w:val="00C1723F"/>
    <w:rsid w:val="00C204C9"/>
    <w:rsid w:val="00C230DF"/>
    <w:rsid w:val="00C47210"/>
    <w:rsid w:val="00C53D1B"/>
    <w:rsid w:val="00C55E3C"/>
    <w:rsid w:val="00C603E7"/>
    <w:rsid w:val="00C66CC2"/>
    <w:rsid w:val="00C726EC"/>
    <w:rsid w:val="00C74810"/>
    <w:rsid w:val="00C835FD"/>
    <w:rsid w:val="00C83C44"/>
    <w:rsid w:val="00C84F19"/>
    <w:rsid w:val="00C87A1C"/>
    <w:rsid w:val="00C90888"/>
    <w:rsid w:val="00C929E4"/>
    <w:rsid w:val="00C92B71"/>
    <w:rsid w:val="00C953C9"/>
    <w:rsid w:val="00CA172F"/>
    <w:rsid w:val="00CB4ADA"/>
    <w:rsid w:val="00CB5353"/>
    <w:rsid w:val="00CC22EA"/>
    <w:rsid w:val="00CD238D"/>
    <w:rsid w:val="00CE65C6"/>
    <w:rsid w:val="00CE77F8"/>
    <w:rsid w:val="00CF1A64"/>
    <w:rsid w:val="00CF4BB6"/>
    <w:rsid w:val="00CF51A8"/>
    <w:rsid w:val="00D03B58"/>
    <w:rsid w:val="00D12BB2"/>
    <w:rsid w:val="00D1709F"/>
    <w:rsid w:val="00D20736"/>
    <w:rsid w:val="00D25812"/>
    <w:rsid w:val="00D30BF9"/>
    <w:rsid w:val="00D318B9"/>
    <w:rsid w:val="00D44F4A"/>
    <w:rsid w:val="00D46BB4"/>
    <w:rsid w:val="00D6223D"/>
    <w:rsid w:val="00D639DF"/>
    <w:rsid w:val="00D65CFB"/>
    <w:rsid w:val="00D72811"/>
    <w:rsid w:val="00D77E16"/>
    <w:rsid w:val="00D8428A"/>
    <w:rsid w:val="00D934E5"/>
    <w:rsid w:val="00DB1437"/>
    <w:rsid w:val="00DB4D8A"/>
    <w:rsid w:val="00DB737A"/>
    <w:rsid w:val="00DD0D1C"/>
    <w:rsid w:val="00DD162C"/>
    <w:rsid w:val="00DE2A72"/>
    <w:rsid w:val="00DE3F55"/>
    <w:rsid w:val="00DE4339"/>
    <w:rsid w:val="00DE6D0B"/>
    <w:rsid w:val="00DE6E07"/>
    <w:rsid w:val="00DE7D78"/>
    <w:rsid w:val="00DF12DC"/>
    <w:rsid w:val="00DF14B6"/>
    <w:rsid w:val="00E02923"/>
    <w:rsid w:val="00E0668E"/>
    <w:rsid w:val="00E12CCE"/>
    <w:rsid w:val="00E266AD"/>
    <w:rsid w:val="00E35989"/>
    <w:rsid w:val="00E40681"/>
    <w:rsid w:val="00E434B8"/>
    <w:rsid w:val="00E444D2"/>
    <w:rsid w:val="00E46929"/>
    <w:rsid w:val="00E53451"/>
    <w:rsid w:val="00E55ACE"/>
    <w:rsid w:val="00E56981"/>
    <w:rsid w:val="00E605E4"/>
    <w:rsid w:val="00E668B9"/>
    <w:rsid w:val="00E71650"/>
    <w:rsid w:val="00E844C2"/>
    <w:rsid w:val="00E910E9"/>
    <w:rsid w:val="00E94135"/>
    <w:rsid w:val="00EA3300"/>
    <w:rsid w:val="00EA4CD4"/>
    <w:rsid w:val="00EB22A5"/>
    <w:rsid w:val="00EB7571"/>
    <w:rsid w:val="00EC1C26"/>
    <w:rsid w:val="00ED0929"/>
    <w:rsid w:val="00ED0DE7"/>
    <w:rsid w:val="00EE4FB1"/>
    <w:rsid w:val="00EF041E"/>
    <w:rsid w:val="00EF060E"/>
    <w:rsid w:val="00EF3337"/>
    <w:rsid w:val="00F25D9B"/>
    <w:rsid w:val="00F262A0"/>
    <w:rsid w:val="00F27B46"/>
    <w:rsid w:val="00F308B6"/>
    <w:rsid w:val="00F41ADE"/>
    <w:rsid w:val="00F41C8F"/>
    <w:rsid w:val="00F60398"/>
    <w:rsid w:val="00F62371"/>
    <w:rsid w:val="00F74470"/>
    <w:rsid w:val="00F77E6F"/>
    <w:rsid w:val="00F84EDE"/>
    <w:rsid w:val="00F96EC0"/>
    <w:rsid w:val="00FB2466"/>
    <w:rsid w:val="00FB7DD5"/>
    <w:rsid w:val="00FC735B"/>
    <w:rsid w:val="00FC7C1A"/>
    <w:rsid w:val="00FD15CF"/>
    <w:rsid w:val="00FD33DF"/>
    <w:rsid w:val="00FE0DC1"/>
    <w:rsid w:val="00FE44C4"/>
    <w:rsid w:val="00FE6ED0"/>
    <w:rsid w:val="00FF3739"/>
    <w:rsid w:val="00FF7994"/>
    <w:rsid w:val="11093F0D"/>
    <w:rsid w:val="197C9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FFDD2C"/>
  <w15:docId w15:val="{40F27150-DB29-4D19-AFE8-F8DDC1E5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274"/>
    <w:rPr>
      <w:sz w:val="24"/>
      <w:szCs w:val="24"/>
    </w:rPr>
  </w:style>
  <w:style w:type="paragraph" w:styleId="Heading1">
    <w:name w:val="heading 1"/>
    <w:basedOn w:val="Normal"/>
    <w:next w:val="Normal"/>
    <w:qFormat/>
    <w:rsid w:val="00924274"/>
    <w:pPr>
      <w:keepNext/>
      <w:jc w:val="center"/>
      <w:outlineLvl w:val="0"/>
    </w:pPr>
    <w:rPr>
      <w:b/>
      <w:bCs/>
      <w:sz w:val="20"/>
    </w:rPr>
  </w:style>
  <w:style w:type="paragraph" w:styleId="Heading2">
    <w:name w:val="heading 2"/>
    <w:basedOn w:val="Normal"/>
    <w:next w:val="Normal"/>
    <w:link w:val="Heading2Char"/>
    <w:unhideWhenUsed/>
    <w:qFormat/>
    <w:rsid w:val="009B681A"/>
    <w:pPr>
      <w:keepNext/>
      <w:spacing w:before="240" w:after="60"/>
      <w:outlineLvl w:val="1"/>
    </w:pPr>
    <w:rPr>
      <w:rFonts w:ascii="Cambria" w:hAnsi="Cambria"/>
      <w:b/>
      <w:bCs/>
      <w:i/>
      <w:iCs/>
      <w:sz w:val="28"/>
      <w:szCs w:val="28"/>
    </w:rPr>
  </w:style>
  <w:style w:type="paragraph" w:styleId="Heading3">
    <w:name w:val="heading 3"/>
    <w:basedOn w:val="Normal"/>
    <w:next w:val="Normal"/>
    <w:qFormat/>
    <w:rsid w:val="0092427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4274"/>
    <w:pPr>
      <w:widowControl w:val="0"/>
      <w:autoSpaceDE w:val="0"/>
      <w:autoSpaceDN w:val="0"/>
      <w:adjustRightInd w:val="0"/>
    </w:pPr>
    <w:rPr>
      <w:color w:val="000000"/>
      <w:sz w:val="24"/>
      <w:szCs w:val="24"/>
    </w:rPr>
  </w:style>
  <w:style w:type="paragraph" w:styleId="BalloonText">
    <w:name w:val="Balloon Text"/>
    <w:basedOn w:val="Normal"/>
    <w:rsid w:val="00924274"/>
    <w:rPr>
      <w:rFonts w:ascii="Tahoma" w:hAnsi="Tahoma" w:cs="Tahoma"/>
      <w:sz w:val="16"/>
      <w:szCs w:val="16"/>
    </w:rPr>
  </w:style>
  <w:style w:type="paragraph" w:styleId="DocumentMap">
    <w:name w:val="Document Map"/>
    <w:basedOn w:val="Normal"/>
    <w:semiHidden/>
    <w:rsid w:val="00924274"/>
    <w:pPr>
      <w:shd w:val="clear" w:color="auto" w:fill="000080"/>
    </w:pPr>
    <w:rPr>
      <w:rFonts w:ascii="Tahoma" w:hAnsi="Tahoma" w:cs="Tahoma"/>
      <w:sz w:val="20"/>
      <w:szCs w:val="20"/>
    </w:rPr>
  </w:style>
  <w:style w:type="paragraph" w:styleId="Title">
    <w:name w:val="Title"/>
    <w:basedOn w:val="Normal"/>
    <w:qFormat/>
    <w:rsid w:val="00924274"/>
    <w:pPr>
      <w:jc w:val="center"/>
    </w:pPr>
    <w:rPr>
      <w:sz w:val="32"/>
    </w:rPr>
  </w:style>
  <w:style w:type="paragraph" w:styleId="BodyText">
    <w:name w:val="Body Text"/>
    <w:basedOn w:val="Normal"/>
    <w:rsid w:val="00924274"/>
    <w:pPr>
      <w:jc w:val="center"/>
    </w:pPr>
    <w:rPr>
      <w:b/>
      <w:bCs/>
    </w:rPr>
  </w:style>
  <w:style w:type="paragraph" w:styleId="BodyText2">
    <w:name w:val="Body Text 2"/>
    <w:basedOn w:val="Normal"/>
    <w:rsid w:val="00924274"/>
    <w:rPr>
      <w:sz w:val="20"/>
    </w:rPr>
  </w:style>
  <w:style w:type="character" w:styleId="Hyperlink">
    <w:name w:val="Hyperlink"/>
    <w:basedOn w:val="DefaultParagraphFont"/>
    <w:rsid w:val="00924274"/>
    <w:rPr>
      <w:color w:val="0000FF"/>
      <w:u w:val="single"/>
    </w:rPr>
  </w:style>
  <w:style w:type="paragraph" w:styleId="Header">
    <w:name w:val="header"/>
    <w:basedOn w:val="Normal"/>
    <w:link w:val="HeaderChar"/>
    <w:uiPriority w:val="99"/>
    <w:rsid w:val="00924274"/>
    <w:pPr>
      <w:tabs>
        <w:tab w:val="center" w:pos="4320"/>
        <w:tab w:val="right" w:pos="8640"/>
      </w:tabs>
    </w:pPr>
  </w:style>
  <w:style w:type="paragraph" w:styleId="Footer">
    <w:name w:val="footer"/>
    <w:basedOn w:val="Normal"/>
    <w:link w:val="FooterChar"/>
    <w:uiPriority w:val="99"/>
    <w:rsid w:val="00924274"/>
    <w:pPr>
      <w:tabs>
        <w:tab w:val="center" w:pos="4320"/>
        <w:tab w:val="right" w:pos="8640"/>
      </w:tabs>
    </w:pPr>
  </w:style>
  <w:style w:type="character" w:styleId="PageNumber">
    <w:name w:val="page number"/>
    <w:basedOn w:val="DefaultParagraphFont"/>
    <w:rsid w:val="00924274"/>
  </w:style>
  <w:style w:type="paragraph" w:styleId="BodyTextIndent">
    <w:name w:val="Body Text Indent"/>
    <w:basedOn w:val="Normal"/>
    <w:rsid w:val="00924274"/>
    <w:pPr>
      <w:spacing w:after="120"/>
      <w:ind w:left="360"/>
    </w:pPr>
  </w:style>
  <w:style w:type="paragraph" w:styleId="BodyTextIndent3">
    <w:name w:val="Body Text Indent 3"/>
    <w:basedOn w:val="Normal"/>
    <w:link w:val="BodyTextIndent3Char"/>
    <w:rsid w:val="00924274"/>
    <w:pPr>
      <w:spacing w:after="120"/>
      <w:ind w:left="360"/>
    </w:pPr>
    <w:rPr>
      <w:sz w:val="16"/>
      <w:szCs w:val="16"/>
    </w:rPr>
  </w:style>
  <w:style w:type="paragraph" w:styleId="NormalWeb">
    <w:name w:val="Normal (Web)"/>
    <w:basedOn w:val="Normal"/>
    <w:uiPriority w:val="99"/>
    <w:rsid w:val="00924274"/>
    <w:pPr>
      <w:spacing w:before="100" w:after="100"/>
    </w:pPr>
    <w:rPr>
      <w:szCs w:val="20"/>
    </w:rPr>
  </w:style>
  <w:style w:type="character" w:styleId="FootnoteReference">
    <w:name w:val="footnote reference"/>
    <w:basedOn w:val="DefaultParagraphFont"/>
    <w:uiPriority w:val="99"/>
    <w:semiHidden/>
    <w:rsid w:val="00924274"/>
    <w:rPr>
      <w:vertAlign w:val="superscript"/>
    </w:rPr>
  </w:style>
  <w:style w:type="paragraph" w:styleId="FootnoteText">
    <w:name w:val="footnote text"/>
    <w:basedOn w:val="Normal"/>
    <w:link w:val="FootnoteTextChar"/>
    <w:uiPriority w:val="99"/>
    <w:semiHidden/>
    <w:rsid w:val="00924274"/>
    <w:pPr>
      <w:overflowPunct w:val="0"/>
      <w:autoSpaceDE w:val="0"/>
      <w:autoSpaceDN w:val="0"/>
      <w:adjustRightInd w:val="0"/>
      <w:spacing w:before="120" w:after="360"/>
      <w:ind w:left="1440" w:hanging="1440"/>
      <w:jc w:val="both"/>
      <w:textAlignment w:val="baseline"/>
    </w:pPr>
    <w:rPr>
      <w:sz w:val="20"/>
      <w:szCs w:val="20"/>
    </w:rPr>
  </w:style>
  <w:style w:type="character" w:customStyle="1" w:styleId="Heading2Char">
    <w:name w:val="Heading 2 Char"/>
    <w:basedOn w:val="DefaultParagraphFont"/>
    <w:link w:val="Heading2"/>
    <w:semiHidden/>
    <w:rsid w:val="009B681A"/>
    <w:rPr>
      <w:rFonts w:ascii="Cambria" w:eastAsia="Times New Roman" w:hAnsi="Cambria" w:cs="Times New Roman"/>
      <w:b/>
      <w:bCs/>
      <w:i/>
      <w:iCs/>
      <w:sz w:val="28"/>
      <w:szCs w:val="28"/>
    </w:rPr>
  </w:style>
  <w:style w:type="paragraph" w:styleId="ListParagraph">
    <w:name w:val="List Paragraph"/>
    <w:basedOn w:val="Normal"/>
    <w:uiPriority w:val="34"/>
    <w:qFormat/>
    <w:rsid w:val="00215A63"/>
    <w:pPr>
      <w:ind w:left="720"/>
    </w:pPr>
  </w:style>
  <w:style w:type="character" w:customStyle="1" w:styleId="longtext1">
    <w:name w:val="long_text1"/>
    <w:basedOn w:val="DefaultParagraphFont"/>
    <w:rsid w:val="007323D3"/>
    <w:rPr>
      <w:sz w:val="20"/>
      <w:szCs w:val="20"/>
    </w:rPr>
  </w:style>
  <w:style w:type="character" w:styleId="CommentReference">
    <w:name w:val="annotation reference"/>
    <w:basedOn w:val="DefaultParagraphFont"/>
    <w:rsid w:val="00D639DF"/>
    <w:rPr>
      <w:sz w:val="16"/>
      <w:szCs w:val="16"/>
    </w:rPr>
  </w:style>
  <w:style w:type="table" w:styleId="TableGrid">
    <w:name w:val="Table Grid"/>
    <w:basedOn w:val="TableNormal"/>
    <w:rsid w:val="00942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041E"/>
    <w:rPr>
      <w:rFonts w:ascii="Calibri" w:hAnsi="Calibri"/>
      <w:sz w:val="22"/>
      <w:szCs w:val="22"/>
    </w:rPr>
  </w:style>
  <w:style w:type="paragraph" w:styleId="CommentText">
    <w:name w:val="annotation text"/>
    <w:basedOn w:val="Normal"/>
    <w:link w:val="CommentTextChar"/>
    <w:semiHidden/>
    <w:unhideWhenUsed/>
    <w:rsid w:val="00BD44C0"/>
    <w:rPr>
      <w:sz w:val="20"/>
      <w:szCs w:val="20"/>
    </w:rPr>
  </w:style>
  <w:style w:type="character" w:customStyle="1" w:styleId="CommentTextChar">
    <w:name w:val="Comment Text Char"/>
    <w:basedOn w:val="DefaultParagraphFont"/>
    <w:link w:val="CommentText"/>
    <w:semiHidden/>
    <w:rsid w:val="00BD44C0"/>
  </w:style>
  <w:style w:type="paragraph" w:styleId="CommentSubject">
    <w:name w:val="annotation subject"/>
    <w:basedOn w:val="CommentText"/>
    <w:next w:val="CommentText"/>
    <w:link w:val="CommentSubjectChar"/>
    <w:semiHidden/>
    <w:unhideWhenUsed/>
    <w:rsid w:val="00BD44C0"/>
    <w:rPr>
      <w:b/>
      <w:bCs/>
    </w:rPr>
  </w:style>
  <w:style w:type="character" w:customStyle="1" w:styleId="CommentSubjectChar">
    <w:name w:val="Comment Subject Char"/>
    <w:basedOn w:val="CommentTextChar"/>
    <w:link w:val="CommentSubject"/>
    <w:semiHidden/>
    <w:rsid w:val="00BD44C0"/>
    <w:rPr>
      <w:b/>
      <w:bCs/>
    </w:rPr>
  </w:style>
  <w:style w:type="character" w:customStyle="1" w:styleId="HeaderChar">
    <w:name w:val="Header Char"/>
    <w:basedOn w:val="DefaultParagraphFont"/>
    <w:link w:val="Header"/>
    <w:uiPriority w:val="99"/>
    <w:rsid w:val="00584A3E"/>
    <w:rPr>
      <w:sz w:val="24"/>
      <w:szCs w:val="24"/>
    </w:rPr>
  </w:style>
  <w:style w:type="character" w:customStyle="1" w:styleId="FooterChar">
    <w:name w:val="Footer Char"/>
    <w:basedOn w:val="DefaultParagraphFont"/>
    <w:link w:val="Footer"/>
    <w:uiPriority w:val="99"/>
    <w:rsid w:val="00584A3E"/>
    <w:rPr>
      <w:sz w:val="24"/>
      <w:szCs w:val="24"/>
    </w:rPr>
  </w:style>
  <w:style w:type="character" w:customStyle="1" w:styleId="BodyTextIndent3Char">
    <w:name w:val="Body Text Indent 3 Char"/>
    <w:basedOn w:val="DefaultParagraphFont"/>
    <w:link w:val="BodyTextIndent3"/>
    <w:rsid w:val="00E266AD"/>
    <w:rPr>
      <w:sz w:val="16"/>
      <w:szCs w:val="16"/>
    </w:rPr>
  </w:style>
  <w:style w:type="character" w:customStyle="1" w:styleId="FootnoteTextChar">
    <w:name w:val="Footnote Text Char"/>
    <w:basedOn w:val="DefaultParagraphFont"/>
    <w:link w:val="FootnoteText"/>
    <w:uiPriority w:val="99"/>
    <w:semiHidden/>
    <w:rsid w:val="00E26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25474">
      <w:bodyDiv w:val="1"/>
      <w:marLeft w:val="0"/>
      <w:marRight w:val="0"/>
      <w:marTop w:val="0"/>
      <w:marBottom w:val="0"/>
      <w:divBdr>
        <w:top w:val="none" w:sz="0" w:space="0" w:color="auto"/>
        <w:left w:val="none" w:sz="0" w:space="0" w:color="auto"/>
        <w:bottom w:val="none" w:sz="0" w:space="0" w:color="auto"/>
        <w:right w:val="none" w:sz="0" w:space="0" w:color="auto"/>
      </w:divBdr>
    </w:div>
    <w:div w:id="645546789">
      <w:bodyDiv w:val="1"/>
      <w:marLeft w:val="0"/>
      <w:marRight w:val="0"/>
      <w:marTop w:val="0"/>
      <w:marBottom w:val="0"/>
      <w:divBdr>
        <w:top w:val="none" w:sz="0" w:space="0" w:color="auto"/>
        <w:left w:val="none" w:sz="0" w:space="0" w:color="auto"/>
        <w:bottom w:val="none" w:sz="0" w:space="0" w:color="auto"/>
        <w:right w:val="none" w:sz="0" w:space="0" w:color="auto"/>
      </w:divBdr>
    </w:div>
    <w:div w:id="660426565">
      <w:bodyDiv w:val="1"/>
      <w:marLeft w:val="0"/>
      <w:marRight w:val="0"/>
      <w:marTop w:val="0"/>
      <w:marBottom w:val="0"/>
      <w:divBdr>
        <w:top w:val="none" w:sz="0" w:space="0" w:color="auto"/>
        <w:left w:val="none" w:sz="0" w:space="0" w:color="auto"/>
        <w:bottom w:val="none" w:sz="0" w:space="0" w:color="auto"/>
        <w:right w:val="none" w:sz="0" w:space="0" w:color="auto"/>
      </w:divBdr>
    </w:div>
    <w:div w:id="1157959476">
      <w:bodyDiv w:val="1"/>
      <w:marLeft w:val="0"/>
      <w:marRight w:val="0"/>
      <w:marTop w:val="0"/>
      <w:marBottom w:val="0"/>
      <w:divBdr>
        <w:top w:val="none" w:sz="0" w:space="0" w:color="auto"/>
        <w:left w:val="none" w:sz="0" w:space="0" w:color="auto"/>
        <w:bottom w:val="none" w:sz="0" w:space="0" w:color="auto"/>
        <w:right w:val="none" w:sz="0" w:space="0" w:color="auto"/>
      </w:divBdr>
    </w:div>
    <w:div w:id="16038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D7145-D6B5-4DF0-B2AD-7F156022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2730</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STATE OF INDIANA</vt:lpstr>
    </vt:vector>
  </TitlesOfParts>
  <Company>IHCDA</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INDIANA</dc:title>
  <dc:creator>Indiana Dept. of Commerce</dc:creator>
  <cp:lastModifiedBy>Ogle, Eric (OCRA)</cp:lastModifiedBy>
  <cp:revision>2</cp:revision>
  <cp:lastPrinted>2013-03-28T15:27:00Z</cp:lastPrinted>
  <dcterms:created xsi:type="dcterms:W3CDTF">2020-10-06T13:37:00Z</dcterms:created>
  <dcterms:modified xsi:type="dcterms:W3CDTF">2020-10-06T13:37:00Z</dcterms:modified>
</cp:coreProperties>
</file>