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DB" w:rsidRDefault="003E66A9">
      <w:pPr>
        <w:spacing w:line="20" w:lineRule="atLeast"/>
        <w:rPr>
          <w:rFonts w:ascii="Palatino Linotype" w:hAnsi="Palatino Linotype"/>
        </w:rPr>
      </w:pPr>
      <w:r w:rsidRPr="003E66A9">
        <w:rPr>
          <w:rFonts w:ascii="Palatino Linotype" w:hAnsi="Palatino Linotype"/>
        </w:rPr>
        <w:t xml:space="preserve">TO:  </w:t>
      </w:r>
      <w:r w:rsidRPr="003E66A9">
        <w:rPr>
          <w:rFonts w:ascii="Palatino Linotype" w:hAnsi="Palatino Linotype"/>
        </w:rPr>
        <w:tab/>
      </w:r>
      <w:r w:rsidRPr="003E66A9">
        <w:rPr>
          <w:rFonts w:ascii="Palatino Linotype" w:hAnsi="Palatino Linotype"/>
        </w:rPr>
        <w:tab/>
        <w:t>Indiana Public Libraries</w:t>
      </w:r>
    </w:p>
    <w:p w:rsidR="00651EDB" w:rsidRDefault="003E66A9">
      <w:pPr>
        <w:spacing w:line="20" w:lineRule="atLeast"/>
        <w:rPr>
          <w:rFonts w:ascii="Palatino Linotype" w:hAnsi="Palatino Linotype"/>
        </w:rPr>
      </w:pPr>
      <w:r w:rsidRPr="003E66A9">
        <w:rPr>
          <w:rFonts w:ascii="Palatino Linotype" w:hAnsi="Palatino Linotype"/>
        </w:rPr>
        <w:t xml:space="preserve">FROM:  </w:t>
      </w:r>
      <w:r w:rsidRPr="003E66A9">
        <w:rPr>
          <w:rFonts w:ascii="Palatino Linotype" w:hAnsi="Palatino Linotype"/>
        </w:rPr>
        <w:tab/>
        <w:t>Indiana State Library</w:t>
      </w:r>
    </w:p>
    <w:p w:rsidR="00651EDB" w:rsidRDefault="003E66A9" w:rsidP="00E44099">
      <w:pPr>
        <w:spacing w:line="20" w:lineRule="atLeast"/>
        <w:ind w:left="1440" w:hanging="1440"/>
        <w:rPr>
          <w:rFonts w:ascii="Palatino Linotype" w:hAnsi="Palatino Linotype"/>
        </w:rPr>
      </w:pPr>
      <w:r w:rsidRPr="003E66A9">
        <w:rPr>
          <w:rFonts w:ascii="Palatino Linotype" w:hAnsi="Palatino Linotype"/>
        </w:rPr>
        <w:t xml:space="preserve">RE:  </w:t>
      </w:r>
      <w:r w:rsidRPr="003E66A9">
        <w:rPr>
          <w:rFonts w:ascii="Palatino Linotype" w:hAnsi="Palatino Linotype"/>
        </w:rPr>
        <w:tab/>
      </w:r>
      <w:r w:rsidR="00124515">
        <w:rPr>
          <w:rFonts w:ascii="Palatino Linotype" w:hAnsi="Palatino Linotype"/>
          <w:b/>
        </w:rPr>
        <w:t>Background</w:t>
      </w:r>
      <w:r w:rsidR="006226CE">
        <w:rPr>
          <w:rFonts w:ascii="Palatino Linotype" w:hAnsi="Palatino Linotype"/>
          <w:b/>
        </w:rPr>
        <w:t>/</w:t>
      </w:r>
      <w:r w:rsidR="00E44099">
        <w:rPr>
          <w:rFonts w:ascii="Palatino Linotype" w:hAnsi="Palatino Linotype"/>
          <w:b/>
        </w:rPr>
        <w:t xml:space="preserve">Criminal History </w:t>
      </w:r>
      <w:r w:rsidR="006226CE">
        <w:rPr>
          <w:rFonts w:ascii="Palatino Linotype" w:hAnsi="Palatino Linotype"/>
          <w:b/>
        </w:rPr>
        <w:t>Reports</w:t>
      </w:r>
    </w:p>
    <w:p w:rsidR="00651EDB" w:rsidRDefault="003E66A9">
      <w:pPr>
        <w:pBdr>
          <w:bottom w:val="single" w:sz="12" w:space="1" w:color="auto"/>
        </w:pBdr>
        <w:spacing w:line="20" w:lineRule="atLeast"/>
        <w:rPr>
          <w:rFonts w:ascii="Palatino Linotype" w:hAnsi="Palatino Linotype"/>
        </w:rPr>
      </w:pPr>
      <w:r w:rsidRPr="003E66A9">
        <w:rPr>
          <w:rFonts w:ascii="Palatino Linotype" w:hAnsi="Palatino Linotype"/>
        </w:rPr>
        <w:t xml:space="preserve">DATE:  </w:t>
      </w:r>
      <w:r w:rsidRPr="003E66A9">
        <w:rPr>
          <w:rFonts w:ascii="Palatino Linotype" w:hAnsi="Palatino Linotype"/>
        </w:rPr>
        <w:tab/>
      </w:r>
      <w:r w:rsidR="00E44099">
        <w:rPr>
          <w:rFonts w:ascii="Palatino Linotype" w:hAnsi="Palatino Linotype"/>
        </w:rPr>
        <w:t>December 31</w:t>
      </w:r>
      <w:r w:rsidRPr="003E66A9">
        <w:rPr>
          <w:rFonts w:ascii="Palatino Linotype" w:hAnsi="Palatino Linotype"/>
        </w:rPr>
        <w:t>, 2013</w:t>
      </w:r>
    </w:p>
    <w:p w:rsidR="00AD31F7" w:rsidRDefault="00AD31F7">
      <w:pPr>
        <w:pBdr>
          <w:bottom w:val="single" w:sz="12" w:space="1" w:color="auto"/>
        </w:pBdr>
        <w:spacing w:line="20" w:lineRule="atLeast"/>
        <w:rPr>
          <w:rFonts w:ascii="Palatino Linotype" w:hAnsi="Palatino Linotype"/>
          <w:sz w:val="16"/>
          <w:szCs w:val="16"/>
        </w:rPr>
      </w:pPr>
    </w:p>
    <w:p w:rsidR="00E27E0F" w:rsidRDefault="00E27E0F" w:rsidP="00D12AA3">
      <w:pPr>
        <w:shd w:val="clear" w:color="auto" w:fill="FFFFFF"/>
        <w:tabs>
          <w:tab w:val="left" w:pos="0"/>
        </w:tabs>
        <w:spacing w:before="100" w:beforeAutospacing="1" w:after="100" w:afterAutospacing="1" w:line="240" w:lineRule="auto"/>
      </w:pPr>
    </w:p>
    <w:p w:rsidR="00605BE9" w:rsidRPr="00BA0832" w:rsidRDefault="00463841" w:rsidP="00D12AA3">
      <w:pPr>
        <w:shd w:val="clear" w:color="auto" w:fill="FFFFFF"/>
        <w:tabs>
          <w:tab w:val="left" w:pos="0"/>
        </w:tabs>
        <w:spacing w:before="100" w:beforeAutospacing="1" w:after="100" w:afterAutospacing="1" w:line="240" w:lineRule="auto"/>
      </w:pPr>
      <w:r>
        <w:t>While there is no federal or Indiana law prohibiting the consideration of criminal history information in the hiring process, a</w:t>
      </w:r>
      <w:r w:rsidR="00D12AA3">
        <w:t xml:space="preserve">ccording to the </w:t>
      </w:r>
      <w:r w:rsidR="00095F00">
        <w:t>U.S. Equal Employment Opportunity Commission (“</w:t>
      </w:r>
      <w:r w:rsidR="00D12AA3">
        <w:t>EEOC</w:t>
      </w:r>
      <w:r w:rsidR="00095F00">
        <w:t>”)</w:t>
      </w:r>
      <w:r w:rsidR="00D12AA3">
        <w:t xml:space="preserve">, “An employer’s use of an individual’s criminal history in making employment decisions may, in some instances, violate the prohibition against employment discrimination under Title VII of the Civil Rights Act of 1964, as amended.”  </w:t>
      </w:r>
      <w:r w:rsidR="00095F00">
        <w:t xml:space="preserve"> </w:t>
      </w:r>
    </w:p>
    <w:p w:rsidR="00D12AA3" w:rsidRDefault="00876329" w:rsidP="00D12AA3">
      <w:pPr>
        <w:shd w:val="clear" w:color="auto" w:fill="FFFFFF"/>
        <w:tabs>
          <w:tab w:val="left" w:pos="0"/>
        </w:tabs>
        <w:spacing w:before="100" w:beforeAutospacing="1" w:after="100" w:afterAutospacing="1" w:line="240" w:lineRule="auto"/>
      </w:pPr>
      <w:r>
        <w:t>The EEOC states that d</w:t>
      </w:r>
      <w:r w:rsidR="00B75C4C" w:rsidRPr="00B75C4C">
        <w:t>iscriminat</w:t>
      </w:r>
      <w:r w:rsidR="00B75C4C">
        <w:t xml:space="preserve">ion can occur if multiple job applicants </w:t>
      </w:r>
      <w:r w:rsidR="00B75C4C" w:rsidRPr="00B75C4C">
        <w:t xml:space="preserve">have </w:t>
      </w:r>
      <w:r w:rsidR="00C75A9D">
        <w:t xml:space="preserve">similar </w:t>
      </w:r>
      <w:r w:rsidR="00B75C4C" w:rsidRPr="00B75C4C">
        <w:t xml:space="preserve">criminal </w:t>
      </w:r>
      <w:r w:rsidR="00C75A9D">
        <w:t>records</w:t>
      </w:r>
      <w:r w:rsidR="00B75C4C" w:rsidRPr="00B75C4C">
        <w:t xml:space="preserve"> </w:t>
      </w:r>
      <w:r w:rsidR="00B75C4C">
        <w:t xml:space="preserve">but the </w:t>
      </w:r>
      <w:r w:rsidR="00C75A9D">
        <w:t xml:space="preserve">criminal records </w:t>
      </w:r>
      <w:r w:rsidR="00B75C4C">
        <w:t>are only held against certain job applicants due to their race, national origin, or anot</w:t>
      </w:r>
      <w:r w:rsidR="00FE5674">
        <w:t>her protected characteristic.</w:t>
      </w:r>
      <w:r w:rsidR="00B75C4C">
        <w:t xml:space="preserve"> </w:t>
      </w:r>
    </w:p>
    <w:p w:rsidR="00876329" w:rsidRDefault="00876329" w:rsidP="00D12AA3">
      <w:pPr>
        <w:shd w:val="clear" w:color="auto" w:fill="FFFFFF"/>
        <w:tabs>
          <w:tab w:val="left" w:pos="0"/>
        </w:tabs>
        <w:spacing w:before="100" w:beforeAutospacing="1" w:after="100" w:afterAutospacing="1" w:line="240" w:lineRule="auto"/>
      </w:pPr>
      <w:r>
        <w:t>The EEOC also states that d</w:t>
      </w:r>
      <w:r w:rsidR="00B75C4C">
        <w:t>iscrimination can also occur if a</w:t>
      </w:r>
      <w:r>
        <w:t>n employer’s</w:t>
      </w:r>
      <w:r w:rsidR="00B75C4C">
        <w:t xml:space="preserve"> hiring policy</w:t>
      </w:r>
      <w:r>
        <w:t xml:space="preserve"> with regard to criminal records</w:t>
      </w:r>
      <w:r w:rsidR="00B75C4C">
        <w:t xml:space="preserve"> </w:t>
      </w:r>
      <w:r>
        <w:t xml:space="preserve">results in disproportionately excluding people of a particular race or national origin.  According to the EEOC, the employer must be able to show that the exclusions are “job related and consistent with business necessity”. The EEOC recommends that employers consider, at minimum, </w:t>
      </w:r>
      <w:r w:rsidR="008B37E9">
        <w:t>“</w:t>
      </w:r>
      <w:r>
        <w:t xml:space="preserve">the nature of the crime; time elapsed since </w:t>
      </w:r>
      <w:r w:rsidR="008B37E9">
        <w:t>the criminal conduct occurred; and the nature of the specific job in question.”</w:t>
      </w:r>
      <w:r w:rsidR="00B91240">
        <w:t xml:space="preserve"> The EEOC also recommends </w:t>
      </w:r>
      <w:r w:rsidR="00FE5674">
        <w:t>the employer’s policy provide “an opportunity for an individualized assessment for those people identified by the screen, to determine if the policy as applied is job related and consistent with business necessity</w:t>
      </w:r>
      <w:r w:rsidR="00B91240">
        <w:t>.</w:t>
      </w:r>
      <w:r w:rsidR="00FE5674">
        <w:t>”</w:t>
      </w:r>
    </w:p>
    <w:p w:rsidR="00BA0832" w:rsidRDefault="00C1698F" w:rsidP="00D12AA3">
      <w:pPr>
        <w:shd w:val="clear" w:color="auto" w:fill="FFFFFF"/>
        <w:tabs>
          <w:tab w:val="left" w:pos="0"/>
        </w:tabs>
        <w:spacing w:before="100" w:beforeAutospacing="1" w:after="100" w:afterAutospacing="1" w:line="240" w:lineRule="auto"/>
      </w:pPr>
      <w:r>
        <w:t>While inquiring about criminal history on job applications is not currently against the law, t</w:t>
      </w:r>
      <w:r w:rsidR="00BA0832">
        <w:t>he EEOC recommends that</w:t>
      </w:r>
      <w:r w:rsidR="00784058">
        <w:t xml:space="preserve"> </w:t>
      </w:r>
      <w:r w:rsidR="00BA0832">
        <w:t xml:space="preserve">employers </w:t>
      </w:r>
      <w:r>
        <w:t xml:space="preserve">refrain from inquiring </w:t>
      </w:r>
      <w:r w:rsidR="00BA0832">
        <w:t xml:space="preserve">about convictions on employment applications </w:t>
      </w:r>
      <w:r w:rsidR="00796A17">
        <w:t>“</w:t>
      </w:r>
      <w:r w:rsidR="00BA0832">
        <w:t xml:space="preserve">and that if and when they make such inquiries, the inquiries be limited to convictions for which exclusion would be job related for the position in question and consistent with business necessity.” </w:t>
      </w:r>
    </w:p>
    <w:p w:rsidR="00C1698F" w:rsidRDefault="00C1698F" w:rsidP="00C1698F">
      <w:pPr>
        <w:shd w:val="clear" w:color="auto" w:fill="FFFFFF"/>
        <w:tabs>
          <w:tab w:val="left" w:pos="0"/>
        </w:tabs>
        <w:spacing w:before="100" w:beforeAutospacing="1" w:after="100" w:afterAutospacing="1" w:line="240" w:lineRule="auto"/>
      </w:pPr>
      <w:r>
        <w:t xml:space="preserve">The EEOC states that in order to establish that excluding an applicant due to criminal conduct was job related and consistent with business </w:t>
      </w:r>
      <w:proofErr w:type="gramStart"/>
      <w:r w:rsidR="00127085">
        <w:t>necessity,</w:t>
      </w:r>
      <w:proofErr w:type="gramEnd"/>
      <w:r>
        <w:t xml:space="preserve"> the employer should show that specific criminal conduct and its dangers were specifically linked with the “risks inherent in the duties of a particular position.”</w:t>
      </w:r>
    </w:p>
    <w:p w:rsidR="00B91240" w:rsidRPr="00BA0832" w:rsidRDefault="00FE5674" w:rsidP="00D12AA3">
      <w:pPr>
        <w:shd w:val="clear" w:color="auto" w:fill="FFFFFF"/>
        <w:tabs>
          <w:tab w:val="left" w:pos="0"/>
        </w:tabs>
        <w:spacing w:before="100" w:beforeAutospacing="1" w:after="100" w:afterAutospacing="1" w:line="240" w:lineRule="auto"/>
      </w:pPr>
      <w:r w:rsidRPr="00BA0832">
        <w:t>(Source</w:t>
      </w:r>
      <w:r w:rsidR="00BA0832">
        <w:t>/for more information see</w:t>
      </w:r>
      <w:r w:rsidRPr="00BA0832">
        <w:t xml:space="preserve">:  </w:t>
      </w:r>
      <w:hyperlink r:id="rId8" w:history="1">
        <w:r w:rsidRPr="00BA0832">
          <w:rPr>
            <w:rStyle w:val="Hyperlink"/>
          </w:rPr>
          <w:t>http://www.eeoc.gov/laws/guidance/arrest_conviction.cfm</w:t>
        </w:r>
      </w:hyperlink>
      <w:proofErr w:type="gramStart"/>
      <w:r w:rsidRPr="00BA0832">
        <w:t xml:space="preserve"> </w:t>
      </w:r>
      <w:proofErr w:type="gramEnd"/>
      <w:r w:rsidR="00BA0832" w:rsidRPr="00BA0832">
        <w:t xml:space="preserve"> </w:t>
      </w:r>
      <w:r w:rsidRPr="00BA0832">
        <w:t>)</w:t>
      </w:r>
    </w:p>
    <w:p w:rsidR="00FE5674" w:rsidRDefault="00AC7A73" w:rsidP="00AC7A73">
      <w:pPr>
        <w:shd w:val="clear" w:color="auto" w:fill="FFFFFF"/>
        <w:tabs>
          <w:tab w:val="left" w:pos="0"/>
        </w:tabs>
        <w:spacing w:before="100" w:beforeAutospacing="1" w:after="100" w:afterAutospacing="1" w:line="240" w:lineRule="auto"/>
        <w:jc w:val="center"/>
      </w:pPr>
      <w:r>
        <w:t>*  *  *</w:t>
      </w:r>
    </w:p>
    <w:p w:rsidR="00E27E0F" w:rsidRDefault="00E27E0F" w:rsidP="00AC7A73">
      <w:pPr>
        <w:shd w:val="clear" w:color="auto" w:fill="FFFFFF"/>
        <w:tabs>
          <w:tab w:val="left" w:pos="0"/>
        </w:tabs>
        <w:spacing w:before="100" w:beforeAutospacing="1" w:after="100" w:afterAutospacing="1" w:line="240" w:lineRule="auto"/>
      </w:pPr>
    </w:p>
    <w:p w:rsidR="003750DC" w:rsidRDefault="001C5692" w:rsidP="00AC7A73">
      <w:pPr>
        <w:shd w:val="clear" w:color="auto" w:fill="FFFFFF"/>
        <w:tabs>
          <w:tab w:val="left" w:pos="0"/>
        </w:tabs>
        <w:spacing w:before="100" w:beforeAutospacing="1" w:after="100" w:afterAutospacing="1" w:line="240" w:lineRule="auto"/>
      </w:pPr>
      <w:r>
        <w:t xml:space="preserve">Recent </w:t>
      </w:r>
      <w:r w:rsidR="003750DC">
        <w:t xml:space="preserve">changes to Indiana’s laws related to criminal history reports </w:t>
      </w:r>
      <w:r>
        <w:t xml:space="preserve">restrict the </w:t>
      </w:r>
      <w:r w:rsidR="003750DC">
        <w:t xml:space="preserve">type of information that </w:t>
      </w:r>
      <w:r>
        <w:t xml:space="preserve">may be </w:t>
      </w:r>
      <w:r w:rsidR="003750DC">
        <w:t>provided</w:t>
      </w:r>
      <w:r>
        <w:t xml:space="preserve"> in response to criminal history inquiries </w:t>
      </w:r>
      <w:r w:rsidR="003750DC">
        <w:t xml:space="preserve">and </w:t>
      </w:r>
      <w:r>
        <w:t xml:space="preserve">the types of inquiries employers may make with regard to a job applicant’s criminal history. </w:t>
      </w:r>
      <w:r w:rsidR="00784058">
        <w:t xml:space="preserve"> </w:t>
      </w:r>
    </w:p>
    <w:p w:rsidR="001C5692" w:rsidRDefault="001C5692" w:rsidP="00AC7A73">
      <w:pPr>
        <w:shd w:val="clear" w:color="auto" w:fill="FFFFFF"/>
        <w:tabs>
          <w:tab w:val="left" w:pos="0"/>
        </w:tabs>
        <w:spacing w:before="100" w:beforeAutospacing="1" w:after="100" w:afterAutospacing="1" w:line="240" w:lineRule="auto"/>
      </w:pPr>
      <w:r>
        <w:t xml:space="preserve">Under Indiana law, it is unlawful discrimination and a violation of </w:t>
      </w:r>
      <w:r w:rsidR="00BD7B85">
        <w:t>a</w:t>
      </w:r>
      <w:r>
        <w:t xml:space="preserve"> job applicant</w:t>
      </w:r>
      <w:r w:rsidR="00BD7B85">
        <w:t>’</w:t>
      </w:r>
      <w:r>
        <w:t xml:space="preserve">s civil rights for an employer to refuse to employ </w:t>
      </w:r>
      <w:r w:rsidR="00BD7B85">
        <w:t>him/her</w:t>
      </w:r>
      <w:r>
        <w:t xml:space="preserve"> because of conviction or arrest record that has been expunged or sealed.  The law indicates that employers may only inquire as to an applicant’s criminal history in terms that exclude expunged convictions and arrests. “A person whose record is expunged shall be treated as if the person had never been convicted of the offense” (I.C. 35-38-9-10)</w:t>
      </w:r>
      <w:r w:rsidR="00B53A42">
        <w:t xml:space="preserve"> </w:t>
      </w:r>
      <w:r>
        <w:t xml:space="preserve">If asked about criminal history by an employer on a job application or at an interview,  job applicants do not have to disclose conviction or arrest records that have been expunged. </w:t>
      </w:r>
    </w:p>
    <w:p w:rsidR="00385CDE" w:rsidRDefault="00F35BB7" w:rsidP="00AC7A73">
      <w:pPr>
        <w:shd w:val="clear" w:color="auto" w:fill="FFFFFF"/>
        <w:tabs>
          <w:tab w:val="left" w:pos="0"/>
        </w:tabs>
        <w:spacing w:before="100" w:beforeAutospacing="1" w:after="100" w:afterAutospacing="1" w:line="240" w:lineRule="auto"/>
      </w:pPr>
      <w:r>
        <w:t xml:space="preserve">Additionally, courts are prohibited from releasing information related to </w:t>
      </w:r>
      <w:r w:rsidR="00385CDE">
        <w:t>the allegation of i</w:t>
      </w:r>
      <w:r>
        <w:t>nfractions</w:t>
      </w:r>
      <w:r w:rsidR="00385CDE">
        <w:t>:</w:t>
      </w:r>
    </w:p>
    <w:p w:rsidR="00F35BB7" w:rsidRDefault="00385CDE" w:rsidP="00385CDE">
      <w:pPr>
        <w:pStyle w:val="ListParagraph"/>
        <w:numPr>
          <w:ilvl w:val="0"/>
          <w:numId w:val="14"/>
        </w:numPr>
        <w:shd w:val="clear" w:color="auto" w:fill="FFFFFF"/>
        <w:tabs>
          <w:tab w:val="left" w:pos="0"/>
        </w:tabs>
        <w:spacing w:before="100" w:beforeAutospacing="1" w:after="100" w:afterAutospacing="1" w:line="240" w:lineRule="auto"/>
      </w:pPr>
      <w:r>
        <w:t>That are not prosecuted or are dismissed;</w:t>
      </w:r>
    </w:p>
    <w:p w:rsidR="00385CDE" w:rsidRDefault="00385CDE" w:rsidP="00385CDE">
      <w:pPr>
        <w:pStyle w:val="ListParagraph"/>
        <w:numPr>
          <w:ilvl w:val="0"/>
          <w:numId w:val="14"/>
        </w:numPr>
        <w:shd w:val="clear" w:color="auto" w:fill="FFFFFF"/>
        <w:tabs>
          <w:tab w:val="left" w:pos="0"/>
        </w:tabs>
        <w:spacing w:before="100" w:beforeAutospacing="1" w:after="100" w:afterAutospacing="1" w:line="240" w:lineRule="auto"/>
      </w:pPr>
      <w:r>
        <w:t>where the person was adjudged not to have committed the infraction; or</w:t>
      </w:r>
    </w:p>
    <w:p w:rsidR="00385CDE" w:rsidRDefault="00385CDE" w:rsidP="00385CDE">
      <w:pPr>
        <w:pStyle w:val="ListParagraph"/>
        <w:numPr>
          <w:ilvl w:val="0"/>
          <w:numId w:val="14"/>
        </w:numPr>
        <w:shd w:val="clear" w:color="auto" w:fill="FFFFFF"/>
        <w:tabs>
          <w:tab w:val="left" w:pos="0"/>
        </w:tabs>
        <w:spacing w:before="100" w:beforeAutospacing="1" w:after="100" w:afterAutospacing="1" w:line="240" w:lineRule="auto"/>
      </w:pPr>
      <w:proofErr w:type="gramStart"/>
      <w:r>
        <w:t>is</w:t>
      </w:r>
      <w:proofErr w:type="gramEnd"/>
      <w:r>
        <w:t xml:space="preserve"> adjudged to have committed the infraction and the adjudication is subsequently vacated.     (IC 34-28-5-15)</w:t>
      </w:r>
    </w:p>
    <w:p w:rsidR="00385CDE" w:rsidRDefault="00385CDE" w:rsidP="00AC7A73">
      <w:pPr>
        <w:shd w:val="clear" w:color="auto" w:fill="FFFFFF"/>
        <w:tabs>
          <w:tab w:val="left" w:pos="0"/>
        </w:tabs>
        <w:spacing w:before="100" w:beforeAutospacing="1" w:after="100" w:afterAutospacing="1" w:line="240" w:lineRule="auto"/>
      </w:pPr>
      <w:r>
        <w:t>Infr</w:t>
      </w:r>
      <w:r w:rsidR="00B53A42">
        <w:t xml:space="preserve">actions are low level offenses, an example of which is </w:t>
      </w:r>
      <w:r>
        <w:t xml:space="preserve">a moving violation resulting in a traffic ticket. </w:t>
      </w:r>
    </w:p>
    <w:p w:rsidR="004B147F" w:rsidRDefault="004B147F" w:rsidP="00AC7A73">
      <w:pPr>
        <w:shd w:val="clear" w:color="auto" w:fill="FFFFFF"/>
        <w:tabs>
          <w:tab w:val="left" w:pos="0"/>
        </w:tabs>
        <w:spacing w:before="100" w:beforeAutospacing="1" w:after="100" w:afterAutospacing="1" w:line="240" w:lineRule="auto"/>
      </w:pPr>
      <w:r>
        <w:t xml:space="preserve">With respect to employment inquiries, </w:t>
      </w:r>
      <w:r w:rsidR="00AC7A73">
        <w:t xml:space="preserve">Indiana </w:t>
      </w:r>
      <w:r w:rsidR="00DD6B67">
        <w:t xml:space="preserve">law currently </w:t>
      </w:r>
      <w:r w:rsidR="003750DC">
        <w:t>prohibits criminal history providers from knowingly prov</w:t>
      </w:r>
      <w:r w:rsidR="00BD7B85">
        <w:t>iding a criminal history report that</w:t>
      </w:r>
      <w:r>
        <w:t>:</w:t>
      </w:r>
    </w:p>
    <w:p w:rsidR="004B147F" w:rsidRDefault="004B147F" w:rsidP="004B147F">
      <w:pPr>
        <w:pStyle w:val="ListParagraph"/>
        <w:numPr>
          <w:ilvl w:val="0"/>
          <w:numId w:val="12"/>
        </w:numPr>
        <w:shd w:val="clear" w:color="auto" w:fill="FFFFFF"/>
        <w:tabs>
          <w:tab w:val="left" w:pos="0"/>
        </w:tabs>
        <w:spacing w:before="100" w:beforeAutospacing="1" w:after="100" w:afterAutospacing="1" w:line="240" w:lineRule="auto"/>
      </w:pPr>
      <w:r>
        <w:t>Contains inaccurate information, or</w:t>
      </w:r>
    </w:p>
    <w:p w:rsidR="004B147F" w:rsidRDefault="00BD7B85" w:rsidP="004B147F">
      <w:pPr>
        <w:pStyle w:val="ListParagraph"/>
        <w:numPr>
          <w:ilvl w:val="0"/>
          <w:numId w:val="12"/>
        </w:numPr>
        <w:shd w:val="clear" w:color="auto" w:fill="FFFFFF"/>
        <w:tabs>
          <w:tab w:val="left" w:pos="0"/>
        </w:tabs>
        <w:spacing w:before="100" w:beforeAutospacing="1" w:after="100" w:afterAutospacing="1" w:line="240" w:lineRule="auto"/>
      </w:pPr>
      <w:r>
        <w:t>information relating to a record that has been expunged</w:t>
      </w:r>
      <w:r w:rsidR="004B147F">
        <w:t xml:space="preserve">, </w:t>
      </w:r>
    </w:p>
    <w:p w:rsidR="004B147F" w:rsidRDefault="004B147F" w:rsidP="004B147F">
      <w:pPr>
        <w:pStyle w:val="ListParagraph"/>
        <w:numPr>
          <w:ilvl w:val="0"/>
          <w:numId w:val="12"/>
        </w:numPr>
        <w:shd w:val="clear" w:color="auto" w:fill="FFFFFF"/>
        <w:tabs>
          <w:tab w:val="left" w:pos="0"/>
        </w:tabs>
        <w:spacing w:before="100" w:beforeAutospacing="1" w:after="100" w:afterAutospacing="1" w:line="240" w:lineRule="auto"/>
      </w:pPr>
      <w:r>
        <w:t>has been marked as restricted from public disclosure or removed from public access, or</w:t>
      </w:r>
    </w:p>
    <w:p w:rsidR="004B147F" w:rsidRDefault="004B147F" w:rsidP="004B147F">
      <w:pPr>
        <w:pStyle w:val="ListParagraph"/>
        <w:numPr>
          <w:ilvl w:val="0"/>
          <w:numId w:val="12"/>
        </w:numPr>
        <w:shd w:val="clear" w:color="auto" w:fill="FFFFFF"/>
        <w:tabs>
          <w:tab w:val="left" w:pos="0"/>
        </w:tabs>
        <w:spacing w:before="100" w:beforeAutospacing="1" w:after="100" w:afterAutospacing="1" w:line="240" w:lineRule="auto"/>
      </w:pPr>
      <w:proofErr w:type="gramStart"/>
      <w:r>
        <w:t>contains</w:t>
      </w:r>
      <w:proofErr w:type="gramEnd"/>
      <w:r>
        <w:t xml:space="preserve"> information about certain felony convictions that have been converted to or recorded or entered as a misdemeanors.</w:t>
      </w:r>
    </w:p>
    <w:p w:rsidR="004B147F" w:rsidRDefault="004B147F" w:rsidP="004B147F">
      <w:pPr>
        <w:shd w:val="clear" w:color="auto" w:fill="FFFFFF"/>
        <w:tabs>
          <w:tab w:val="left" w:pos="0"/>
        </w:tabs>
        <w:spacing w:before="100" w:beforeAutospacing="1" w:after="100" w:afterAutospacing="1" w:line="240" w:lineRule="auto"/>
      </w:pPr>
      <w:r>
        <w:t xml:space="preserve">Beginning July 1, 2014, criminal history providers will be further restricted to providing only criminal history information that relates to a conviction. It will be unlawful for criminal history providers to provide information relating to an infraction, arrest or charge that did not result in a conviction. </w:t>
      </w:r>
      <w:r w:rsidR="00BB78AF">
        <w:t>(I.C. 24-4-18-6)</w:t>
      </w:r>
    </w:p>
    <w:p w:rsidR="00385CDE" w:rsidRDefault="00385CDE" w:rsidP="004B147F">
      <w:pPr>
        <w:shd w:val="clear" w:color="auto" w:fill="FFFFFF"/>
        <w:tabs>
          <w:tab w:val="left" w:pos="0"/>
        </w:tabs>
        <w:spacing w:before="100" w:beforeAutospacing="1" w:after="100" w:afterAutospacing="1" w:line="240" w:lineRule="auto"/>
      </w:pPr>
      <w:r>
        <w:t>IC 24-4-18-2 defines “criminal history provider” as a “person or organization that compiles a criminal history report and either uses the report or provides the report</w:t>
      </w:r>
      <w:r w:rsidR="00E27E0F">
        <w:t xml:space="preserve"> to a person or an organization..</w:t>
      </w:r>
      <w:r>
        <w:t>.</w:t>
      </w:r>
      <w:r w:rsidR="00E27E0F">
        <w:t>”</w:t>
      </w:r>
    </w:p>
    <w:p w:rsidR="00425EE8" w:rsidRDefault="003750DC" w:rsidP="003750DC">
      <w:pPr>
        <w:shd w:val="clear" w:color="auto" w:fill="FFFFFF"/>
        <w:tabs>
          <w:tab w:val="left" w:pos="0"/>
        </w:tabs>
        <w:spacing w:before="100" w:beforeAutospacing="1" w:after="100" w:afterAutospacing="1" w:line="240" w:lineRule="auto"/>
        <w:jc w:val="center"/>
      </w:pPr>
      <w:r>
        <w:t>*  *  *</w:t>
      </w:r>
    </w:p>
    <w:p w:rsidR="00E27E0F" w:rsidRDefault="00E27E0F" w:rsidP="003750DC">
      <w:pPr>
        <w:shd w:val="clear" w:color="auto" w:fill="FFFFFF"/>
        <w:tabs>
          <w:tab w:val="left" w:pos="0"/>
        </w:tabs>
        <w:spacing w:before="100" w:beforeAutospacing="1" w:after="100" w:afterAutospacing="1" w:line="240" w:lineRule="auto"/>
      </w:pPr>
    </w:p>
    <w:p w:rsidR="00B53A42" w:rsidRDefault="007B1FF8" w:rsidP="003750DC">
      <w:pPr>
        <w:shd w:val="clear" w:color="auto" w:fill="FFFFFF"/>
        <w:tabs>
          <w:tab w:val="left" w:pos="0"/>
        </w:tabs>
        <w:spacing w:before="100" w:beforeAutospacing="1" w:after="100" w:afterAutospacing="1" w:line="240" w:lineRule="auto"/>
      </w:pPr>
      <w:r>
        <w:t>According to the Federal Trade Commission (FTC), e</w:t>
      </w:r>
      <w:r w:rsidR="003750DC">
        <w:t xml:space="preserve">mployers </w:t>
      </w:r>
      <w:r w:rsidR="00801BCC">
        <w:t>shou</w:t>
      </w:r>
      <w:r>
        <w:t>ld get written permission from</w:t>
      </w:r>
      <w:r w:rsidR="00801BCC">
        <w:t xml:space="preserve"> job applicant</w:t>
      </w:r>
      <w:r>
        <w:t>s</w:t>
      </w:r>
      <w:r w:rsidR="00801BCC">
        <w:t xml:space="preserve"> prior to requesting background report</w:t>
      </w:r>
      <w:r>
        <w:t>s</w:t>
      </w:r>
      <w:r w:rsidR="005C5978">
        <w:t xml:space="preserve"> “from a credit reporting company or any other company that provides background information.”  If an employer is using a company to provide a background report, the employer must provide</w:t>
      </w:r>
      <w:r w:rsidR="00127085">
        <w:t xml:space="preserve"> the job applicant</w:t>
      </w:r>
      <w:r w:rsidR="005C5978">
        <w:t xml:space="preserve"> with a</w:t>
      </w:r>
      <w:r w:rsidR="00127085">
        <w:t xml:space="preserve"> written </w:t>
      </w:r>
      <w:r w:rsidR="005C5978">
        <w:t>notice separate from the job application stating that the information</w:t>
      </w:r>
      <w:r w:rsidR="00127085">
        <w:t xml:space="preserve"> in the background report</w:t>
      </w:r>
      <w:r w:rsidR="005C5978">
        <w:t xml:space="preserve"> </w:t>
      </w:r>
      <w:r w:rsidR="00127085">
        <w:t xml:space="preserve">may be used to make a decision with regard to employment. Also, if the job applicant is going to </w:t>
      </w:r>
      <w:r w:rsidR="001D6967">
        <w:t>be denied the job, or promotion (</w:t>
      </w:r>
      <w:r w:rsidR="00127085">
        <w:t>or if the job applicant</w:t>
      </w:r>
      <w:r w:rsidR="001D6967">
        <w:t xml:space="preserve"> or employee</w:t>
      </w:r>
      <w:r w:rsidR="00127085">
        <w:t xml:space="preserve"> will be demoted, reassigned, or terminated due to information found in the individual’s background report</w:t>
      </w:r>
      <w:r w:rsidR="001D6967">
        <w:t>)</w:t>
      </w:r>
      <w:r w:rsidR="00127085">
        <w:t xml:space="preserve"> the employer must </w:t>
      </w:r>
      <w:r w:rsidR="00DB770E">
        <w:t xml:space="preserve">first </w:t>
      </w:r>
      <w:r w:rsidR="00127085">
        <w:t xml:space="preserve">provide the individual with a copy of the report and “a document called </w:t>
      </w:r>
      <w:r w:rsidR="00127085">
        <w:rPr>
          <w:i/>
          <w:u w:val="single"/>
        </w:rPr>
        <w:t>A Summary of Your Rights Under the Fair Credit Reporting Act</w:t>
      </w:r>
      <w:r w:rsidR="00127085">
        <w:t xml:space="preserve"> before taking adverse action.”  </w:t>
      </w:r>
      <w:r w:rsidR="00B53A42">
        <w:t xml:space="preserve">The Summary or Rights document may be found at: </w:t>
      </w:r>
      <w:hyperlink r:id="rId9" w:history="1">
        <w:r w:rsidR="00B53A42" w:rsidRPr="004C7C82">
          <w:rPr>
            <w:rStyle w:val="Hyperlink"/>
          </w:rPr>
          <w:t>http://www.consumer.ftc.gov/articles/pdf-0096-fair-credit-reporting-act.pdf</w:t>
        </w:r>
      </w:hyperlink>
    </w:p>
    <w:p w:rsidR="005C5978" w:rsidRDefault="00B53A42" w:rsidP="003750DC">
      <w:pPr>
        <w:shd w:val="clear" w:color="auto" w:fill="FFFFFF"/>
        <w:tabs>
          <w:tab w:val="left" w:pos="0"/>
        </w:tabs>
        <w:spacing w:before="100" w:beforeAutospacing="1" w:after="100" w:afterAutospacing="1" w:line="240" w:lineRule="auto"/>
      </w:pPr>
      <w:r>
        <w:t>I</w:t>
      </w:r>
      <w:r w:rsidR="00127085">
        <w:t xml:space="preserve">f an employer </w:t>
      </w:r>
      <w:r w:rsidR="00DB770E">
        <w:t xml:space="preserve">proceeds in taking </w:t>
      </w:r>
      <w:r w:rsidR="00127085">
        <w:t>adverse action against an employee or job applicant based on information in a background report, the employer must provide the employee or job applicant with the following information:</w:t>
      </w:r>
    </w:p>
    <w:p w:rsidR="00127085" w:rsidRDefault="001D6967" w:rsidP="001D6967">
      <w:pPr>
        <w:pStyle w:val="ListParagraph"/>
        <w:numPr>
          <w:ilvl w:val="0"/>
          <w:numId w:val="11"/>
        </w:numPr>
        <w:shd w:val="clear" w:color="auto" w:fill="FFFFFF"/>
        <w:tabs>
          <w:tab w:val="left" w:pos="0"/>
          <w:tab w:val="left" w:pos="1440"/>
        </w:tabs>
        <w:spacing w:before="100" w:beforeAutospacing="1" w:after="100" w:afterAutospacing="1" w:line="240" w:lineRule="auto"/>
        <w:ind w:left="1440" w:right="1080" w:hanging="540"/>
        <w:jc w:val="both"/>
      </w:pPr>
      <w:r>
        <w:t>Name, address, and phone number of the company that supplied the credit report or background information;</w:t>
      </w:r>
    </w:p>
    <w:p w:rsidR="001D6967" w:rsidRDefault="001D6967" w:rsidP="001D6967">
      <w:pPr>
        <w:pStyle w:val="ListParagraph"/>
        <w:numPr>
          <w:ilvl w:val="0"/>
          <w:numId w:val="11"/>
        </w:numPr>
        <w:shd w:val="clear" w:color="auto" w:fill="FFFFFF"/>
        <w:tabs>
          <w:tab w:val="left" w:pos="0"/>
          <w:tab w:val="left" w:pos="1440"/>
        </w:tabs>
        <w:spacing w:before="100" w:beforeAutospacing="1" w:after="100" w:afterAutospacing="1" w:line="240" w:lineRule="auto"/>
        <w:ind w:left="1440" w:right="1080" w:hanging="540"/>
        <w:jc w:val="both"/>
      </w:pPr>
      <w:r>
        <w:t xml:space="preserve">A statement that the company that supplied the information didn’t make the decision to take the adverse action and cannot give any specific reasons for it; and </w:t>
      </w:r>
    </w:p>
    <w:p w:rsidR="001D6967" w:rsidRPr="00127085" w:rsidRDefault="001D6967" w:rsidP="001D6967">
      <w:pPr>
        <w:pStyle w:val="ListParagraph"/>
        <w:numPr>
          <w:ilvl w:val="0"/>
          <w:numId w:val="11"/>
        </w:numPr>
        <w:shd w:val="clear" w:color="auto" w:fill="FFFFFF"/>
        <w:tabs>
          <w:tab w:val="left" w:pos="0"/>
          <w:tab w:val="left" w:pos="1440"/>
        </w:tabs>
        <w:spacing w:before="100" w:beforeAutospacing="1" w:after="100" w:afterAutospacing="1" w:line="240" w:lineRule="auto"/>
        <w:ind w:left="1440" w:right="1080" w:hanging="540"/>
        <w:jc w:val="both"/>
      </w:pPr>
      <w:r>
        <w:t xml:space="preserve">A notice of </w:t>
      </w:r>
      <w:r w:rsidR="00F35BB7">
        <w:t>the individual’s</w:t>
      </w:r>
      <w:r>
        <w:t xml:space="preserve"> right to dispute the accuracy or completeness of any information in </w:t>
      </w:r>
      <w:r w:rsidR="00F35BB7">
        <w:t>his/her</w:t>
      </w:r>
      <w:r>
        <w:t xml:space="preserve"> report and to get an additional free report from the company that supplied the credit or other background information if </w:t>
      </w:r>
      <w:r w:rsidR="00F35BB7">
        <w:t>a</w:t>
      </w:r>
      <w:r>
        <w:t>sk</w:t>
      </w:r>
      <w:r w:rsidR="00F35BB7">
        <w:t>ed</w:t>
      </w:r>
      <w:r>
        <w:t xml:space="preserve"> for it within 60 days.</w:t>
      </w:r>
    </w:p>
    <w:p w:rsidR="003750DC" w:rsidRDefault="005C5978" w:rsidP="003750DC">
      <w:pPr>
        <w:shd w:val="clear" w:color="auto" w:fill="FFFFFF"/>
        <w:tabs>
          <w:tab w:val="left" w:pos="0"/>
        </w:tabs>
        <w:spacing w:before="100" w:beforeAutospacing="1" w:after="100" w:afterAutospacing="1" w:line="240" w:lineRule="auto"/>
      </w:pPr>
      <w:r>
        <w:t>(Source/</w:t>
      </w:r>
      <w:r w:rsidR="00127085">
        <w:t>for more information</w:t>
      </w:r>
      <w:r>
        <w:t xml:space="preserve"> see</w:t>
      </w:r>
      <w:r w:rsidR="00127085">
        <w:t>:</w:t>
      </w:r>
      <w:r>
        <w:t xml:space="preserve"> </w:t>
      </w:r>
      <w:hyperlink r:id="rId10" w:history="1">
        <w:r w:rsidR="00B53A42" w:rsidRPr="004C7C82">
          <w:rPr>
            <w:rStyle w:val="Hyperlink"/>
          </w:rPr>
          <w:t>http://www.consumer.ftc.gov/articles/0157-employment-background-checks</w:t>
        </w:r>
      </w:hyperlink>
      <w:r w:rsidR="00B53A42">
        <w:t xml:space="preserve"> )</w:t>
      </w:r>
    </w:p>
    <w:p w:rsidR="00B53A42" w:rsidRPr="00BA0832" w:rsidRDefault="00B53A42" w:rsidP="003750DC">
      <w:pPr>
        <w:shd w:val="clear" w:color="auto" w:fill="FFFFFF"/>
        <w:tabs>
          <w:tab w:val="left" w:pos="0"/>
        </w:tabs>
        <w:spacing w:before="100" w:beforeAutospacing="1" w:after="100" w:afterAutospacing="1" w:line="240" w:lineRule="auto"/>
      </w:pPr>
    </w:p>
    <w:p w:rsidR="00425EE8" w:rsidRPr="00BA0832" w:rsidRDefault="00425EE8" w:rsidP="00D12AA3">
      <w:pPr>
        <w:shd w:val="clear" w:color="auto" w:fill="FFFFFF"/>
        <w:tabs>
          <w:tab w:val="left" w:pos="0"/>
        </w:tabs>
        <w:spacing w:before="100" w:beforeAutospacing="1" w:after="100" w:afterAutospacing="1" w:line="240" w:lineRule="auto"/>
      </w:pPr>
    </w:p>
    <w:p w:rsidR="00B75C4C" w:rsidRPr="00BA0832" w:rsidRDefault="00B75C4C" w:rsidP="00D12AA3">
      <w:pPr>
        <w:shd w:val="clear" w:color="auto" w:fill="FFFFFF"/>
        <w:tabs>
          <w:tab w:val="left" w:pos="0"/>
        </w:tabs>
        <w:spacing w:before="100" w:beforeAutospacing="1" w:after="100" w:afterAutospacing="1" w:line="240" w:lineRule="auto"/>
      </w:pPr>
    </w:p>
    <w:p w:rsidR="00B75C4C" w:rsidRPr="00BA0832" w:rsidRDefault="00B75C4C" w:rsidP="00D12AA3">
      <w:pPr>
        <w:shd w:val="clear" w:color="auto" w:fill="FFFFFF"/>
        <w:tabs>
          <w:tab w:val="left" w:pos="0"/>
        </w:tabs>
        <w:spacing w:before="100" w:beforeAutospacing="1" w:after="100" w:afterAutospacing="1" w:line="240" w:lineRule="auto"/>
      </w:pPr>
    </w:p>
    <w:p w:rsidR="00D12AA3" w:rsidRPr="00BA0832" w:rsidRDefault="00D12AA3" w:rsidP="00D12AA3">
      <w:pPr>
        <w:shd w:val="clear" w:color="auto" w:fill="FFFFFF"/>
        <w:tabs>
          <w:tab w:val="left" w:pos="0"/>
        </w:tabs>
        <w:spacing w:before="100" w:beforeAutospacing="1" w:after="100" w:afterAutospacing="1" w:line="240" w:lineRule="auto"/>
        <w:ind w:right="1440"/>
      </w:pPr>
    </w:p>
    <w:p w:rsidR="00D12AA3" w:rsidRPr="00BA0832" w:rsidRDefault="00D12AA3" w:rsidP="00D12AA3">
      <w:pPr>
        <w:shd w:val="clear" w:color="auto" w:fill="FFFFFF"/>
        <w:tabs>
          <w:tab w:val="left" w:pos="0"/>
        </w:tabs>
        <w:spacing w:before="100" w:beforeAutospacing="1" w:after="100" w:afterAutospacing="1" w:line="240" w:lineRule="auto"/>
        <w:ind w:right="1440"/>
        <w:rPr>
          <w:rFonts w:ascii="Arial" w:hAnsi="Arial" w:cs="Arial"/>
          <w:b/>
          <w:i/>
        </w:rPr>
      </w:pPr>
    </w:p>
    <w:sectPr w:rsidR="00D12AA3" w:rsidRPr="00BA0832" w:rsidSect="005F08D6">
      <w:headerReference w:type="default" r:id="rId11"/>
      <w:foot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CDE" w:rsidRDefault="00385CDE" w:rsidP="00D07D30">
      <w:pPr>
        <w:spacing w:after="0" w:line="240" w:lineRule="auto"/>
      </w:pPr>
      <w:r>
        <w:separator/>
      </w:r>
    </w:p>
  </w:endnote>
  <w:endnote w:type="continuationSeparator" w:id="0">
    <w:p w:rsidR="00385CDE" w:rsidRDefault="00385CDE" w:rsidP="00D0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DE" w:rsidRDefault="00385CDE" w:rsidP="00D07D30">
    <w:pPr>
      <w:pStyle w:val="Footer"/>
      <w:jc w:val="center"/>
      <w:rPr>
        <w:sz w:val="18"/>
        <w:szCs w:val="18"/>
      </w:rPr>
    </w:pPr>
  </w:p>
  <w:p w:rsidR="00385CDE" w:rsidRDefault="00385CDE" w:rsidP="00D67BDB">
    <w:pPr>
      <w:pStyle w:val="Footer"/>
      <w:rPr>
        <w:sz w:val="18"/>
        <w:szCs w:val="18"/>
      </w:rPr>
    </w:pPr>
    <w:r w:rsidRPr="00D67BDB">
      <w:rPr>
        <w:rFonts w:eastAsiaTheme="minorEastAsia" w:cstheme="minorHAnsi"/>
        <w:b/>
        <w:noProof/>
        <w:sz w:val="18"/>
        <w:szCs w:val="18"/>
      </w:rPr>
      <w:t xml:space="preserve">The content of this memo is intended to be informational in nature and is not to be construed as legal advice.  Any statements or opinions expressed within this memo are not intended to be and should not be considred a substitute for legal advice from your library’s own attorney. </w:t>
    </w:r>
    <w:r w:rsidRPr="00D67BDB">
      <w:rPr>
        <w:b/>
        <w:sz w:val="18"/>
        <w:szCs w:val="18"/>
      </w:rPr>
      <w:t>For questions about this memo or to suggest a memo topic, please contact Sylvia Watson at:</w:t>
    </w:r>
    <w:r w:rsidRPr="004A3866">
      <w:rPr>
        <w:sz w:val="18"/>
        <w:szCs w:val="18"/>
      </w:rPr>
      <w:t xml:space="preserve"> </w:t>
    </w:r>
    <w:hyperlink r:id="rId1" w:history="1">
      <w:r w:rsidRPr="004A3866">
        <w:rPr>
          <w:rStyle w:val="Hyperlink"/>
          <w:sz w:val="18"/>
          <w:szCs w:val="18"/>
        </w:rPr>
        <w:t>sywatson@library.IN.gov</w:t>
      </w:r>
    </w:hyperlink>
    <w:r w:rsidRPr="004A3866">
      <w:rPr>
        <w:sz w:val="18"/>
        <w:szCs w:val="18"/>
      </w:rPr>
      <w:t>.</w:t>
    </w:r>
  </w:p>
  <w:p w:rsidR="00385CDE" w:rsidRPr="00D67BDB" w:rsidRDefault="00385CDE" w:rsidP="00D67BDB">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CDE" w:rsidRDefault="00385CDE" w:rsidP="00D07D30">
      <w:pPr>
        <w:spacing w:after="0" w:line="240" w:lineRule="auto"/>
      </w:pPr>
      <w:r>
        <w:separator/>
      </w:r>
    </w:p>
  </w:footnote>
  <w:footnote w:type="continuationSeparator" w:id="0">
    <w:p w:rsidR="00385CDE" w:rsidRDefault="00385CDE" w:rsidP="00D07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DE" w:rsidRDefault="00385CDE" w:rsidP="00E54FB9">
    <w:pPr>
      <w:rPr>
        <w:rFonts w:ascii="Palatino Linotype" w:hAnsi="Palatino Linotype"/>
        <w:sz w:val="56"/>
        <w:szCs w:val="56"/>
      </w:rPr>
    </w:pPr>
    <w:r w:rsidRPr="00E54FB9">
      <w:rPr>
        <w:rFonts w:ascii="Palatino Linotype" w:hAnsi="Palatino Linotype"/>
        <w:sz w:val="56"/>
        <w:szCs w:val="56"/>
      </w:rPr>
      <w:t xml:space="preserve">Informational </w:t>
    </w:r>
    <w:r>
      <w:rPr>
        <w:rFonts w:ascii="Palatino Linotype" w:hAnsi="Palatino Linotype"/>
        <w:sz w:val="56"/>
        <w:szCs w:val="56"/>
      </w:rPr>
      <w:t xml:space="preserve">Legal </w:t>
    </w:r>
    <w:r w:rsidRPr="00E54FB9">
      <w:rPr>
        <w:rFonts w:ascii="Palatino Linotype" w:hAnsi="Palatino Linotype"/>
        <w:sz w:val="56"/>
        <w:szCs w:val="56"/>
      </w:rPr>
      <w:t>Memo</w:t>
    </w:r>
    <w:r>
      <w:rPr>
        <w:rFonts w:ascii="Palatino Linotype" w:hAnsi="Palatino Linotype"/>
        <w:sz w:val="56"/>
        <w:szCs w:val="56"/>
      </w:rPr>
      <w:t xml:space="preserve">          </w:t>
    </w:r>
    <w:r>
      <w:rPr>
        <w:noProof/>
      </w:rPr>
      <w:drawing>
        <wp:anchor distT="0" distB="0" distL="114300" distR="114300" simplePos="0" relativeHeight="251657728" behindDoc="1" locked="0" layoutInCell="1" allowOverlap="1">
          <wp:simplePos x="0" y="0"/>
          <wp:positionH relativeFrom="column">
            <wp:posOffset>5111750</wp:posOffset>
          </wp:positionH>
          <wp:positionV relativeFrom="paragraph">
            <wp:posOffset>0</wp:posOffset>
          </wp:positionV>
          <wp:extent cx="666750" cy="676275"/>
          <wp:effectExtent l="19050" t="0" r="0" b="0"/>
          <wp:wrapTight wrapText="bothSides">
            <wp:wrapPolygon edited="0">
              <wp:start x="-617" y="0"/>
              <wp:lineTo x="-617" y="21296"/>
              <wp:lineTo x="21600" y="21296"/>
              <wp:lineTo x="21600" y="0"/>
              <wp:lineTo x="-61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66750" cy="676275"/>
                  </a:xfrm>
                  <a:prstGeom prst="rect">
                    <a:avLst/>
                  </a:prstGeom>
                  <a:noFill/>
                  <a:ln w="9525">
                    <a:noFill/>
                    <a:miter lim="800000"/>
                    <a:headEnd/>
                    <a:tailEnd/>
                  </a:ln>
                </pic:spPr>
              </pic:pic>
            </a:graphicData>
          </a:graphic>
        </wp:anchor>
      </w:drawing>
    </w:r>
    <w:r>
      <w:rPr>
        <w:rFonts w:ascii="Palatino Linotype" w:hAnsi="Palatino Linotype"/>
        <w:sz w:val="56"/>
        <w:szCs w:val="56"/>
      </w:rPr>
      <w:t xml:space="preserve">          </w:t>
    </w:r>
  </w:p>
  <w:p w:rsidR="00385CDE" w:rsidRDefault="00385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in;height:3in" o:bullet="t"/>
    </w:pict>
  </w:numPicBullet>
  <w:numPicBullet w:numPicBulletId="1">
    <w:pict>
      <v:shape id="_x0000_i1144" type="#_x0000_t75" style="width:3in;height:3in" o:bullet="t"/>
    </w:pict>
  </w:numPicBullet>
  <w:numPicBullet w:numPicBulletId="2">
    <w:pict>
      <v:shape id="_x0000_i1145" type="#_x0000_t75" style="width:3in;height:3in" o:bullet="t"/>
    </w:pict>
  </w:numPicBullet>
  <w:numPicBullet w:numPicBulletId="3">
    <w:pict>
      <v:shape id="_x0000_i1146" type="#_x0000_t75" style="width:3in;height:3in" o:bullet="t"/>
    </w:pict>
  </w:numPicBullet>
  <w:abstractNum w:abstractNumId="0">
    <w:nsid w:val="0E2C61AE"/>
    <w:multiLevelType w:val="hybridMultilevel"/>
    <w:tmpl w:val="28AA8B22"/>
    <w:lvl w:ilvl="0" w:tplc="9C2273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92E42"/>
    <w:multiLevelType w:val="hybridMultilevel"/>
    <w:tmpl w:val="A9A8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601F8"/>
    <w:multiLevelType w:val="hybridMultilevel"/>
    <w:tmpl w:val="520C078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311D571F"/>
    <w:multiLevelType w:val="hybridMultilevel"/>
    <w:tmpl w:val="1D2A3D50"/>
    <w:lvl w:ilvl="0" w:tplc="9C2273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E47B4"/>
    <w:multiLevelType w:val="hybridMultilevel"/>
    <w:tmpl w:val="D1D69324"/>
    <w:lvl w:ilvl="0" w:tplc="9C2273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F7D1D"/>
    <w:multiLevelType w:val="multilevel"/>
    <w:tmpl w:val="392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355D80"/>
    <w:multiLevelType w:val="hybridMultilevel"/>
    <w:tmpl w:val="A252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9805B8"/>
    <w:multiLevelType w:val="hybridMultilevel"/>
    <w:tmpl w:val="99668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CF7EAB"/>
    <w:multiLevelType w:val="hybridMultilevel"/>
    <w:tmpl w:val="9D345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823622"/>
    <w:multiLevelType w:val="hybridMultilevel"/>
    <w:tmpl w:val="E154F4BA"/>
    <w:lvl w:ilvl="0" w:tplc="9C2273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063A2"/>
    <w:multiLevelType w:val="hybridMultilevel"/>
    <w:tmpl w:val="F0B4A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0B5077"/>
    <w:multiLevelType w:val="hybridMultilevel"/>
    <w:tmpl w:val="5A8C396A"/>
    <w:lvl w:ilvl="0" w:tplc="9C22732C">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6BBC6547"/>
    <w:multiLevelType w:val="hybridMultilevel"/>
    <w:tmpl w:val="2DF8E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FFA112D"/>
    <w:multiLevelType w:val="hybridMultilevel"/>
    <w:tmpl w:val="D9C4E8F4"/>
    <w:lvl w:ilvl="0" w:tplc="D370F55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0"/>
  </w:num>
  <w:num w:numId="5">
    <w:abstractNumId w:val="12"/>
  </w:num>
  <w:num w:numId="6">
    <w:abstractNumId w:val="2"/>
  </w:num>
  <w:num w:numId="7">
    <w:abstractNumId w:val="8"/>
  </w:num>
  <w:num w:numId="8">
    <w:abstractNumId w:val="5"/>
  </w:num>
  <w:num w:numId="9">
    <w:abstractNumId w:val="13"/>
  </w:num>
  <w:num w:numId="10">
    <w:abstractNumId w:val="4"/>
  </w:num>
  <w:num w:numId="11">
    <w:abstractNumId w:val="9"/>
  </w:num>
  <w:num w:numId="12">
    <w:abstractNumId w:val="0"/>
  </w:num>
  <w:num w:numId="13">
    <w:abstractNumId w:val="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4D3DFB"/>
    <w:rsid w:val="0000325E"/>
    <w:rsid w:val="0001621A"/>
    <w:rsid w:val="00016F25"/>
    <w:rsid w:val="00076AFA"/>
    <w:rsid w:val="000772C8"/>
    <w:rsid w:val="00093290"/>
    <w:rsid w:val="00095F00"/>
    <w:rsid w:val="000F2661"/>
    <w:rsid w:val="001234B0"/>
    <w:rsid w:val="00124515"/>
    <w:rsid w:val="00124741"/>
    <w:rsid w:val="00127085"/>
    <w:rsid w:val="00144ECC"/>
    <w:rsid w:val="00155908"/>
    <w:rsid w:val="0019247E"/>
    <w:rsid w:val="001947BC"/>
    <w:rsid w:val="001C5692"/>
    <w:rsid w:val="001D6967"/>
    <w:rsid w:val="00231D98"/>
    <w:rsid w:val="00244F9B"/>
    <w:rsid w:val="00245E48"/>
    <w:rsid w:val="002934D0"/>
    <w:rsid w:val="002B1698"/>
    <w:rsid w:val="003014DC"/>
    <w:rsid w:val="00301D69"/>
    <w:rsid w:val="00363023"/>
    <w:rsid w:val="003750DC"/>
    <w:rsid w:val="00385CDE"/>
    <w:rsid w:val="003B0339"/>
    <w:rsid w:val="003B1C98"/>
    <w:rsid w:val="003C5798"/>
    <w:rsid w:val="003D50F7"/>
    <w:rsid w:val="003E66A9"/>
    <w:rsid w:val="003F336D"/>
    <w:rsid w:val="003F3F74"/>
    <w:rsid w:val="00402F2D"/>
    <w:rsid w:val="004140BE"/>
    <w:rsid w:val="00425EE8"/>
    <w:rsid w:val="00434213"/>
    <w:rsid w:val="00463841"/>
    <w:rsid w:val="004A3866"/>
    <w:rsid w:val="004B147F"/>
    <w:rsid w:val="004D3DFB"/>
    <w:rsid w:val="004D6F4F"/>
    <w:rsid w:val="004F227D"/>
    <w:rsid w:val="004F6BA7"/>
    <w:rsid w:val="005016C8"/>
    <w:rsid w:val="005758DD"/>
    <w:rsid w:val="005C5978"/>
    <w:rsid w:val="005E2638"/>
    <w:rsid w:val="005F08D6"/>
    <w:rsid w:val="005F0FAC"/>
    <w:rsid w:val="00605BB6"/>
    <w:rsid w:val="00605BE9"/>
    <w:rsid w:val="006226CE"/>
    <w:rsid w:val="00624760"/>
    <w:rsid w:val="006337B7"/>
    <w:rsid w:val="00651EDB"/>
    <w:rsid w:val="00661CB8"/>
    <w:rsid w:val="006A19EE"/>
    <w:rsid w:val="006A461A"/>
    <w:rsid w:val="00784058"/>
    <w:rsid w:val="00796A17"/>
    <w:rsid w:val="007A17D8"/>
    <w:rsid w:val="007B1FF8"/>
    <w:rsid w:val="007D619B"/>
    <w:rsid w:val="007E549A"/>
    <w:rsid w:val="00801BCC"/>
    <w:rsid w:val="00876329"/>
    <w:rsid w:val="008B165E"/>
    <w:rsid w:val="008B37E9"/>
    <w:rsid w:val="008C58A6"/>
    <w:rsid w:val="00905611"/>
    <w:rsid w:val="00920884"/>
    <w:rsid w:val="0099760E"/>
    <w:rsid w:val="009E4E04"/>
    <w:rsid w:val="00A110D7"/>
    <w:rsid w:val="00A15394"/>
    <w:rsid w:val="00A6053E"/>
    <w:rsid w:val="00AA52B2"/>
    <w:rsid w:val="00AC7A73"/>
    <w:rsid w:val="00AD31F7"/>
    <w:rsid w:val="00AE7B6B"/>
    <w:rsid w:val="00B53A42"/>
    <w:rsid w:val="00B75C4C"/>
    <w:rsid w:val="00B901E2"/>
    <w:rsid w:val="00B91240"/>
    <w:rsid w:val="00BA0832"/>
    <w:rsid w:val="00BB78AF"/>
    <w:rsid w:val="00BC18B7"/>
    <w:rsid w:val="00BD4A8A"/>
    <w:rsid w:val="00BD7B85"/>
    <w:rsid w:val="00C1698F"/>
    <w:rsid w:val="00C34C61"/>
    <w:rsid w:val="00C7541C"/>
    <w:rsid w:val="00C75A9D"/>
    <w:rsid w:val="00CB7657"/>
    <w:rsid w:val="00CC69AF"/>
    <w:rsid w:val="00CD491C"/>
    <w:rsid w:val="00CE17E2"/>
    <w:rsid w:val="00D07D30"/>
    <w:rsid w:val="00D12AA3"/>
    <w:rsid w:val="00D17237"/>
    <w:rsid w:val="00D31215"/>
    <w:rsid w:val="00D57628"/>
    <w:rsid w:val="00D67BDB"/>
    <w:rsid w:val="00D9076B"/>
    <w:rsid w:val="00D93F8F"/>
    <w:rsid w:val="00D94003"/>
    <w:rsid w:val="00DB770E"/>
    <w:rsid w:val="00DC2AA3"/>
    <w:rsid w:val="00DC2D05"/>
    <w:rsid w:val="00DD6B67"/>
    <w:rsid w:val="00DE2D4A"/>
    <w:rsid w:val="00DF0629"/>
    <w:rsid w:val="00DF7919"/>
    <w:rsid w:val="00E059BF"/>
    <w:rsid w:val="00E27E0F"/>
    <w:rsid w:val="00E303AA"/>
    <w:rsid w:val="00E411D3"/>
    <w:rsid w:val="00E44099"/>
    <w:rsid w:val="00E4705E"/>
    <w:rsid w:val="00E51B01"/>
    <w:rsid w:val="00E54FB9"/>
    <w:rsid w:val="00ED03A4"/>
    <w:rsid w:val="00F12C92"/>
    <w:rsid w:val="00F35BB7"/>
    <w:rsid w:val="00F725E9"/>
    <w:rsid w:val="00F85BB7"/>
    <w:rsid w:val="00FE5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DFB"/>
    <w:pPr>
      <w:ind w:left="720"/>
      <w:contextualSpacing/>
    </w:pPr>
  </w:style>
  <w:style w:type="character" w:styleId="Hyperlink">
    <w:name w:val="Hyperlink"/>
    <w:basedOn w:val="DefaultParagraphFont"/>
    <w:uiPriority w:val="99"/>
    <w:unhideWhenUsed/>
    <w:rsid w:val="004D3DFB"/>
    <w:rPr>
      <w:color w:val="0000FF"/>
      <w:u w:val="single"/>
    </w:rPr>
  </w:style>
  <w:style w:type="paragraph" w:styleId="Header">
    <w:name w:val="header"/>
    <w:basedOn w:val="Normal"/>
    <w:link w:val="HeaderChar"/>
    <w:uiPriority w:val="99"/>
    <w:semiHidden/>
    <w:unhideWhenUsed/>
    <w:rsid w:val="00D07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D30"/>
  </w:style>
  <w:style w:type="paragraph" w:styleId="Footer">
    <w:name w:val="footer"/>
    <w:basedOn w:val="Normal"/>
    <w:link w:val="FooterChar"/>
    <w:uiPriority w:val="99"/>
    <w:unhideWhenUsed/>
    <w:rsid w:val="00D0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30"/>
  </w:style>
  <w:style w:type="paragraph" w:customStyle="1" w:styleId="Default">
    <w:name w:val="Default"/>
    <w:rsid w:val="004140BE"/>
    <w:pPr>
      <w:autoSpaceDE w:val="0"/>
      <w:autoSpaceDN w:val="0"/>
      <w:adjustRightInd w:val="0"/>
    </w:pPr>
    <w:rPr>
      <w:rFonts w:ascii="Trebuchet MS" w:hAnsi="Trebuchet MS" w:cs="Trebuchet MS"/>
      <w:color w:val="000000"/>
      <w:sz w:val="24"/>
      <w:szCs w:val="24"/>
    </w:rPr>
  </w:style>
  <w:style w:type="paragraph" w:customStyle="1" w:styleId="Pa0">
    <w:name w:val="Pa0"/>
    <w:basedOn w:val="Default"/>
    <w:next w:val="Default"/>
    <w:uiPriority w:val="99"/>
    <w:rsid w:val="004140BE"/>
    <w:pPr>
      <w:spacing w:line="241" w:lineRule="atLeast"/>
    </w:pPr>
    <w:rPr>
      <w:rFonts w:cs="Times New Roman"/>
      <w:color w:val="auto"/>
    </w:rPr>
  </w:style>
  <w:style w:type="character" w:customStyle="1" w:styleId="A1">
    <w:name w:val="A1"/>
    <w:uiPriority w:val="99"/>
    <w:rsid w:val="004140BE"/>
    <w:rPr>
      <w:rFonts w:cs="Trebuchet MS"/>
      <w:b/>
      <w:bCs/>
      <w:color w:val="000000"/>
      <w:sz w:val="16"/>
      <w:szCs w:val="16"/>
    </w:rPr>
  </w:style>
  <w:style w:type="character" w:customStyle="1" w:styleId="A2">
    <w:name w:val="A2"/>
    <w:uiPriority w:val="99"/>
    <w:rsid w:val="004140BE"/>
    <w:rPr>
      <w:rFonts w:cs="Trebuchet MS"/>
      <w:i/>
      <w:iCs/>
      <w:color w:val="000000"/>
      <w:sz w:val="14"/>
      <w:szCs w:val="14"/>
    </w:rPr>
  </w:style>
  <w:style w:type="paragraph" w:styleId="BalloonText">
    <w:name w:val="Balloon Text"/>
    <w:basedOn w:val="Normal"/>
    <w:link w:val="BalloonTextChar"/>
    <w:uiPriority w:val="99"/>
    <w:semiHidden/>
    <w:unhideWhenUsed/>
    <w:rsid w:val="00C34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789421">
      <w:bodyDiv w:val="1"/>
      <w:marLeft w:val="0"/>
      <w:marRight w:val="0"/>
      <w:marTop w:val="0"/>
      <w:marBottom w:val="0"/>
      <w:divBdr>
        <w:top w:val="none" w:sz="0" w:space="0" w:color="auto"/>
        <w:left w:val="none" w:sz="0" w:space="0" w:color="auto"/>
        <w:bottom w:val="none" w:sz="0" w:space="0" w:color="auto"/>
        <w:right w:val="none" w:sz="0" w:space="0" w:color="auto"/>
      </w:divBdr>
      <w:divsChild>
        <w:div w:id="164828940">
          <w:marLeft w:val="0"/>
          <w:marRight w:val="0"/>
          <w:marTop w:val="0"/>
          <w:marBottom w:val="0"/>
          <w:divBdr>
            <w:top w:val="single" w:sz="6" w:space="0" w:color="000000"/>
            <w:left w:val="single" w:sz="6" w:space="0" w:color="000000"/>
            <w:bottom w:val="single" w:sz="6" w:space="0" w:color="000000"/>
            <w:right w:val="single" w:sz="6" w:space="0" w:color="000000"/>
          </w:divBdr>
          <w:divsChild>
            <w:div w:id="384108655">
              <w:marLeft w:val="0"/>
              <w:marRight w:val="0"/>
              <w:marTop w:val="0"/>
              <w:marBottom w:val="0"/>
              <w:divBdr>
                <w:top w:val="none" w:sz="0" w:space="0" w:color="auto"/>
                <w:left w:val="none" w:sz="0" w:space="0" w:color="auto"/>
                <w:bottom w:val="none" w:sz="0" w:space="0" w:color="auto"/>
                <w:right w:val="none" w:sz="0" w:space="0" w:color="auto"/>
              </w:divBdr>
              <w:divsChild>
                <w:div w:id="1101100554">
                  <w:marLeft w:val="0"/>
                  <w:marRight w:val="0"/>
                  <w:marTop w:val="0"/>
                  <w:marBottom w:val="0"/>
                  <w:divBdr>
                    <w:top w:val="none" w:sz="0" w:space="0" w:color="auto"/>
                    <w:left w:val="none" w:sz="0" w:space="0" w:color="auto"/>
                    <w:bottom w:val="none" w:sz="0" w:space="0" w:color="auto"/>
                    <w:right w:val="none" w:sz="0" w:space="0" w:color="auto"/>
                  </w:divBdr>
                  <w:divsChild>
                    <w:div w:id="67121387">
                      <w:marLeft w:val="0"/>
                      <w:marRight w:val="0"/>
                      <w:marTop w:val="0"/>
                      <w:marBottom w:val="0"/>
                      <w:divBdr>
                        <w:top w:val="none" w:sz="0" w:space="0" w:color="auto"/>
                        <w:left w:val="none" w:sz="0" w:space="0" w:color="auto"/>
                        <w:bottom w:val="none" w:sz="0" w:space="0" w:color="auto"/>
                        <w:right w:val="none" w:sz="0" w:space="0" w:color="auto"/>
                      </w:divBdr>
                      <w:divsChild>
                        <w:div w:id="1052389263">
                          <w:marLeft w:val="0"/>
                          <w:marRight w:val="0"/>
                          <w:marTop w:val="0"/>
                          <w:marBottom w:val="0"/>
                          <w:divBdr>
                            <w:top w:val="double" w:sz="2" w:space="0" w:color="A2ABEA"/>
                            <w:left w:val="double" w:sz="2" w:space="0" w:color="A2ABEA"/>
                            <w:bottom w:val="double" w:sz="2" w:space="0" w:color="A2ABEA"/>
                            <w:right w:val="double" w:sz="2" w:space="0" w:color="A2ABEA"/>
                          </w:divBdr>
                        </w:div>
                      </w:divsChild>
                    </w:div>
                  </w:divsChild>
                </w:div>
              </w:divsChild>
            </w:div>
          </w:divsChild>
        </w:div>
      </w:divsChild>
    </w:div>
    <w:div w:id="974335236">
      <w:bodyDiv w:val="1"/>
      <w:marLeft w:val="0"/>
      <w:marRight w:val="0"/>
      <w:marTop w:val="0"/>
      <w:marBottom w:val="0"/>
      <w:divBdr>
        <w:top w:val="none" w:sz="0" w:space="0" w:color="auto"/>
        <w:left w:val="none" w:sz="0" w:space="0" w:color="auto"/>
        <w:bottom w:val="none" w:sz="0" w:space="0" w:color="auto"/>
        <w:right w:val="none" w:sz="0" w:space="0" w:color="auto"/>
      </w:divBdr>
    </w:div>
    <w:div w:id="1981954316">
      <w:bodyDiv w:val="1"/>
      <w:marLeft w:val="0"/>
      <w:marRight w:val="0"/>
      <w:marTop w:val="0"/>
      <w:marBottom w:val="0"/>
      <w:divBdr>
        <w:top w:val="none" w:sz="0" w:space="0" w:color="auto"/>
        <w:left w:val="none" w:sz="0" w:space="0" w:color="auto"/>
        <w:bottom w:val="none" w:sz="0" w:space="0" w:color="auto"/>
        <w:right w:val="none" w:sz="0" w:space="0" w:color="auto"/>
      </w:divBdr>
      <w:divsChild>
        <w:div w:id="523327290">
          <w:marLeft w:val="0"/>
          <w:marRight w:val="0"/>
          <w:marTop w:val="0"/>
          <w:marBottom w:val="0"/>
          <w:divBdr>
            <w:top w:val="none" w:sz="0" w:space="0" w:color="auto"/>
            <w:left w:val="none" w:sz="0" w:space="0" w:color="auto"/>
            <w:bottom w:val="none" w:sz="0" w:space="0" w:color="auto"/>
            <w:right w:val="none" w:sz="0" w:space="0" w:color="auto"/>
          </w:divBdr>
          <w:divsChild>
            <w:div w:id="1474106497">
              <w:marLeft w:val="0"/>
              <w:marRight w:val="0"/>
              <w:marTop w:val="0"/>
              <w:marBottom w:val="0"/>
              <w:divBdr>
                <w:top w:val="none" w:sz="0" w:space="0" w:color="auto"/>
                <w:left w:val="none" w:sz="0" w:space="0" w:color="auto"/>
                <w:bottom w:val="none" w:sz="0" w:space="0" w:color="auto"/>
                <w:right w:val="none" w:sz="0" w:space="0" w:color="auto"/>
              </w:divBdr>
              <w:divsChild>
                <w:div w:id="58808093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126383483">
      <w:bodyDiv w:val="1"/>
      <w:marLeft w:val="0"/>
      <w:marRight w:val="0"/>
      <w:marTop w:val="0"/>
      <w:marBottom w:val="0"/>
      <w:divBdr>
        <w:top w:val="none" w:sz="0" w:space="0" w:color="auto"/>
        <w:left w:val="none" w:sz="0" w:space="0" w:color="auto"/>
        <w:bottom w:val="none" w:sz="0" w:space="0" w:color="auto"/>
        <w:right w:val="none" w:sz="0" w:space="0" w:color="auto"/>
      </w:divBdr>
      <w:divsChild>
        <w:div w:id="1070736436">
          <w:marLeft w:val="0"/>
          <w:marRight w:val="0"/>
          <w:marTop w:val="0"/>
          <w:marBottom w:val="0"/>
          <w:divBdr>
            <w:top w:val="none" w:sz="0" w:space="0" w:color="auto"/>
            <w:left w:val="none" w:sz="0" w:space="0" w:color="auto"/>
            <w:bottom w:val="none" w:sz="0" w:space="0" w:color="auto"/>
            <w:right w:val="none" w:sz="0" w:space="0" w:color="auto"/>
          </w:divBdr>
          <w:divsChild>
            <w:div w:id="652871438">
              <w:marLeft w:val="0"/>
              <w:marRight w:val="0"/>
              <w:marTop w:val="0"/>
              <w:marBottom w:val="0"/>
              <w:divBdr>
                <w:top w:val="none" w:sz="0" w:space="0" w:color="auto"/>
                <w:left w:val="none" w:sz="0" w:space="0" w:color="auto"/>
                <w:bottom w:val="none" w:sz="0" w:space="0" w:color="auto"/>
                <w:right w:val="none" w:sz="0" w:space="0" w:color="auto"/>
              </w:divBdr>
              <w:divsChild>
                <w:div w:id="174876722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oc.gov/laws/guidance/arrest_conviction.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mer.ftc.gov/articles/0157-employment-background-checks" TargetMode="External"/><Relationship Id="rId4" Type="http://schemas.openxmlformats.org/officeDocument/2006/relationships/settings" Target="settings.xml"/><Relationship Id="rId9" Type="http://schemas.openxmlformats.org/officeDocument/2006/relationships/hyperlink" Target="http://www.consumer.ftc.gov/articles/pdf-0096-fair-credit-reporting-act.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ywatson@library.I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F369-3CCC-4AD4-9867-530B4130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6900</CharactersWithSpaces>
  <SharedDoc>false</SharedDoc>
  <HLinks>
    <vt:vector size="42" baseType="variant">
      <vt:variant>
        <vt:i4>262170</vt:i4>
      </vt:variant>
      <vt:variant>
        <vt:i4>15</vt:i4>
      </vt:variant>
      <vt:variant>
        <vt:i4>0</vt:i4>
      </vt:variant>
      <vt:variant>
        <vt:i4>5</vt:i4>
      </vt:variant>
      <vt:variant>
        <vt:lpwstr>http://www.dol.gov/whd/fmla/</vt:lpwstr>
      </vt:variant>
      <vt:variant>
        <vt:lpwstr/>
      </vt:variant>
      <vt:variant>
        <vt:i4>1376257</vt:i4>
      </vt:variant>
      <vt:variant>
        <vt:i4>12</vt:i4>
      </vt:variant>
      <vt:variant>
        <vt:i4>0</vt:i4>
      </vt:variant>
      <vt:variant>
        <vt:i4>5</vt:i4>
      </vt:variant>
      <vt:variant>
        <vt:lpwstr>http://www.dol.gov/elaws/fmla.htm</vt:lpwstr>
      </vt:variant>
      <vt:variant>
        <vt:lpwstr/>
      </vt:variant>
      <vt:variant>
        <vt:i4>262170</vt:i4>
      </vt:variant>
      <vt:variant>
        <vt:i4>9</vt:i4>
      </vt:variant>
      <vt:variant>
        <vt:i4>0</vt:i4>
      </vt:variant>
      <vt:variant>
        <vt:i4>5</vt:i4>
      </vt:variant>
      <vt:variant>
        <vt:lpwstr>http://www.dol.gov/whd/fmla/</vt:lpwstr>
      </vt:variant>
      <vt:variant>
        <vt:lpwstr/>
      </vt:variant>
      <vt:variant>
        <vt:i4>2359344</vt:i4>
      </vt:variant>
      <vt:variant>
        <vt:i4>6</vt:i4>
      </vt:variant>
      <vt:variant>
        <vt:i4>0</vt:i4>
      </vt:variant>
      <vt:variant>
        <vt:i4>5</vt:i4>
      </vt:variant>
      <vt:variant>
        <vt:lpwstr>http://www.dol.gov/whd/fmla/2013rule/comparison.htm</vt:lpwstr>
      </vt:variant>
      <vt:variant>
        <vt:lpwstr/>
      </vt:variant>
      <vt:variant>
        <vt:i4>6553727</vt:i4>
      </vt:variant>
      <vt:variant>
        <vt:i4>3</vt:i4>
      </vt:variant>
      <vt:variant>
        <vt:i4>0</vt:i4>
      </vt:variant>
      <vt:variant>
        <vt:i4>5</vt:i4>
      </vt:variant>
      <vt:variant>
        <vt:lpwstr>http://www.dol.gov/whd/regs/compliance/whdfs28d.htm</vt:lpwstr>
      </vt:variant>
      <vt:variant>
        <vt:lpwstr/>
      </vt:variant>
      <vt:variant>
        <vt:i4>2293869</vt:i4>
      </vt:variant>
      <vt:variant>
        <vt:i4>0</vt:i4>
      </vt:variant>
      <vt:variant>
        <vt:i4>0</vt:i4>
      </vt:variant>
      <vt:variant>
        <vt:i4>5</vt:i4>
      </vt:variant>
      <vt:variant>
        <vt:lpwstr>http://www.dol.gov/whd/regs/compliance/posters/fmla.htm</vt:lpwstr>
      </vt:variant>
      <vt:variant>
        <vt:lpwstr/>
      </vt:variant>
      <vt:variant>
        <vt:i4>327793</vt:i4>
      </vt:variant>
      <vt:variant>
        <vt:i4>6</vt:i4>
      </vt:variant>
      <vt:variant>
        <vt:i4>0</vt:i4>
      </vt:variant>
      <vt:variant>
        <vt:i4>5</vt:i4>
      </vt:variant>
      <vt:variant>
        <vt:lpwstr>mailto:sywatson@library.IN.gov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STW</dc:creator>
  <cp:lastModifiedBy>STW</cp:lastModifiedBy>
  <cp:revision>14</cp:revision>
  <cp:lastPrinted>2013-12-31T20:51:00Z</cp:lastPrinted>
  <dcterms:created xsi:type="dcterms:W3CDTF">2013-12-26T15:28:00Z</dcterms:created>
  <dcterms:modified xsi:type="dcterms:W3CDTF">2013-12-31T21:14:00Z</dcterms:modified>
</cp:coreProperties>
</file>