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5E" w:rsidRDefault="005C4F5E" w:rsidP="005C4F5E">
      <w:pPr>
        <w:pStyle w:val="Title"/>
      </w:pPr>
      <w:r>
        <w:t>INDIANA LIBRARY AND HISTORICAL BOARD</w:t>
      </w:r>
    </w:p>
    <w:p w:rsidR="005C4F5E" w:rsidRDefault="005C4F5E" w:rsidP="005C4F5E">
      <w:pPr>
        <w:pStyle w:val="BodyText3"/>
        <w:rPr>
          <w:sz w:val="22"/>
        </w:rPr>
      </w:pPr>
      <w:r>
        <w:rPr>
          <w:sz w:val="22"/>
        </w:rPr>
        <w:t>December 10, 2019</w:t>
      </w:r>
      <w:r>
        <w:rPr>
          <w:sz w:val="22"/>
        </w:rPr>
        <w:br/>
        <w:t>Indiana State Library</w:t>
      </w:r>
    </w:p>
    <w:p w:rsidR="005C4F5E" w:rsidRDefault="005C4F5E" w:rsidP="005C4F5E">
      <w:pPr>
        <w:pStyle w:val="BodyText3"/>
        <w:rPr>
          <w:sz w:val="22"/>
        </w:rPr>
      </w:pPr>
      <w:r>
        <w:rPr>
          <w:sz w:val="22"/>
        </w:rPr>
        <w:t>Room 401</w:t>
      </w:r>
    </w:p>
    <w:p w:rsidR="005C4F5E" w:rsidRDefault="005C4F5E" w:rsidP="005C4F5E">
      <w:pPr>
        <w:jc w:val="center"/>
        <w:rPr>
          <w:b/>
          <w:bCs/>
          <w:sz w:val="22"/>
        </w:rPr>
      </w:pPr>
    </w:p>
    <w:p w:rsidR="005C4F5E" w:rsidRPr="003077A4" w:rsidRDefault="005C4F5E" w:rsidP="005C4F5E">
      <w:pPr>
        <w:pStyle w:val="Heading1"/>
        <w:numPr>
          <w:ilvl w:val="0"/>
          <w:numId w:val="1"/>
        </w:numPr>
      </w:pPr>
      <w:r w:rsidRPr="003077A4">
        <w:t>CALL TO ORDER AND INTRODUCTIONS</w:t>
      </w:r>
    </w:p>
    <w:p w:rsidR="005C4F5E" w:rsidRDefault="005C4F5E" w:rsidP="005C4F5E">
      <w:pPr>
        <w:pStyle w:val="NormalWeb"/>
        <w:rPr>
          <w:rFonts w:ascii="Times New Roman" w:hAnsi="Times New Roman" w:cs="Times New Roman"/>
          <w:sz w:val="22"/>
        </w:rPr>
      </w:pPr>
      <w:r>
        <w:rPr>
          <w:rFonts w:ascii="Times New Roman" w:hAnsi="Times New Roman" w:cs="Times New Roman"/>
          <w:sz w:val="22"/>
        </w:rPr>
        <w:t xml:space="preserve">The Business meeting of the Indiana Library and Historical Board was called to order by Mr. Bob Barcus at 1:34 p.m. Board members present were Mr. Bill Bartelt, Mr. Tom </w:t>
      </w:r>
      <w:proofErr w:type="spellStart"/>
      <w:r>
        <w:rPr>
          <w:rFonts w:ascii="Times New Roman" w:hAnsi="Times New Roman" w:cs="Times New Roman"/>
          <w:sz w:val="22"/>
        </w:rPr>
        <w:t>Neuffer</w:t>
      </w:r>
      <w:proofErr w:type="spellEnd"/>
      <w:r>
        <w:rPr>
          <w:rFonts w:ascii="Times New Roman" w:hAnsi="Times New Roman" w:cs="Times New Roman"/>
          <w:sz w:val="22"/>
        </w:rPr>
        <w:t>, and Ms. Laurel Setser. Mr. Joe Skvarenina was unable to attend. Also present was Jacob Speer, Director of the Indiana State Library.</w:t>
      </w:r>
      <w:r>
        <w:rPr>
          <w:rFonts w:ascii="Times New Roman" w:hAnsi="Times New Roman" w:cs="Times New Roman"/>
          <w:sz w:val="22"/>
        </w:rPr>
        <w:br/>
      </w:r>
      <w:r>
        <w:rPr>
          <w:rFonts w:ascii="Times New Roman" w:hAnsi="Times New Roman" w:cs="Times New Roman"/>
          <w:sz w:val="22"/>
        </w:rPr>
        <w:br/>
        <w:t>Others present were</w:t>
      </w:r>
      <w:proofErr w:type="gramStart"/>
      <w:r>
        <w:rPr>
          <w:rFonts w:ascii="Times New Roman" w:hAnsi="Times New Roman" w:cs="Times New Roman"/>
          <w:sz w:val="22"/>
        </w:rPr>
        <w:t>:</w:t>
      </w:r>
      <w:proofErr w:type="gramEnd"/>
      <w:r>
        <w:rPr>
          <w:rFonts w:ascii="Times New Roman" w:hAnsi="Times New Roman" w:cs="Times New Roman"/>
          <w:sz w:val="22"/>
        </w:rPr>
        <w:br/>
        <w:t>Stephanie Asberry, State Library</w:t>
      </w:r>
      <w:r>
        <w:rPr>
          <w:rFonts w:ascii="Times New Roman" w:hAnsi="Times New Roman" w:cs="Times New Roman"/>
          <w:sz w:val="22"/>
        </w:rPr>
        <w:br/>
        <w:t>Gvido Burgis, Indiana State Library Foundation, Inc.</w:t>
      </w:r>
      <w:r>
        <w:rPr>
          <w:rFonts w:ascii="Times New Roman" w:hAnsi="Times New Roman" w:cs="Times New Roman"/>
          <w:sz w:val="22"/>
        </w:rPr>
        <w:br/>
        <w:t>Kara Cleveland, State Library</w:t>
      </w:r>
      <w:r>
        <w:rPr>
          <w:rFonts w:ascii="Times New Roman" w:hAnsi="Times New Roman" w:cs="Times New Roman"/>
          <w:sz w:val="22"/>
        </w:rPr>
        <w:br/>
        <w:t>Jennifer Clifton, State Library</w:t>
      </w:r>
      <w:r>
        <w:rPr>
          <w:rFonts w:ascii="Times New Roman" w:hAnsi="Times New Roman" w:cs="Times New Roman"/>
          <w:sz w:val="22"/>
        </w:rPr>
        <w:br/>
        <w:t>Bethany Fiechter</w:t>
      </w:r>
      <w:r w:rsidRPr="007F1752">
        <w:rPr>
          <w:rFonts w:ascii="Times New Roman" w:hAnsi="Times New Roman" w:cs="Times New Roman"/>
          <w:sz w:val="22"/>
        </w:rPr>
        <w:t>, State Library</w:t>
      </w:r>
      <w:r>
        <w:rPr>
          <w:rFonts w:ascii="Times New Roman" w:hAnsi="Times New Roman" w:cs="Times New Roman"/>
          <w:sz w:val="22"/>
        </w:rPr>
        <w:br/>
        <w:t>Wendy Knapp, State Library</w:t>
      </w:r>
      <w:r>
        <w:rPr>
          <w:rFonts w:ascii="Times New Roman" w:hAnsi="Times New Roman" w:cs="Times New Roman"/>
          <w:sz w:val="22"/>
        </w:rPr>
        <w:br/>
        <w:t xml:space="preserve">Michella Marino, State Library </w:t>
      </w:r>
      <w:r>
        <w:rPr>
          <w:rFonts w:ascii="Times New Roman" w:hAnsi="Times New Roman" w:cs="Times New Roman"/>
          <w:sz w:val="22"/>
        </w:rPr>
        <w:br/>
        <w:t>Lauren Patton, State Library</w:t>
      </w:r>
      <w:r>
        <w:rPr>
          <w:rFonts w:ascii="Times New Roman" w:hAnsi="Times New Roman" w:cs="Times New Roman"/>
          <w:sz w:val="22"/>
        </w:rPr>
        <w:br/>
        <w:t>Sylvia Watson, State Library</w:t>
      </w:r>
    </w:p>
    <w:p w:rsidR="005C4F5E" w:rsidRPr="00F97316" w:rsidRDefault="005C4F5E" w:rsidP="005C4F5E">
      <w:pPr>
        <w:pStyle w:val="NormalWeb"/>
        <w:numPr>
          <w:ilvl w:val="0"/>
          <w:numId w:val="1"/>
        </w:numPr>
        <w:rPr>
          <w:rFonts w:ascii="Times New Roman" w:hAnsi="Times New Roman" w:cs="Times New Roman"/>
          <w:b/>
        </w:rPr>
      </w:pPr>
      <w:r w:rsidRPr="00F97316">
        <w:rPr>
          <w:rFonts w:ascii="Times New Roman" w:hAnsi="Times New Roman" w:cs="Times New Roman"/>
          <w:b/>
        </w:rPr>
        <w:t>INDIANA LIBRARY AND HISTORICAL DEPARTMENT BUSINESS</w:t>
      </w:r>
    </w:p>
    <w:tbl>
      <w:tblPr>
        <w:tblW w:w="9704" w:type="dxa"/>
        <w:tblInd w:w="108" w:type="dxa"/>
        <w:tblLook w:val="0000" w:firstRow="0" w:lastRow="0" w:firstColumn="0" w:lastColumn="0" w:noHBand="0" w:noVBand="0"/>
      </w:tblPr>
      <w:tblGrid>
        <w:gridCol w:w="1258"/>
        <w:gridCol w:w="8446"/>
      </w:tblGrid>
      <w:tr w:rsidR="005C4F5E" w:rsidTr="002A4D8E">
        <w:trPr>
          <w:trHeight w:val="666"/>
        </w:trPr>
        <w:tc>
          <w:tcPr>
            <w:tcW w:w="1258" w:type="dxa"/>
          </w:tcPr>
          <w:p w:rsidR="005C4F5E" w:rsidRDefault="005C4F5E" w:rsidP="002A4D8E">
            <w:pPr>
              <w:ind w:left="-108"/>
              <w:rPr>
                <w:sz w:val="22"/>
              </w:rPr>
            </w:pPr>
            <w:r>
              <w:rPr>
                <w:sz w:val="22"/>
              </w:rPr>
              <w:t>12-1-19</w:t>
            </w:r>
          </w:p>
          <w:p w:rsidR="005C4F5E" w:rsidRDefault="005C4F5E" w:rsidP="002A4D8E">
            <w:pPr>
              <w:ind w:left="-108"/>
              <w:rPr>
                <w:sz w:val="22"/>
              </w:rPr>
            </w:pPr>
            <w:r>
              <w:rPr>
                <w:sz w:val="22"/>
              </w:rPr>
              <w:t xml:space="preserve">Agenda </w:t>
            </w:r>
          </w:p>
        </w:tc>
        <w:tc>
          <w:tcPr>
            <w:tcW w:w="8446" w:type="dxa"/>
          </w:tcPr>
          <w:p w:rsidR="005C4F5E" w:rsidRDefault="005C4F5E" w:rsidP="002A4D8E">
            <w:pPr>
              <w:ind w:left="-108"/>
              <w:rPr>
                <w:bCs/>
                <w:sz w:val="22"/>
              </w:rPr>
            </w:pPr>
            <w:r>
              <w:rPr>
                <w:bCs/>
                <w:sz w:val="22"/>
              </w:rPr>
              <w:t xml:space="preserve">The agenda was presented for approval. Mr. Bartelt moved and Mr. </w:t>
            </w:r>
            <w:proofErr w:type="spellStart"/>
            <w:r>
              <w:rPr>
                <w:bCs/>
                <w:sz w:val="22"/>
              </w:rPr>
              <w:t>Neuffer</w:t>
            </w:r>
            <w:proofErr w:type="spellEnd"/>
            <w:r>
              <w:rPr>
                <w:bCs/>
                <w:sz w:val="22"/>
              </w:rPr>
              <w:t xml:space="preserve"> seconded  </w:t>
            </w:r>
          </w:p>
          <w:p w:rsidR="005C4F5E" w:rsidRDefault="005C4F5E" w:rsidP="002A4D8E">
            <w:pPr>
              <w:ind w:left="-108"/>
              <w:rPr>
                <w:bCs/>
                <w:sz w:val="22"/>
              </w:rPr>
            </w:pPr>
          </w:p>
          <w:p w:rsidR="005C4F5E" w:rsidRPr="00F97316" w:rsidRDefault="005C4F5E" w:rsidP="002A4D8E">
            <w:pPr>
              <w:ind w:left="-108"/>
              <w:rPr>
                <w:b/>
                <w:bCs/>
                <w:sz w:val="22"/>
              </w:rPr>
            </w:pPr>
            <w:r w:rsidRPr="00F97316">
              <w:rPr>
                <w:b/>
                <w:bCs/>
                <w:sz w:val="22"/>
              </w:rPr>
              <w:t>TO APPROVE THE AGENDA.</w:t>
            </w:r>
          </w:p>
          <w:p w:rsidR="005C4F5E" w:rsidRPr="00141BD5" w:rsidRDefault="005C4F5E" w:rsidP="002A4D8E">
            <w:pPr>
              <w:ind w:left="-108"/>
              <w:rPr>
                <w:bCs/>
                <w:sz w:val="22"/>
              </w:rPr>
            </w:pPr>
            <w:r w:rsidRPr="00F97316">
              <w:rPr>
                <w:b/>
                <w:bCs/>
                <w:sz w:val="22"/>
              </w:rPr>
              <w:t xml:space="preserve">Motion Passed. </w:t>
            </w:r>
          </w:p>
        </w:tc>
      </w:tr>
    </w:tbl>
    <w:p w:rsidR="005C4F5E" w:rsidRDefault="005C4F5E" w:rsidP="005C4F5E">
      <w:pPr>
        <w:rPr>
          <w:sz w:val="22"/>
        </w:rPr>
      </w:pPr>
    </w:p>
    <w:tbl>
      <w:tblPr>
        <w:tblW w:w="9389" w:type="dxa"/>
        <w:tblInd w:w="108" w:type="dxa"/>
        <w:tblLook w:val="0000" w:firstRow="0" w:lastRow="0" w:firstColumn="0" w:lastColumn="0" w:noHBand="0" w:noVBand="0"/>
      </w:tblPr>
      <w:tblGrid>
        <w:gridCol w:w="1217"/>
        <w:gridCol w:w="8172"/>
      </w:tblGrid>
      <w:tr w:rsidR="005C4F5E" w:rsidRPr="00141BD5" w:rsidTr="002A4D8E">
        <w:trPr>
          <w:trHeight w:val="424"/>
        </w:trPr>
        <w:tc>
          <w:tcPr>
            <w:tcW w:w="1217" w:type="dxa"/>
          </w:tcPr>
          <w:p w:rsidR="005C4F5E" w:rsidRDefault="005C4F5E" w:rsidP="002A4D8E">
            <w:pPr>
              <w:ind w:left="-108"/>
              <w:rPr>
                <w:sz w:val="22"/>
              </w:rPr>
            </w:pPr>
            <w:r>
              <w:rPr>
                <w:sz w:val="22"/>
              </w:rPr>
              <w:t>12-2-19</w:t>
            </w:r>
          </w:p>
          <w:p w:rsidR="005C4F5E" w:rsidRDefault="005C4F5E" w:rsidP="002A4D8E">
            <w:pPr>
              <w:ind w:left="-108"/>
              <w:rPr>
                <w:sz w:val="22"/>
              </w:rPr>
            </w:pPr>
            <w:r>
              <w:rPr>
                <w:sz w:val="22"/>
              </w:rPr>
              <w:t xml:space="preserve">Minutes </w:t>
            </w:r>
          </w:p>
        </w:tc>
        <w:tc>
          <w:tcPr>
            <w:tcW w:w="8172" w:type="dxa"/>
          </w:tcPr>
          <w:p w:rsidR="005C4F5E" w:rsidRDefault="005C4F5E" w:rsidP="002A4D8E">
            <w:pPr>
              <w:ind w:left="-108"/>
              <w:rPr>
                <w:bCs/>
                <w:sz w:val="22"/>
              </w:rPr>
            </w:pPr>
            <w:r>
              <w:rPr>
                <w:bCs/>
                <w:sz w:val="22"/>
              </w:rPr>
              <w:t>The minutes of the October 11, 2019 meeting were presented for approval. Ms. Setser moved and Mr. Bartelt seconded</w:t>
            </w:r>
          </w:p>
          <w:p w:rsidR="005C4F5E" w:rsidRDefault="005C4F5E" w:rsidP="002A4D8E">
            <w:pPr>
              <w:ind w:left="-108"/>
              <w:rPr>
                <w:bCs/>
                <w:sz w:val="22"/>
              </w:rPr>
            </w:pPr>
          </w:p>
          <w:p w:rsidR="005C4F5E" w:rsidRDefault="005C4F5E" w:rsidP="002A4D8E">
            <w:pPr>
              <w:ind w:left="-108"/>
              <w:rPr>
                <w:b/>
                <w:bCs/>
                <w:sz w:val="22"/>
              </w:rPr>
            </w:pPr>
            <w:r w:rsidRPr="00F97316">
              <w:rPr>
                <w:b/>
                <w:bCs/>
                <w:sz w:val="22"/>
              </w:rPr>
              <w:t>TO APPROVE THE MINUTES AS PRESENTED.</w:t>
            </w:r>
          </w:p>
          <w:p w:rsidR="005C4F5E" w:rsidRPr="00F97316" w:rsidRDefault="005C4F5E" w:rsidP="002A4D8E">
            <w:pPr>
              <w:ind w:left="-108"/>
              <w:rPr>
                <w:b/>
                <w:bCs/>
                <w:sz w:val="22"/>
              </w:rPr>
            </w:pPr>
            <w:r>
              <w:rPr>
                <w:b/>
                <w:bCs/>
                <w:sz w:val="22"/>
              </w:rPr>
              <w:t>Motion passed.</w:t>
            </w:r>
            <w:r w:rsidRPr="00F97316">
              <w:rPr>
                <w:b/>
                <w:bCs/>
                <w:sz w:val="22"/>
              </w:rPr>
              <w:t xml:space="preserve"> </w:t>
            </w:r>
          </w:p>
        </w:tc>
      </w:tr>
    </w:tbl>
    <w:p w:rsidR="005C4F5E" w:rsidRDefault="005C4F5E" w:rsidP="005C4F5E">
      <w:pPr>
        <w:pStyle w:val="BodyText"/>
      </w:pPr>
    </w:p>
    <w:tbl>
      <w:tblPr>
        <w:tblW w:w="9283" w:type="dxa"/>
        <w:tblInd w:w="108" w:type="dxa"/>
        <w:tblLook w:val="0000" w:firstRow="0" w:lastRow="0" w:firstColumn="0" w:lastColumn="0" w:noHBand="0" w:noVBand="0"/>
      </w:tblPr>
      <w:tblGrid>
        <w:gridCol w:w="1203"/>
        <w:gridCol w:w="8080"/>
      </w:tblGrid>
      <w:tr w:rsidR="005C4F5E" w:rsidRPr="00141BD5" w:rsidTr="002A4D8E">
        <w:trPr>
          <w:trHeight w:val="424"/>
        </w:trPr>
        <w:tc>
          <w:tcPr>
            <w:tcW w:w="1203" w:type="dxa"/>
          </w:tcPr>
          <w:p w:rsidR="005C4F5E" w:rsidRDefault="005C4F5E" w:rsidP="002A4D8E">
            <w:pPr>
              <w:ind w:left="-108"/>
              <w:rPr>
                <w:sz w:val="22"/>
              </w:rPr>
            </w:pPr>
            <w:r>
              <w:rPr>
                <w:sz w:val="22"/>
              </w:rPr>
              <w:t>12-3-19</w:t>
            </w:r>
          </w:p>
          <w:p w:rsidR="005C4F5E" w:rsidRDefault="005C4F5E" w:rsidP="002A4D8E">
            <w:pPr>
              <w:ind w:left="-108"/>
              <w:rPr>
                <w:sz w:val="22"/>
              </w:rPr>
            </w:pPr>
            <w:r>
              <w:rPr>
                <w:sz w:val="22"/>
              </w:rPr>
              <w:t xml:space="preserve">Personnel Report </w:t>
            </w:r>
          </w:p>
        </w:tc>
        <w:tc>
          <w:tcPr>
            <w:tcW w:w="8080" w:type="dxa"/>
          </w:tcPr>
          <w:p w:rsidR="005C4F5E" w:rsidRDefault="005C4F5E" w:rsidP="002A4D8E">
            <w:pPr>
              <w:ind w:left="-108"/>
              <w:rPr>
                <w:bCs/>
                <w:sz w:val="22"/>
              </w:rPr>
            </w:pPr>
            <w:r>
              <w:rPr>
                <w:bCs/>
                <w:sz w:val="22"/>
              </w:rPr>
              <w:t xml:space="preserve">Mr. Speer presented the Personnel Report for approval. New Hires: Benjamin Baumann, Historian I, effective October 21, 2019; Angelia Lynn Floyd, Database Analyst Senior, MIS, effective October 21, 2019. Termination: Sara </w:t>
            </w:r>
            <w:proofErr w:type="spellStart"/>
            <w:r>
              <w:rPr>
                <w:bCs/>
                <w:sz w:val="22"/>
              </w:rPr>
              <w:t>Gerety</w:t>
            </w:r>
            <w:proofErr w:type="spellEnd"/>
            <w:r>
              <w:rPr>
                <w:bCs/>
                <w:sz w:val="22"/>
              </w:rPr>
              <w:t xml:space="preserve">, Secretary 4, Circulation Support Division, last day worked November 13, 2019. Mr. </w:t>
            </w:r>
            <w:proofErr w:type="spellStart"/>
            <w:r>
              <w:rPr>
                <w:bCs/>
                <w:sz w:val="22"/>
              </w:rPr>
              <w:t>Neuffer</w:t>
            </w:r>
            <w:proofErr w:type="spellEnd"/>
            <w:r>
              <w:rPr>
                <w:bCs/>
                <w:sz w:val="22"/>
              </w:rPr>
              <w:t xml:space="preserve"> moved and Ms. Setser seconded</w:t>
            </w:r>
          </w:p>
          <w:p w:rsidR="005C4F5E" w:rsidRDefault="005C4F5E" w:rsidP="002A4D8E">
            <w:pPr>
              <w:ind w:left="-108"/>
              <w:rPr>
                <w:bCs/>
                <w:sz w:val="22"/>
              </w:rPr>
            </w:pPr>
          </w:p>
          <w:p w:rsidR="005C4F5E" w:rsidRPr="00F97316" w:rsidRDefault="005C4F5E" w:rsidP="002A4D8E">
            <w:pPr>
              <w:ind w:left="-108"/>
              <w:rPr>
                <w:b/>
                <w:bCs/>
                <w:sz w:val="22"/>
              </w:rPr>
            </w:pPr>
            <w:r w:rsidRPr="00F97316">
              <w:rPr>
                <w:b/>
                <w:bCs/>
                <w:sz w:val="22"/>
              </w:rPr>
              <w:t>TO APPROVE THE PERSONNEL REPORT AS PRESENTED.</w:t>
            </w:r>
          </w:p>
          <w:p w:rsidR="005C4F5E" w:rsidRPr="00F97316" w:rsidRDefault="005C4F5E" w:rsidP="002A4D8E">
            <w:pPr>
              <w:ind w:left="-108"/>
              <w:rPr>
                <w:b/>
                <w:bCs/>
                <w:sz w:val="22"/>
              </w:rPr>
            </w:pPr>
            <w:r w:rsidRPr="00F97316">
              <w:rPr>
                <w:b/>
                <w:bCs/>
                <w:sz w:val="22"/>
              </w:rPr>
              <w:t>Motion passed.</w:t>
            </w:r>
          </w:p>
          <w:p w:rsidR="005C4F5E" w:rsidRPr="00141BD5" w:rsidRDefault="005C4F5E" w:rsidP="002A4D8E">
            <w:pPr>
              <w:ind w:left="-108"/>
              <w:rPr>
                <w:bCs/>
                <w:sz w:val="22"/>
              </w:rPr>
            </w:pPr>
            <w:r>
              <w:rPr>
                <w:bCs/>
                <w:sz w:val="22"/>
              </w:rPr>
              <w:t xml:space="preserve"> </w:t>
            </w:r>
          </w:p>
        </w:tc>
      </w:tr>
    </w:tbl>
    <w:p w:rsidR="005C4F5E" w:rsidRDefault="005C4F5E" w:rsidP="005C4F5E">
      <w:pPr>
        <w:pStyle w:val="BodyText"/>
      </w:pPr>
    </w:p>
    <w:tbl>
      <w:tblPr>
        <w:tblW w:w="8802" w:type="dxa"/>
        <w:tblInd w:w="108" w:type="dxa"/>
        <w:tblLook w:val="0000" w:firstRow="0" w:lastRow="0" w:firstColumn="0" w:lastColumn="0" w:noHBand="0" w:noVBand="0"/>
      </w:tblPr>
      <w:tblGrid>
        <w:gridCol w:w="1294"/>
        <w:gridCol w:w="7508"/>
      </w:tblGrid>
      <w:tr w:rsidR="005C4F5E" w:rsidRPr="00141BD5" w:rsidTr="002A4D8E">
        <w:trPr>
          <w:trHeight w:val="419"/>
        </w:trPr>
        <w:tc>
          <w:tcPr>
            <w:tcW w:w="1294" w:type="dxa"/>
          </w:tcPr>
          <w:p w:rsidR="005C4F5E" w:rsidRDefault="005C4F5E" w:rsidP="002A4D8E">
            <w:pPr>
              <w:ind w:left="-108"/>
              <w:rPr>
                <w:sz w:val="22"/>
              </w:rPr>
            </w:pPr>
            <w:r>
              <w:rPr>
                <w:sz w:val="22"/>
              </w:rPr>
              <w:t>12-4-19</w:t>
            </w:r>
          </w:p>
          <w:p w:rsidR="005C4F5E" w:rsidRDefault="005C4F5E" w:rsidP="002A4D8E">
            <w:pPr>
              <w:ind w:left="-108"/>
              <w:rPr>
                <w:sz w:val="22"/>
              </w:rPr>
            </w:pPr>
            <w:r>
              <w:rPr>
                <w:sz w:val="22"/>
              </w:rPr>
              <w:t>Financial Report</w:t>
            </w:r>
          </w:p>
        </w:tc>
        <w:tc>
          <w:tcPr>
            <w:tcW w:w="7508" w:type="dxa"/>
          </w:tcPr>
          <w:p w:rsidR="005C4F5E" w:rsidRDefault="005C4F5E" w:rsidP="002A4D8E">
            <w:pPr>
              <w:ind w:left="-108"/>
              <w:rPr>
                <w:bCs/>
                <w:sz w:val="22"/>
              </w:rPr>
            </w:pPr>
            <w:r>
              <w:rPr>
                <w:bCs/>
                <w:sz w:val="22"/>
              </w:rPr>
              <w:t xml:space="preserve">Mr. Speer presented the Financial Report for approval. Mr. Bartelt moved and Mr. </w:t>
            </w:r>
            <w:proofErr w:type="spellStart"/>
            <w:r>
              <w:rPr>
                <w:bCs/>
                <w:sz w:val="22"/>
              </w:rPr>
              <w:t>Neuffer</w:t>
            </w:r>
            <w:proofErr w:type="spellEnd"/>
            <w:r>
              <w:rPr>
                <w:bCs/>
                <w:sz w:val="22"/>
              </w:rPr>
              <w:t xml:space="preserve"> seconded </w:t>
            </w:r>
          </w:p>
          <w:p w:rsidR="005C4F5E" w:rsidRDefault="005C4F5E" w:rsidP="002A4D8E">
            <w:pPr>
              <w:ind w:left="-108"/>
              <w:rPr>
                <w:bCs/>
                <w:sz w:val="22"/>
              </w:rPr>
            </w:pPr>
          </w:p>
          <w:p w:rsidR="005C4F5E" w:rsidRPr="00F97316" w:rsidRDefault="005C4F5E" w:rsidP="002A4D8E">
            <w:pPr>
              <w:ind w:left="-108"/>
              <w:rPr>
                <w:b/>
                <w:bCs/>
                <w:sz w:val="22"/>
              </w:rPr>
            </w:pPr>
            <w:r w:rsidRPr="00F97316">
              <w:rPr>
                <w:b/>
                <w:bCs/>
                <w:sz w:val="22"/>
              </w:rPr>
              <w:t>TO APPROVE THE FINANCIAL REPORT AS PRESENTED.</w:t>
            </w:r>
          </w:p>
          <w:p w:rsidR="005C4F5E" w:rsidRDefault="005C4F5E" w:rsidP="002A4D8E">
            <w:pPr>
              <w:ind w:left="-108"/>
              <w:rPr>
                <w:bCs/>
                <w:sz w:val="22"/>
              </w:rPr>
            </w:pPr>
            <w:r w:rsidRPr="00F97316">
              <w:rPr>
                <w:b/>
                <w:bCs/>
                <w:sz w:val="22"/>
              </w:rPr>
              <w:t>Motion passed.</w:t>
            </w:r>
            <w:r>
              <w:rPr>
                <w:bCs/>
                <w:sz w:val="22"/>
              </w:rPr>
              <w:t xml:space="preserve"> </w:t>
            </w:r>
          </w:p>
          <w:p w:rsidR="005C4F5E" w:rsidRPr="00141BD5" w:rsidRDefault="005C4F5E" w:rsidP="002A4D8E">
            <w:pPr>
              <w:ind w:left="-108"/>
              <w:rPr>
                <w:bCs/>
                <w:sz w:val="22"/>
              </w:rPr>
            </w:pPr>
          </w:p>
        </w:tc>
      </w:tr>
      <w:tr w:rsidR="005C4F5E" w:rsidRPr="00141BD5" w:rsidTr="002A4D8E">
        <w:trPr>
          <w:trHeight w:val="1780"/>
        </w:trPr>
        <w:tc>
          <w:tcPr>
            <w:tcW w:w="1294" w:type="dxa"/>
          </w:tcPr>
          <w:p w:rsidR="005C4F5E" w:rsidRDefault="005C4F5E" w:rsidP="002A4D8E">
            <w:pPr>
              <w:ind w:left="-108"/>
              <w:rPr>
                <w:sz w:val="22"/>
              </w:rPr>
            </w:pPr>
            <w:r>
              <w:rPr>
                <w:sz w:val="22"/>
              </w:rPr>
              <w:t>12-5-19</w:t>
            </w:r>
          </w:p>
          <w:p w:rsidR="005C4F5E" w:rsidRDefault="005C4F5E" w:rsidP="002A4D8E">
            <w:pPr>
              <w:ind w:left="-108"/>
              <w:rPr>
                <w:sz w:val="22"/>
              </w:rPr>
            </w:pPr>
            <w:r>
              <w:rPr>
                <w:sz w:val="22"/>
              </w:rPr>
              <w:t xml:space="preserve">Public Library Access Card Fee for 2020 </w:t>
            </w:r>
          </w:p>
        </w:tc>
        <w:tc>
          <w:tcPr>
            <w:tcW w:w="7508" w:type="dxa"/>
          </w:tcPr>
          <w:p w:rsidR="005C4F5E" w:rsidRDefault="005C4F5E" w:rsidP="002A4D8E">
            <w:pPr>
              <w:ind w:left="-108"/>
              <w:rPr>
                <w:bCs/>
                <w:sz w:val="22"/>
              </w:rPr>
            </w:pPr>
            <w:r>
              <w:rPr>
                <w:bCs/>
                <w:sz w:val="22"/>
              </w:rPr>
              <w:t>Mr. Speer presented the information regarding the PLAC program as reported and reimbursed based on the 2018 public library annual reports, and included information for the average non-resident fee at all public libraries.  Mr. Speer recommended the PLAC fee be kept at $65 for 2020. Ms. Setser moved and Mr. Bartelt seconded</w:t>
            </w:r>
          </w:p>
          <w:p w:rsidR="005C4F5E" w:rsidRDefault="005C4F5E" w:rsidP="002A4D8E">
            <w:pPr>
              <w:ind w:left="-108"/>
              <w:rPr>
                <w:bCs/>
                <w:sz w:val="22"/>
              </w:rPr>
            </w:pPr>
          </w:p>
          <w:p w:rsidR="005C4F5E" w:rsidRPr="0076524A" w:rsidRDefault="005C4F5E" w:rsidP="002A4D8E">
            <w:pPr>
              <w:ind w:left="-108"/>
              <w:rPr>
                <w:b/>
                <w:bCs/>
                <w:sz w:val="22"/>
              </w:rPr>
            </w:pPr>
            <w:r w:rsidRPr="0076524A">
              <w:rPr>
                <w:b/>
                <w:bCs/>
                <w:sz w:val="22"/>
              </w:rPr>
              <w:t>TO APPROVE THE PUBLIC LIBRARY ACCESS CARD FEE OF $65 FOR 2020.</w:t>
            </w:r>
          </w:p>
          <w:p w:rsidR="005C4F5E" w:rsidRDefault="005C4F5E" w:rsidP="002A4D8E">
            <w:pPr>
              <w:ind w:left="-108"/>
              <w:rPr>
                <w:b/>
                <w:bCs/>
                <w:sz w:val="22"/>
              </w:rPr>
            </w:pPr>
            <w:r w:rsidRPr="0076524A">
              <w:rPr>
                <w:b/>
                <w:bCs/>
                <w:sz w:val="22"/>
              </w:rPr>
              <w:t>Motion passed.</w:t>
            </w:r>
          </w:p>
          <w:p w:rsidR="005C4F5E" w:rsidRPr="00141BD5" w:rsidRDefault="005C4F5E" w:rsidP="002A4D8E">
            <w:pPr>
              <w:ind w:left="-108"/>
              <w:rPr>
                <w:bCs/>
                <w:sz w:val="22"/>
              </w:rPr>
            </w:pPr>
          </w:p>
        </w:tc>
      </w:tr>
      <w:tr w:rsidR="005C4F5E" w:rsidRPr="00141BD5" w:rsidTr="002A4D8E">
        <w:trPr>
          <w:trHeight w:val="1780"/>
        </w:trPr>
        <w:tc>
          <w:tcPr>
            <w:tcW w:w="1294" w:type="dxa"/>
          </w:tcPr>
          <w:p w:rsidR="005C4F5E" w:rsidRDefault="005C4F5E" w:rsidP="002A4D8E">
            <w:pPr>
              <w:ind w:left="-108"/>
              <w:rPr>
                <w:sz w:val="22"/>
              </w:rPr>
            </w:pPr>
            <w:r>
              <w:rPr>
                <w:sz w:val="22"/>
              </w:rPr>
              <w:t>12-6-19</w:t>
            </w:r>
          </w:p>
          <w:p w:rsidR="005C4F5E" w:rsidRDefault="005C4F5E" w:rsidP="002A4D8E">
            <w:pPr>
              <w:ind w:left="-108"/>
              <w:rPr>
                <w:sz w:val="22"/>
              </w:rPr>
            </w:pPr>
            <w:r>
              <w:rPr>
                <w:sz w:val="22"/>
              </w:rPr>
              <w:t xml:space="preserve">Service Fees and Fines Schedule </w:t>
            </w:r>
          </w:p>
        </w:tc>
        <w:tc>
          <w:tcPr>
            <w:tcW w:w="7508" w:type="dxa"/>
          </w:tcPr>
          <w:p w:rsidR="005C4F5E" w:rsidRDefault="005C4F5E" w:rsidP="002A4D8E">
            <w:pPr>
              <w:ind w:left="-108"/>
              <w:rPr>
                <w:bCs/>
                <w:sz w:val="22"/>
              </w:rPr>
            </w:pPr>
            <w:r>
              <w:rPr>
                <w:bCs/>
                <w:sz w:val="22"/>
              </w:rPr>
              <w:t xml:space="preserve">Mr. Speer and Dr. Marino presented the updated Service Fees and Fines Schedule to align with industry standards. Mr. </w:t>
            </w:r>
            <w:proofErr w:type="spellStart"/>
            <w:r>
              <w:rPr>
                <w:bCs/>
                <w:sz w:val="22"/>
              </w:rPr>
              <w:t>Neuffer</w:t>
            </w:r>
            <w:proofErr w:type="spellEnd"/>
            <w:r>
              <w:rPr>
                <w:bCs/>
                <w:sz w:val="22"/>
              </w:rPr>
              <w:t xml:space="preserve"> moved and Ms. Setser seconded </w:t>
            </w:r>
          </w:p>
          <w:p w:rsidR="005C4F5E" w:rsidRDefault="005C4F5E" w:rsidP="002A4D8E">
            <w:pPr>
              <w:ind w:left="-108"/>
              <w:rPr>
                <w:bCs/>
                <w:sz w:val="22"/>
              </w:rPr>
            </w:pPr>
          </w:p>
          <w:p w:rsidR="005C4F5E" w:rsidRPr="0076524A" w:rsidRDefault="005C4F5E" w:rsidP="002A4D8E">
            <w:pPr>
              <w:ind w:left="-108"/>
              <w:rPr>
                <w:b/>
                <w:bCs/>
                <w:sz w:val="22"/>
              </w:rPr>
            </w:pPr>
            <w:r w:rsidRPr="0076524A">
              <w:rPr>
                <w:b/>
                <w:bCs/>
                <w:sz w:val="22"/>
              </w:rPr>
              <w:t>TO APPROVE THE SERVICE FINES AND FEES SCHEDULE AS PRESENTED.</w:t>
            </w:r>
          </w:p>
          <w:p w:rsidR="005C4F5E" w:rsidRPr="00141BD5" w:rsidRDefault="005C4F5E" w:rsidP="002A4D8E">
            <w:pPr>
              <w:ind w:left="-108"/>
              <w:rPr>
                <w:bCs/>
                <w:sz w:val="22"/>
              </w:rPr>
            </w:pPr>
            <w:r w:rsidRPr="0076524A">
              <w:rPr>
                <w:b/>
                <w:bCs/>
                <w:sz w:val="22"/>
              </w:rPr>
              <w:t>Motion passed.</w:t>
            </w:r>
            <w:r>
              <w:rPr>
                <w:bCs/>
                <w:sz w:val="22"/>
              </w:rPr>
              <w:t xml:space="preserve"> </w:t>
            </w:r>
          </w:p>
        </w:tc>
      </w:tr>
      <w:tr w:rsidR="005C4F5E" w:rsidRPr="00141BD5" w:rsidTr="002A4D8E">
        <w:trPr>
          <w:trHeight w:val="1780"/>
        </w:trPr>
        <w:tc>
          <w:tcPr>
            <w:tcW w:w="1294" w:type="dxa"/>
          </w:tcPr>
          <w:p w:rsidR="005C4F5E" w:rsidRDefault="005C4F5E" w:rsidP="002A4D8E">
            <w:pPr>
              <w:ind w:left="-108"/>
              <w:rPr>
                <w:sz w:val="22"/>
              </w:rPr>
            </w:pPr>
            <w:r>
              <w:rPr>
                <w:sz w:val="22"/>
              </w:rPr>
              <w:t>12-7-19</w:t>
            </w:r>
          </w:p>
          <w:p w:rsidR="005C4F5E" w:rsidRDefault="005C4F5E" w:rsidP="002A4D8E">
            <w:pPr>
              <w:ind w:left="-108"/>
              <w:rPr>
                <w:sz w:val="22"/>
              </w:rPr>
            </w:pPr>
            <w:r>
              <w:rPr>
                <w:sz w:val="22"/>
              </w:rPr>
              <w:t xml:space="preserve">Collection Development Policy </w:t>
            </w:r>
          </w:p>
        </w:tc>
        <w:tc>
          <w:tcPr>
            <w:tcW w:w="7508" w:type="dxa"/>
          </w:tcPr>
          <w:p w:rsidR="005C4F5E" w:rsidRDefault="005C4F5E" w:rsidP="002A4D8E">
            <w:pPr>
              <w:ind w:left="-108"/>
              <w:rPr>
                <w:bCs/>
                <w:sz w:val="22"/>
              </w:rPr>
            </w:pPr>
            <w:r>
              <w:rPr>
                <w:bCs/>
                <w:sz w:val="22"/>
              </w:rPr>
              <w:t>Ms. Asberry presented the Collection Development Policy for approval. Mr. Bartelt asked that additional detail be included for who is responsible for deaccessioning materials from the Rare Books and Manuscript Collection, similar to language for other divisions, and to whom the decision to deaccession is being justified.  Ms. Setser moved and Mr. Bartelt amended and seconded</w:t>
            </w:r>
          </w:p>
          <w:p w:rsidR="005C4F5E" w:rsidRDefault="005C4F5E" w:rsidP="002A4D8E">
            <w:pPr>
              <w:ind w:left="-108"/>
              <w:rPr>
                <w:bCs/>
                <w:sz w:val="22"/>
              </w:rPr>
            </w:pPr>
          </w:p>
          <w:p w:rsidR="005C4F5E" w:rsidRPr="0076524A" w:rsidRDefault="005C4F5E" w:rsidP="002A4D8E">
            <w:pPr>
              <w:ind w:left="-108"/>
              <w:rPr>
                <w:b/>
                <w:bCs/>
                <w:sz w:val="22"/>
              </w:rPr>
            </w:pPr>
            <w:r w:rsidRPr="0076524A">
              <w:rPr>
                <w:b/>
                <w:bCs/>
                <w:sz w:val="22"/>
              </w:rPr>
              <w:t>TO APPROVE THE COLLECTION DEVELOPMENT POLICY GO INTO EFFECT JANUARY 1, 2020, WITH ADDITIONAL LANGUAGE SPECIFING THE RESPONSIBLE PARTY FOR DEACCESSION OF MATERIALS FROM THE RARE BOOKS AND MANUSCRIPTS DIVISION</w:t>
            </w:r>
            <w:r>
              <w:rPr>
                <w:b/>
                <w:bCs/>
                <w:sz w:val="22"/>
              </w:rPr>
              <w:t xml:space="preserve"> AND TO WHOM THE DECESSION TO DEACCESSION IS BEING JUSTIFIED</w:t>
            </w:r>
            <w:r w:rsidRPr="0076524A">
              <w:rPr>
                <w:b/>
                <w:bCs/>
                <w:sz w:val="22"/>
              </w:rPr>
              <w:t>.</w:t>
            </w:r>
          </w:p>
          <w:p w:rsidR="005C4F5E" w:rsidRDefault="005C4F5E" w:rsidP="002A4D8E">
            <w:pPr>
              <w:ind w:left="-108"/>
              <w:rPr>
                <w:bCs/>
                <w:sz w:val="22"/>
              </w:rPr>
            </w:pPr>
            <w:r w:rsidRPr="0076524A">
              <w:rPr>
                <w:b/>
                <w:bCs/>
                <w:sz w:val="22"/>
              </w:rPr>
              <w:t>Motion passed.</w:t>
            </w:r>
            <w:r>
              <w:rPr>
                <w:bCs/>
                <w:sz w:val="22"/>
              </w:rPr>
              <w:t xml:space="preserve"> </w:t>
            </w:r>
          </w:p>
          <w:p w:rsidR="005C4F5E" w:rsidRPr="00141BD5" w:rsidRDefault="005C4F5E" w:rsidP="002A4D8E">
            <w:pPr>
              <w:ind w:left="-108"/>
              <w:rPr>
                <w:bCs/>
                <w:sz w:val="22"/>
              </w:rPr>
            </w:pPr>
            <w:r>
              <w:rPr>
                <w:bCs/>
                <w:sz w:val="22"/>
              </w:rPr>
              <w:t xml:space="preserve">  </w:t>
            </w:r>
          </w:p>
        </w:tc>
      </w:tr>
      <w:tr w:rsidR="005C4F5E" w:rsidRPr="00141BD5" w:rsidTr="002A4D8E">
        <w:trPr>
          <w:trHeight w:val="2097"/>
        </w:trPr>
        <w:tc>
          <w:tcPr>
            <w:tcW w:w="1294" w:type="dxa"/>
          </w:tcPr>
          <w:p w:rsidR="005C4F5E" w:rsidRDefault="005C4F5E" w:rsidP="002A4D8E">
            <w:pPr>
              <w:ind w:left="-108"/>
              <w:rPr>
                <w:sz w:val="22"/>
              </w:rPr>
            </w:pPr>
            <w:r>
              <w:rPr>
                <w:sz w:val="22"/>
              </w:rPr>
              <w:t>12-8-19</w:t>
            </w:r>
          </w:p>
          <w:p w:rsidR="005C4F5E" w:rsidRDefault="005C4F5E" w:rsidP="002A4D8E">
            <w:pPr>
              <w:ind w:left="-108"/>
              <w:rPr>
                <w:sz w:val="22"/>
              </w:rPr>
            </w:pPr>
            <w:r>
              <w:rPr>
                <w:sz w:val="22"/>
              </w:rPr>
              <w:t xml:space="preserve">Election of Officers </w:t>
            </w:r>
          </w:p>
        </w:tc>
        <w:tc>
          <w:tcPr>
            <w:tcW w:w="7508" w:type="dxa"/>
          </w:tcPr>
          <w:p w:rsidR="005C4F5E" w:rsidRDefault="005C4F5E" w:rsidP="002A4D8E">
            <w:pPr>
              <w:ind w:left="-108"/>
              <w:rPr>
                <w:bCs/>
                <w:sz w:val="22"/>
              </w:rPr>
            </w:pPr>
            <w:r>
              <w:rPr>
                <w:bCs/>
                <w:sz w:val="22"/>
              </w:rPr>
              <w:t xml:space="preserve">The current slate, of Bob Barcus, President, Laurel Setser, Vice President, Bill Bartelt, </w:t>
            </w:r>
            <w:proofErr w:type="gramStart"/>
            <w:r>
              <w:rPr>
                <w:bCs/>
                <w:sz w:val="22"/>
              </w:rPr>
              <w:t>Secretary</w:t>
            </w:r>
            <w:proofErr w:type="gramEnd"/>
            <w:r>
              <w:rPr>
                <w:bCs/>
                <w:sz w:val="22"/>
              </w:rPr>
              <w:t xml:space="preserve"> was reviewed. Ms. Setser moved and Mr. </w:t>
            </w:r>
            <w:proofErr w:type="spellStart"/>
            <w:r>
              <w:rPr>
                <w:bCs/>
                <w:sz w:val="22"/>
              </w:rPr>
              <w:t>Neuffer</w:t>
            </w:r>
            <w:proofErr w:type="spellEnd"/>
            <w:r>
              <w:rPr>
                <w:bCs/>
                <w:sz w:val="22"/>
              </w:rPr>
              <w:t xml:space="preserve"> seconded</w:t>
            </w:r>
          </w:p>
          <w:p w:rsidR="005C4F5E" w:rsidRDefault="005C4F5E" w:rsidP="002A4D8E">
            <w:pPr>
              <w:ind w:left="-108"/>
              <w:rPr>
                <w:bCs/>
                <w:sz w:val="22"/>
              </w:rPr>
            </w:pPr>
          </w:p>
          <w:p w:rsidR="005C4F5E" w:rsidRDefault="005C4F5E" w:rsidP="002A4D8E">
            <w:pPr>
              <w:ind w:left="-108"/>
              <w:rPr>
                <w:b/>
                <w:bCs/>
                <w:sz w:val="22"/>
              </w:rPr>
            </w:pPr>
            <w:r w:rsidRPr="003077A4">
              <w:rPr>
                <w:b/>
                <w:bCs/>
                <w:sz w:val="22"/>
              </w:rPr>
              <w:t>TO APPROVE THE CURRENT SLATE OF OFFICERS AS THE OFFICERS FOR THE ILHB FOR 2020.</w:t>
            </w:r>
          </w:p>
          <w:p w:rsidR="005C4F5E" w:rsidRDefault="005C4F5E" w:rsidP="002A4D8E">
            <w:pPr>
              <w:ind w:left="-108"/>
              <w:rPr>
                <w:b/>
                <w:bCs/>
                <w:sz w:val="22"/>
              </w:rPr>
            </w:pPr>
          </w:p>
          <w:p w:rsidR="005C4F5E" w:rsidRDefault="005C4F5E" w:rsidP="002A4D8E">
            <w:pPr>
              <w:ind w:left="-108"/>
              <w:rPr>
                <w:bCs/>
                <w:sz w:val="22"/>
              </w:rPr>
            </w:pPr>
            <w:r>
              <w:rPr>
                <w:bCs/>
                <w:sz w:val="22"/>
              </w:rPr>
              <w:t xml:space="preserve">Because the president, vice president and secretary were all on the slate of officers, Mr. Barcus asked Mr. </w:t>
            </w:r>
            <w:proofErr w:type="spellStart"/>
            <w:r>
              <w:rPr>
                <w:bCs/>
                <w:sz w:val="22"/>
              </w:rPr>
              <w:t>Neuffer</w:t>
            </w:r>
            <w:proofErr w:type="spellEnd"/>
            <w:r>
              <w:rPr>
                <w:bCs/>
                <w:sz w:val="22"/>
              </w:rPr>
              <w:t xml:space="preserve"> to oversee the election of officers.  Mr. </w:t>
            </w:r>
            <w:proofErr w:type="spellStart"/>
            <w:r>
              <w:rPr>
                <w:bCs/>
                <w:sz w:val="22"/>
              </w:rPr>
              <w:t>Neuffer</w:t>
            </w:r>
            <w:proofErr w:type="spellEnd"/>
            <w:r>
              <w:rPr>
                <w:bCs/>
                <w:sz w:val="22"/>
              </w:rPr>
              <w:t xml:space="preserve"> called for all those in favor.</w:t>
            </w:r>
          </w:p>
          <w:p w:rsidR="005C4F5E" w:rsidRPr="003077A4" w:rsidRDefault="005C4F5E" w:rsidP="002A4D8E">
            <w:pPr>
              <w:ind w:left="-108"/>
              <w:rPr>
                <w:bCs/>
                <w:sz w:val="22"/>
              </w:rPr>
            </w:pPr>
            <w:r w:rsidRPr="003077A4">
              <w:rPr>
                <w:b/>
                <w:bCs/>
                <w:sz w:val="22"/>
              </w:rPr>
              <w:t>Motion passed.</w:t>
            </w:r>
          </w:p>
        </w:tc>
      </w:tr>
    </w:tbl>
    <w:p w:rsidR="005C4F5E" w:rsidRDefault="005C4F5E" w:rsidP="005C4F5E">
      <w:pPr>
        <w:pStyle w:val="NormalWeb"/>
        <w:numPr>
          <w:ilvl w:val="0"/>
          <w:numId w:val="1"/>
        </w:numPr>
        <w:rPr>
          <w:rFonts w:ascii="Times New Roman" w:hAnsi="Times New Roman" w:cs="Times New Roman"/>
          <w:b/>
        </w:rPr>
      </w:pPr>
      <w:r>
        <w:rPr>
          <w:rFonts w:ascii="Times New Roman" w:hAnsi="Times New Roman" w:cs="Times New Roman"/>
          <w:b/>
        </w:rPr>
        <w:t>REPORTS</w:t>
      </w:r>
    </w:p>
    <w:tbl>
      <w:tblPr>
        <w:tblW w:w="8621" w:type="dxa"/>
        <w:tblInd w:w="108" w:type="dxa"/>
        <w:tblLook w:val="0000" w:firstRow="0" w:lastRow="0" w:firstColumn="0" w:lastColumn="0" w:noHBand="0" w:noVBand="0"/>
      </w:tblPr>
      <w:tblGrid>
        <w:gridCol w:w="1267"/>
        <w:gridCol w:w="7354"/>
      </w:tblGrid>
      <w:tr w:rsidR="005C4F5E" w:rsidRPr="00141BD5" w:rsidTr="002A4D8E">
        <w:trPr>
          <w:trHeight w:val="769"/>
        </w:trPr>
        <w:tc>
          <w:tcPr>
            <w:tcW w:w="1267" w:type="dxa"/>
          </w:tcPr>
          <w:p w:rsidR="005C4F5E" w:rsidRDefault="005C4F5E" w:rsidP="002A4D8E">
            <w:pPr>
              <w:ind w:left="-108"/>
              <w:rPr>
                <w:sz w:val="22"/>
              </w:rPr>
            </w:pPr>
            <w:r>
              <w:rPr>
                <w:sz w:val="22"/>
              </w:rPr>
              <w:t>12-9-19</w:t>
            </w:r>
          </w:p>
          <w:p w:rsidR="005C4F5E" w:rsidRDefault="005C4F5E" w:rsidP="002A4D8E">
            <w:pPr>
              <w:ind w:left="-108"/>
              <w:rPr>
                <w:sz w:val="22"/>
              </w:rPr>
            </w:pPr>
            <w:r>
              <w:rPr>
                <w:sz w:val="22"/>
              </w:rPr>
              <w:t xml:space="preserve">Deputy Director of Public Services </w:t>
            </w:r>
          </w:p>
          <w:p w:rsidR="005C4F5E" w:rsidRDefault="005C4F5E" w:rsidP="002A4D8E">
            <w:pPr>
              <w:ind w:left="-108"/>
              <w:rPr>
                <w:sz w:val="22"/>
              </w:rPr>
            </w:pPr>
          </w:p>
        </w:tc>
        <w:tc>
          <w:tcPr>
            <w:tcW w:w="7354" w:type="dxa"/>
          </w:tcPr>
          <w:p w:rsidR="005C4F5E" w:rsidRDefault="005C4F5E" w:rsidP="002A4D8E">
            <w:pPr>
              <w:ind w:left="-108"/>
              <w:rPr>
                <w:bCs/>
                <w:sz w:val="22"/>
              </w:rPr>
            </w:pPr>
            <w:r>
              <w:rPr>
                <w:bCs/>
                <w:sz w:val="22"/>
              </w:rPr>
              <w:t xml:space="preserve">Ms. Asberry presented the Public Services Report that was included in the packet. </w:t>
            </w:r>
          </w:p>
          <w:p w:rsidR="005C4F5E" w:rsidRDefault="005C4F5E" w:rsidP="002A4D8E">
            <w:pPr>
              <w:ind w:left="-108"/>
              <w:rPr>
                <w:bCs/>
                <w:sz w:val="22"/>
              </w:rPr>
            </w:pPr>
          </w:p>
          <w:p w:rsidR="005C4F5E" w:rsidRPr="00141BD5" w:rsidRDefault="005C4F5E" w:rsidP="002A4D8E">
            <w:pPr>
              <w:ind w:left="-108"/>
              <w:rPr>
                <w:bCs/>
                <w:sz w:val="22"/>
              </w:rPr>
            </w:pPr>
            <w:r>
              <w:rPr>
                <w:bCs/>
                <w:sz w:val="22"/>
              </w:rPr>
              <w:t xml:space="preserve">  </w:t>
            </w:r>
          </w:p>
        </w:tc>
      </w:tr>
      <w:tr w:rsidR="005C4F5E" w:rsidRPr="00141BD5" w:rsidTr="002A4D8E">
        <w:trPr>
          <w:trHeight w:val="769"/>
        </w:trPr>
        <w:tc>
          <w:tcPr>
            <w:tcW w:w="1267" w:type="dxa"/>
          </w:tcPr>
          <w:p w:rsidR="005C4F5E" w:rsidRDefault="005C4F5E" w:rsidP="002A4D8E">
            <w:pPr>
              <w:ind w:left="-108"/>
              <w:rPr>
                <w:sz w:val="22"/>
              </w:rPr>
            </w:pPr>
            <w:r>
              <w:rPr>
                <w:sz w:val="22"/>
              </w:rPr>
              <w:t>12-10-19</w:t>
            </w:r>
          </w:p>
          <w:p w:rsidR="005C4F5E" w:rsidRDefault="005C4F5E" w:rsidP="002A4D8E">
            <w:pPr>
              <w:ind w:left="-108"/>
              <w:rPr>
                <w:sz w:val="22"/>
              </w:rPr>
            </w:pPr>
            <w:r>
              <w:rPr>
                <w:sz w:val="22"/>
              </w:rPr>
              <w:t xml:space="preserve">Deputy Director of Statewide Services </w:t>
            </w:r>
          </w:p>
        </w:tc>
        <w:tc>
          <w:tcPr>
            <w:tcW w:w="7354" w:type="dxa"/>
          </w:tcPr>
          <w:p w:rsidR="005C4F5E" w:rsidRDefault="005C4F5E" w:rsidP="002A4D8E">
            <w:pPr>
              <w:ind w:left="-108"/>
              <w:rPr>
                <w:bCs/>
                <w:sz w:val="22"/>
              </w:rPr>
            </w:pPr>
            <w:r>
              <w:rPr>
                <w:bCs/>
                <w:sz w:val="22"/>
              </w:rPr>
              <w:t xml:space="preserve">Ms. Knapp presented the Statewide Services Report that was included in the packet. </w:t>
            </w:r>
          </w:p>
          <w:p w:rsidR="005C4F5E" w:rsidRDefault="005C4F5E" w:rsidP="002A4D8E">
            <w:pPr>
              <w:ind w:left="-108"/>
              <w:rPr>
                <w:bCs/>
                <w:sz w:val="22"/>
              </w:rPr>
            </w:pPr>
          </w:p>
          <w:p w:rsidR="005C4F5E" w:rsidRPr="00141BD5" w:rsidRDefault="005C4F5E" w:rsidP="002A4D8E">
            <w:pPr>
              <w:ind w:left="-108"/>
              <w:rPr>
                <w:bCs/>
                <w:sz w:val="22"/>
              </w:rPr>
            </w:pPr>
            <w:r>
              <w:rPr>
                <w:bCs/>
                <w:sz w:val="22"/>
              </w:rPr>
              <w:t xml:space="preserve">  </w:t>
            </w:r>
          </w:p>
        </w:tc>
      </w:tr>
      <w:tr w:rsidR="005C4F5E" w:rsidRPr="00141BD5" w:rsidTr="002A4D8E">
        <w:trPr>
          <w:trHeight w:val="769"/>
        </w:trPr>
        <w:tc>
          <w:tcPr>
            <w:tcW w:w="1267" w:type="dxa"/>
          </w:tcPr>
          <w:p w:rsidR="005C4F5E" w:rsidRDefault="005C4F5E" w:rsidP="002A4D8E">
            <w:pPr>
              <w:ind w:left="-108"/>
              <w:rPr>
                <w:sz w:val="22"/>
              </w:rPr>
            </w:pPr>
            <w:r>
              <w:rPr>
                <w:sz w:val="22"/>
              </w:rPr>
              <w:t>12-11-19</w:t>
            </w:r>
          </w:p>
          <w:p w:rsidR="005C4F5E" w:rsidRDefault="005C4F5E" w:rsidP="002A4D8E">
            <w:pPr>
              <w:ind w:left="-108"/>
              <w:rPr>
                <w:sz w:val="22"/>
              </w:rPr>
            </w:pPr>
            <w:r>
              <w:rPr>
                <w:sz w:val="22"/>
              </w:rPr>
              <w:t xml:space="preserve">Deputy Director of Indiana Historical Bureau </w:t>
            </w:r>
          </w:p>
          <w:p w:rsidR="005C4F5E" w:rsidRDefault="005C4F5E" w:rsidP="002A4D8E">
            <w:pPr>
              <w:ind w:left="-108"/>
              <w:rPr>
                <w:sz w:val="22"/>
              </w:rPr>
            </w:pPr>
          </w:p>
        </w:tc>
        <w:tc>
          <w:tcPr>
            <w:tcW w:w="7354" w:type="dxa"/>
          </w:tcPr>
          <w:p w:rsidR="005C4F5E" w:rsidRDefault="005C4F5E" w:rsidP="002A4D8E">
            <w:pPr>
              <w:ind w:left="-108"/>
              <w:rPr>
                <w:bCs/>
                <w:sz w:val="22"/>
              </w:rPr>
            </w:pPr>
            <w:r>
              <w:rPr>
                <w:bCs/>
                <w:sz w:val="22"/>
              </w:rPr>
              <w:t xml:space="preserve">Dr. Marino presented the Indiana Historical Bureau Report that was included in the packet. </w:t>
            </w:r>
          </w:p>
          <w:p w:rsidR="005C4F5E" w:rsidRDefault="005C4F5E" w:rsidP="002A4D8E">
            <w:pPr>
              <w:ind w:left="-108"/>
              <w:rPr>
                <w:bCs/>
                <w:sz w:val="22"/>
              </w:rPr>
            </w:pPr>
          </w:p>
          <w:p w:rsidR="005C4F5E" w:rsidRPr="00141BD5" w:rsidRDefault="005C4F5E" w:rsidP="002A4D8E">
            <w:pPr>
              <w:ind w:left="-108"/>
              <w:rPr>
                <w:bCs/>
                <w:sz w:val="22"/>
              </w:rPr>
            </w:pPr>
            <w:r>
              <w:rPr>
                <w:bCs/>
                <w:sz w:val="22"/>
              </w:rPr>
              <w:t xml:space="preserve">  </w:t>
            </w:r>
          </w:p>
        </w:tc>
      </w:tr>
      <w:tr w:rsidR="005C4F5E" w:rsidRPr="00141BD5" w:rsidTr="002A4D8E">
        <w:trPr>
          <w:trHeight w:val="769"/>
        </w:trPr>
        <w:tc>
          <w:tcPr>
            <w:tcW w:w="1267" w:type="dxa"/>
          </w:tcPr>
          <w:p w:rsidR="005C4F5E" w:rsidRDefault="005C4F5E" w:rsidP="002A4D8E">
            <w:pPr>
              <w:ind w:left="-108"/>
              <w:rPr>
                <w:sz w:val="22"/>
              </w:rPr>
            </w:pPr>
            <w:r>
              <w:rPr>
                <w:sz w:val="22"/>
              </w:rPr>
              <w:t>12-12-19</w:t>
            </w:r>
          </w:p>
          <w:p w:rsidR="005C4F5E" w:rsidRDefault="005C4F5E" w:rsidP="002A4D8E">
            <w:pPr>
              <w:ind w:left="-108"/>
              <w:rPr>
                <w:sz w:val="22"/>
              </w:rPr>
            </w:pPr>
            <w:r>
              <w:rPr>
                <w:sz w:val="22"/>
              </w:rPr>
              <w:t xml:space="preserve">State Librarian and Historical Building </w:t>
            </w:r>
          </w:p>
        </w:tc>
        <w:tc>
          <w:tcPr>
            <w:tcW w:w="7354" w:type="dxa"/>
          </w:tcPr>
          <w:p w:rsidR="005C4F5E" w:rsidRDefault="005C4F5E" w:rsidP="002A4D8E">
            <w:pPr>
              <w:ind w:left="-108"/>
              <w:rPr>
                <w:bCs/>
                <w:sz w:val="22"/>
              </w:rPr>
            </w:pPr>
            <w:r>
              <w:rPr>
                <w:bCs/>
                <w:sz w:val="22"/>
              </w:rPr>
              <w:t xml:space="preserve">Mr. Speer reported that the Department of Local Government Finance had reached out to seek our assistance in clarifying language for House Bill 1343 from the 2019 General Assembly.  The DLGF incorporated changes and submitted new language to Representative Leonard this week that should make things clearer for the DGLF and the State Library going forward.  The INSPIRE RFP will be moving forward in the new year. </w:t>
            </w:r>
            <w:proofErr w:type="spellStart"/>
            <w:r>
              <w:rPr>
                <w:bCs/>
                <w:sz w:val="22"/>
              </w:rPr>
              <w:t>AutoGraphics</w:t>
            </w:r>
            <w:proofErr w:type="spellEnd"/>
            <w:r>
              <w:rPr>
                <w:bCs/>
                <w:sz w:val="22"/>
              </w:rPr>
              <w:t xml:space="preserve"> was awarded the Statewide Remote Circulation System contract, so there will be no changes to that service. The Indiana State Library Foundation approved a $217,700 grant to the Indiana State Library for programmatic expenses in 2020.  Mr. Speer also reported that the work on the roof was completed.  An electric transformer that had been in use for the last 60 years was replaced by Indiana Power and Light over the Veteran’s Day weekend.  A generator was used to power fans in the vault to ensure no damage was sustained by materials during the power outage.  There were no issues. </w:t>
            </w:r>
          </w:p>
          <w:p w:rsidR="005C4F5E" w:rsidRPr="00141BD5" w:rsidRDefault="005C4F5E" w:rsidP="002A4D8E">
            <w:pPr>
              <w:ind w:left="-108"/>
              <w:rPr>
                <w:bCs/>
                <w:sz w:val="22"/>
              </w:rPr>
            </w:pPr>
            <w:r>
              <w:rPr>
                <w:bCs/>
                <w:sz w:val="22"/>
              </w:rPr>
              <w:t xml:space="preserve">  </w:t>
            </w:r>
          </w:p>
        </w:tc>
      </w:tr>
      <w:tr w:rsidR="005C4F5E" w:rsidRPr="00141BD5" w:rsidTr="002A4D8E">
        <w:trPr>
          <w:trHeight w:val="769"/>
        </w:trPr>
        <w:tc>
          <w:tcPr>
            <w:tcW w:w="1267" w:type="dxa"/>
          </w:tcPr>
          <w:p w:rsidR="005C4F5E" w:rsidRDefault="005C4F5E" w:rsidP="002A4D8E">
            <w:pPr>
              <w:ind w:left="-108"/>
              <w:rPr>
                <w:sz w:val="22"/>
              </w:rPr>
            </w:pPr>
            <w:r>
              <w:rPr>
                <w:sz w:val="22"/>
              </w:rPr>
              <w:t>12-13-19</w:t>
            </w:r>
          </w:p>
          <w:p w:rsidR="005C4F5E" w:rsidRDefault="005C4F5E" w:rsidP="002A4D8E">
            <w:pPr>
              <w:ind w:left="-108"/>
              <w:rPr>
                <w:sz w:val="22"/>
              </w:rPr>
            </w:pPr>
            <w:r>
              <w:rPr>
                <w:sz w:val="22"/>
              </w:rPr>
              <w:t xml:space="preserve">Indiana State Library Foundation </w:t>
            </w:r>
          </w:p>
        </w:tc>
        <w:tc>
          <w:tcPr>
            <w:tcW w:w="7354" w:type="dxa"/>
          </w:tcPr>
          <w:p w:rsidR="005C4F5E" w:rsidRPr="00141BD5" w:rsidRDefault="005C4F5E" w:rsidP="002A4D8E">
            <w:pPr>
              <w:ind w:left="-108"/>
              <w:rPr>
                <w:bCs/>
                <w:sz w:val="22"/>
              </w:rPr>
            </w:pPr>
            <w:r>
              <w:rPr>
                <w:bCs/>
                <w:sz w:val="22"/>
              </w:rPr>
              <w:t xml:space="preserve">Mr. Burgis reported that the Indiana State Library Foundation will be hosting an event on April 23, 2020 from 4-7 p.m. at the State Library.  The president of Sun King Brewery has been confirmed as a speaker for the event. The State Library Foundation has increased the income from individual donations since his tenure with the foundation began.  </w:t>
            </w:r>
          </w:p>
        </w:tc>
      </w:tr>
    </w:tbl>
    <w:p w:rsidR="005C4F5E" w:rsidRDefault="005C4F5E" w:rsidP="005C4F5E">
      <w:pPr>
        <w:pStyle w:val="NormalWeb"/>
        <w:numPr>
          <w:ilvl w:val="0"/>
          <w:numId w:val="1"/>
        </w:numPr>
        <w:rPr>
          <w:rFonts w:ascii="Times New Roman" w:hAnsi="Times New Roman" w:cs="Times New Roman"/>
          <w:b/>
        </w:rPr>
      </w:pPr>
      <w:r>
        <w:rPr>
          <w:rFonts w:ascii="Times New Roman" w:hAnsi="Times New Roman" w:cs="Times New Roman"/>
          <w:b/>
        </w:rPr>
        <w:t>NEW BUSINESS</w:t>
      </w:r>
    </w:p>
    <w:tbl>
      <w:tblPr>
        <w:tblW w:w="8575" w:type="dxa"/>
        <w:tblInd w:w="108" w:type="dxa"/>
        <w:tblLook w:val="0000" w:firstRow="0" w:lastRow="0" w:firstColumn="0" w:lastColumn="0" w:noHBand="0" w:noVBand="0"/>
      </w:tblPr>
      <w:tblGrid>
        <w:gridCol w:w="1260"/>
        <w:gridCol w:w="7315"/>
      </w:tblGrid>
      <w:tr w:rsidR="005C4F5E" w:rsidRPr="00141BD5" w:rsidTr="002A4D8E">
        <w:trPr>
          <w:trHeight w:val="704"/>
        </w:trPr>
        <w:tc>
          <w:tcPr>
            <w:tcW w:w="1260" w:type="dxa"/>
          </w:tcPr>
          <w:p w:rsidR="005C4F5E" w:rsidRDefault="005C4F5E" w:rsidP="002A4D8E">
            <w:pPr>
              <w:ind w:left="-108"/>
              <w:rPr>
                <w:sz w:val="22"/>
              </w:rPr>
            </w:pPr>
            <w:r>
              <w:rPr>
                <w:sz w:val="22"/>
              </w:rPr>
              <w:t>12-14-19</w:t>
            </w:r>
          </w:p>
          <w:p w:rsidR="005C4F5E" w:rsidRDefault="005C4F5E" w:rsidP="002A4D8E">
            <w:pPr>
              <w:ind w:left="-108"/>
              <w:rPr>
                <w:sz w:val="22"/>
              </w:rPr>
            </w:pPr>
            <w:r>
              <w:rPr>
                <w:sz w:val="22"/>
              </w:rPr>
              <w:t xml:space="preserve">New Business </w:t>
            </w:r>
          </w:p>
        </w:tc>
        <w:tc>
          <w:tcPr>
            <w:tcW w:w="7315" w:type="dxa"/>
          </w:tcPr>
          <w:p w:rsidR="005C4F5E" w:rsidRDefault="005C4F5E" w:rsidP="002A4D8E">
            <w:pPr>
              <w:ind w:left="-108"/>
              <w:rPr>
                <w:bCs/>
                <w:sz w:val="22"/>
              </w:rPr>
            </w:pPr>
            <w:r>
              <w:rPr>
                <w:bCs/>
                <w:sz w:val="22"/>
              </w:rPr>
              <w:t xml:space="preserve">Mr. Speer presented two options for meeting dates for the 2020 calendar year, in response to board feedback that fewer meetings would </w:t>
            </w:r>
            <w:proofErr w:type="gramStart"/>
            <w:r>
              <w:rPr>
                <w:bCs/>
                <w:sz w:val="22"/>
              </w:rPr>
              <w:t>be  more</w:t>
            </w:r>
            <w:proofErr w:type="gramEnd"/>
            <w:r>
              <w:rPr>
                <w:bCs/>
                <w:sz w:val="22"/>
              </w:rPr>
              <w:t xml:space="preserve">? </w:t>
            </w:r>
            <w:proofErr w:type="gramStart"/>
            <w:r>
              <w:rPr>
                <w:bCs/>
                <w:sz w:val="22"/>
              </w:rPr>
              <w:t>effective</w:t>
            </w:r>
            <w:proofErr w:type="gramEnd"/>
            <w:r>
              <w:rPr>
                <w:bCs/>
                <w:sz w:val="22"/>
              </w:rPr>
              <w:t xml:space="preserve"> and efficient, especially for the board members that must travel a great distance. Ms. Setser moved and Mr. Bartelt amended and seconded</w:t>
            </w:r>
          </w:p>
          <w:p w:rsidR="005C4F5E" w:rsidRDefault="005C4F5E" w:rsidP="002A4D8E">
            <w:pPr>
              <w:ind w:left="-108"/>
              <w:rPr>
                <w:bCs/>
                <w:sz w:val="22"/>
              </w:rPr>
            </w:pPr>
          </w:p>
          <w:p w:rsidR="005C4F5E" w:rsidRPr="006E6E77" w:rsidRDefault="005C4F5E" w:rsidP="002A4D8E">
            <w:pPr>
              <w:ind w:left="-108"/>
              <w:rPr>
                <w:b/>
                <w:bCs/>
                <w:sz w:val="22"/>
              </w:rPr>
            </w:pPr>
            <w:r w:rsidRPr="006E6E77">
              <w:rPr>
                <w:b/>
                <w:bCs/>
                <w:sz w:val="22"/>
              </w:rPr>
              <w:t xml:space="preserve">TO APPROVE OPTION B FOR MEETING DATES FOR 2020, WITH THE ABILITY OF MR. SPEER TO CALL SPECIAL MEETINGS IF NEEDED IN ADDITION TO THIS CALENDAR. </w:t>
            </w:r>
          </w:p>
          <w:p w:rsidR="005C4F5E" w:rsidRDefault="005C4F5E" w:rsidP="002A4D8E">
            <w:pPr>
              <w:ind w:left="-108"/>
              <w:rPr>
                <w:b/>
                <w:bCs/>
                <w:sz w:val="22"/>
              </w:rPr>
            </w:pPr>
            <w:r>
              <w:rPr>
                <w:b/>
                <w:bCs/>
                <w:sz w:val="22"/>
              </w:rPr>
              <w:t>Motion passed.</w:t>
            </w:r>
          </w:p>
          <w:p w:rsidR="005C4F5E" w:rsidRDefault="005C4F5E" w:rsidP="002A4D8E">
            <w:pPr>
              <w:ind w:left="-108"/>
              <w:rPr>
                <w:bCs/>
                <w:sz w:val="22"/>
              </w:rPr>
            </w:pPr>
          </w:p>
          <w:p w:rsidR="005C4F5E" w:rsidRDefault="005C4F5E" w:rsidP="002A4D8E">
            <w:pPr>
              <w:ind w:left="-108"/>
              <w:rPr>
                <w:bCs/>
                <w:sz w:val="22"/>
              </w:rPr>
            </w:pPr>
            <w:r>
              <w:rPr>
                <w:bCs/>
                <w:sz w:val="22"/>
              </w:rPr>
              <w:t>2020 meetings will be held at 1:30 p.m. on the following dates:</w:t>
            </w:r>
          </w:p>
          <w:p w:rsidR="005C4F5E" w:rsidRDefault="005C4F5E" w:rsidP="002A4D8E">
            <w:pPr>
              <w:ind w:left="-108"/>
              <w:rPr>
                <w:bCs/>
                <w:sz w:val="22"/>
              </w:rPr>
            </w:pPr>
            <w:r>
              <w:rPr>
                <w:bCs/>
                <w:sz w:val="22"/>
              </w:rPr>
              <w:t>March 13</w:t>
            </w:r>
          </w:p>
          <w:p w:rsidR="005C4F5E" w:rsidRDefault="005C4F5E" w:rsidP="002A4D8E">
            <w:pPr>
              <w:ind w:left="-108"/>
              <w:rPr>
                <w:bCs/>
                <w:sz w:val="22"/>
              </w:rPr>
            </w:pPr>
            <w:r>
              <w:rPr>
                <w:bCs/>
                <w:sz w:val="22"/>
              </w:rPr>
              <w:t>June 12</w:t>
            </w:r>
          </w:p>
          <w:p w:rsidR="005C4F5E" w:rsidRDefault="005C4F5E" w:rsidP="002A4D8E">
            <w:pPr>
              <w:ind w:left="-108"/>
              <w:rPr>
                <w:bCs/>
                <w:sz w:val="22"/>
              </w:rPr>
            </w:pPr>
            <w:r>
              <w:rPr>
                <w:bCs/>
                <w:sz w:val="22"/>
              </w:rPr>
              <w:t>September 18</w:t>
            </w:r>
          </w:p>
          <w:p w:rsidR="005C4F5E" w:rsidRPr="00141BD5" w:rsidRDefault="005C4F5E" w:rsidP="002A4D8E">
            <w:pPr>
              <w:ind w:left="-108"/>
              <w:rPr>
                <w:bCs/>
                <w:sz w:val="22"/>
              </w:rPr>
            </w:pPr>
            <w:r>
              <w:rPr>
                <w:bCs/>
                <w:sz w:val="22"/>
              </w:rPr>
              <w:t>December 4</w:t>
            </w:r>
          </w:p>
        </w:tc>
      </w:tr>
    </w:tbl>
    <w:p w:rsidR="005C4F5E" w:rsidRPr="003077A4" w:rsidRDefault="005C4F5E" w:rsidP="005C4F5E">
      <w:pPr>
        <w:pStyle w:val="NormalWeb"/>
        <w:numPr>
          <w:ilvl w:val="0"/>
          <w:numId w:val="1"/>
        </w:numPr>
        <w:rPr>
          <w:rFonts w:ascii="Times New Roman" w:hAnsi="Times New Roman" w:cs="Times New Roman"/>
          <w:b/>
        </w:rPr>
      </w:pPr>
      <w:r>
        <w:rPr>
          <w:rFonts w:ascii="Times New Roman" w:hAnsi="Times New Roman" w:cs="Times New Roman"/>
          <w:b/>
        </w:rPr>
        <w:t>OLD BUSINESS</w:t>
      </w:r>
    </w:p>
    <w:tbl>
      <w:tblPr>
        <w:tblW w:w="8438" w:type="dxa"/>
        <w:tblInd w:w="108" w:type="dxa"/>
        <w:tblLook w:val="0000" w:firstRow="0" w:lastRow="0" w:firstColumn="0" w:lastColumn="0" w:noHBand="0" w:noVBand="0"/>
      </w:tblPr>
      <w:tblGrid>
        <w:gridCol w:w="1239"/>
        <w:gridCol w:w="7199"/>
      </w:tblGrid>
      <w:tr w:rsidR="005C4F5E" w:rsidRPr="00141BD5" w:rsidTr="002A4D8E">
        <w:trPr>
          <w:trHeight w:val="99"/>
        </w:trPr>
        <w:tc>
          <w:tcPr>
            <w:tcW w:w="1239" w:type="dxa"/>
          </w:tcPr>
          <w:p w:rsidR="005C4F5E" w:rsidRDefault="005C4F5E" w:rsidP="002A4D8E">
            <w:pPr>
              <w:ind w:left="-108"/>
              <w:rPr>
                <w:sz w:val="22"/>
              </w:rPr>
            </w:pPr>
            <w:r>
              <w:rPr>
                <w:sz w:val="22"/>
              </w:rPr>
              <w:t>12-15-19</w:t>
            </w:r>
          </w:p>
          <w:p w:rsidR="005C4F5E" w:rsidRDefault="005C4F5E" w:rsidP="002A4D8E">
            <w:pPr>
              <w:ind w:left="-108"/>
              <w:rPr>
                <w:sz w:val="22"/>
              </w:rPr>
            </w:pPr>
            <w:r>
              <w:rPr>
                <w:sz w:val="22"/>
              </w:rPr>
              <w:t xml:space="preserve">Old Business </w:t>
            </w:r>
          </w:p>
        </w:tc>
        <w:tc>
          <w:tcPr>
            <w:tcW w:w="7199" w:type="dxa"/>
          </w:tcPr>
          <w:p w:rsidR="005C4F5E" w:rsidRDefault="005C4F5E" w:rsidP="002A4D8E">
            <w:pPr>
              <w:ind w:left="-108"/>
              <w:rPr>
                <w:b/>
                <w:bCs/>
                <w:sz w:val="22"/>
              </w:rPr>
            </w:pPr>
            <w:r>
              <w:rPr>
                <w:bCs/>
                <w:sz w:val="22"/>
              </w:rPr>
              <w:t>There was no Old Business</w:t>
            </w:r>
          </w:p>
          <w:p w:rsidR="005C4F5E" w:rsidRPr="006E6E77" w:rsidRDefault="005C4F5E" w:rsidP="002A4D8E">
            <w:pPr>
              <w:rPr>
                <w:b/>
                <w:bCs/>
                <w:sz w:val="22"/>
              </w:rPr>
            </w:pPr>
          </w:p>
          <w:p w:rsidR="005C4F5E" w:rsidRPr="00141BD5" w:rsidRDefault="005C4F5E" w:rsidP="002A4D8E">
            <w:pPr>
              <w:ind w:left="-108"/>
              <w:rPr>
                <w:bCs/>
                <w:sz w:val="22"/>
              </w:rPr>
            </w:pPr>
            <w:r>
              <w:rPr>
                <w:bCs/>
                <w:sz w:val="22"/>
              </w:rPr>
              <w:t xml:space="preserve">  </w:t>
            </w:r>
          </w:p>
        </w:tc>
      </w:tr>
    </w:tbl>
    <w:p w:rsidR="005C4F5E" w:rsidRDefault="005C4F5E" w:rsidP="005C4F5E">
      <w:pPr>
        <w:pStyle w:val="BodyText"/>
      </w:pPr>
    </w:p>
    <w:p w:rsidR="005C4F5E" w:rsidRDefault="005C4F5E" w:rsidP="005C4F5E">
      <w:pPr>
        <w:pStyle w:val="BodyText"/>
      </w:pPr>
      <w:r>
        <w:t>The meeting adjourned at 2:17 p.m.</w:t>
      </w:r>
    </w:p>
    <w:p w:rsidR="00AC1D3A" w:rsidRDefault="00AC1D3A"/>
    <w:sectPr w:rsidR="00AC1D3A" w:rsidSect="000A236C">
      <w:footerReference w:type="even" r:id="rId5"/>
      <w:footerReference w:type="default" r:id="rId6"/>
      <w:pgSz w:w="12240" w:h="15840"/>
      <w:pgMar w:top="1080" w:right="144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18" w:rsidRDefault="00822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D18" w:rsidRDefault="00822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18" w:rsidRDefault="00822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F5E">
      <w:rPr>
        <w:rStyle w:val="PageNumber"/>
        <w:noProof/>
      </w:rPr>
      <w:t>4</w:t>
    </w:r>
    <w:r>
      <w:rPr>
        <w:rStyle w:val="PageNumber"/>
      </w:rPr>
      <w:fldChar w:fldCharType="end"/>
    </w:r>
  </w:p>
  <w:p w:rsidR="00273D18" w:rsidRDefault="008221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949D4"/>
    <w:multiLevelType w:val="hybridMultilevel"/>
    <w:tmpl w:val="02143470"/>
    <w:lvl w:ilvl="0" w:tplc="746CDA4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5E"/>
    <w:rsid w:val="005C4F5E"/>
    <w:rsid w:val="00AC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603AD4D-5F74-44B9-BA32-9DCB466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F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4F5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4F5E"/>
    <w:rPr>
      <w:rFonts w:ascii="Times New Roman" w:eastAsia="Times New Roman" w:hAnsi="Times New Roman" w:cs="Times New Roman"/>
      <w:b/>
      <w:bCs/>
      <w:sz w:val="24"/>
      <w:szCs w:val="24"/>
    </w:rPr>
  </w:style>
  <w:style w:type="paragraph" w:styleId="Footer">
    <w:name w:val="footer"/>
    <w:basedOn w:val="Normal"/>
    <w:link w:val="FooterChar"/>
    <w:semiHidden/>
    <w:rsid w:val="005C4F5E"/>
    <w:pPr>
      <w:tabs>
        <w:tab w:val="center" w:pos="4320"/>
        <w:tab w:val="right" w:pos="8640"/>
      </w:tabs>
    </w:pPr>
  </w:style>
  <w:style w:type="character" w:customStyle="1" w:styleId="FooterChar">
    <w:name w:val="Footer Char"/>
    <w:basedOn w:val="DefaultParagraphFont"/>
    <w:link w:val="Footer"/>
    <w:semiHidden/>
    <w:rsid w:val="005C4F5E"/>
    <w:rPr>
      <w:rFonts w:ascii="Times New Roman" w:eastAsia="Times New Roman" w:hAnsi="Times New Roman" w:cs="Times New Roman"/>
      <w:sz w:val="24"/>
      <w:szCs w:val="24"/>
    </w:rPr>
  </w:style>
  <w:style w:type="character" w:styleId="PageNumber">
    <w:name w:val="page number"/>
    <w:basedOn w:val="DefaultParagraphFont"/>
    <w:semiHidden/>
    <w:rsid w:val="005C4F5E"/>
  </w:style>
  <w:style w:type="paragraph" w:styleId="BodyText">
    <w:name w:val="Body Text"/>
    <w:basedOn w:val="Normal"/>
    <w:link w:val="BodyTextChar"/>
    <w:semiHidden/>
    <w:rsid w:val="005C4F5E"/>
    <w:rPr>
      <w:sz w:val="22"/>
    </w:rPr>
  </w:style>
  <w:style w:type="character" w:customStyle="1" w:styleId="BodyTextChar">
    <w:name w:val="Body Text Char"/>
    <w:basedOn w:val="DefaultParagraphFont"/>
    <w:link w:val="BodyText"/>
    <w:semiHidden/>
    <w:rsid w:val="005C4F5E"/>
    <w:rPr>
      <w:rFonts w:ascii="Times New Roman" w:eastAsia="Times New Roman" w:hAnsi="Times New Roman" w:cs="Times New Roman"/>
      <w:szCs w:val="24"/>
    </w:rPr>
  </w:style>
  <w:style w:type="paragraph" w:styleId="BodyText3">
    <w:name w:val="Body Text 3"/>
    <w:basedOn w:val="Normal"/>
    <w:link w:val="BodyText3Char"/>
    <w:semiHidden/>
    <w:rsid w:val="005C4F5E"/>
    <w:pPr>
      <w:jc w:val="center"/>
    </w:pPr>
    <w:rPr>
      <w:b/>
      <w:bCs/>
    </w:rPr>
  </w:style>
  <w:style w:type="character" w:customStyle="1" w:styleId="BodyText3Char">
    <w:name w:val="Body Text 3 Char"/>
    <w:basedOn w:val="DefaultParagraphFont"/>
    <w:link w:val="BodyText3"/>
    <w:semiHidden/>
    <w:rsid w:val="005C4F5E"/>
    <w:rPr>
      <w:rFonts w:ascii="Times New Roman" w:eastAsia="Times New Roman" w:hAnsi="Times New Roman" w:cs="Times New Roman"/>
      <w:b/>
      <w:bCs/>
      <w:sz w:val="24"/>
      <w:szCs w:val="24"/>
    </w:rPr>
  </w:style>
  <w:style w:type="paragraph" w:styleId="Title">
    <w:name w:val="Title"/>
    <w:basedOn w:val="Normal"/>
    <w:link w:val="TitleChar"/>
    <w:qFormat/>
    <w:rsid w:val="005C4F5E"/>
    <w:pPr>
      <w:jc w:val="center"/>
    </w:pPr>
    <w:rPr>
      <w:b/>
      <w:bCs/>
      <w:sz w:val="22"/>
    </w:rPr>
  </w:style>
  <w:style w:type="character" w:customStyle="1" w:styleId="TitleChar">
    <w:name w:val="Title Char"/>
    <w:basedOn w:val="DefaultParagraphFont"/>
    <w:link w:val="Title"/>
    <w:rsid w:val="005C4F5E"/>
    <w:rPr>
      <w:rFonts w:ascii="Times New Roman" w:eastAsia="Times New Roman" w:hAnsi="Times New Roman" w:cs="Times New Roman"/>
      <w:b/>
      <w:bCs/>
      <w:szCs w:val="24"/>
    </w:rPr>
  </w:style>
  <w:style w:type="paragraph" w:styleId="NormalWeb">
    <w:name w:val="Normal (Web)"/>
    <w:basedOn w:val="Normal"/>
    <w:semiHidden/>
    <w:rsid w:val="005C4F5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
  <cp:revision>1</cp:revision>
  <dcterms:created xsi:type="dcterms:W3CDTF">2020-04-01T13:13:00Z</dcterms:created>
</cp:coreProperties>
</file>