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C6" w:rsidRDefault="00D07CC6" w:rsidP="00557671">
      <w:pPr>
        <w:tabs>
          <w:tab w:val="center" w:pos="4950"/>
        </w:tabs>
        <w:autoSpaceDE w:val="0"/>
        <w:autoSpaceDN w:val="0"/>
        <w:adjustRightInd w:val="0"/>
        <w:ind w:left="-720"/>
        <w:rPr>
          <w:b/>
          <w:noProof/>
        </w:rPr>
      </w:pPr>
      <w:bookmarkStart w:id="0" w:name="_GoBack"/>
      <w:bookmarkEnd w:id="0"/>
    </w:p>
    <w:p w:rsidR="00D07CC6" w:rsidRDefault="00D07CC6" w:rsidP="00557671">
      <w:pPr>
        <w:pStyle w:val="Header"/>
        <w:ind w:left="-1080"/>
        <w:jc w:val="center"/>
      </w:pPr>
      <w:r w:rsidRPr="00404283">
        <w:rPr>
          <w:noProof/>
        </w:rPr>
        <w:drawing>
          <wp:inline distT="0" distB="0" distL="0" distR="0" wp14:anchorId="126E1469" wp14:editId="2411B56C">
            <wp:extent cx="7239000" cy="17716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38" t="14632" r="3003" b="9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CC6" w:rsidRDefault="00D07CC6" w:rsidP="00557671">
      <w:pPr>
        <w:tabs>
          <w:tab w:val="center" w:pos="4950"/>
        </w:tabs>
        <w:autoSpaceDE w:val="0"/>
        <w:autoSpaceDN w:val="0"/>
        <w:adjustRightInd w:val="0"/>
        <w:rPr>
          <w:b/>
          <w:noProof/>
        </w:rPr>
      </w:pPr>
    </w:p>
    <w:p w:rsidR="00D07CC6" w:rsidRPr="00D4546E" w:rsidRDefault="00D07CC6" w:rsidP="00557671">
      <w:pPr>
        <w:tabs>
          <w:tab w:val="center" w:pos="4950"/>
        </w:tabs>
        <w:autoSpaceDE w:val="0"/>
        <w:autoSpaceDN w:val="0"/>
        <w:adjustRightInd w:val="0"/>
        <w:jc w:val="center"/>
        <w:rPr>
          <w:b/>
        </w:rPr>
      </w:pPr>
      <w:r w:rsidRPr="00D4546E">
        <w:rPr>
          <w:b/>
        </w:rPr>
        <w:t>MEMORANDUM</w:t>
      </w:r>
    </w:p>
    <w:p w:rsidR="00D07CC6" w:rsidRPr="00D4546E" w:rsidRDefault="00D07CC6" w:rsidP="00557671">
      <w:pPr>
        <w:autoSpaceDE w:val="0"/>
        <w:autoSpaceDN w:val="0"/>
        <w:adjustRightInd w:val="0"/>
      </w:pPr>
    </w:p>
    <w:p w:rsidR="00D07CC6" w:rsidRPr="00D4546E" w:rsidRDefault="00D07CC6" w:rsidP="00557671">
      <w:pPr>
        <w:tabs>
          <w:tab w:val="left" w:pos="1080"/>
        </w:tabs>
        <w:autoSpaceDE w:val="0"/>
        <w:autoSpaceDN w:val="0"/>
        <w:adjustRightInd w:val="0"/>
      </w:pPr>
    </w:p>
    <w:p w:rsidR="00D07CC6" w:rsidRPr="005077D8" w:rsidRDefault="00D07CC6" w:rsidP="00557671">
      <w:pPr>
        <w:tabs>
          <w:tab w:val="left" w:pos="1080"/>
        </w:tabs>
        <w:autoSpaceDE w:val="0"/>
        <w:autoSpaceDN w:val="0"/>
        <w:adjustRightInd w:val="0"/>
        <w:rPr>
          <w:sz w:val="23"/>
          <w:szCs w:val="23"/>
        </w:rPr>
      </w:pPr>
      <w:r w:rsidRPr="005077D8">
        <w:rPr>
          <w:sz w:val="23"/>
          <w:szCs w:val="23"/>
        </w:rPr>
        <w:t>TO:</w:t>
      </w:r>
      <w:r w:rsidRPr="005077D8">
        <w:rPr>
          <w:sz w:val="23"/>
          <w:szCs w:val="23"/>
        </w:rPr>
        <w:tab/>
        <w:t>C</w:t>
      </w:r>
      <w:r>
        <w:rPr>
          <w:sz w:val="23"/>
          <w:szCs w:val="23"/>
        </w:rPr>
        <w:t>ommission Chairman James F. Huston</w:t>
      </w:r>
    </w:p>
    <w:p w:rsidR="00D07CC6" w:rsidRPr="005077D8" w:rsidRDefault="00D07CC6" w:rsidP="00557671">
      <w:pPr>
        <w:tabs>
          <w:tab w:val="left" w:pos="1080"/>
        </w:tabs>
        <w:autoSpaceDE w:val="0"/>
        <w:autoSpaceDN w:val="0"/>
        <w:adjustRightInd w:val="0"/>
        <w:spacing w:after="240"/>
        <w:rPr>
          <w:sz w:val="23"/>
          <w:szCs w:val="23"/>
        </w:rPr>
      </w:pPr>
      <w:r w:rsidRPr="005077D8">
        <w:rPr>
          <w:sz w:val="23"/>
          <w:szCs w:val="23"/>
        </w:rPr>
        <w:tab/>
        <w:t xml:space="preserve">Commissioners </w:t>
      </w:r>
      <w:r w:rsidRPr="00193A0F">
        <w:rPr>
          <w:noProof/>
          <w:sz w:val="23"/>
          <w:szCs w:val="23"/>
        </w:rPr>
        <w:t>Freeman, Ober, and Ziegner</w:t>
      </w:r>
    </w:p>
    <w:p w:rsidR="00D07CC6" w:rsidRPr="005077D8" w:rsidRDefault="00D07CC6" w:rsidP="00557671">
      <w:pPr>
        <w:tabs>
          <w:tab w:val="left" w:pos="1080"/>
        </w:tabs>
        <w:autoSpaceDE w:val="0"/>
        <w:autoSpaceDN w:val="0"/>
        <w:adjustRightInd w:val="0"/>
        <w:spacing w:after="240"/>
        <w:rPr>
          <w:sz w:val="23"/>
          <w:szCs w:val="23"/>
        </w:rPr>
      </w:pPr>
      <w:r w:rsidRPr="005077D8">
        <w:rPr>
          <w:sz w:val="23"/>
          <w:szCs w:val="23"/>
        </w:rPr>
        <w:t>FROM:</w:t>
      </w:r>
      <w:r w:rsidRPr="005077D8">
        <w:rPr>
          <w:sz w:val="23"/>
          <w:szCs w:val="23"/>
        </w:rPr>
        <w:tab/>
        <w:t>Commission Technical Divisions</w:t>
      </w:r>
    </w:p>
    <w:p w:rsidR="00D07CC6" w:rsidRPr="005077D8" w:rsidRDefault="00D07CC6" w:rsidP="00557671">
      <w:pPr>
        <w:tabs>
          <w:tab w:val="left" w:pos="1080"/>
        </w:tabs>
        <w:autoSpaceDE w:val="0"/>
        <w:autoSpaceDN w:val="0"/>
        <w:adjustRightInd w:val="0"/>
        <w:spacing w:after="240"/>
        <w:rPr>
          <w:sz w:val="23"/>
          <w:szCs w:val="23"/>
        </w:rPr>
      </w:pPr>
      <w:r>
        <w:rPr>
          <w:sz w:val="23"/>
          <w:szCs w:val="23"/>
        </w:rPr>
        <w:t>DATE:</w:t>
      </w:r>
      <w:r>
        <w:rPr>
          <w:sz w:val="23"/>
          <w:szCs w:val="23"/>
        </w:rPr>
        <w:tab/>
        <w:t>September 6, 2019</w:t>
      </w:r>
    </w:p>
    <w:p w:rsidR="00D07CC6" w:rsidRPr="005077D8" w:rsidRDefault="00D07CC6" w:rsidP="00557671">
      <w:pPr>
        <w:tabs>
          <w:tab w:val="left" w:pos="1080"/>
        </w:tabs>
        <w:autoSpaceDE w:val="0"/>
        <w:autoSpaceDN w:val="0"/>
        <w:adjustRightInd w:val="0"/>
        <w:spacing w:after="240"/>
        <w:ind w:left="1080" w:right="108" w:hanging="1080"/>
        <w:rPr>
          <w:sz w:val="23"/>
          <w:szCs w:val="23"/>
        </w:rPr>
      </w:pPr>
      <w:r w:rsidRPr="005077D8">
        <w:rPr>
          <w:sz w:val="23"/>
          <w:szCs w:val="23"/>
        </w:rPr>
        <w:t>RE:</w:t>
      </w:r>
      <w:r w:rsidRPr="005077D8">
        <w:rPr>
          <w:sz w:val="23"/>
          <w:szCs w:val="23"/>
        </w:rPr>
        <w:tab/>
      </w:r>
      <w:r w:rsidRPr="005E46B6">
        <w:rPr>
          <w:spacing w:val="-3"/>
          <w:sz w:val="23"/>
          <w:szCs w:val="23"/>
        </w:rPr>
        <w:t xml:space="preserve">30-Day Utility Articles for Conference on </w:t>
      </w:r>
      <w:r w:rsidRPr="00193A0F">
        <w:rPr>
          <w:i/>
          <w:noProof/>
          <w:spacing w:val="-3"/>
          <w:sz w:val="23"/>
          <w:szCs w:val="23"/>
        </w:rPr>
        <w:t>Wednesday September 11, 2019 @ 10:00 a.m.</w:t>
      </w:r>
    </w:p>
    <w:p w:rsidR="00D07CC6" w:rsidRPr="00DE533D" w:rsidRDefault="00D07CC6" w:rsidP="00557671">
      <w:pPr>
        <w:autoSpaceDE w:val="0"/>
        <w:autoSpaceDN w:val="0"/>
        <w:adjustRightInd w:val="0"/>
        <w:spacing w:after="240" w:line="360" w:lineRule="auto"/>
        <w:ind w:right="115"/>
        <w:jc w:val="both"/>
        <w:rPr>
          <w:color w:val="FF0000"/>
          <w:sz w:val="23"/>
          <w:szCs w:val="23"/>
        </w:rPr>
      </w:pPr>
      <w:r w:rsidRPr="005077D8">
        <w:rPr>
          <w:sz w:val="23"/>
          <w:szCs w:val="23"/>
        </w:rPr>
        <w:t>The following thirty-day filings have been submitted to the Commission. Each item was reviewed by the appropriate Commission Technical Divisions and all regulations were met in accordance with 170 IAC 1-6 Thirty-Day Administrative Filing Procedures and Guidelines. Therefore, the following filings listed below and attached hereto are recommended to be considered by the Commission at the next conference:</w:t>
      </w:r>
      <w:r w:rsidRPr="00DE533D">
        <w:rPr>
          <w:color w:val="FF0000"/>
          <w:sz w:val="23"/>
          <w:szCs w:val="23"/>
        </w:rPr>
        <w:t xml:space="preserve"> </w:t>
      </w:r>
    </w:p>
    <w:tbl>
      <w:tblPr>
        <w:tblStyle w:val="TableGrid"/>
        <w:tblW w:w="977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2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1096"/>
        <w:gridCol w:w="3055"/>
        <w:gridCol w:w="2442"/>
        <w:gridCol w:w="1607"/>
      </w:tblGrid>
      <w:tr w:rsidR="00D07CC6" w:rsidRPr="00550451" w:rsidTr="00557671">
        <w:trPr>
          <w:trHeight w:val="720"/>
        </w:trPr>
        <w:tc>
          <w:tcPr>
            <w:tcW w:w="1574" w:type="dxa"/>
            <w:vAlign w:val="center"/>
          </w:tcPr>
          <w:p w:rsidR="00D07CC6" w:rsidRPr="00557671" w:rsidRDefault="00D07CC6" w:rsidP="00557671">
            <w:pPr>
              <w:autoSpaceDE w:val="0"/>
              <w:autoSpaceDN w:val="0"/>
              <w:adjustRightInd w:val="0"/>
              <w:ind w:left="-72" w:right="-22"/>
              <w:jc w:val="center"/>
              <w:rPr>
                <w:b/>
                <w:sz w:val="21"/>
                <w:szCs w:val="21"/>
              </w:rPr>
            </w:pPr>
            <w:r w:rsidRPr="00557671">
              <w:rPr>
                <w:b/>
                <w:spacing w:val="-8"/>
                <w:sz w:val="21"/>
                <w:szCs w:val="21"/>
              </w:rPr>
              <w:t xml:space="preserve">Attachment </w:t>
            </w:r>
            <w:r w:rsidRPr="00557671">
              <w:rPr>
                <w:b/>
                <w:bCs/>
                <w:iCs/>
                <w:sz w:val="21"/>
                <w:szCs w:val="21"/>
              </w:rPr>
              <w:t>Number</w:t>
            </w:r>
          </w:p>
        </w:tc>
        <w:tc>
          <w:tcPr>
            <w:tcW w:w="1096" w:type="dxa"/>
            <w:vAlign w:val="center"/>
          </w:tcPr>
          <w:p w:rsidR="00D07CC6" w:rsidRPr="00557671" w:rsidRDefault="00D07CC6" w:rsidP="00557671">
            <w:pPr>
              <w:autoSpaceDE w:val="0"/>
              <w:autoSpaceDN w:val="0"/>
              <w:adjustRightInd w:val="0"/>
              <w:ind w:left="-52" w:right="-24"/>
              <w:jc w:val="center"/>
              <w:rPr>
                <w:b/>
                <w:sz w:val="21"/>
                <w:szCs w:val="21"/>
              </w:rPr>
            </w:pPr>
            <w:r w:rsidRPr="00557671">
              <w:rPr>
                <w:b/>
                <w:spacing w:val="-8"/>
                <w:sz w:val="21"/>
                <w:szCs w:val="21"/>
              </w:rPr>
              <w:t>30-Day  Filing No.</w:t>
            </w:r>
          </w:p>
        </w:tc>
        <w:tc>
          <w:tcPr>
            <w:tcW w:w="3055" w:type="dxa"/>
            <w:vAlign w:val="center"/>
          </w:tcPr>
          <w:p w:rsidR="00D07CC6" w:rsidRPr="00557671" w:rsidRDefault="00D07CC6" w:rsidP="00557671">
            <w:pPr>
              <w:jc w:val="center"/>
              <w:rPr>
                <w:b/>
                <w:sz w:val="21"/>
                <w:szCs w:val="21"/>
              </w:rPr>
            </w:pPr>
            <w:r w:rsidRPr="00557671">
              <w:rPr>
                <w:b/>
                <w:sz w:val="21"/>
                <w:szCs w:val="21"/>
              </w:rPr>
              <w:t>Name of Utility Company</w:t>
            </w:r>
          </w:p>
        </w:tc>
        <w:tc>
          <w:tcPr>
            <w:tcW w:w="2442" w:type="dxa"/>
            <w:vAlign w:val="center"/>
          </w:tcPr>
          <w:p w:rsidR="00D07CC6" w:rsidRPr="00557671" w:rsidRDefault="00D07CC6" w:rsidP="00557671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1"/>
                <w:szCs w:val="21"/>
              </w:rPr>
            </w:pPr>
            <w:r w:rsidRPr="00557671">
              <w:rPr>
                <w:b/>
                <w:sz w:val="21"/>
                <w:szCs w:val="21"/>
              </w:rPr>
              <w:t>Type of Request</w:t>
            </w:r>
          </w:p>
        </w:tc>
        <w:tc>
          <w:tcPr>
            <w:tcW w:w="1607" w:type="dxa"/>
            <w:vAlign w:val="center"/>
          </w:tcPr>
          <w:p w:rsidR="00D07CC6" w:rsidRPr="00557671" w:rsidRDefault="00D07CC6" w:rsidP="00557671">
            <w:pPr>
              <w:autoSpaceDE w:val="0"/>
              <w:autoSpaceDN w:val="0"/>
              <w:adjustRightInd w:val="0"/>
              <w:ind w:right="32"/>
              <w:jc w:val="center"/>
              <w:rPr>
                <w:b/>
                <w:spacing w:val="-8"/>
                <w:sz w:val="21"/>
                <w:szCs w:val="21"/>
              </w:rPr>
            </w:pPr>
            <w:r w:rsidRPr="00557671">
              <w:rPr>
                <w:b/>
                <w:spacing w:val="-8"/>
                <w:sz w:val="21"/>
                <w:szCs w:val="21"/>
              </w:rPr>
              <w:t>Date Received</w:t>
            </w:r>
          </w:p>
        </w:tc>
      </w:tr>
      <w:tr w:rsidR="00D07CC6" w:rsidRPr="00715DAF" w:rsidTr="00557671">
        <w:trPr>
          <w:trHeight w:val="432"/>
        </w:trPr>
        <w:tc>
          <w:tcPr>
            <w:tcW w:w="1574" w:type="dxa"/>
            <w:vAlign w:val="center"/>
          </w:tcPr>
          <w:p w:rsidR="00D07CC6" w:rsidRPr="006D26EE" w:rsidRDefault="00D07CC6" w:rsidP="00557671">
            <w:pPr>
              <w:autoSpaceDE w:val="0"/>
              <w:autoSpaceDN w:val="0"/>
              <w:adjustRightInd w:val="0"/>
              <w:spacing w:before="40"/>
              <w:ind w:left="-108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096" w:type="dxa"/>
            <w:vAlign w:val="center"/>
          </w:tcPr>
          <w:p w:rsidR="00D07CC6" w:rsidRPr="006D26EE" w:rsidRDefault="00D07CC6" w:rsidP="00557671">
            <w:pPr>
              <w:autoSpaceDE w:val="0"/>
              <w:autoSpaceDN w:val="0"/>
              <w:adjustRightInd w:val="0"/>
              <w:spacing w:before="40"/>
              <w:ind w:left="-108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50287</w:t>
            </w:r>
          </w:p>
        </w:tc>
        <w:tc>
          <w:tcPr>
            <w:tcW w:w="3055" w:type="dxa"/>
            <w:vAlign w:val="center"/>
          </w:tcPr>
          <w:p w:rsidR="00D07CC6" w:rsidRPr="006D26EE" w:rsidRDefault="00D07CC6" w:rsidP="00557671">
            <w:pPr>
              <w:spacing w:before="40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Boonville Municipal Water Works</w:t>
            </w:r>
          </w:p>
        </w:tc>
        <w:tc>
          <w:tcPr>
            <w:tcW w:w="2442" w:type="dxa"/>
            <w:vAlign w:val="center"/>
          </w:tcPr>
          <w:p w:rsidR="00D07CC6" w:rsidRPr="006D26EE" w:rsidRDefault="00D07CC6" w:rsidP="00557671">
            <w:pPr>
              <w:autoSpaceDE w:val="0"/>
              <w:autoSpaceDN w:val="0"/>
              <w:adjustRightInd w:val="0"/>
              <w:spacing w:before="40"/>
              <w:ind w:right="-43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To increase its: (i) existing sales for resale charge to Yankeetown/Indiana American Water; (ii) tap fees; (iii) special meter reading charge; (iv) special meter accuracy test; and (v) bad check charge for all customers (Exhibit 3).</w:t>
            </w:r>
          </w:p>
        </w:tc>
        <w:tc>
          <w:tcPr>
            <w:tcW w:w="1607" w:type="dxa"/>
            <w:vAlign w:val="center"/>
          </w:tcPr>
          <w:p w:rsidR="00D07CC6" w:rsidRPr="006D26EE" w:rsidRDefault="00D07CC6" w:rsidP="00557671">
            <w:pPr>
              <w:autoSpaceDE w:val="0"/>
              <w:autoSpaceDN w:val="0"/>
              <w:adjustRightInd w:val="0"/>
              <w:spacing w:before="40"/>
              <w:ind w:left="-16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7/23/2019</w:t>
            </w:r>
          </w:p>
          <w:p w:rsidR="00D07CC6" w:rsidRPr="006D26EE" w:rsidRDefault="00D07CC6" w:rsidP="00557671">
            <w:pPr>
              <w:autoSpaceDE w:val="0"/>
              <w:autoSpaceDN w:val="0"/>
              <w:adjustRightInd w:val="0"/>
              <w:spacing w:before="40"/>
              <w:ind w:left="-16"/>
              <w:jc w:val="center"/>
              <w:rPr>
                <w:sz w:val="21"/>
                <w:szCs w:val="21"/>
              </w:rPr>
            </w:pPr>
          </w:p>
        </w:tc>
      </w:tr>
      <w:tr w:rsidR="00D07CC6" w:rsidRPr="00715DAF" w:rsidTr="00557671">
        <w:trPr>
          <w:trHeight w:val="432"/>
        </w:trPr>
        <w:tc>
          <w:tcPr>
            <w:tcW w:w="1574" w:type="dxa"/>
            <w:vAlign w:val="center"/>
          </w:tcPr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08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096" w:type="dxa"/>
            <w:vAlign w:val="center"/>
          </w:tcPr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08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50290</w:t>
            </w:r>
          </w:p>
        </w:tc>
        <w:tc>
          <w:tcPr>
            <w:tcW w:w="3055" w:type="dxa"/>
            <w:vAlign w:val="center"/>
          </w:tcPr>
          <w:p w:rsidR="00D07CC6" w:rsidRPr="006D26EE" w:rsidRDefault="00D07CC6" w:rsidP="00C150A1">
            <w:pPr>
              <w:spacing w:before="40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Lebanon Municipal Utilities - Electric</w:t>
            </w:r>
          </w:p>
        </w:tc>
        <w:tc>
          <w:tcPr>
            <w:tcW w:w="2442" w:type="dxa"/>
          </w:tcPr>
          <w:p w:rsidR="00D07CC6" w:rsidRPr="006D26EE" w:rsidRDefault="00D07CC6" w:rsidP="00C150A1">
            <w:r w:rsidRPr="00193A0F">
              <w:rPr>
                <w:noProof/>
                <w:sz w:val="21"/>
                <w:szCs w:val="21"/>
              </w:rPr>
              <w:t>To implement an average change in the rates for electric service charged by its supplier, Indiana Municipal Power Agency</w:t>
            </w:r>
          </w:p>
        </w:tc>
        <w:tc>
          <w:tcPr>
            <w:tcW w:w="1607" w:type="dxa"/>
            <w:vAlign w:val="center"/>
          </w:tcPr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6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8/6/2019</w:t>
            </w:r>
          </w:p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6"/>
              <w:jc w:val="center"/>
              <w:rPr>
                <w:sz w:val="21"/>
                <w:szCs w:val="21"/>
              </w:rPr>
            </w:pPr>
          </w:p>
        </w:tc>
      </w:tr>
      <w:tr w:rsidR="00D07CC6" w:rsidRPr="00715DAF" w:rsidTr="00557671">
        <w:trPr>
          <w:trHeight w:val="432"/>
        </w:trPr>
        <w:tc>
          <w:tcPr>
            <w:tcW w:w="1574" w:type="dxa"/>
            <w:vAlign w:val="center"/>
          </w:tcPr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08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3</w:t>
            </w:r>
          </w:p>
        </w:tc>
        <w:tc>
          <w:tcPr>
            <w:tcW w:w="1096" w:type="dxa"/>
            <w:vAlign w:val="center"/>
          </w:tcPr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08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50291</w:t>
            </w:r>
          </w:p>
        </w:tc>
        <w:tc>
          <w:tcPr>
            <w:tcW w:w="3055" w:type="dxa"/>
            <w:vAlign w:val="center"/>
          </w:tcPr>
          <w:p w:rsidR="00D07CC6" w:rsidRPr="006D26EE" w:rsidRDefault="00D07CC6" w:rsidP="00C150A1">
            <w:pPr>
              <w:spacing w:before="40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Washington County Rural Telephone Cooperative, Inc.</w:t>
            </w:r>
          </w:p>
        </w:tc>
        <w:tc>
          <w:tcPr>
            <w:tcW w:w="2442" w:type="dxa"/>
          </w:tcPr>
          <w:p w:rsidR="00D07CC6" w:rsidRPr="006D26EE" w:rsidRDefault="00D07CC6" w:rsidP="00C150A1">
            <w:r w:rsidRPr="00193A0F">
              <w:rPr>
                <w:noProof/>
                <w:sz w:val="21"/>
                <w:szCs w:val="21"/>
              </w:rPr>
              <w:t>Clarifies what parts of the Indiana Utility Regulatory Commission TARIFF I.U.R.C. NO. T-7 that they concur in.</w:t>
            </w:r>
          </w:p>
        </w:tc>
        <w:tc>
          <w:tcPr>
            <w:tcW w:w="1607" w:type="dxa"/>
            <w:vAlign w:val="center"/>
          </w:tcPr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6"/>
              <w:jc w:val="center"/>
              <w:rPr>
                <w:sz w:val="21"/>
                <w:szCs w:val="21"/>
              </w:rPr>
            </w:pPr>
            <w:r w:rsidRPr="00193A0F">
              <w:rPr>
                <w:noProof/>
                <w:sz w:val="21"/>
                <w:szCs w:val="21"/>
              </w:rPr>
              <w:t>8/8/2019</w:t>
            </w:r>
          </w:p>
          <w:p w:rsidR="00D07CC6" w:rsidRPr="006D26EE" w:rsidRDefault="00D07CC6" w:rsidP="00C150A1">
            <w:pPr>
              <w:autoSpaceDE w:val="0"/>
              <w:autoSpaceDN w:val="0"/>
              <w:adjustRightInd w:val="0"/>
              <w:spacing w:before="40"/>
              <w:ind w:left="-16"/>
              <w:jc w:val="center"/>
              <w:rPr>
                <w:sz w:val="21"/>
                <w:szCs w:val="21"/>
              </w:rPr>
            </w:pPr>
          </w:p>
        </w:tc>
      </w:tr>
    </w:tbl>
    <w:p w:rsidR="00D07CC6" w:rsidRDefault="00D07CC6">
      <w:pPr>
        <w:sectPr w:rsidR="00D07CC6" w:rsidSect="00D07CC6">
          <w:pgSz w:w="12240" w:h="15840"/>
          <w:pgMar w:top="0" w:right="1440" w:bottom="720" w:left="1440" w:header="720" w:footer="720" w:gutter="0"/>
          <w:pgNumType w:start="1"/>
          <w:cols w:space="720"/>
          <w:docGrid w:linePitch="360"/>
        </w:sectPr>
      </w:pPr>
    </w:p>
    <w:p w:rsidR="00D07CC6" w:rsidRDefault="00D07CC6"/>
    <w:sectPr w:rsidR="00D07CC6" w:rsidSect="00D07CC6">
      <w:type w:val="continuous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A1"/>
    <w:rsid w:val="0016533D"/>
    <w:rsid w:val="004F45C1"/>
    <w:rsid w:val="00557671"/>
    <w:rsid w:val="006366AA"/>
    <w:rsid w:val="006D26EE"/>
    <w:rsid w:val="006F5B83"/>
    <w:rsid w:val="008031BF"/>
    <w:rsid w:val="008C21F8"/>
    <w:rsid w:val="00C150A1"/>
    <w:rsid w:val="00C6229E"/>
    <w:rsid w:val="00D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2E22A4-1325-4F43-A08E-8B12C787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F63C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63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Virginia</dc:creator>
  <cp:keywords/>
  <dc:description/>
  <cp:lastModifiedBy>Evans, Patrick</cp:lastModifiedBy>
  <cp:revision>2</cp:revision>
  <cp:lastPrinted>2017-05-19T20:00:00Z</cp:lastPrinted>
  <dcterms:created xsi:type="dcterms:W3CDTF">2019-09-06T18:26:00Z</dcterms:created>
  <dcterms:modified xsi:type="dcterms:W3CDTF">2019-09-06T18:26:00Z</dcterms:modified>
</cp:coreProperties>
</file>