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9724" w14:textId="31C64727" w:rsidR="00CB7FFA" w:rsidRDefault="006618D1">
      <w:pPr>
        <w:pStyle w:val="BodyText2"/>
      </w:pPr>
      <w:r>
        <w:br/>
      </w:r>
      <w:r w:rsidR="0000545D">
        <w:t xml:space="preserve">APPENDIX A TO GAO </w:t>
      </w:r>
      <w:r w:rsidR="008E1C92" w:rsidRPr="00C367C3">
        <w:t>20</w:t>
      </w:r>
      <w:r w:rsidR="00541F51">
        <w:t>20</w:t>
      </w:r>
      <w:r w:rsidR="00C367C3" w:rsidRPr="00C367C3">
        <w:t>-</w:t>
      </w:r>
      <w:r w:rsidR="00541F51" w:rsidRPr="00541F51">
        <w:rPr>
          <w:highlight w:val="yellow"/>
        </w:rPr>
        <w:t>XX</w:t>
      </w:r>
    </w:p>
    <w:p w14:paraId="1EA46ED9" w14:textId="253D3FD8" w:rsidR="0000545D" w:rsidRDefault="0000545D">
      <w:pPr>
        <w:pStyle w:val="BodyText2"/>
      </w:pPr>
    </w:p>
    <w:p w14:paraId="2C798575" w14:textId="77777777" w:rsidR="0000545D" w:rsidRDefault="0000545D">
      <w:pPr>
        <w:pStyle w:val="BodyText2"/>
      </w:pPr>
      <w:r>
        <w:t xml:space="preserve">IMPROVING PROCEDURAL EFFICIENCIES </w:t>
      </w:r>
    </w:p>
    <w:p w14:paraId="39C7001C" w14:textId="6B7CC409" w:rsidR="0000545D" w:rsidRDefault="0000545D">
      <w:pPr>
        <w:pStyle w:val="BodyText2"/>
      </w:pPr>
      <w:r>
        <w:t>GUIDELINES AND RECOMMENDATIONS</w:t>
      </w:r>
    </w:p>
    <w:p w14:paraId="0B379725" w14:textId="6A3857DD" w:rsidR="00CB7FFA" w:rsidRDefault="00CB7FFA"/>
    <w:p w14:paraId="0E8F9BE5" w14:textId="365C552B" w:rsidR="00E855E1" w:rsidRDefault="00E855E1"/>
    <w:p w14:paraId="0F3C1636" w14:textId="4CD9A255" w:rsidR="00E855E1" w:rsidRDefault="008670B8" w:rsidP="00D81453">
      <w:pPr>
        <w:pStyle w:val="ListParagraph"/>
        <w:numPr>
          <w:ilvl w:val="0"/>
          <w:numId w:val="8"/>
        </w:numPr>
        <w:ind w:left="360" w:hanging="360"/>
      </w:pPr>
      <w:r>
        <w:t xml:space="preserve">The following guidelines </w:t>
      </w:r>
      <w:r w:rsidR="002265D9">
        <w:t xml:space="preserve">apply to all docketed proceedings of the Indiana Utility Regulatory </w:t>
      </w:r>
      <w:r w:rsidR="00D81453">
        <w:t>C</w:t>
      </w:r>
      <w:r w:rsidR="002265D9">
        <w:t>o</w:t>
      </w:r>
      <w:r w:rsidR="00D81453">
        <w:t>m</w:t>
      </w:r>
      <w:r w:rsidR="002265D9">
        <w:t>mission (“Commission” or “IURC”)</w:t>
      </w:r>
      <w:r w:rsidR="001D0FD8">
        <w:t>:</w:t>
      </w:r>
    </w:p>
    <w:p w14:paraId="54357609" w14:textId="22F9D52F" w:rsidR="00741FB7" w:rsidRDefault="00741FB7" w:rsidP="00741FB7"/>
    <w:p w14:paraId="3BCFE654" w14:textId="6D308EDB" w:rsidR="00026AA2" w:rsidRPr="00026AA2" w:rsidRDefault="00026AA2" w:rsidP="00030247">
      <w:pPr>
        <w:pStyle w:val="ListParagraph"/>
        <w:numPr>
          <w:ilvl w:val="0"/>
          <w:numId w:val="17"/>
        </w:numPr>
      </w:pPr>
      <w:r w:rsidRPr="00026AA2">
        <w:t>All hearings</w:t>
      </w:r>
      <w:r w:rsidR="00A04B80">
        <w:t xml:space="preserve">, </w:t>
      </w:r>
      <w:r w:rsidRPr="00026AA2">
        <w:t>pre-hearing conferences</w:t>
      </w:r>
      <w:r w:rsidR="00A04B80">
        <w:t>, technical conferences, and attorney conferences</w:t>
      </w:r>
      <w:r w:rsidR="00A746BB">
        <w:t>, except for public field hearings,</w:t>
      </w:r>
      <w:r w:rsidRPr="00026AA2">
        <w:t xml:space="preserve"> may be conducted electronically:</w:t>
      </w:r>
    </w:p>
    <w:p w14:paraId="31C3EB06" w14:textId="68C6D76C" w:rsidR="00026AA2" w:rsidRPr="00026AA2" w:rsidRDefault="00026AA2" w:rsidP="00026AA2">
      <w:pPr>
        <w:numPr>
          <w:ilvl w:val="0"/>
          <w:numId w:val="10"/>
        </w:numPr>
      </w:pPr>
      <w:r w:rsidRPr="00026AA2">
        <w:t>if no party objects; and</w:t>
      </w:r>
      <w:r w:rsidR="003239A2">
        <w:t>/or</w:t>
      </w:r>
    </w:p>
    <w:p w14:paraId="441C1C19" w14:textId="77777777" w:rsidR="00026AA2" w:rsidRPr="00026AA2" w:rsidRDefault="00026AA2" w:rsidP="00026AA2">
      <w:pPr>
        <w:numPr>
          <w:ilvl w:val="0"/>
          <w:numId w:val="10"/>
        </w:numPr>
      </w:pPr>
      <w:r w:rsidRPr="00026AA2">
        <w:t>at the discretion of, and determination by, the Presiding Officers, on a case-by-case basis.</w:t>
      </w:r>
    </w:p>
    <w:p w14:paraId="65742A0A" w14:textId="347DA3CA" w:rsidR="00741FB7" w:rsidRDefault="00741FB7" w:rsidP="00741FB7"/>
    <w:p w14:paraId="5B72EB58" w14:textId="193637BB" w:rsidR="001D0FD8" w:rsidRDefault="001D0FD8" w:rsidP="00D81453">
      <w:pPr>
        <w:pStyle w:val="ListParagraph"/>
        <w:numPr>
          <w:ilvl w:val="0"/>
          <w:numId w:val="8"/>
        </w:numPr>
        <w:ind w:left="360" w:hanging="360"/>
      </w:pPr>
      <w:r>
        <w:t>The following guidelines and recommendations apply to all Commission docketed proceedings</w:t>
      </w:r>
      <w:r w:rsidR="00A22CE5">
        <w:t>,</w:t>
      </w:r>
      <w:r>
        <w:t xml:space="preserve"> except </w:t>
      </w:r>
      <w:r w:rsidR="00DA55C7">
        <w:t xml:space="preserve">for small utility rate case proceedings under Indiana Code </w:t>
      </w:r>
      <w:r w:rsidR="00741FB7">
        <w:t xml:space="preserve">§ </w:t>
      </w:r>
      <w:r w:rsidR="00DA55C7">
        <w:t xml:space="preserve">8-1-2-61.5: </w:t>
      </w:r>
    </w:p>
    <w:p w14:paraId="78B6DA47" w14:textId="6259475F" w:rsidR="006B64E1" w:rsidRDefault="006B64E1" w:rsidP="006B64E1"/>
    <w:p w14:paraId="0BC85BF6" w14:textId="399D8BD6" w:rsidR="00C35EFD" w:rsidRDefault="00383FB0" w:rsidP="00C35EFD">
      <w:pPr>
        <w:pStyle w:val="ListParagraph"/>
        <w:numPr>
          <w:ilvl w:val="0"/>
          <w:numId w:val="11"/>
        </w:numPr>
      </w:pPr>
      <w:r>
        <w:t>The petitioner must submit written testimony in support of the request(s) made in its petition</w:t>
      </w:r>
      <w:r w:rsidR="002140CF">
        <w:t>.</w:t>
      </w:r>
    </w:p>
    <w:p w14:paraId="6C0A67A8" w14:textId="77777777" w:rsidR="002140CF" w:rsidRDefault="002140CF" w:rsidP="002140CF">
      <w:pPr>
        <w:pStyle w:val="ListParagraph"/>
      </w:pPr>
    </w:p>
    <w:p w14:paraId="4485C69B" w14:textId="536C499B" w:rsidR="009C38CE" w:rsidRPr="008311D9" w:rsidRDefault="009C38CE" w:rsidP="008311D9">
      <w:pPr>
        <w:pStyle w:val="ListParagraph"/>
        <w:numPr>
          <w:ilvl w:val="0"/>
          <w:numId w:val="11"/>
        </w:numPr>
      </w:pPr>
      <w:r w:rsidRPr="00C35EFD">
        <w:rPr>
          <w:szCs w:val="24"/>
        </w:rPr>
        <w:t xml:space="preserve">An index of issues </w:t>
      </w:r>
      <w:r w:rsidR="00D33B5F">
        <w:rPr>
          <w:szCs w:val="24"/>
        </w:rPr>
        <w:t>shall</w:t>
      </w:r>
      <w:r w:rsidR="00D33B5F" w:rsidRPr="00C35EFD">
        <w:rPr>
          <w:szCs w:val="24"/>
        </w:rPr>
        <w:t xml:space="preserve"> </w:t>
      </w:r>
      <w:r w:rsidRPr="00C35EFD">
        <w:rPr>
          <w:szCs w:val="24"/>
        </w:rPr>
        <w:t>be included</w:t>
      </w:r>
      <w:r w:rsidR="003239A2" w:rsidRPr="003239A2">
        <w:rPr>
          <w:szCs w:val="24"/>
        </w:rPr>
        <w:t xml:space="preserve"> by any</w:t>
      </w:r>
      <w:r w:rsidRPr="003239A2">
        <w:rPr>
          <w:szCs w:val="24"/>
        </w:rPr>
        <w:t xml:space="preserve"> party</w:t>
      </w:r>
      <w:r w:rsidR="003239A2" w:rsidRPr="003239A2">
        <w:rPr>
          <w:szCs w:val="24"/>
        </w:rPr>
        <w:t xml:space="preserve"> that</w:t>
      </w:r>
      <w:r w:rsidRPr="003239A2">
        <w:rPr>
          <w:szCs w:val="24"/>
        </w:rPr>
        <w:t xml:space="preserve"> has at least </w:t>
      </w:r>
      <w:r w:rsidRPr="008311D9">
        <w:rPr>
          <w:szCs w:val="24"/>
        </w:rPr>
        <w:t xml:space="preserve">four </w:t>
      </w:r>
      <w:r w:rsidRPr="003239A2">
        <w:rPr>
          <w:szCs w:val="24"/>
        </w:rPr>
        <w:t xml:space="preserve">witnesses providing testimony and at least </w:t>
      </w:r>
      <w:r w:rsidRPr="008311D9">
        <w:rPr>
          <w:szCs w:val="24"/>
        </w:rPr>
        <w:t>two</w:t>
      </w:r>
      <w:r w:rsidR="00272AC1" w:rsidRPr="008311D9">
        <w:rPr>
          <w:szCs w:val="24"/>
        </w:rPr>
        <w:t xml:space="preserve"> </w:t>
      </w:r>
      <w:r w:rsidRPr="003239A2">
        <w:rPr>
          <w:szCs w:val="24"/>
        </w:rPr>
        <w:t>of those witnesses are providing testimony on the same issue(s</w:t>
      </w:r>
      <w:r w:rsidR="003239A2">
        <w:rPr>
          <w:szCs w:val="24"/>
        </w:rPr>
        <w:t>)</w:t>
      </w:r>
      <w:r w:rsidR="008311D9">
        <w:rPr>
          <w:szCs w:val="24"/>
        </w:rPr>
        <w:t>.  T</w:t>
      </w:r>
      <w:r w:rsidRPr="008311D9">
        <w:rPr>
          <w:szCs w:val="24"/>
        </w:rPr>
        <w:t>he example of the Indiana Michigan Power Company rate case (IURC Cause No. 45235)</w:t>
      </w:r>
      <w:r w:rsidR="008311D9">
        <w:rPr>
          <w:szCs w:val="24"/>
        </w:rPr>
        <w:t xml:space="preserve"> is recommended</w:t>
      </w:r>
      <w:r w:rsidRPr="008311D9">
        <w:rPr>
          <w:szCs w:val="24"/>
        </w:rPr>
        <w:t>.</w:t>
      </w:r>
    </w:p>
    <w:p w14:paraId="76F29AE1" w14:textId="77777777" w:rsidR="004F7E65" w:rsidRDefault="004F7E65" w:rsidP="004F7E65">
      <w:pPr>
        <w:pStyle w:val="ListParagraph"/>
      </w:pPr>
    </w:p>
    <w:p w14:paraId="72CDAD08" w14:textId="55E876DD" w:rsidR="004F7E65" w:rsidRDefault="004F7E65" w:rsidP="00F270F9">
      <w:pPr>
        <w:pStyle w:val="ListParagraph"/>
        <w:numPr>
          <w:ilvl w:val="0"/>
          <w:numId w:val="11"/>
        </w:numPr>
      </w:pPr>
      <w:r>
        <w:t xml:space="preserve">Any workpapers submitted by any party </w:t>
      </w:r>
      <w:r w:rsidR="00D33B5F">
        <w:t xml:space="preserve">shall </w:t>
      </w:r>
      <w:r>
        <w:t>be submitted as Excel spreadsheets with formulas intact</w:t>
      </w:r>
      <w:r w:rsidR="00030247">
        <w:t xml:space="preserve"> and with explicit references to workpapers or linkages to all source or precursor spreadsheets</w:t>
      </w:r>
      <w:r>
        <w:t>.</w:t>
      </w:r>
      <w:r w:rsidR="00030247">
        <w:t xml:space="preserve">  </w:t>
      </w:r>
    </w:p>
    <w:p w14:paraId="77FC5A9A" w14:textId="77777777" w:rsidR="00861C12" w:rsidRDefault="00861C12" w:rsidP="00861C12">
      <w:pPr>
        <w:pStyle w:val="ListParagraph"/>
      </w:pPr>
    </w:p>
    <w:p w14:paraId="5904F63D" w14:textId="77777777" w:rsidR="00876FB5" w:rsidRDefault="00C56088" w:rsidP="00876FB5">
      <w:pPr>
        <w:pStyle w:val="ListParagraph"/>
        <w:numPr>
          <w:ilvl w:val="0"/>
          <w:numId w:val="11"/>
        </w:numPr>
      </w:pPr>
      <w:r>
        <w:t xml:space="preserve">Petitioners are encouraged to provide additional information </w:t>
      </w:r>
      <w:r w:rsidR="00655017">
        <w:t xml:space="preserve">for background and education </w:t>
      </w:r>
      <w:r>
        <w:t>in their case-in-chief</w:t>
      </w:r>
      <w:r w:rsidR="00861C12">
        <w:t>, including responses to expected questions, to the extent practicable and permissible and, if applicable, without unilaterally disclosing confidential settlement negotiations.</w:t>
      </w:r>
    </w:p>
    <w:p w14:paraId="2E676A77" w14:textId="77777777" w:rsidR="00876FB5" w:rsidRPr="00876FB5" w:rsidRDefault="00876FB5" w:rsidP="00876FB5">
      <w:pPr>
        <w:pStyle w:val="ListParagraph"/>
        <w:rPr>
          <w:rFonts w:eastAsia="Calibri"/>
          <w:szCs w:val="24"/>
        </w:rPr>
      </w:pPr>
    </w:p>
    <w:p w14:paraId="4D3D2DF4" w14:textId="5224E256" w:rsidR="00876FB5" w:rsidRPr="00876FB5" w:rsidRDefault="00876FB5" w:rsidP="00876FB5">
      <w:pPr>
        <w:pStyle w:val="ListParagraph"/>
        <w:numPr>
          <w:ilvl w:val="0"/>
          <w:numId w:val="11"/>
        </w:numPr>
      </w:pPr>
      <w:r w:rsidRPr="00876FB5">
        <w:rPr>
          <w:rFonts w:eastAsia="Calibri"/>
          <w:szCs w:val="24"/>
        </w:rPr>
        <w:t xml:space="preserve">Proposed orders </w:t>
      </w:r>
      <w:r w:rsidR="00D33B5F">
        <w:rPr>
          <w:rFonts w:eastAsia="Calibri"/>
          <w:szCs w:val="24"/>
        </w:rPr>
        <w:t>shall</w:t>
      </w:r>
      <w:r w:rsidRPr="00876FB5">
        <w:rPr>
          <w:rFonts w:eastAsia="Calibri"/>
          <w:szCs w:val="24"/>
        </w:rPr>
        <w:t xml:space="preserve">: </w:t>
      </w:r>
    </w:p>
    <w:p w14:paraId="3F18D40A" w14:textId="77777777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Provide facts used to support the findings and cite those facts, providing the exhibit name/designation and page </w:t>
      </w:r>
      <w:proofErr w:type="gramStart"/>
      <w:r w:rsidRPr="00876FB5">
        <w:rPr>
          <w:rFonts w:eastAsia="Calibri"/>
          <w:szCs w:val="24"/>
        </w:rPr>
        <w:t>number;</w:t>
      </w:r>
      <w:proofErr w:type="gramEnd"/>
    </w:p>
    <w:p w14:paraId="368B5AC6" w14:textId="77777777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Limit the recitation of facts to those that are the substantive evidence upon which the findings that support the ultimate conclusion(s) are </w:t>
      </w:r>
      <w:proofErr w:type="gramStart"/>
      <w:r w:rsidRPr="00876FB5">
        <w:rPr>
          <w:rFonts w:eastAsia="Calibri"/>
          <w:szCs w:val="24"/>
        </w:rPr>
        <w:t>based;</w:t>
      </w:r>
      <w:proofErr w:type="gramEnd"/>
    </w:p>
    <w:p w14:paraId="1B26414A" w14:textId="01B7DFE7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lastRenderedPageBreak/>
        <w:t xml:space="preserve">Not contain any new evidence or new </w:t>
      </w:r>
      <w:r w:rsidR="007A2A94">
        <w:rPr>
          <w:rFonts w:eastAsia="Calibri"/>
          <w:szCs w:val="24"/>
        </w:rPr>
        <w:t xml:space="preserve">factual </w:t>
      </w:r>
      <w:r w:rsidRPr="00876FB5">
        <w:rPr>
          <w:rFonts w:eastAsia="Calibri"/>
          <w:szCs w:val="24"/>
        </w:rPr>
        <w:t xml:space="preserve">arguments (i.e., not submitted or made during </w:t>
      </w:r>
      <w:r w:rsidR="00C50106">
        <w:rPr>
          <w:rFonts w:eastAsia="Calibri"/>
          <w:szCs w:val="24"/>
        </w:rPr>
        <w:t xml:space="preserve">the </w:t>
      </w:r>
      <w:r w:rsidRPr="00876FB5">
        <w:rPr>
          <w:rFonts w:eastAsia="Calibri"/>
          <w:szCs w:val="24"/>
        </w:rPr>
        <w:t>evidentiary hearing); and</w:t>
      </w:r>
    </w:p>
    <w:p w14:paraId="25A361D1" w14:textId="67988C1C" w:rsidR="00876FB5" w:rsidRPr="00876FB5" w:rsidRDefault="00876FB5" w:rsidP="00876FB5">
      <w:pPr>
        <w:numPr>
          <w:ilvl w:val="0"/>
          <w:numId w:val="14"/>
        </w:numPr>
        <w:spacing w:after="160" w:line="259" w:lineRule="auto"/>
        <w:ind w:left="1620"/>
        <w:rPr>
          <w:rFonts w:eastAsia="Calibri"/>
          <w:szCs w:val="24"/>
        </w:rPr>
      </w:pPr>
      <w:r w:rsidRPr="00876FB5">
        <w:rPr>
          <w:rFonts w:eastAsia="Calibri"/>
          <w:szCs w:val="24"/>
        </w:rPr>
        <w:t xml:space="preserve">Not include settlement agreements entered into after the record is closed. </w:t>
      </w:r>
    </w:p>
    <w:p w14:paraId="70F91CC7" w14:textId="3D92B169" w:rsidR="00876FB5" w:rsidRDefault="00933C4F" w:rsidP="00E21975">
      <w:pPr>
        <w:pStyle w:val="ListParagraph"/>
        <w:numPr>
          <w:ilvl w:val="0"/>
          <w:numId w:val="11"/>
        </w:numPr>
      </w:pPr>
      <w:r w:rsidRPr="00E21975">
        <w:rPr>
          <w:rFonts w:eastAsia="Calibri"/>
          <w:szCs w:val="24"/>
        </w:rPr>
        <w:t>Parties entering into settlement agreements after the record is closed must request that the record be reopened so that the parties may provide testimony in support of their settlement agreement.</w:t>
      </w:r>
    </w:p>
    <w:p w14:paraId="6C10AD5A" w14:textId="77777777" w:rsidR="006B64E1" w:rsidRDefault="006B64E1" w:rsidP="006B64E1"/>
    <w:p w14:paraId="2D2E123C" w14:textId="4E37173C" w:rsidR="00A746BB" w:rsidRDefault="00A746BB" w:rsidP="00D81453">
      <w:pPr>
        <w:pStyle w:val="ListParagraph"/>
        <w:numPr>
          <w:ilvl w:val="0"/>
          <w:numId w:val="8"/>
        </w:numPr>
        <w:ind w:left="360" w:hanging="360"/>
      </w:pPr>
      <w:r>
        <w:t xml:space="preserve">The following guidelines and recommendations apply to all </w:t>
      </w:r>
      <w:r w:rsidR="0083507D">
        <w:t>Commission docketed proceedings that include a request for cost recovery, except for small utility rate case proceedings under Ind. Code 8-1-2-61.5:</w:t>
      </w:r>
    </w:p>
    <w:p w14:paraId="32833EED" w14:textId="77777777" w:rsidR="009635D1" w:rsidRDefault="009635D1" w:rsidP="009635D1">
      <w:pPr>
        <w:pStyle w:val="ListParagraph"/>
        <w:ind w:left="360"/>
      </w:pPr>
    </w:p>
    <w:p w14:paraId="6E084B17" w14:textId="6C0BE637" w:rsidR="009635D1" w:rsidRDefault="009B32FD" w:rsidP="009635D1">
      <w:pPr>
        <w:pStyle w:val="ListParagraph"/>
        <w:numPr>
          <w:ilvl w:val="0"/>
          <w:numId w:val="12"/>
        </w:numPr>
      </w:pPr>
      <w:r>
        <w:t xml:space="preserve">A petitioner’s case-in-chief </w:t>
      </w:r>
      <w:r w:rsidR="004C688F">
        <w:t>shall</w:t>
      </w:r>
      <w:r w:rsidR="002312DF">
        <w:t xml:space="preserve"> </w:t>
      </w:r>
      <w:r>
        <w:t>contain the information needed to support its request(s) and include, either in its petition or in an accompanying summary document</w:t>
      </w:r>
      <w:r w:rsidR="00BD1F2D">
        <w:t xml:space="preserve">, an estimated dollar amount for which cost recovery is being requested and </w:t>
      </w:r>
      <w:r w:rsidR="00F2494D">
        <w:t>an estimate of the percentage increase in rates resulting from the requested cost recovery.</w:t>
      </w:r>
    </w:p>
    <w:p w14:paraId="55911EAB" w14:textId="77777777" w:rsidR="009635D1" w:rsidRDefault="009635D1" w:rsidP="009635D1"/>
    <w:p w14:paraId="5CA50E9F" w14:textId="019E35F9" w:rsidR="00886972" w:rsidRDefault="00886972" w:rsidP="00886972">
      <w:pPr>
        <w:pStyle w:val="ListParagraph"/>
        <w:numPr>
          <w:ilvl w:val="0"/>
          <w:numId w:val="8"/>
        </w:numPr>
        <w:ind w:left="360" w:hanging="360"/>
      </w:pPr>
      <w:r>
        <w:t xml:space="preserve">The following guidelines and recommendations apply to all </w:t>
      </w:r>
      <w:r w:rsidR="00B87979">
        <w:t xml:space="preserve">rate cases submitted to the </w:t>
      </w:r>
      <w:r>
        <w:t>Commission, except for small utility rate case proceedings under Ind. Code 8-1-2-61.5:</w:t>
      </w:r>
    </w:p>
    <w:p w14:paraId="2D89490E" w14:textId="06C46F63" w:rsidR="00B87979" w:rsidRDefault="00B87979" w:rsidP="00B87979">
      <w:pPr>
        <w:pStyle w:val="ListParagraph"/>
        <w:ind w:left="360"/>
      </w:pPr>
    </w:p>
    <w:p w14:paraId="38F1EB04" w14:textId="41AE8C17" w:rsidR="00B87979" w:rsidRDefault="003C288A" w:rsidP="003C288A">
      <w:pPr>
        <w:pStyle w:val="ListParagraph"/>
        <w:numPr>
          <w:ilvl w:val="0"/>
          <w:numId w:val="15"/>
        </w:numPr>
      </w:pPr>
      <w:r>
        <w:rPr>
          <w:szCs w:val="24"/>
        </w:rPr>
        <w:t>At a minimum</w:t>
      </w:r>
      <w:r w:rsidR="003D5DF9">
        <w:rPr>
          <w:szCs w:val="24"/>
        </w:rPr>
        <w:t xml:space="preserve">, </w:t>
      </w:r>
      <w:r w:rsidR="00030247">
        <w:rPr>
          <w:szCs w:val="24"/>
        </w:rPr>
        <w:t xml:space="preserve">in addition to the Balance Sheet and Income Statement, </w:t>
      </w:r>
      <w:r w:rsidR="003D5DF9">
        <w:rPr>
          <w:szCs w:val="24"/>
        </w:rPr>
        <w:t xml:space="preserve">the </w:t>
      </w:r>
      <w:r>
        <w:rPr>
          <w:szCs w:val="24"/>
        </w:rPr>
        <w:t xml:space="preserve">testimony and workpapers shall present </w:t>
      </w:r>
      <w:r w:rsidR="00030247">
        <w:rPr>
          <w:szCs w:val="24"/>
        </w:rPr>
        <w:t>the following</w:t>
      </w:r>
      <w:r>
        <w:rPr>
          <w:szCs w:val="24"/>
        </w:rPr>
        <w:t xml:space="preserve"> specific schedules</w:t>
      </w:r>
      <w:r w:rsidR="00030247">
        <w:rPr>
          <w:szCs w:val="24"/>
        </w:rPr>
        <w:t>:</w:t>
      </w:r>
      <w:r>
        <w:rPr>
          <w:szCs w:val="24"/>
        </w:rPr>
        <w:t xml:space="preserve"> Sch. 1 Revenue Requirements, Sch. 4. Net Operating Income, and the Gross Revenue Conversion Factor in the </w:t>
      </w:r>
      <w:r w:rsidR="00AF7F31">
        <w:rPr>
          <w:szCs w:val="24"/>
        </w:rPr>
        <w:t xml:space="preserve">general presentation </w:t>
      </w:r>
      <w:r>
        <w:rPr>
          <w:szCs w:val="24"/>
        </w:rPr>
        <w:t xml:space="preserve">of municipal and investor-owned utility strawman schedules, which are posted on the Commission’s website. Specifically, Sch. 4 </w:t>
      </w:r>
      <w:r w:rsidRPr="0081579A">
        <w:rPr>
          <w:i/>
          <w:szCs w:val="24"/>
        </w:rPr>
        <w:t>Pro Forma</w:t>
      </w:r>
      <w:r>
        <w:rPr>
          <w:szCs w:val="24"/>
        </w:rPr>
        <w:t xml:space="preserve"> statement should be detailed by each revenue and expense category. Every adjustment to revenues and expenses should at a minimum include </w:t>
      </w:r>
      <w:r w:rsidR="00AF7F31">
        <w:rPr>
          <w:szCs w:val="24"/>
        </w:rPr>
        <w:t>the historic test year or base year, the adjustments</w:t>
      </w:r>
      <w:r>
        <w:rPr>
          <w:szCs w:val="24"/>
        </w:rPr>
        <w:t>, and</w:t>
      </w:r>
      <w:r w:rsidR="00AF7F31">
        <w:rPr>
          <w:szCs w:val="24"/>
        </w:rPr>
        <w:t xml:space="preserve"> pro-forma</w:t>
      </w:r>
      <w:r w:rsidR="00AF7F31" w:rsidDel="00AF7F31">
        <w:rPr>
          <w:szCs w:val="24"/>
        </w:rPr>
        <w:t xml:space="preserve"> </w:t>
      </w:r>
      <w:r w:rsidR="00AF7F31">
        <w:rPr>
          <w:szCs w:val="24"/>
        </w:rPr>
        <w:t>amounts</w:t>
      </w:r>
      <w:r>
        <w:rPr>
          <w:szCs w:val="24"/>
        </w:rPr>
        <w:t xml:space="preserve">, as well as reference(s) to where more detail of the calculation may be found.  </w:t>
      </w:r>
    </w:p>
    <w:p w14:paraId="0C71942C" w14:textId="77777777" w:rsidR="00B87979" w:rsidRDefault="00B87979" w:rsidP="00B87979">
      <w:pPr>
        <w:pStyle w:val="ListParagraph"/>
        <w:ind w:left="360"/>
      </w:pPr>
    </w:p>
    <w:p w14:paraId="40223316" w14:textId="77777777" w:rsidR="0052373E" w:rsidRDefault="0052373E" w:rsidP="00256E48">
      <w:pPr>
        <w:pStyle w:val="ListParagraph"/>
        <w:numPr>
          <w:ilvl w:val="0"/>
          <w:numId w:val="8"/>
        </w:numPr>
        <w:ind w:left="360" w:hanging="360"/>
      </w:pPr>
      <w:r>
        <w:t>Pilot programs should:</w:t>
      </w:r>
    </w:p>
    <w:p w14:paraId="7B0EA57C" w14:textId="296F4024" w:rsidR="0052373E" w:rsidRDefault="0052373E" w:rsidP="008B50BE">
      <w:pPr>
        <w:pStyle w:val="ListParagraph"/>
        <w:numPr>
          <w:ilvl w:val="0"/>
          <w:numId w:val="16"/>
        </w:numPr>
      </w:pPr>
      <w:r>
        <w:t xml:space="preserve">Provide necessary </w:t>
      </w:r>
      <w:proofErr w:type="gramStart"/>
      <w:r>
        <w:t>information;</w:t>
      </w:r>
      <w:proofErr w:type="gramEnd"/>
    </w:p>
    <w:p w14:paraId="7BEF85B9" w14:textId="77777777" w:rsidR="0052373E" w:rsidRDefault="0052373E" w:rsidP="008B50BE">
      <w:pPr>
        <w:pStyle w:val="ListParagraph"/>
        <w:numPr>
          <w:ilvl w:val="0"/>
          <w:numId w:val="16"/>
        </w:numPr>
      </w:pPr>
      <w:r>
        <w:t xml:space="preserve">Describe the use of objective criteria for evaluation of the success or usefulness of the </w:t>
      </w:r>
      <w:proofErr w:type="gramStart"/>
      <w:r>
        <w:t>program;</w:t>
      </w:r>
      <w:proofErr w:type="gramEnd"/>
    </w:p>
    <w:p w14:paraId="2EE9F7D4" w14:textId="77777777" w:rsidR="0052373E" w:rsidRDefault="0052373E" w:rsidP="00D70880">
      <w:pPr>
        <w:pStyle w:val="ListParagraph"/>
        <w:numPr>
          <w:ilvl w:val="0"/>
          <w:numId w:val="16"/>
        </w:numPr>
      </w:pPr>
      <w:r>
        <w:t>Allow for reasonable flexibility; and</w:t>
      </w:r>
    </w:p>
    <w:p w14:paraId="60D54FF6" w14:textId="1A7ECCFE" w:rsidR="0052373E" w:rsidRDefault="0052373E" w:rsidP="008B50BE">
      <w:pPr>
        <w:pStyle w:val="ListParagraph"/>
        <w:numPr>
          <w:ilvl w:val="0"/>
          <w:numId w:val="16"/>
        </w:numPr>
      </w:pPr>
      <w:r>
        <w:t xml:space="preserve">Include testimony regarding why the program benefits </w:t>
      </w:r>
      <w:proofErr w:type="gramStart"/>
      <w:r>
        <w:t>all of</w:t>
      </w:r>
      <w:proofErr w:type="gramEnd"/>
      <w:r>
        <w:t xml:space="preserve"> the utility’s customers, not just the participants (i.e., why it is in the public interest of all of the utility’s customers).</w:t>
      </w:r>
    </w:p>
    <w:p w14:paraId="0D8AE346" w14:textId="77777777" w:rsidR="008B50BE" w:rsidRDefault="008B50BE" w:rsidP="008B50BE">
      <w:pPr>
        <w:pStyle w:val="ListParagraph"/>
      </w:pPr>
    </w:p>
    <w:p w14:paraId="1A00620B" w14:textId="749412EA" w:rsidR="008222B8" w:rsidRDefault="00030247" w:rsidP="008B50BE">
      <w:pPr>
        <w:pStyle w:val="ListParagraph"/>
        <w:numPr>
          <w:ilvl w:val="0"/>
          <w:numId w:val="8"/>
        </w:numPr>
        <w:ind w:left="360" w:hanging="360"/>
      </w:pPr>
      <w:r>
        <w:t>[</w:t>
      </w:r>
      <w:r w:rsidR="00D33B5F">
        <w:t xml:space="preserve">Any additional </w:t>
      </w:r>
      <w:r w:rsidR="00D70880">
        <w:t>items for this GAO</w:t>
      </w:r>
      <w:r w:rsidR="008B50BE">
        <w:t>??</w:t>
      </w:r>
      <w:r>
        <w:t>]</w:t>
      </w:r>
    </w:p>
    <w:sectPr w:rsidR="008222B8" w:rsidSect="006A2A4A">
      <w:headerReference w:type="default" r:id="rId10"/>
      <w:footerReference w:type="even" r:id="rId11"/>
      <w:footerReference w:type="default" r:id="rId12"/>
      <w:pgSz w:w="12240" w:h="15840" w:code="1"/>
      <w:pgMar w:top="1440" w:right="1440" w:bottom="36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79744" w14:textId="77777777" w:rsidR="00F76808" w:rsidRDefault="00F76808">
      <w:r>
        <w:separator/>
      </w:r>
    </w:p>
  </w:endnote>
  <w:endnote w:type="continuationSeparator" w:id="0">
    <w:p w14:paraId="0B379745" w14:textId="77777777" w:rsidR="00F76808" w:rsidRDefault="00F7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8" w14:textId="77777777" w:rsidR="00561AD2" w:rsidRDefault="00561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79749" w14:textId="77777777" w:rsidR="00561AD2" w:rsidRDefault="00561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A" w14:textId="77777777" w:rsidR="00561AD2" w:rsidRDefault="00561A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79742" w14:textId="77777777" w:rsidR="00F76808" w:rsidRDefault="00F76808">
      <w:r>
        <w:separator/>
      </w:r>
    </w:p>
  </w:footnote>
  <w:footnote w:type="continuationSeparator" w:id="0">
    <w:p w14:paraId="0B379743" w14:textId="77777777" w:rsidR="00F76808" w:rsidRDefault="00F7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9746" w14:textId="2D105AD2" w:rsidR="005E6F11" w:rsidRPr="005E6F11" w:rsidRDefault="005E6F11">
    <w:pPr>
      <w:pStyle w:val="Header"/>
      <w:rPr>
        <w:b/>
        <w:color w:val="FF0000"/>
        <w:sz w:val="28"/>
        <w:szCs w:val="28"/>
      </w:rPr>
    </w:pPr>
    <w:r>
      <w:tab/>
    </w:r>
    <w:r>
      <w:tab/>
    </w:r>
    <w:r w:rsidR="00B65063">
      <w:rPr>
        <w:b/>
        <w:color w:val="FF0000"/>
        <w:sz w:val="28"/>
        <w:szCs w:val="28"/>
      </w:rPr>
      <w:t>STRAWMAN D</w:t>
    </w:r>
    <w:r w:rsidRPr="005E6F11">
      <w:rPr>
        <w:b/>
        <w:color w:val="FF0000"/>
        <w:sz w:val="28"/>
        <w:szCs w:val="28"/>
      </w:rPr>
      <w:t xml:space="preserve">RAFT </w:t>
    </w:r>
    <w:r w:rsidR="00541F51">
      <w:rPr>
        <w:b/>
        <w:color w:val="FF0000"/>
        <w:sz w:val="28"/>
        <w:szCs w:val="28"/>
      </w:rPr>
      <w:t>1</w:t>
    </w:r>
    <w:r w:rsidR="00D70880">
      <w:rPr>
        <w:b/>
        <w:color w:val="FF0000"/>
        <w:sz w:val="28"/>
        <w:szCs w:val="28"/>
      </w:rPr>
      <w:t>1</w:t>
    </w:r>
    <w:r w:rsidRPr="005E6F11">
      <w:rPr>
        <w:b/>
        <w:color w:val="FF0000"/>
        <w:sz w:val="28"/>
        <w:szCs w:val="28"/>
      </w:rPr>
      <w:t>-</w:t>
    </w:r>
    <w:r w:rsidR="00D70880">
      <w:rPr>
        <w:b/>
        <w:color w:val="FF0000"/>
        <w:sz w:val="28"/>
        <w:szCs w:val="28"/>
      </w:rPr>
      <w:t>0</w:t>
    </w:r>
    <w:r w:rsidR="00030247">
      <w:rPr>
        <w:b/>
        <w:color w:val="FF0000"/>
        <w:sz w:val="28"/>
        <w:szCs w:val="28"/>
      </w:rPr>
      <w:t>9</w:t>
    </w:r>
    <w:r w:rsidRPr="005E6F11">
      <w:rPr>
        <w:b/>
        <w:color w:val="FF0000"/>
        <w:sz w:val="28"/>
        <w:szCs w:val="28"/>
      </w:rPr>
      <w:t>-20</w:t>
    </w:r>
    <w:r w:rsidR="00541F51">
      <w:rPr>
        <w:b/>
        <w:color w:val="FF0000"/>
        <w:sz w:val="28"/>
        <w:szCs w:val="28"/>
      </w:rPr>
      <w:t>20</w:t>
    </w:r>
  </w:p>
  <w:p w14:paraId="0B379747" w14:textId="77777777" w:rsidR="00561AD2" w:rsidRDefault="00E634AD">
    <w:pPr>
      <w:pStyle w:val="Header"/>
      <w:jc w:val="right"/>
      <w:rPr>
        <w:b/>
        <w:bCs/>
        <w:sz w:val="16"/>
      </w:rPr>
    </w:pPr>
    <w:r>
      <w:rPr>
        <w:b/>
        <w:bCs/>
        <w:noProof/>
        <w:sz w:val="16"/>
        <w:lang w:eastAsia="zh-TW"/>
      </w:rPr>
      <w:pict w14:anchorId="0B3797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9FF19D4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76E87"/>
    <w:multiLevelType w:val="hybridMultilevel"/>
    <w:tmpl w:val="F8D25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1CBE"/>
    <w:multiLevelType w:val="hybridMultilevel"/>
    <w:tmpl w:val="B9347FA0"/>
    <w:lvl w:ilvl="0" w:tplc="2F64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87"/>
    <w:multiLevelType w:val="singleLevel"/>
    <w:tmpl w:val="0100B3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7C562D0"/>
    <w:multiLevelType w:val="hybridMultilevel"/>
    <w:tmpl w:val="D2A46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0C74"/>
    <w:multiLevelType w:val="hybridMultilevel"/>
    <w:tmpl w:val="80A6F59A"/>
    <w:lvl w:ilvl="0" w:tplc="6F0A5F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FC0F51"/>
    <w:multiLevelType w:val="hybridMultilevel"/>
    <w:tmpl w:val="FBAC8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FCD"/>
    <w:multiLevelType w:val="hybridMultilevel"/>
    <w:tmpl w:val="B120A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7A7B"/>
    <w:multiLevelType w:val="hybridMultilevel"/>
    <w:tmpl w:val="1BC4A4AA"/>
    <w:lvl w:ilvl="0" w:tplc="3424AAD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D7444A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C2D7D11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AB6294"/>
    <w:multiLevelType w:val="hybridMultilevel"/>
    <w:tmpl w:val="5818176E"/>
    <w:lvl w:ilvl="0" w:tplc="A75886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9203935"/>
    <w:multiLevelType w:val="multilevel"/>
    <w:tmpl w:val="74FC7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77426175"/>
    <w:multiLevelType w:val="hybridMultilevel"/>
    <w:tmpl w:val="D818A518"/>
    <w:lvl w:ilvl="0" w:tplc="749E4E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7AE44BBE"/>
    <w:multiLevelType w:val="hybridMultilevel"/>
    <w:tmpl w:val="3EEC6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B7695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91"/>
    <w:rsid w:val="0000407C"/>
    <w:rsid w:val="0000545D"/>
    <w:rsid w:val="000114B0"/>
    <w:rsid w:val="00023E39"/>
    <w:rsid w:val="00026AA2"/>
    <w:rsid w:val="00030247"/>
    <w:rsid w:val="000365E9"/>
    <w:rsid w:val="000425EA"/>
    <w:rsid w:val="00073EE6"/>
    <w:rsid w:val="00114E34"/>
    <w:rsid w:val="001410CA"/>
    <w:rsid w:val="00156E11"/>
    <w:rsid w:val="00170094"/>
    <w:rsid w:val="001A09FC"/>
    <w:rsid w:val="001B0473"/>
    <w:rsid w:val="001C37A1"/>
    <w:rsid w:val="001D0FD8"/>
    <w:rsid w:val="002140CF"/>
    <w:rsid w:val="002265D9"/>
    <w:rsid w:val="002276C8"/>
    <w:rsid w:val="002312DF"/>
    <w:rsid w:val="0024118C"/>
    <w:rsid w:val="002552B3"/>
    <w:rsid w:val="00256E48"/>
    <w:rsid w:val="002711C6"/>
    <w:rsid w:val="00272AC1"/>
    <w:rsid w:val="002735AE"/>
    <w:rsid w:val="00283E58"/>
    <w:rsid w:val="00291A7F"/>
    <w:rsid w:val="002C6AE1"/>
    <w:rsid w:val="00305513"/>
    <w:rsid w:val="0032023A"/>
    <w:rsid w:val="003239A2"/>
    <w:rsid w:val="00324476"/>
    <w:rsid w:val="00327FAC"/>
    <w:rsid w:val="00376ADA"/>
    <w:rsid w:val="00383FB0"/>
    <w:rsid w:val="00395366"/>
    <w:rsid w:val="003C288A"/>
    <w:rsid w:val="003D5DF9"/>
    <w:rsid w:val="0040487C"/>
    <w:rsid w:val="00424532"/>
    <w:rsid w:val="0042718F"/>
    <w:rsid w:val="00483375"/>
    <w:rsid w:val="004A01FF"/>
    <w:rsid w:val="004C688F"/>
    <w:rsid w:val="004E0328"/>
    <w:rsid w:val="004E24A2"/>
    <w:rsid w:val="004F7E65"/>
    <w:rsid w:val="00507276"/>
    <w:rsid w:val="00511730"/>
    <w:rsid w:val="0052373E"/>
    <w:rsid w:val="00525251"/>
    <w:rsid w:val="0052585A"/>
    <w:rsid w:val="00531409"/>
    <w:rsid w:val="00540B14"/>
    <w:rsid w:val="00541F51"/>
    <w:rsid w:val="00542FB1"/>
    <w:rsid w:val="00561AD2"/>
    <w:rsid w:val="005877E0"/>
    <w:rsid w:val="00594FB6"/>
    <w:rsid w:val="005A035C"/>
    <w:rsid w:val="005A3CEE"/>
    <w:rsid w:val="005B23D5"/>
    <w:rsid w:val="005B2AF0"/>
    <w:rsid w:val="005D2CF6"/>
    <w:rsid w:val="005E6141"/>
    <w:rsid w:val="005E6F11"/>
    <w:rsid w:val="00655017"/>
    <w:rsid w:val="006618D1"/>
    <w:rsid w:val="006A0CBE"/>
    <w:rsid w:val="006A2A4A"/>
    <w:rsid w:val="006B64E1"/>
    <w:rsid w:val="00741FB7"/>
    <w:rsid w:val="007464E3"/>
    <w:rsid w:val="0074673F"/>
    <w:rsid w:val="007517A9"/>
    <w:rsid w:val="00761C9F"/>
    <w:rsid w:val="0077049D"/>
    <w:rsid w:val="00775C01"/>
    <w:rsid w:val="007A2A94"/>
    <w:rsid w:val="007A53F0"/>
    <w:rsid w:val="007A7B30"/>
    <w:rsid w:val="007C1BD7"/>
    <w:rsid w:val="008222B8"/>
    <w:rsid w:val="008226B5"/>
    <w:rsid w:val="008311D9"/>
    <w:rsid w:val="0083507D"/>
    <w:rsid w:val="00852FFD"/>
    <w:rsid w:val="00861C12"/>
    <w:rsid w:val="008670B8"/>
    <w:rsid w:val="00876FB5"/>
    <w:rsid w:val="00886972"/>
    <w:rsid w:val="008924E9"/>
    <w:rsid w:val="008B50BE"/>
    <w:rsid w:val="008B5EC8"/>
    <w:rsid w:val="008C58D2"/>
    <w:rsid w:val="008C6E55"/>
    <w:rsid w:val="008E1C92"/>
    <w:rsid w:val="008F46D6"/>
    <w:rsid w:val="00933C4F"/>
    <w:rsid w:val="0095651E"/>
    <w:rsid w:val="009635D1"/>
    <w:rsid w:val="00996397"/>
    <w:rsid w:val="009B32FD"/>
    <w:rsid w:val="009B5B8B"/>
    <w:rsid w:val="009C0D6E"/>
    <w:rsid w:val="009C38CE"/>
    <w:rsid w:val="009C3EC5"/>
    <w:rsid w:val="009D1E99"/>
    <w:rsid w:val="009F104A"/>
    <w:rsid w:val="00A04B80"/>
    <w:rsid w:val="00A22CE5"/>
    <w:rsid w:val="00A37440"/>
    <w:rsid w:val="00A61514"/>
    <w:rsid w:val="00A66712"/>
    <w:rsid w:val="00A71E87"/>
    <w:rsid w:val="00A7410D"/>
    <w:rsid w:val="00A746BB"/>
    <w:rsid w:val="00AE6B00"/>
    <w:rsid w:val="00AF7F31"/>
    <w:rsid w:val="00B01665"/>
    <w:rsid w:val="00B41AD0"/>
    <w:rsid w:val="00B51395"/>
    <w:rsid w:val="00B65063"/>
    <w:rsid w:val="00B776C9"/>
    <w:rsid w:val="00B87979"/>
    <w:rsid w:val="00BC0D1D"/>
    <w:rsid w:val="00BC27F9"/>
    <w:rsid w:val="00BD1F2D"/>
    <w:rsid w:val="00BE6B79"/>
    <w:rsid w:val="00C35EFD"/>
    <w:rsid w:val="00C367C3"/>
    <w:rsid w:val="00C4254E"/>
    <w:rsid w:val="00C50106"/>
    <w:rsid w:val="00C56088"/>
    <w:rsid w:val="00C60C5B"/>
    <w:rsid w:val="00C85167"/>
    <w:rsid w:val="00CB7FFA"/>
    <w:rsid w:val="00CC72A7"/>
    <w:rsid w:val="00CF02FA"/>
    <w:rsid w:val="00D30845"/>
    <w:rsid w:val="00D3387D"/>
    <w:rsid w:val="00D33B5F"/>
    <w:rsid w:val="00D33E23"/>
    <w:rsid w:val="00D45D61"/>
    <w:rsid w:val="00D468B0"/>
    <w:rsid w:val="00D70880"/>
    <w:rsid w:val="00D81453"/>
    <w:rsid w:val="00D9314D"/>
    <w:rsid w:val="00D938B4"/>
    <w:rsid w:val="00DA25B8"/>
    <w:rsid w:val="00DA55C7"/>
    <w:rsid w:val="00DD5EEA"/>
    <w:rsid w:val="00E21975"/>
    <w:rsid w:val="00E43253"/>
    <w:rsid w:val="00E45D4C"/>
    <w:rsid w:val="00E634AD"/>
    <w:rsid w:val="00E6409A"/>
    <w:rsid w:val="00E67125"/>
    <w:rsid w:val="00E855E1"/>
    <w:rsid w:val="00EA79D6"/>
    <w:rsid w:val="00EE2A91"/>
    <w:rsid w:val="00EF7300"/>
    <w:rsid w:val="00F1588A"/>
    <w:rsid w:val="00F2494D"/>
    <w:rsid w:val="00F270F9"/>
    <w:rsid w:val="00F64C71"/>
    <w:rsid w:val="00F76808"/>
    <w:rsid w:val="00FA5E0F"/>
    <w:rsid w:val="00FB709C"/>
    <w:rsid w:val="00FE2837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379724"/>
  <w15:chartTrackingRefBased/>
  <w15:docId w15:val="{8B337433-6C03-40B3-9C4E-ED963D57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  <w:outlineLvl w:val="0"/>
    </w:pPr>
    <w:rPr>
      <w:b/>
    </w:rPr>
  </w:style>
  <w:style w:type="paragraph" w:styleId="BodyTextIndent2">
    <w:name w:val="Body Text Indent 2"/>
    <w:basedOn w:val="Normal"/>
    <w:pPr>
      <w:ind w:left="720" w:hanging="360"/>
      <w:jc w:val="both"/>
      <w:outlineLvl w:val="0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BE6B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E1C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C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C92"/>
  </w:style>
  <w:style w:type="paragraph" w:styleId="CommentSubject">
    <w:name w:val="annotation subject"/>
    <w:basedOn w:val="CommentText"/>
    <w:next w:val="CommentText"/>
    <w:link w:val="CommentSubjectChar"/>
    <w:rsid w:val="008E1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C92"/>
    <w:rPr>
      <w:b/>
      <w:bCs/>
    </w:rPr>
  </w:style>
  <w:style w:type="paragraph" w:styleId="Revision">
    <w:name w:val="Revision"/>
    <w:hidden/>
    <w:uiPriority w:val="99"/>
    <w:semiHidden/>
    <w:rsid w:val="005B23D5"/>
    <w:rPr>
      <w:sz w:val="24"/>
      <w:lang w:eastAsia="en-US"/>
    </w:rPr>
  </w:style>
  <w:style w:type="character" w:styleId="Hyperlink">
    <w:name w:val="Hyperlink"/>
    <w:basedOn w:val="DefaultParagraphFont"/>
    <w:rsid w:val="00A66712"/>
    <w:rPr>
      <w:color w:val="0000FF"/>
      <w:u w:val="single"/>
    </w:rPr>
  </w:style>
  <w:style w:type="character" w:styleId="FollowedHyperlink">
    <w:name w:val="FollowedHyperlink"/>
    <w:basedOn w:val="DefaultParagraphFont"/>
    <w:rsid w:val="00540B14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E6F11"/>
    <w:rPr>
      <w:sz w:val="24"/>
    </w:rPr>
  </w:style>
  <w:style w:type="paragraph" w:styleId="ListParagraph">
    <w:name w:val="List Paragraph"/>
    <w:basedOn w:val="Normal"/>
    <w:uiPriority w:val="34"/>
    <w:qFormat/>
    <w:rsid w:val="00D81453"/>
    <w:pPr>
      <w:ind w:left="720"/>
      <w:contextualSpacing/>
    </w:pPr>
  </w:style>
  <w:style w:type="paragraph" w:styleId="NoSpacing">
    <w:name w:val="No Spacing"/>
    <w:uiPriority w:val="1"/>
    <w:qFormat/>
    <w:rsid w:val="009C38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C54CE6970C43A39D4F4604DF7C41" ma:contentTypeVersion="12" ma:contentTypeDescription="Create a new document." ma:contentTypeScope="" ma:versionID="a4d9c1f2bc3b38421fa2616c07b50a7a">
  <xsd:schema xmlns:xsd="http://www.w3.org/2001/XMLSchema" xmlns:xs="http://www.w3.org/2001/XMLSchema" xmlns:p="http://schemas.microsoft.com/office/2006/metadata/properties" xmlns:ns2="1113b451-1eee-4937-a542-db638fb04653" xmlns:ns3="3159b18a-1c9e-40ae-afe6-d35ac3692f3a" targetNamespace="http://schemas.microsoft.com/office/2006/metadata/properties" ma:root="true" ma:fieldsID="b51021bea1d9fb82e67925185d0f35a1" ns2:_="" ns3:_="">
    <xsd:import namespace="1113b451-1eee-4937-a542-db638fb04653"/>
    <xsd:import namespace="3159b18a-1c9e-40ae-afe6-d35ac3692f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Categor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3b451-1eee-4937-a542-db638fb0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b18a-1c9e-40ae-afe6-d35ac3692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Category" ma:index="16" nillable="true" ma:displayName="Category" ma:format="Dropdown" ma:internalName="Category">
      <xsd:simpleType>
        <xsd:restriction base="dms:Choice">
          <xsd:enumeration value="SHARED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DA7F-B7A7-486B-9C72-C79BEBAC6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C88DB-77B0-4EF2-9277-B7C1C2D24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A2CEA-04D4-4AE4-BEC0-A16755497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3b451-1eee-4937-a542-db638fb04653"/>
    <ds:schemaRef ds:uri="3159b18a-1c9e-40ae-afe6-d35ac3692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ADMINISTRATIVE ORDER</vt:lpstr>
    </vt:vector>
  </TitlesOfParts>
  <Company>IURC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ADMINISTRATIVE ORDER</dc:title>
  <dc:subject/>
  <dc:creator>KWheeler</dc:creator>
  <cp:keywords/>
  <cp:lastModifiedBy>Heline, Beth E.</cp:lastModifiedBy>
  <cp:revision>2</cp:revision>
  <cp:lastPrinted>2010-12-29T19:55:00Z</cp:lastPrinted>
  <dcterms:created xsi:type="dcterms:W3CDTF">2020-11-09T16:58:00Z</dcterms:created>
  <dcterms:modified xsi:type="dcterms:W3CDTF">2020-11-09T16:58:00Z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0x0101005A2BC54CE6970C43A39D4F4604DF7C41</vt:lpwstr>
  </property>
</Properties>
</file>