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6C" w:rsidRDefault="00F6766C" w:rsidP="00CA20EA">
      <w:pPr>
        <w:autoSpaceDE w:val="0"/>
        <w:autoSpaceDN w:val="0"/>
        <w:spacing w:after="0" w:line="240" w:lineRule="auto"/>
      </w:pPr>
    </w:p>
    <w:p w:rsidR="005C1059" w:rsidRDefault="005C1059" w:rsidP="00F6766C">
      <w:pPr>
        <w:autoSpaceDE w:val="0"/>
        <w:autoSpaceDN w:val="0"/>
        <w:spacing w:after="0" w:line="240" w:lineRule="auto"/>
        <w:rPr>
          <w:b/>
          <w:sz w:val="24"/>
          <w:szCs w:val="24"/>
        </w:rPr>
      </w:pPr>
    </w:p>
    <w:p w:rsidR="005C1059" w:rsidRPr="00D77199" w:rsidRDefault="006307DF" w:rsidP="006307DF">
      <w:pPr>
        <w:autoSpaceDE w:val="0"/>
        <w:autoSpaceDN w:val="0"/>
        <w:spacing w:after="0" w:line="240" w:lineRule="auto"/>
        <w:jc w:val="center"/>
        <w:rPr>
          <w:b/>
          <w:sz w:val="26"/>
          <w:szCs w:val="26"/>
        </w:rPr>
      </w:pPr>
      <w:r w:rsidRPr="00D77199">
        <w:rPr>
          <w:b/>
          <w:sz w:val="26"/>
          <w:szCs w:val="26"/>
        </w:rPr>
        <w:t>Fact Sheet: Indiana Public Safety Communications System Upgrade</w:t>
      </w:r>
    </w:p>
    <w:p w:rsidR="005C1059" w:rsidRDefault="005C1059" w:rsidP="00F6766C">
      <w:pPr>
        <w:autoSpaceDE w:val="0"/>
        <w:autoSpaceDN w:val="0"/>
        <w:spacing w:after="0" w:line="240" w:lineRule="auto"/>
        <w:rPr>
          <w:b/>
          <w:sz w:val="24"/>
          <w:szCs w:val="24"/>
        </w:rPr>
      </w:pPr>
    </w:p>
    <w:p w:rsidR="00F6766C" w:rsidRPr="00D77199" w:rsidRDefault="00F6766C" w:rsidP="001B0FD0">
      <w:pPr>
        <w:autoSpaceDE w:val="0"/>
        <w:autoSpaceDN w:val="0"/>
        <w:spacing w:after="0" w:line="240" w:lineRule="auto"/>
        <w:rPr>
          <w:b/>
        </w:rPr>
      </w:pPr>
      <w:r w:rsidRPr="00D77199">
        <w:rPr>
          <w:b/>
        </w:rPr>
        <w:t xml:space="preserve">The State of Public Safety Communications in Indiana is at a Crossroads. </w:t>
      </w:r>
      <w:r w:rsidR="00E45D02" w:rsidRPr="00D77199">
        <w:rPr>
          <w:b/>
        </w:rPr>
        <w:t>..</w:t>
      </w:r>
    </w:p>
    <w:p w:rsidR="00FE65C4" w:rsidRPr="001B0FD0" w:rsidRDefault="00FE65C4" w:rsidP="001B0FD0">
      <w:pPr>
        <w:numPr>
          <w:ilvl w:val="0"/>
          <w:numId w:val="2"/>
        </w:numPr>
        <w:autoSpaceDE w:val="0"/>
        <w:autoSpaceDN w:val="0"/>
        <w:spacing w:after="0" w:line="240" w:lineRule="auto"/>
        <w:rPr>
          <w:sz w:val="20"/>
          <w:szCs w:val="20"/>
        </w:rPr>
      </w:pPr>
      <w:r w:rsidRPr="001B0FD0">
        <w:rPr>
          <w:sz w:val="20"/>
          <w:szCs w:val="20"/>
        </w:rPr>
        <w:t xml:space="preserve">The </w:t>
      </w:r>
      <w:r w:rsidR="001B0FD0" w:rsidRPr="001B0FD0">
        <w:rPr>
          <w:sz w:val="20"/>
          <w:szCs w:val="20"/>
        </w:rPr>
        <w:t xml:space="preserve">statewide </w:t>
      </w:r>
      <w:r w:rsidRPr="001B0FD0">
        <w:rPr>
          <w:sz w:val="20"/>
          <w:szCs w:val="20"/>
        </w:rPr>
        <w:t xml:space="preserve">SAFE-T </w:t>
      </w:r>
      <w:r w:rsidR="001B0FD0" w:rsidRPr="001B0FD0">
        <w:rPr>
          <w:sz w:val="20"/>
          <w:szCs w:val="20"/>
        </w:rPr>
        <w:t>800 MHz system is at end-of-life.  Man</w:t>
      </w:r>
      <w:r w:rsidRPr="001B0FD0">
        <w:rPr>
          <w:sz w:val="20"/>
          <w:szCs w:val="20"/>
        </w:rPr>
        <w:t xml:space="preserve">ufacturing end dates occurred in 2013, and </w:t>
      </w:r>
      <w:proofErr w:type="gramStart"/>
      <w:r w:rsidRPr="001B0FD0">
        <w:rPr>
          <w:sz w:val="20"/>
          <w:szCs w:val="20"/>
        </w:rPr>
        <w:t>vendor contracted</w:t>
      </w:r>
      <w:proofErr w:type="gramEnd"/>
      <w:r w:rsidRPr="001B0FD0">
        <w:rPr>
          <w:sz w:val="20"/>
          <w:szCs w:val="20"/>
        </w:rPr>
        <w:t xml:space="preserve"> support will run out at the end of 2017. </w:t>
      </w:r>
    </w:p>
    <w:p w:rsidR="00CA20EA" w:rsidRPr="001B0FD0" w:rsidRDefault="001B0FD0" w:rsidP="001B0FD0">
      <w:pPr>
        <w:numPr>
          <w:ilvl w:val="0"/>
          <w:numId w:val="2"/>
        </w:numPr>
        <w:autoSpaceDE w:val="0"/>
        <w:autoSpaceDN w:val="0"/>
        <w:spacing w:after="0" w:line="240" w:lineRule="auto"/>
        <w:rPr>
          <w:sz w:val="20"/>
          <w:szCs w:val="20"/>
        </w:rPr>
      </w:pPr>
      <w:r w:rsidRPr="001B0FD0">
        <w:rPr>
          <w:sz w:val="20"/>
          <w:szCs w:val="20"/>
        </w:rPr>
        <w:t xml:space="preserve">The </w:t>
      </w:r>
      <w:r w:rsidR="00CA20EA" w:rsidRPr="001B0FD0">
        <w:rPr>
          <w:sz w:val="20"/>
          <w:szCs w:val="20"/>
        </w:rPr>
        <w:t>system</w:t>
      </w:r>
      <w:r w:rsidRPr="001B0FD0">
        <w:rPr>
          <w:sz w:val="20"/>
          <w:szCs w:val="20"/>
        </w:rPr>
        <w:t xml:space="preserve"> </w:t>
      </w:r>
      <w:r w:rsidR="00CA20EA" w:rsidRPr="001B0FD0">
        <w:rPr>
          <w:sz w:val="20"/>
          <w:szCs w:val="20"/>
        </w:rPr>
        <w:t>is limited to 64,000 IDs</w:t>
      </w:r>
      <w:r w:rsidR="00CA20EA" w:rsidRPr="001B0FD0">
        <w:rPr>
          <w:color w:val="2C2C2C"/>
          <w:sz w:val="20"/>
          <w:szCs w:val="20"/>
        </w:rPr>
        <w:t xml:space="preserve"> and</w:t>
      </w:r>
      <w:r w:rsidRPr="001B0FD0">
        <w:rPr>
          <w:color w:val="2C2C2C"/>
          <w:sz w:val="20"/>
          <w:szCs w:val="20"/>
        </w:rPr>
        <w:t xml:space="preserve"> is at capacity.</w:t>
      </w:r>
      <w:r w:rsidR="00F6766C" w:rsidRPr="001B0FD0">
        <w:rPr>
          <w:sz w:val="20"/>
          <w:szCs w:val="20"/>
        </w:rPr>
        <w:t xml:space="preserve"> </w:t>
      </w:r>
      <w:r w:rsidRPr="001B0FD0">
        <w:rPr>
          <w:sz w:val="20"/>
          <w:szCs w:val="20"/>
        </w:rPr>
        <w:t>With</w:t>
      </w:r>
      <w:r w:rsidR="00892F9D">
        <w:rPr>
          <w:sz w:val="20"/>
          <w:szCs w:val="20"/>
        </w:rPr>
        <w:t>out access to the state system,</w:t>
      </w:r>
      <w:r w:rsidRPr="001B0FD0">
        <w:rPr>
          <w:sz w:val="20"/>
          <w:szCs w:val="20"/>
        </w:rPr>
        <w:t xml:space="preserve"> local and state </w:t>
      </w:r>
      <w:r w:rsidR="00CA20EA" w:rsidRPr="001B0FD0">
        <w:rPr>
          <w:color w:val="2C2C2C"/>
          <w:sz w:val="20"/>
          <w:szCs w:val="20"/>
        </w:rPr>
        <w:t xml:space="preserve">agencies </w:t>
      </w:r>
      <w:r w:rsidRPr="001B0FD0">
        <w:rPr>
          <w:color w:val="2C2C2C"/>
          <w:sz w:val="20"/>
          <w:szCs w:val="20"/>
        </w:rPr>
        <w:t xml:space="preserve">may have to </w:t>
      </w:r>
      <w:r w:rsidR="00CA20EA" w:rsidRPr="001B0FD0">
        <w:rPr>
          <w:color w:val="2C2C2C"/>
          <w:sz w:val="20"/>
          <w:szCs w:val="20"/>
        </w:rPr>
        <w:t xml:space="preserve">spend </w:t>
      </w:r>
      <w:r w:rsidR="00892F9D">
        <w:rPr>
          <w:color w:val="2C2C2C"/>
          <w:sz w:val="20"/>
          <w:szCs w:val="20"/>
        </w:rPr>
        <w:t>more to address their</w:t>
      </w:r>
      <w:r w:rsidR="00CA20EA" w:rsidRPr="001B0FD0">
        <w:rPr>
          <w:color w:val="2C2C2C"/>
          <w:sz w:val="20"/>
          <w:szCs w:val="20"/>
        </w:rPr>
        <w:t xml:space="preserve"> communications needs</w:t>
      </w:r>
      <w:r w:rsidRPr="001B0FD0">
        <w:rPr>
          <w:color w:val="2C2C2C"/>
          <w:sz w:val="20"/>
          <w:szCs w:val="20"/>
        </w:rPr>
        <w:t>, negating</w:t>
      </w:r>
      <w:r w:rsidR="00F6766C" w:rsidRPr="001B0FD0">
        <w:rPr>
          <w:color w:val="2C2C2C"/>
          <w:sz w:val="20"/>
          <w:szCs w:val="20"/>
        </w:rPr>
        <w:t xml:space="preserve"> the tremendous interoperability opportunities</w:t>
      </w:r>
      <w:r w:rsidR="00E45D02" w:rsidRPr="001B0FD0">
        <w:rPr>
          <w:color w:val="2C2C2C"/>
          <w:sz w:val="20"/>
          <w:szCs w:val="20"/>
        </w:rPr>
        <w:t xml:space="preserve"> and </w:t>
      </w:r>
      <w:proofErr w:type="gramStart"/>
      <w:r w:rsidR="00E45D02" w:rsidRPr="001B0FD0">
        <w:rPr>
          <w:color w:val="2C2C2C"/>
          <w:sz w:val="20"/>
          <w:szCs w:val="20"/>
        </w:rPr>
        <w:t xml:space="preserve">savings </w:t>
      </w:r>
      <w:r w:rsidR="00F6766C" w:rsidRPr="001B0FD0">
        <w:rPr>
          <w:color w:val="2C2C2C"/>
          <w:sz w:val="20"/>
          <w:szCs w:val="20"/>
        </w:rPr>
        <w:t xml:space="preserve"> that</w:t>
      </w:r>
      <w:proofErr w:type="gramEnd"/>
      <w:r w:rsidR="00F6766C" w:rsidRPr="001B0FD0">
        <w:rPr>
          <w:color w:val="2C2C2C"/>
          <w:sz w:val="20"/>
          <w:szCs w:val="20"/>
        </w:rPr>
        <w:t xml:space="preserve"> the </w:t>
      </w:r>
      <w:r w:rsidR="00CA20EA" w:rsidRPr="001B0FD0">
        <w:rPr>
          <w:color w:val="2C2C2C"/>
          <w:sz w:val="20"/>
          <w:szCs w:val="20"/>
        </w:rPr>
        <w:t xml:space="preserve">SAFE-T network </w:t>
      </w:r>
      <w:r w:rsidRPr="001B0FD0">
        <w:rPr>
          <w:color w:val="2C2C2C"/>
          <w:sz w:val="20"/>
          <w:szCs w:val="20"/>
        </w:rPr>
        <w:t>offers</w:t>
      </w:r>
      <w:r w:rsidR="00CA20EA" w:rsidRPr="001B0FD0">
        <w:rPr>
          <w:color w:val="2C2C2C"/>
          <w:sz w:val="20"/>
          <w:szCs w:val="20"/>
        </w:rPr>
        <w:t>.</w:t>
      </w:r>
    </w:p>
    <w:p w:rsidR="00FE65C4" w:rsidRPr="001B0FD0" w:rsidRDefault="00FE65C4" w:rsidP="001B0FD0">
      <w:pPr>
        <w:spacing w:after="0" w:line="240" w:lineRule="auto"/>
        <w:jc w:val="both"/>
        <w:rPr>
          <w:b/>
          <w:sz w:val="20"/>
          <w:szCs w:val="20"/>
        </w:rPr>
      </w:pPr>
    </w:p>
    <w:p w:rsidR="00CA20EA" w:rsidRPr="00D77199" w:rsidRDefault="001B0FD0" w:rsidP="001B0FD0">
      <w:pPr>
        <w:spacing w:after="0" w:line="240" w:lineRule="auto"/>
        <w:jc w:val="both"/>
        <w:rPr>
          <w:b/>
        </w:rPr>
      </w:pPr>
      <w:r w:rsidRPr="00D77199">
        <w:rPr>
          <w:b/>
        </w:rPr>
        <w:t>Benefits of upgrading to a</w:t>
      </w:r>
      <w:r w:rsidR="00CA20EA" w:rsidRPr="00D77199">
        <w:rPr>
          <w:b/>
        </w:rPr>
        <w:t xml:space="preserve"> standards-based Project 25 digital technolo</w:t>
      </w:r>
      <w:r w:rsidRPr="00D77199">
        <w:rPr>
          <w:b/>
        </w:rPr>
        <w:t>gy</w:t>
      </w:r>
    </w:p>
    <w:p w:rsidR="00CA20EA" w:rsidRPr="001B0FD0" w:rsidRDefault="00CA20EA" w:rsidP="001B0FD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1B0FD0">
        <w:rPr>
          <w:sz w:val="20"/>
          <w:szCs w:val="20"/>
        </w:rPr>
        <w:t>Integration with neighboring States (Michigan, Ohio, Illinois) as well as the City of Louisville.</w:t>
      </w:r>
      <w:proofErr w:type="gramEnd"/>
      <w:r w:rsidRPr="001B0FD0">
        <w:rPr>
          <w:sz w:val="20"/>
          <w:szCs w:val="20"/>
        </w:rPr>
        <w:t xml:space="preserve"> </w:t>
      </w:r>
    </w:p>
    <w:p w:rsidR="00CA20EA" w:rsidRPr="001B0FD0" w:rsidRDefault="00CA20EA" w:rsidP="001B0FD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1B0FD0">
        <w:rPr>
          <w:sz w:val="20"/>
          <w:szCs w:val="20"/>
        </w:rPr>
        <w:t>Twice the user capacity of the existing network.</w:t>
      </w:r>
      <w:proofErr w:type="gramEnd"/>
      <w:r w:rsidRPr="001B0FD0">
        <w:rPr>
          <w:sz w:val="20"/>
          <w:szCs w:val="20"/>
        </w:rPr>
        <w:t xml:space="preserve"> </w:t>
      </w:r>
    </w:p>
    <w:p w:rsidR="00CA20EA" w:rsidRPr="001B0FD0" w:rsidRDefault="00CA20EA" w:rsidP="001B0FD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1B0FD0">
        <w:rPr>
          <w:sz w:val="20"/>
          <w:szCs w:val="20"/>
        </w:rPr>
        <w:t>The ability to add additional tower sites, thereby improving coverage.</w:t>
      </w:r>
      <w:proofErr w:type="gramEnd"/>
      <w:r w:rsidRPr="001B0FD0">
        <w:rPr>
          <w:sz w:val="20"/>
          <w:szCs w:val="20"/>
        </w:rPr>
        <w:t xml:space="preserve"> </w:t>
      </w:r>
    </w:p>
    <w:p w:rsidR="00CA20EA" w:rsidRPr="001B0FD0" w:rsidRDefault="00CA20EA" w:rsidP="001B0FD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B0FD0">
        <w:rPr>
          <w:sz w:val="20"/>
          <w:szCs w:val="20"/>
        </w:rPr>
        <w:t xml:space="preserve">The ability to purchase radios from multiple manufacturers, thereby ensuring cost competitiveness and more choice in products. </w:t>
      </w:r>
    </w:p>
    <w:p w:rsidR="00CA20EA" w:rsidRPr="001B0FD0" w:rsidRDefault="00CA20EA" w:rsidP="001B0FD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B0FD0">
        <w:rPr>
          <w:sz w:val="20"/>
          <w:szCs w:val="20"/>
        </w:rPr>
        <w:t>Access to additional features including  GPS location and text messaging</w:t>
      </w:r>
    </w:p>
    <w:p w:rsidR="00CA20EA" w:rsidRPr="001B0FD0" w:rsidRDefault="00892F9D" w:rsidP="001B0FD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 environment that paves the way </w:t>
      </w:r>
      <w:r w:rsidR="00CA20EA" w:rsidRPr="001B0FD0">
        <w:rPr>
          <w:sz w:val="20"/>
          <w:szCs w:val="20"/>
        </w:rPr>
        <w:t>for the convergence of voice and data (National Public Safety Broadband/LTE/</w:t>
      </w:r>
      <w:proofErr w:type="spellStart"/>
      <w:r w:rsidR="00CA20EA" w:rsidRPr="001B0FD0">
        <w:rPr>
          <w:sz w:val="20"/>
          <w:szCs w:val="20"/>
        </w:rPr>
        <w:t>FirstNet</w:t>
      </w:r>
      <w:proofErr w:type="spellEnd"/>
      <w:r w:rsidR="00CA20EA" w:rsidRPr="001B0FD0">
        <w:rPr>
          <w:sz w:val="20"/>
          <w:szCs w:val="20"/>
        </w:rPr>
        <w:t>) in the future</w:t>
      </w:r>
    </w:p>
    <w:p w:rsidR="00F6766C" w:rsidRPr="001B0FD0" w:rsidRDefault="00F6766C" w:rsidP="001B0FD0">
      <w:pPr>
        <w:spacing w:after="0" w:line="240" w:lineRule="auto"/>
        <w:ind w:left="720"/>
        <w:jc w:val="both"/>
        <w:rPr>
          <w:sz w:val="20"/>
          <w:szCs w:val="20"/>
        </w:rPr>
      </w:pPr>
    </w:p>
    <w:p w:rsidR="000D1EF9" w:rsidRPr="00B12A32" w:rsidRDefault="00FE65C4" w:rsidP="001B0FD0">
      <w:pPr>
        <w:spacing w:after="0" w:line="240" w:lineRule="auto"/>
        <w:rPr>
          <w:b/>
          <w:bCs/>
        </w:rPr>
      </w:pPr>
      <w:r w:rsidRPr="00B12A32">
        <w:rPr>
          <w:b/>
          <w:bCs/>
        </w:rPr>
        <w:t>Benefits of Amending the Existing Contract with Motorola</w:t>
      </w:r>
    </w:p>
    <w:p w:rsidR="00890096" w:rsidRPr="00892F9D" w:rsidRDefault="000A4FE9" w:rsidP="00892F9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Continuity and e</w:t>
      </w:r>
      <w:r w:rsidR="00890096" w:rsidRPr="00892F9D">
        <w:rPr>
          <w:b/>
          <w:bCs/>
          <w:sz w:val="20"/>
          <w:szCs w:val="20"/>
        </w:rPr>
        <w:t>xperience of both implementation and maintenance team</w:t>
      </w:r>
      <w:r w:rsidR="00890096">
        <w:rPr>
          <w:b/>
          <w:bCs/>
          <w:sz w:val="20"/>
          <w:szCs w:val="20"/>
        </w:rPr>
        <w:t>s</w:t>
      </w:r>
    </w:p>
    <w:p w:rsidR="00890096" w:rsidRDefault="00364ED5" w:rsidP="00890096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90096">
        <w:rPr>
          <w:sz w:val="20"/>
          <w:szCs w:val="20"/>
        </w:rPr>
        <w:t xml:space="preserve">Motorola </w:t>
      </w:r>
      <w:r w:rsidR="004B3DA1" w:rsidRPr="00890096">
        <w:rPr>
          <w:sz w:val="20"/>
          <w:szCs w:val="20"/>
        </w:rPr>
        <w:t xml:space="preserve">personnel </w:t>
      </w:r>
      <w:r w:rsidR="00890096" w:rsidRPr="00890096">
        <w:rPr>
          <w:sz w:val="20"/>
          <w:szCs w:val="20"/>
        </w:rPr>
        <w:t xml:space="preserve">implemented and </w:t>
      </w:r>
      <w:r w:rsidRPr="00890096">
        <w:rPr>
          <w:sz w:val="20"/>
          <w:szCs w:val="20"/>
        </w:rPr>
        <w:t>maintain</w:t>
      </w:r>
      <w:r w:rsidR="00890096" w:rsidRPr="00890096">
        <w:rPr>
          <w:sz w:val="20"/>
          <w:szCs w:val="20"/>
        </w:rPr>
        <w:t>s</w:t>
      </w:r>
      <w:r w:rsidRPr="00890096">
        <w:rPr>
          <w:sz w:val="20"/>
          <w:szCs w:val="20"/>
        </w:rPr>
        <w:t xml:space="preserve"> the current system </w:t>
      </w:r>
      <w:r w:rsidR="00890096" w:rsidRPr="00890096">
        <w:rPr>
          <w:sz w:val="20"/>
          <w:szCs w:val="20"/>
        </w:rPr>
        <w:t xml:space="preserve">and </w:t>
      </w:r>
      <w:r w:rsidRPr="00890096">
        <w:rPr>
          <w:sz w:val="20"/>
          <w:szCs w:val="20"/>
        </w:rPr>
        <w:t>will implement and maintain the upgraded system</w:t>
      </w:r>
      <w:r w:rsidR="00890096" w:rsidRPr="00890096">
        <w:rPr>
          <w:sz w:val="20"/>
          <w:szCs w:val="20"/>
        </w:rPr>
        <w:t xml:space="preserve">. </w:t>
      </w:r>
      <w:r w:rsidR="00890096">
        <w:rPr>
          <w:sz w:val="20"/>
          <w:szCs w:val="20"/>
        </w:rPr>
        <w:t xml:space="preserve">If </w:t>
      </w:r>
      <w:r w:rsidR="00890096" w:rsidRPr="00890096">
        <w:rPr>
          <w:sz w:val="20"/>
          <w:szCs w:val="20"/>
        </w:rPr>
        <w:t xml:space="preserve">problems </w:t>
      </w:r>
      <w:r w:rsidR="00890096">
        <w:rPr>
          <w:sz w:val="20"/>
          <w:szCs w:val="20"/>
        </w:rPr>
        <w:t xml:space="preserve">arise </w:t>
      </w:r>
      <w:r w:rsidR="000A4FE9">
        <w:rPr>
          <w:sz w:val="20"/>
          <w:szCs w:val="20"/>
        </w:rPr>
        <w:t xml:space="preserve">during the upgrade, Motorola’s knowledge of and familiarity with the system puts them in the best position </w:t>
      </w:r>
      <w:r w:rsidR="00890096">
        <w:rPr>
          <w:sz w:val="20"/>
          <w:szCs w:val="20"/>
        </w:rPr>
        <w:t>to resolve issues.</w:t>
      </w:r>
    </w:p>
    <w:p w:rsidR="000A4FE9" w:rsidRDefault="004B3DA1" w:rsidP="000A4F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90096">
        <w:rPr>
          <w:sz w:val="20"/>
          <w:szCs w:val="20"/>
        </w:rPr>
        <w:t>Motorola provides the most robust system monitoring available, and therefore provides a level of service</w:t>
      </w:r>
      <w:r w:rsidR="00890096">
        <w:rPr>
          <w:sz w:val="20"/>
          <w:szCs w:val="20"/>
        </w:rPr>
        <w:t xml:space="preserve"> t</w:t>
      </w:r>
      <w:r w:rsidR="000A4FE9">
        <w:rPr>
          <w:sz w:val="20"/>
          <w:szCs w:val="20"/>
        </w:rPr>
        <w:t xml:space="preserve">hat no other company or agency </w:t>
      </w:r>
      <w:r w:rsidR="00890096">
        <w:rPr>
          <w:sz w:val="20"/>
          <w:szCs w:val="20"/>
        </w:rPr>
        <w:t>can equal</w:t>
      </w:r>
      <w:r w:rsidRPr="00890096">
        <w:rPr>
          <w:sz w:val="20"/>
          <w:szCs w:val="20"/>
        </w:rPr>
        <w:t>.</w:t>
      </w:r>
      <w:r w:rsidR="00890096">
        <w:rPr>
          <w:sz w:val="20"/>
          <w:szCs w:val="20"/>
        </w:rPr>
        <w:t xml:space="preserve"> P</w:t>
      </w:r>
      <w:r w:rsidR="00890096" w:rsidRPr="001B0FD0">
        <w:rPr>
          <w:sz w:val="20"/>
          <w:szCs w:val="20"/>
        </w:rPr>
        <w:t xml:space="preserve">erformance of the system remains high </w:t>
      </w:r>
      <w:r w:rsidR="00890096">
        <w:rPr>
          <w:sz w:val="20"/>
          <w:szCs w:val="20"/>
        </w:rPr>
        <w:t>and the relationship between the state and Motorola has been strengthened as a result</w:t>
      </w:r>
    </w:p>
    <w:p w:rsidR="00AC3677" w:rsidRPr="000A4FE9" w:rsidRDefault="004B3DA1" w:rsidP="000A4F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0A4FE9">
        <w:rPr>
          <w:sz w:val="20"/>
          <w:szCs w:val="20"/>
        </w:rPr>
        <w:t>Motorola will</w:t>
      </w:r>
      <w:r w:rsidR="001C31E3" w:rsidRPr="000A4FE9">
        <w:rPr>
          <w:sz w:val="20"/>
          <w:szCs w:val="20"/>
        </w:rPr>
        <w:t xml:space="preserve"> use the existing database </w:t>
      </w:r>
      <w:r w:rsidR="00DE67B2" w:rsidRPr="000A4FE9">
        <w:rPr>
          <w:sz w:val="20"/>
          <w:szCs w:val="20"/>
        </w:rPr>
        <w:t xml:space="preserve">as the foundation for </w:t>
      </w:r>
      <w:r w:rsidR="001C31E3" w:rsidRPr="000A4FE9">
        <w:rPr>
          <w:sz w:val="20"/>
          <w:szCs w:val="20"/>
        </w:rPr>
        <w:t>the new system</w:t>
      </w:r>
      <w:r w:rsidR="002D32DF" w:rsidRPr="000A4FE9">
        <w:rPr>
          <w:sz w:val="20"/>
          <w:szCs w:val="20"/>
        </w:rPr>
        <w:t>.  Other approaches c</w:t>
      </w:r>
      <w:r w:rsidR="00DE67B2" w:rsidRPr="000A4FE9">
        <w:rPr>
          <w:sz w:val="20"/>
          <w:szCs w:val="20"/>
        </w:rPr>
        <w:t>ould re</w:t>
      </w:r>
      <w:r w:rsidR="002D32DF" w:rsidRPr="000A4FE9">
        <w:rPr>
          <w:sz w:val="20"/>
          <w:szCs w:val="20"/>
        </w:rPr>
        <w:t>quire construction of a new database, requiring</w:t>
      </w:r>
      <w:r w:rsidR="000A4FE9">
        <w:rPr>
          <w:sz w:val="20"/>
          <w:szCs w:val="20"/>
        </w:rPr>
        <w:t xml:space="preserve"> a significant </w:t>
      </w:r>
      <w:r w:rsidR="002D32DF" w:rsidRPr="000A4FE9">
        <w:rPr>
          <w:sz w:val="20"/>
          <w:szCs w:val="20"/>
        </w:rPr>
        <w:t>investment of time and dollars</w:t>
      </w:r>
    </w:p>
    <w:p w:rsidR="001C31E3" w:rsidRDefault="00C1233E" w:rsidP="000A4FE9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b/>
          <w:bCs/>
          <w:sz w:val="20"/>
          <w:szCs w:val="20"/>
        </w:rPr>
      </w:pPr>
      <w:r w:rsidRPr="001B0FD0">
        <w:rPr>
          <w:b/>
          <w:bCs/>
          <w:sz w:val="20"/>
          <w:szCs w:val="20"/>
        </w:rPr>
        <w:t xml:space="preserve">Motorola </w:t>
      </w:r>
      <w:r w:rsidR="0006696E" w:rsidRPr="001B0FD0">
        <w:rPr>
          <w:b/>
          <w:bCs/>
          <w:sz w:val="20"/>
          <w:szCs w:val="20"/>
        </w:rPr>
        <w:t xml:space="preserve">will provide free </w:t>
      </w:r>
      <w:r w:rsidRPr="001B0FD0">
        <w:rPr>
          <w:b/>
          <w:bCs/>
          <w:sz w:val="20"/>
          <w:szCs w:val="20"/>
        </w:rPr>
        <w:t>radio upgrades</w:t>
      </w:r>
      <w:r w:rsidR="00297B0C" w:rsidRPr="001B0FD0">
        <w:rPr>
          <w:b/>
          <w:bCs/>
          <w:sz w:val="20"/>
          <w:szCs w:val="20"/>
        </w:rPr>
        <w:t xml:space="preserve"> (Flash Kits)</w:t>
      </w:r>
    </w:p>
    <w:p w:rsidR="00C1233E" w:rsidRDefault="00C1233E" w:rsidP="000A4F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0A4FE9">
        <w:rPr>
          <w:sz w:val="20"/>
          <w:szCs w:val="20"/>
        </w:rPr>
        <w:t>Radios will need P25 software</w:t>
      </w:r>
      <w:r w:rsidR="00297B0C" w:rsidRPr="000A4FE9">
        <w:rPr>
          <w:sz w:val="20"/>
          <w:szCs w:val="20"/>
        </w:rPr>
        <w:t xml:space="preserve"> (firmware) to operate on the upgraded P25 system (regardless of which vendor provides the system infrastructure)</w:t>
      </w:r>
    </w:p>
    <w:p w:rsidR="009373D0" w:rsidRPr="009373D0" w:rsidRDefault="009373D0" w:rsidP="009373D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0A4FE9">
        <w:rPr>
          <w:sz w:val="20"/>
          <w:szCs w:val="20"/>
        </w:rPr>
        <w:t xml:space="preserve">As part of the upgrade, Motorola will provide flash kits to local agencies at no cost, </w:t>
      </w:r>
      <w:r w:rsidRPr="00C478A5">
        <w:rPr>
          <w:sz w:val="20"/>
          <w:szCs w:val="20"/>
        </w:rPr>
        <w:t>a value in excess of $6 million</w:t>
      </w:r>
    </w:p>
    <w:p w:rsidR="00297B0C" w:rsidRPr="000A4FE9" w:rsidRDefault="00297B0C" w:rsidP="000A4F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0A4FE9">
        <w:rPr>
          <w:sz w:val="20"/>
          <w:szCs w:val="20"/>
        </w:rPr>
        <w:t xml:space="preserve">Only Motorola can supply </w:t>
      </w:r>
      <w:r w:rsidR="000A4FE9">
        <w:rPr>
          <w:sz w:val="20"/>
          <w:szCs w:val="20"/>
        </w:rPr>
        <w:t>flash kits for Motorola radios.  More than eighty percent of system users are Motorola cu</w:t>
      </w:r>
      <w:r w:rsidR="00B12A32">
        <w:rPr>
          <w:sz w:val="20"/>
          <w:szCs w:val="20"/>
        </w:rPr>
        <w:t xml:space="preserve">stomers </w:t>
      </w:r>
      <w:hyperlink w:anchor="Figure1" w:history="1">
        <w:r w:rsidR="00B12A32" w:rsidRPr="00B12A32">
          <w:rPr>
            <w:rStyle w:val="Hyperlink"/>
            <w:sz w:val="20"/>
            <w:szCs w:val="20"/>
          </w:rPr>
          <w:t>(see F</w:t>
        </w:r>
        <w:r w:rsidR="00402E8D">
          <w:rPr>
            <w:rStyle w:val="Hyperlink"/>
            <w:sz w:val="20"/>
            <w:szCs w:val="20"/>
          </w:rPr>
          <w:t>i</w:t>
        </w:r>
        <w:r w:rsidR="00B12A32" w:rsidRPr="00B12A32">
          <w:rPr>
            <w:rStyle w:val="Hyperlink"/>
            <w:sz w:val="20"/>
            <w:szCs w:val="20"/>
          </w:rPr>
          <w:t>gure 1).</w:t>
        </w:r>
      </w:hyperlink>
      <w:r w:rsidR="009373D0">
        <w:rPr>
          <w:sz w:val="20"/>
          <w:szCs w:val="20"/>
        </w:rPr>
        <w:t xml:space="preserve"> If the state selected </w:t>
      </w:r>
      <w:r w:rsidR="000A4FE9" w:rsidRPr="000A4FE9">
        <w:rPr>
          <w:sz w:val="20"/>
          <w:szCs w:val="20"/>
        </w:rPr>
        <w:t xml:space="preserve">another vendor’s infrastructure, </w:t>
      </w:r>
      <w:r w:rsidR="009373D0">
        <w:rPr>
          <w:sz w:val="20"/>
          <w:szCs w:val="20"/>
        </w:rPr>
        <w:t xml:space="preserve">a disproportionate percentage of </w:t>
      </w:r>
      <w:r w:rsidR="000A4FE9" w:rsidRPr="000A4FE9">
        <w:rPr>
          <w:sz w:val="20"/>
          <w:szCs w:val="20"/>
        </w:rPr>
        <w:t>local agencies would have to purchase the required flash kits</w:t>
      </w:r>
      <w:r w:rsidR="009373D0">
        <w:rPr>
          <w:sz w:val="20"/>
          <w:szCs w:val="20"/>
        </w:rPr>
        <w:t>.</w:t>
      </w:r>
    </w:p>
    <w:p w:rsidR="00B12A32" w:rsidRDefault="00B12A32" w:rsidP="00B12A32">
      <w:pPr>
        <w:spacing w:after="0" w:line="240" w:lineRule="auto"/>
        <w:ind w:left="360"/>
        <w:rPr>
          <w:b/>
          <w:bCs/>
          <w:sz w:val="20"/>
          <w:szCs w:val="20"/>
        </w:rPr>
      </w:pPr>
      <w:bookmarkStart w:id="0" w:name="_GoBack"/>
      <w:bookmarkEnd w:id="0"/>
    </w:p>
    <w:p w:rsidR="00B12A32" w:rsidRPr="00B12A32" w:rsidRDefault="00B12A32" w:rsidP="00D77199">
      <w:pPr>
        <w:spacing w:after="0" w:line="240" w:lineRule="auto"/>
        <w:rPr>
          <w:b/>
          <w:bCs/>
        </w:rPr>
      </w:pPr>
      <w:r w:rsidRPr="00B12A32">
        <w:rPr>
          <w:b/>
          <w:bCs/>
        </w:rPr>
        <w:t>Negotiated Contract Highlights</w:t>
      </w:r>
    </w:p>
    <w:p w:rsidR="00B12A32" w:rsidRPr="00B12A32" w:rsidRDefault="006307DF" w:rsidP="00D77199">
      <w:pPr>
        <w:numPr>
          <w:ilvl w:val="0"/>
          <w:numId w:val="1"/>
        </w:numP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Estimated </w:t>
      </w:r>
      <w:r w:rsidR="00B12A32" w:rsidRPr="00B12A32">
        <w:rPr>
          <w:bCs/>
          <w:sz w:val="20"/>
          <w:szCs w:val="20"/>
        </w:rPr>
        <w:t>39% discount over existing QPA pricing for</w:t>
      </w:r>
      <w:r w:rsidR="00E971A7">
        <w:rPr>
          <w:bCs/>
          <w:sz w:val="20"/>
          <w:szCs w:val="20"/>
        </w:rPr>
        <w:t xml:space="preserve"> infrastructure and 52% over list</w:t>
      </w:r>
      <w:r w:rsidR="00B12A32" w:rsidRPr="00B12A32">
        <w:rPr>
          <w:bCs/>
          <w:sz w:val="20"/>
          <w:szCs w:val="20"/>
        </w:rPr>
        <w:t xml:space="preserve"> pricing for subscriber equipment</w:t>
      </w:r>
    </w:p>
    <w:p w:rsidR="00B12A32" w:rsidRPr="00B12A32" w:rsidRDefault="00B12A32" w:rsidP="00D77199">
      <w:pPr>
        <w:numPr>
          <w:ilvl w:val="0"/>
          <w:numId w:val="1"/>
        </w:numPr>
        <w:spacing w:after="0" w:line="240" w:lineRule="auto"/>
        <w:ind w:left="720"/>
        <w:rPr>
          <w:bCs/>
          <w:sz w:val="20"/>
          <w:szCs w:val="20"/>
        </w:rPr>
      </w:pPr>
      <w:r w:rsidRPr="00B12A32">
        <w:rPr>
          <w:bCs/>
          <w:sz w:val="20"/>
          <w:szCs w:val="20"/>
        </w:rPr>
        <w:t>257 additional subscribers</w:t>
      </w:r>
      <w:r w:rsidR="006307DF">
        <w:rPr>
          <w:bCs/>
          <w:sz w:val="20"/>
          <w:szCs w:val="20"/>
        </w:rPr>
        <w:t xml:space="preserve"> (radios)</w:t>
      </w:r>
      <w:r w:rsidRPr="00B12A32">
        <w:rPr>
          <w:bCs/>
          <w:sz w:val="20"/>
          <w:szCs w:val="20"/>
        </w:rPr>
        <w:t>; 8 additional base stations</w:t>
      </w:r>
    </w:p>
    <w:p w:rsidR="00B12A32" w:rsidRPr="00B12A32" w:rsidRDefault="00B12A32" w:rsidP="00D77199">
      <w:pPr>
        <w:numPr>
          <w:ilvl w:val="0"/>
          <w:numId w:val="1"/>
        </w:numPr>
        <w:spacing w:after="0" w:line="240" w:lineRule="auto"/>
        <w:ind w:left="720"/>
        <w:rPr>
          <w:sz w:val="20"/>
          <w:szCs w:val="20"/>
        </w:rPr>
      </w:pPr>
      <w:r w:rsidRPr="00B12A32">
        <w:rPr>
          <w:bCs/>
          <w:sz w:val="20"/>
          <w:szCs w:val="20"/>
        </w:rPr>
        <w:t>Adjustments for</w:t>
      </w:r>
      <w:r w:rsidRPr="00B12A32">
        <w:rPr>
          <w:sz w:val="20"/>
          <w:szCs w:val="20"/>
        </w:rPr>
        <w:t xml:space="preserve"> </w:t>
      </w:r>
      <w:r w:rsidR="006307DF">
        <w:rPr>
          <w:sz w:val="20"/>
          <w:szCs w:val="20"/>
        </w:rPr>
        <w:t xml:space="preserve">recently purchased </w:t>
      </w:r>
      <w:r w:rsidRPr="00B12A32">
        <w:rPr>
          <w:sz w:val="20"/>
          <w:szCs w:val="20"/>
        </w:rPr>
        <w:t>Johnson and Monroe C</w:t>
      </w:r>
      <w:r w:rsidR="006307DF">
        <w:rPr>
          <w:sz w:val="20"/>
          <w:szCs w:val="20"/>
        </w:rPr>
        <w:t xml:space="preserve">ounties consoles </w:t>
      </w:r>
    </w:p>
    <w:p w:rsidR="00CA20EA" w:rsidRPr="006307DF" w:rsidRDefault="006307DF" w:rsidP="00D77199">
      <w:pPr>
        <w:numPr>
          <w:ilvl w:val="0"/>
          <w:numId w:val="1"/>
        </w:numPr>
        <w:spacing w:after="0" w:line="240" w:lineRule="auto"/>
        <w:ind w:left="720"/>
        <w:rPr>
          <w:sz w:val="20"/>
          <w:szCs w:val="20"/>
        </w:rPr>
      </w:pPr>
      <w:r w:rsidRPr="006307DF">
        <w:rPr>
          <w:bCs/>
          <w:sz w:val="20"/>
          <w:szCs w:val="20"/>
        </w:rPr>
        <w:t>Biennial system upgrades, guaranteeing that state and local agencies will have access to the latest technology and new features.</w:t>
      </w:r>
    </w:p>
    <w:p w:rsidR="002D32DF" w:rsidRPr="001B0FD0" w:rsidRDefault="002D32DF">
      <w:pPr>
        <w:rPr>
          <w:sz w:val="20"/>
          <w:szCs w:val="20"/>
        </w:rPr>
      </w:pPr>
    </w:p>
    <w:p w:rsidR="00F6766C" w:rsidRPr="001B0FD0" w:rsidRDefault="00F6766C" w:rsidP="00CA20EA">
      <w:pPr>
        <w:jc w:val="center"/>
        <w:rPr>
          <w:sz w:val="20"/>
          <w:szCs w:val="20"/>
        </w:rPr>
      </w:pPr>
    </w:p>
    <w:p w:rsidR="009373D0" w:rsidRDefault="009373D0" w:rsidP="00CA20EA">
      <w:pPr>
        <w:jc w:val="center"/>
        <w:rPr>
          <w:sz w:val="20"/>
          <w:szCs w:val="20"/>
        </w:rPr>
      </w:pPr>
    </w:p>
    <w:p w:rsidR="009373D0" w:rsidRDefault="009373D0" w:rsidP="006307DF">
      <w:pPr>
        <w:rPr>
          <w:sz w:val="20"/>
          <w:szCs w:val="20"/>
        </w:rPr>
      </w:pPr>
    </w:p>
    <w:p w:rsidR="009373D0" w:rsidRDefault="009373D0" w:rsidP="00D77199">
      <w:pPr>
        <w:rPr>
          <w:b/>
          <w:sz w:val="20"/>
          <w:szCs w:val="20"/>
        </w:rPr>
      </w:pPr>
    </w:p>
    <w:p w:rsidR="009373D0" w:rsidRPr="006307DF" w:rsidRDefault="00B12A32" w:rsidP="009373D0">
      <w:pPr>
        <w:keepNext/>
        <w:jc w:val="center"/>
        <w:rPr>
          <w:b/>
          <w:sz w:val="28"/>
          <w:szCs w:val="28"/>
        </w:rPr>
      </w:pPr>
      <w:r w:rsidRPr="006307DF">
        <w:rPr>
          <w:b/>
          <w:sz w:val="28"/>
          <w:szCs w:val="28"/>
        </w:rPr>
        <w:t>Figure 1:</w:t>
      </w:r>
      <w:r w:rsidR="009373D0" w:rsidRPr="006307DF">
        <w:rPr>
          <w:b/>
          <w:sz w:val="28"/>
          <w:szCs w:val="28"/>
        </w:rPr>
        <w:t xml:space="preserve">  SAFE-T System Radio IDs by Vendor</w:t>
      </w:r>
    </w:p>
    <w:p w:rsidR="00364ED5" w:rsidRDefault="00CA20EA" w:rsidP="00CA20EA">
      <w:pPr>
        <w:jc w:val="center"/>
        <w:rPr>
          <w:sz w:val="20"/>
          <w:szCs w:val="20"/>
        </w:rPr>
      </w:pPr>
      <w:bookmarkStart w:id="1" w:name="Figure1"/>
      <w:r w:rsidRPr="001B0FD0">
        <w:rPr>
          <w:noProof/>
          <w:sz w:val="20"/>
          <w:szCs w:val="20"/>
        </w:rPr>
        <w:drawing>
          <wp:inline distT="0" distB="0" distL="0" distR="0">
            <wp:extent cx="4572000" cy="27813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1"/>
    </w:p>
    <w:p w:rsidR="00D77199" w:rsidRDefault="00951A02" w:rsidP="009373D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.2pt;margin-top:1.2pt;width:429.65pt;height:0;z-index:251658240" o:connectortype="straight"/>
        </w:pict>
      </w:r>
    </w:p>
    <w:p w:rsidR="009373D0" w:rsidRPr="006307DF" w:rsidRDefault="009373D0" w:rsidP="009373D0">
      <w:pPr>
        <w:jc w:val="center"/>
        <w:rPr>
          <w:b/>
          <w:sz w:val="28"/>
          <w:szCs w:val="28"/>
        </w:rPr>
      </w:pPr>
      <w:r w:rsidRPr="006307DF">
        <w:rPr>
          <w:b/>
          <w:sz w:val="28"/>
          <w:szCs w:val="28"/>
        </w:rPr>
        <w:t>SAFE-T System Local, State &amp; Federal Users</w:t>
      </w:r>
    </w:p>
    <w:p w:rsidR="009373D0" w:rsidRDefault="009373D0" w:rsidP="00CA20EA">
      <w:pPr>
        <w:jc w:val="center"/>
        <w:rPr>
          <w:sz w:val="20"/>
          <w:szCs w:val="20"/>
        </w:rPr>
      </w:pPr>
    </w:p>
    <w:p w:rsidR="009373D0" w:rsidRPr="001B0FD0" w:rsidRDefault="009373D0" w:rsidP="00CA20EA">
      <w:pPr>
        <w:jc w:val="center"/>
        <w:rPr>
          <w:sz w:val="20"/>
          <w:szCs w:val="20"/>
        </w:rPr>
      </w:pPr>
      <w:bookmarkStart w:id="2" w:name="Figure2"/>
      <w:r>
        <w:rPr>
          <w:rFonts w:ascii="Calibri" w:eastAsia="Times New Roman" w:hAnsi="Calibri"/>
          <w:b/>
          <w:noProof/>
          <w:sz w:val="18"/>
          <w:szCs w:val="18"/>
        </w:rPr>
        <w:drawing>
          <wp:inline distT="0" distB="0" distL="0" distR="0">
            <wp:extent cx="4572762" cy="2746629"/>
            <wp:effectExtent l="19050" t="0" r="18288" b="0"/>
            <wp:docPr id="3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2"/>
    </w:p>
    <w:sectPr w:rsidR="009373D0" w:rsidRPr="001B0FD0" w:rsidSect="003F38D9">
      <w:headerReference w:type="first" r:id="rId10"/>
      <w:pgSz w:w="12240" w:h="15840"/>
      <w:pgMar w:top="1440" w:right="1440" w:bottom="1440" w:left="1440" w:header="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A32" w:rsidRDefault="00B12A32" w:rsidP="00F6766C">
      <w:pPr>
        <w:spacing w:after="0" w:line="240" w:lineRule="auto"/>
      </w:pPr>
      <w:r>
        <w:separator/>
      </w:r>
    </w:p>
  </w:endnote>
  <w:endnote w:type="continuationSeparator" w:id="0">
    <w:p w:rsidR="00B12A32" w:rsidRDefault="00B12A32" w:rsidP="00F6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Web Pro">
    <w:panose1 w:val="020B0503030403020204"/>
    <w:charset w:val="00"/>
    <w:family w:val="swiss"/>
    <w:pitch w:val="variable"/>
    <w:sig w:usb0="8000002F" w:usb1="5000204A" w:usb2="00000000" w:usb3="00000000" w:csb0="00000093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A32" w:rsidRDefault="00B12A32" w:rsidP="00F6766C">
      <w:pPr>
        <w:spacing w:after="0" w:line="240" w:lineRule="auto"/>
      </w:pPr>
      <w:r>
        <w:separator/>
      </w:r>
    </w:p>
  </w:footnote>
  <w:footnote w:type="continuationSeparator" w:id="0">
    <w:p w:rsidR="00B12A32" w:rsidRDefault="00B12A32" w:rsidP="00F6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A32" w:rsidRPr="007D2C13" w:rsidRDefault="00B12A32" w:rsidP="005C1059">
    <w:pPr>
      <w:pStyle w:val="Header"/>
    </w:pPr>
  </w:p>
  <w:p w:rsidR="00B12A32" w:rsidRDefault="00951A02" w:rsidP="005C1059">
    <w:pPr>
      <w:pStyle w:val="Header"/>
    </w:pPr>
    <w:r>
      <w:rPr>
        <w:noProof/>
      </w:rPr>
      <w:pict>
        <v:group id="_x0000_s2054" editas="canvas" style="position:absolute;margin-left:-33pt;margin-top:14.4pt;width:539.75pt;height:107.5pt;z-index:-251657216;mso-position-vertical-relative:page" coordorigin="4463,3459" coordsize="9246,1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4463;top:3459;width:9246;height:1666" o:preferrelative="f">
            <v:fill o:detectmouseclick="t"/>
            <v:path o:extrusionok="t" o:connecttype="none"/>
            <o:lock v:ext="edit" aspectratio="f" text="t"/>
          </v:shape>
          <v:line id="_x0000_s2056" style="position:absolute" from="4583,4104" to="13709,4105" strokecolor="#036" strokeweight="2.25pt"/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8394;top:3600;width:1542;height:1395" filled="f" stroked="f">
            <v:textbox style="mso-next-textbox:#_x0000_s2057" inset="0,0,0,0">
              <w:txbxContent>
                <w:p w:rsidR="00B12A32" w:rsidRDefault="00951A02" w:rsidP="005C1059">
                  <w:pPr>
                    <w:jc w:val="center"/>
                  </w:pPr>
                  <w:r>
                    <w:pict>
                      <v:shape id="_x0000_i1026" type="#_x0000_t75" style="width:53pt;height:53pt">
                        <v:imagedata r:id="rId1" o:title="IPSC"/>
                      </v:shape>
                    </w:pict>
                  </w:r>
                </w:p>
              </w:txbxContent>
            </v:textbox>
          </v:shape>
          <v:shape id="_x0000_s2058" type="#_x0000_t202" style="position:absolute;left:5311;top:4104;width:8398;height:279" filled="f" stroked="f">
            <v:textbox inset="0,0,0,0">
              <w:txbxContent>
                <w:p w:rsidR="00B12A32" w:rsidRPr="005C1059" w:rsidRDefault="00B12A32" w:rsidP="005C1059">
                  <w:pPr>
                    <w:rPr>
                      <w:rFonts w:ascii="Myriad Pro" w:hAnsi="Myriad Pro"/>
                      <w:color w:val="0E0266"/>
                      <w:sz w:val="18"/>
                      <w:szCs w:val="18"/>
                    </w:rPr>
                  </w:pPr>
                  <w:r w:rsidRPr="005C1059">
                    <w:rPr>
                      <w:rFonts w:ascii="Myriad Web Pro" w:hAnsi="Myriad Web Pro"/>
                      <w:b/>
                      <w:color w:val="0E0266"/>
                      <w:spacing w:val="18"/>
                      <w:kern w:val="20"/>
                      <w:sz w:val="18"/>
                      <w:szCs w:val="18"/>
                    </w:rPr>
                    <w:t>Integrated Public Safety Commission</w:t>
                  </w:r>
                  <w:r>
                    <w:rPr>
                      <w:rFonts w:ascii="Myriad Web Pro" w:hAnsi="Myriad Web Pro"/>
                      <w:b/>
                      <w:color w:val="0E0266"/>
                      <w:spacing w:val="18"/>
                      <w:kern w:val="20"/>
                      <w:sz w:val="18"/>
                      <w:szCs w:val="18"/>
                    </w:rPr>
                    <w:t xml:space="preserve">   </w:t>
                  </w:r>
                  <w:r w:rsidRPr="005C1059">
                    <w:rPr>
                      <w:rFonts w:ascii="Myriad Pro" w:hAnsi="Myriad Pro"/>
                      <w:color w:val="0E0266"/>
                      <w:spacing w:val="18"/>
                      <w:sz w:val="18"/>
                      <w:szCs w:val="18"/>
                    </w:rPr>
                    <w:tab/>
                  </w:r>
                  <w:r w:rsidRPr="005C1059">
                    <w:rPr>
                      <w:rFonts w:ascii="Myriad Pro" w:hAnsi="Myriad Pro"/>
                      <w:color w:val="0E0266"/>
                      <w:spacing w:val="18"/>
                      <w:sz w:val="18"/>
                      <w:szCs w:val="18"/>
                    </w:rPr>
                    <w:tab/>
                  </w:r>
                  <w:r>
                    <w:rPr>
                      <w:rFonts w:ascii="Myriad Pro" w:hAnsi="Myriad Pro"/>
                      <w:color w:val="0E0266"/>
                      <w:spacing w:val="18"/>
                      <w:sz w:val="18"/>
                      <w:szCs w:val="18"/>
                    </w:rPr>
                    <w:t xml:space="preserve">    </w:t>
                  </w:r>
                  <w:r w:rsidRPr="005C1059">
                    <w:rPr>
                      <w:rFonts w:ascii="Myriad Pro" w:hAnsi="Myriad Pro"/>
                      <w:color w:val="0E0266"/>
                      <w:sz w:val="18"/>
                      <w:szCs w:val="18"/>
                    </w:rPr>
                    <w:t>100 N. Senate Ave., N340 Indianapolis IN 46204</w:t>
                  </w:r>
                </w:p>
              </w:txbxContent>
            </v:textbox>
          </v:shape>
          <w10:wrap anchory="page"/>
        </v:group>
      </w:pict>
    </w:r>
  </w:p>
  <w:p w:rsidR="00B12A32" w:rsidRDefault="00B12A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0216"/>
    <w:multiLevelType w:val="multilevel"/>
    <w:tmpl w:val="D960DD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F060D5"/>
    <w:multiLevelType w:val="hybridMultilevel"/>
    <w:tmpl w:val="E7DC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2587F"/>
    <w:multiLevelType w:val="hybridMultilevel"/>
    <w:tmpl w:val="6C9E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47A90"/>
    <w:multiLevelType w:val="hybridMultilevel"/>
    <w:tmpl w:val="5C1E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5E9C"/>
    <w:rsid w:val="000566D1"/>
    <w:rsid w:val="0006696E"/>
    <w:rsid w:val="000A4FE9"/>
    <w:rsid w:val="000D1EF9"/>
    <w:rsid w:val="00133093"/>
    <w:rsid w:val="001B0FD0"/>
    <w:rsid w:val="001B5E9C"/>
    <w:rsid w:val="001C31E3"/>
    <w:rsid w:val="001F3FF7"/>
    <w:rsid w:val="00297B0C"/>
    <w:rsid w:val="002D32DF"/>
    <w:rsid w:val="00314C08"/>
    <w:rsid w:val="00342478"/>
    <w:rsid w:val="00364ED5"/>
    <w:rsid w:val="003F38D9"/>
    <w:rsid w:val="00402E8D"/>
    <w:rsid w:val="004821C1"/>
    <w:rsid w:val="004B3DA1"/>
    <w:rsid w:val="004C5C67"/>
    <w:rsid w:val="00574AAA"/>
    <w:rsid w:val="005C1059"/>
    <w:rsid w:val="006307DF"/>
    <w:rsid w:val="00690F77"/>
    <w:rsid w:val="0081619A"/>
    <w:rsid w:val="00820FA9"/>
    <w:rsid w:val="00890096"/>
    <w:rsid w:val="00892F9D"/>
    <w:rsid w:val="009373D0"/>
    <w:rsid w:val="00951A02"/>
    <w:rsid w:val="009D1378"/>
    <w:rsid w:val="00A85371"/>
    <w:rsid w:val="00AC3677"/>
    <w:rsid w:val="00B12A32"/>
    <w:rsid w:val="00C1233E"/>
    <w:rsid w:val="00C46E32"/>
    <w:rsid w:val="00C478A5"/>
    <w:rsid w:val="00CA20EA"/>
    <w:rsid w:val="00D77199"/>
    <w:rsid w:val="00DE67B2"/>
    <w:rsid w:val="00E45D02"/>
    <w:rsid w:val="00E971A7"/>
    <w:rsid w:val="00F01555"/>
    <w:rsid w:val="00F44054"/>
    <w:rsid w:val="00F52424"/>
    <w:rsid w:val="00F6766C"/>
    <w:rsid w:val="00FE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E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6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6766C"/>
  </w:style>
  <w:style w:type="paragraph" w:styleId="Footer">
    <w:name w:val="footer"/>
    <w:basedOn w:val="Normal"/>
    <w:link w:val="FooterChar"/>
    <w:uiPriority w:val="99"/>
    <w:semiHidden/>
    <w:unhideWhenUsed/>
    <w:rsid w:val="00F6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766C"/>
  </w:style>
  <w:style w:type="paragraph" w:styleId="Caption">
    <w:name w:val="caption"/>
    <w:basedOn w:val="Normal"/>
    <w:next w:val="Normal"/>
    <w:uiPriority w:val="35"/>
    <w:unhideWhenUsed/>
    <w:qFormat/>
    <w:rsid w:val="009373D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2A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A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E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iotfilp05pw\IPSC\Shared\Safe-T\P25%20Migration\County%20Spread%20Sheet%20EFJ%20-%202014-03-08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iotfilp05pw\IPSC\Shared\Safe-T\Grants\NHSTA_2014\Agencies_20130326%20(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7"/>
  <c:chart>
    <c:view3D>
      <c:rotX val="30"/>
      <c:perspective val="30"/>
    </c:view3D>
    <c:plotArea>
      <c:layout/>
      <c:pie3DChart>
        <c:varyColors val="1"/>
        <c:ser>
          <c:idx val="0"/>
          <c:order val="0"/>
          <c:spPr>
            <a:solidFill>
              <a:srgbClr val="92D050"/>
            </a:solidFill>
          </c:spPr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bg2">
                  <a:lumMod val="50000"/>
                </a:schemeClr>
              </a:solidFill>
            </c:spPr>
          </c:dPt>
          <c:dLbls>
            <c:dLbl>
              <c:idx val="0"/>
              <c:layout>
                <c:manualLayout>
                  <c:x val="-0.19981058617672812"/>
                  <c:y val="-0.39520377661125727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bg1"/>
                        </a:solidFill>
                      </a:rPr>
                      <a:t>M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otorola </a:t>
                    </a:r>
                  </a:p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49423 IDs</a:t>
                    </a:r>
                    <a:r>
                      <a:rPr lang="en-US" baseline="0">
                        <a:solidFill>
                          <a:schemeClr val="bg1"/>
                        </a:solidFill>
                      </a:rPr>
                      <a:t> (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82%)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1"/>
              <c:layout>
                <c:manualLayout>
                  <c:x val="4.3295494313210926E-2"/>
                  <c:y val="-2.2358923884514471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tx1"/>
                        </a:solidFill>
                      </a:rPr>
                      <a:t>E</a:t>
                    </a:r>
                    <a:r>
                      <a:rPr lang="en-US"/>
                      <a:t>FJohnson </a:t>
                    </a:r>
                  </a:p>
                  <a:p>
                    <a:r>
                      <a:rPr lang="en-US"/>
                      <a:t>6577 IDs (11%)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2"/>
              <c:layout>
                <c:manualLayout>
                  <c:x val="0.19428915135608055"/>
                  <c:y val="1.1574074074074078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tx1"/>
                        </a:solidFill>
                      </a:rPr>
                      <a:t>C</a:t>
                    </a:r>
                    <a:r>
                      <a:rPr lang="en-US"/>
                      <a:t>onsoles </a:t>
                    </a:r>
                  </a:p>
                  <a:p>
                    <a:r>
                      <a:rPr lang="en-US"/>
                      <a:t>4000 IDs</a:t>
                    </a:r>
                    <a:r>
                      <a:rPr lang="en-US" baseline="0"/>
                      <a:t> (</a:t>
                    </a:r>
                    <a:r>
                      <a:rPr lang="en-US"/>
                      <a:t>7%)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spPr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>
                    <a:solidFill>
                      <a:schemeClr val="tx1"/>
                    </a:solidFill>
                  </a:defRPr>
                </a:pPr>
                <a:endParaRPr lang="en-US"/>
              </a:p>
            </c:txPr>
            <c:dLblPos val="bestFit"/>
            <c:showVal val="1"/>
            <c:showCatName val="1"/>
            <c:showPercent val="1"/>
            <c:showLeaderLines val="1"/>
          </c:dLbls>
          <c:cat>
            <c:strRef>
              <c:f>Sheet4!$A$3:$A$5</c:f>
              <c:strCache>
                <c:ptCount val="3"/>
                <c:pt idx="0">
                  <c:v>Motorola</c:v>
                </c:pt>
                <c:pt idx="1">
                  <c:v>EF Johnson</c:v>
                </c:pt>
                <c:pt idx="2">
                  <c:v>Console IDs</c:v>
                </c:pt>
              </c:strCache>
            </c:strRef>
          </c:cat>
          <c:val>
            <c:numRef>
              <c:f>Sheet4!$B$3:$B$5</c:f>
              <c:numCache>
                <c:formatCode>General</c:formatCode>
                <c:ptCount val="3"/>
                <c:pt idx="0">
                  <c:v>49423</c:v>
                </c:pt>
                <c:pt idx="1">
                  <c:v>6577</c:v>
                </c:pt>
                <c:pt idx="2">
                  <c:v>4000</c:v>
                </c:pt>
              </c:numCache>
            </c:numRef>
          </c:val>
        </c:ser>
        <c:dLbls>
          <c:showVal val="1"/>
        </c:dLbls>
      </c:pie3DChart>
    </c:plotArea>
    <c:plotVisOnly val="1"/>
  </c:chart>
  <c:spPr>
    <a:noFill/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0.17722331583552076"/>
                  <c:y val="0.10666156313794109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bg1"/>
                        </a:solidFill>
                      </a:rPr>
                      <a:t>State, </a:t>
                    </a:r>
                  </a:p>
                  <a:p>
                    <a:r>
                      <a:rPr lang="en-US" b="1">
                        <a:solidFill>
                          <a:schemeClr val="bg1"/>
                        </a:solidFill>
                      </a:rPr>
                      <a:t>13990, IDs (23%)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Federal, </a:t>
                    </a:r>
                  </a:p>
                  <a:p>
                    <a:r>
                      <a:rPr lang="en-US"/>
                      <a:t>335</a:t>
                    </a:r>
                    <a:r>
                      <a:rPr lang="en-US" baseline="0"/>
                      <a:t> IDs</a:t>
                    </a:r>
                    <a:endParaRPr lang="en-US"/>
                  </a:p>
                </c:rich>
              </c:tx>
              <c:showVal val="1"/>
              <c:showCatName val="1"/>
              <c:showPercent val="1"/>
            </c:dLbl>
            <c:dLbl>
              <c:idx val="2"/>
              <c:layout>
                <c:manualLayout>
                  <c:x val="0.28854724409448834"/>
                  <c:y val="-0.2099773986585010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Local,</a:t>
                    </a:r>
                  </a:p>
                  <a:p>
                    <a:r>
                      <a:rPr lang="en-US"/>
                      <a:t>46411 IDs</a:t>
                    </a:r>
                    <a:r>
                      <a:rPr lang="en-US" baseline="0"/>
                      <a:t> (</a:t>
                    </a:r>
                    <a:r>
                      <a:rPr lang="en-US"/>
                      <a:t>76%)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3"/>
              <c:delete val="1"/>
            </c:dLbl>
            <c:showVal val="1"/>
            <c:showCatName val="1"/>
            <c:showPercent val="1"/>
            <c:showLeaderLines val="1"/>
          </c:dLbls>
          <c:cat>
            <c:strRef>
              <c:f>Sheet6!$A$1:$D$1</c:f>
              <c:strCache>
                <c:ptCount val="4"/>
                <c:pt idx="0">
                  <c:v>State</c:v>
                </c:pt>
                <c:pt idx="1">
                  <c:v>Federal</c:v>
                </c:pt>
                <c:pt idx="2">
                  <c:v>Local</c:v>
                </c:pt>
                <c:pt idx="3">
                  <c:v>Miscellaneous</c:v>
                </c:pt>
              </c:strCache>
            </c:strRef>
          </c:cat>
          <c:val>
            <c:numRef>
              <c:f>Sheet6!$A$2:$D$2</c:f>
              <c:numCache>
                <c:formatCode>General</c:formatCode>
                <c:ptCount val="4"/>
                <c:pt idx="0">
                  <c:v>13990</c:v>
                </c:pt>
                <c:pt idx="1">
                  <c:v>335</c:v>
                </c:pt>
                <c:pt idx="2">
                  <c:v>46411</c:v>
                </c:pt>
                <c:pt idx="3">
                  <c:v>74</c:v>
                </c:pt>
              </c:numCache>
            </c:numRef>
          </c:val>
        </c:ser>
        <c:dLbls>
          <c:showVal val="1"/>
        </c:dLbls>
      </c:pie3DChart>
    </c:plotArea>
    <c:legend>
      <c:legendPos val="b"/>
      <c:legendEntry>
        <c:idx val="3"/>
        <c:delete val="1"/>
      </c:legendEntry>
      <c:layout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0.24444</cdr:x>
      <cdr:y>0.17824</cdr:y>
    </cdr:from>
    <cdr:to>
      <cdr:x>0.33889</cdr:x>
      <cdr:y>0.23611</cdr:y>
    </cdr:to>
    <cdr:sp macro="" textlink="">
      <cdr:nvSpPr>
        <cdr:cNvPr id="3" name="Straight Arrow Connector 2"/>
        <cdr:cNvSpPr/>
      </cdr:nvSpPr>
      <cdr:spPr>
        <a:xfrm xmlns:a="http://schemas.openxmlformats.org/drawingml/2006/main">
          <a:off x="1117600" y="488950"/>
          <a:ext cx="431800" cy="15875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0.44583</cdr:x>
      <cdr:y>0.11806</cdr:y>
    </cdr:from>
    <cdr:to>
      <cdr:x>0.49861</cdr:x>
      <cdr:y>0.19907</cdr:y>
    </cdr:to>
    <cdr:sp macro="" textlink="">
      <cdr:nvSpPr>
        <cdr:cNvPr id="5" name="Straight Arrow Connector 4"/>
        <cdr:cNvSpPr/>
      </cdr:nvSpPr>
      <cdr:spPr>
        <a:xfrm xmlns:a="http://schemas.openxmlformats.org/drawingml/2006/main" flipH="1">
          <a:off x="2038350" y="323850"/>
          <a:ext cx="241300" cy="22225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0.81907</cdr:x>
      <cdr:y>0.28752</cdr:y>
    </cdr:from>
    <cdr:to>
      <cdr:x>0.83725</cdr:x>
      <cdr:y>0.29833</cdr:y>
    </cdr:to>
    <cdr:sp macro="" textlink="">
      <cdr:nvSpPr>
        <cdr:cNvPr id="3" name="Straight Connector 2"/>
        <cdr:cNvSpPr/>
      </cdr:nvSpPr>
      <cdr:spPr>
        <a:xfrm xmlns:a="http://schemas.openxmlformats.org/drawingml/2006/main" flipH="1">
          <a:off x="3745428" y="789709"/>
          <a:ext cx="83127" cy="29688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6CDA-8FA9-4377-8028-8E703651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Thayer</dc:creator>
  <cp:lastModifiedBy>Sally Fay</cp:lastModifiedBy>
  <cp:revision>10</cp:revision>
  <cp:lastPrinted>2014-04-09T16:09:00Z</cp:lastPrinted>
  <dcterms:created xsi:type="dcterms:W3CDTF">2014-03-14T19:18:00Z</dcterms:created>
  <dcterms:modified xsi:type="dcterms:W3CDTF">2014-04-09T18:30:00Z</dcterms:modified>
</cp:coreProperties>
</file>