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C6" w:rsidRDefault="00246FD6">
      <w:r>
        <w:rPr>
          <w:noProof/>
        </w:rPr>
        <w:drawing>
          <wp:inline distT="0" distB="0" distL="0" distR="0">
            <wp:extent cx="26479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DC6" w:rsidRPr="007F5D54" w:rsidRDefault="00E72DC6">
      <w:pPr>
        <w:rPr>
          <w:sz w:val="14"/>
          <w:szCs w:val="14"/>
        </w:rPr>
      </w:pPr>
      <w:r>
        <w:br w:type="column"/>
      </w:r>
    </w:p>
    <w:p w:rsidR="00E72DC6" w:rsidRPr="007F5D54" w:rsidRDefault="00E72DC6">
      <w:pPr>
        <w:rPr>
          <w:sz w:val="14"/>
          <w:szCs w:val="14"/>
        </w:rPr>
      </w:pPr>
    </w:p>
    <w:p w:rsidR="00AB3BE8" w:rsidRDefault="00AB3BE8">
      <w:pPr>
        <w:spacing w:line="360" w:lineRule="auto"/>
        <w:rPr>
          <w:iCs/>
          <w:sz w:val="14"/>
          <w:szCs w:val="14"/>
        </w:rPr>
      </w:pPr>
    </w:p>
    <w:p w:rsidR="00E72DC6" w:rsidRPr="00AB3BE8" w:rsidRDefault="003F0A37">
      <w:pPr>
        <w:spacing w:line="360" w:lineRule="auto"/>
        <w:rPr>
          <w:iCs/>
          <w:sz w:val="15"/>
          <w:szCs w:val="15"/>
        </w:rPr>
      </w:pPr>
      <w:r>
        <w:rPr>
          <w:iCs/>
          <w:sz w:val="15"/>
          <w:szCs w:val="15"/>
        </w:rPr>
        <w:t xml:space="preserve">Dave </w:t>
      </w:r>
      <w:proofErr w:type="spellStart"/>
      <w:r>
        <w:rPr>
          <w:iCs/>
          <w:sz w:val="15"/>
          <w:szCs w:val="15"/>
        </w:rPr>
        <w:t>Heineman</w:t>
      </w:r>
      <w:proofErr w:type="spellEnd"/>
      <w:r w:rsidR="009D3230" w:rsidRPr="00AB3BE8">
        <w:rPr>
          <w:iCs/>
          <w:sz w:val="15"/>
          <w:szCs w:val="15"/>
        </w:rPr>
        <w:tab/>
      </w:r>
      <w:r w:rsidR="009D3230" w:rsidRPr="00AB3BE8">
        <w:rPr>
          <w:iCs/>
          <w:sz w:val="15"/>
          <w:szCs w:val="15"/>
        </w:rPr>
        <w:tab/>
      </w:r>
      <w:r>
        <w:rPr>
          <w:iCs/>
          <w:sz w:val="15"/>
          <w:szCs w:val="15"/>
        </w:rPr>
        <w:t xml:space="preserve">Jack </w:t>
      </w:r>
      <w:proofErr w:type="spellStart"/>
      <w:r>
        <w:rPr>
          <w:iCs/>
          <w:sz w:val="15"/>
          <w:szCs w:val="15"/>
        </w:rPr>
        <w:t>Markell</w:t>
      </w:r>
      <w:proofErr w:type="spellEnd"/>
      <w:r w:rsidR="00AF1624" w:rsidRPr="00AB3BE8">
        <w:rPr>
          <w:iCs/>
          <w:sz w:val="15"/>
          <w:szCs w:val="15"/>
        </w:rPr>
        <w:tab/>
      </w:r>
      <w:r w:rsidR="00AF1624" w:rsidRPr="00AB3BE8">
        <w:rPr>
          <w:iCs/>
          <w:sz w:val="15"/>
          <w:szCs w:val="15"/>
        </w:rPr>
        <w:tab/>
      </w:r>
      <w:r w:rsidR="00B85A88">
        <w:rPr>
          <w:iCs/>
          <w:sz w:val="15"/>
          <w:szCs w:val="15"/>
        </w:rPr>
        <w:t>Dan Crippen</w:t>
      </w:r>
    </w:p>
    <w:p w:rsidR="00E72DC6" w:rsidRPr="00AB3BE8" w:rsidRDefault="00CA28AF">
      <w:pPr>
        <w:spacing w:line="360" w:lineRule="auto"/>
        <w:rPr>
          <w:sz w:val="15"/>
          <w:szCs w:val="15"/>
        </w:rPr>
      </w:pPr>
      <w:r w:rsidRPr="00AB3BE8">
        <w:rPr>
          <w:sz w:val="15"/>
          <w:szCs w:val="15"/>
        </w:rPr>
        <w:t xml:space="preserve">Governor of </w:t>
      </w:r>
      <w:r w:rsidR="003F0A37">
        <w:rPr>
          <w:sz w:val="15"/>
          <w:szCs w:val="15"/>
        </w:rPr>
        <w:t>Nebraska</w:t>
      </w:r>
      <w:r w:rsidR="003F0A37">
        <w:rPr>
          <w:sz w:val="15"/>
          <w:szCs w:val="15"/>
        </w:rPr>
        <w:tab/>
      </w:r>
      <w:r w:rsidR="00B36ABF" w:rsidRPr="00AB3BE8">
        <w:rPr>
          <w:sz w:val="15"/>
          <w:szCs w:val="15"/>
        </w:rPr>
        <w:tab/>
      </w:r>
      <w:r w:rsidR="009D3230" w:rsidRPr="00AB3BE8">
        <w:rPr>
          <w:sz w:val="15"/>
          <w:szCs w:val="15"/>
        </w:rPr>
        <w:t xml:space="preserve">Governor of </w:t>
      </w:r>
      <w:r w:rsidR="003F0A37">
        <w:rPr>
          <w:sz w:val="15"/>
          <w:szCs w:val="15"/>
        </w:rPr>
        <w:t>Delaware</w:t>
      </w:r>
      <w:r w:rsidR="0026635F">
        <w:rPr>
          <w:sz w:val="15"/>
          <w:szCs w:val="15"/>
        </w:rPr>
        <w:tab/>
      </w:r>
      <w:r w:rsidR="009D3230" w:rsidRPr="00AB3BE8">
        <w:rPr>
          <w:sz w:val="15"/>
          <w:szCs w:val="15"/>
        </w:rPr>
        <w:tab/>
      </w:r>
      <w:r w:rsidR="00E72DC6" w:rsidRPr="00AB3BE8">
        <w:rPr>
          <w:sz w:val="15"/>
          <w:szCs w:val="15"/>
        </w:rPr>
        <w:t>Executive Director</w:t>
      </w:r>
    </w:p>
    <w:p w:rsidR="00E72DC6" w:rsidRPr="00AB3BE8" w:rsidRDefault="00E72DC6">
      <w:pPr>
        <w:spacing w:line="360" w:lineRule="auto"/>
        <w:rPr>
          <w:rFonts w:ascii="Microsoft Sans Serif" w:hAnsi="Microsoft Sans Serif" w:cs="Microsoft Sans Serif"/>
          <w:sz w:val="15"/>
          <w:szCs w:val="15"/>
        </w:rPr>
      </w:pPr>
      <w:r w:rsidRPr="00AB3BE8">
        <w:rPr>
          <w:sz w:val="15"/>
          <w:szCs w:val="15"/>
        </w:rPr>
        <w:t>Chair</w:t>
      </w:r>
      <w:r w:rsidRPr="00AB3BE8">
        <w:rPr>
          <w:sz w:val="15"/>
          <w:szCs w:val="15"/>
        </w:rPr>
        <w:tab/>
      </w:r>
      <w:r w:rsidRPr="00AB3BE8">
        <w:rPr>
          <w:sz w:val="15"/>
          <w:szCs w:val="15"/>
        </w:rPr>
        <w:tab/>
      </w:r>
      <w:r w:rsidRPr="00AB3BE8">
        <w:rPr>
          <w:sz w:val="15"/>
          <w:szCs w:val="15"/>
        </w:rPr>
        <w:tab/>
        <w:t>Vice Chair</w:t>
      </w:r>
    </w:p>
    <w:p w:rsidR="00E72DC6" w:rsidRDefault="00E72DC6">
      <w:pPr>
        <w:rPr>
          <w:rFonts w:ascii="Microsoft Sans Serif" w:hAnsi="Microsoft Sans Serif" w:cs="Microsoft Sans Serif"/>
          <w:sz w:val="16"/>
        </w:rPr>
        <w:sectPr w:rsidR="00E72DC6" w:rsidSect="007F5D54">
          <w:pgSz w:w="12240" w:h="15840"/>
          <w:pgMar w:top="540" w:right="245" w:bottom="245" w:left="576" w:header="720" w:footer="720" w:gutter="0"/>
          <w:cols w:num="2" w:space="144" w:equalWidth="0">
            <w:col w:w="5184" w:space="144"/>
            <w:col w:w="6091"/>
          </w:cols>
          <w:docGrid w:linePitch="360"/>
        </w:sectPr>
      </w:pPr>
    </w:p>
    <w:p w:rsidR="00E72DC6" w:rsidRDefault="00E72DC6">
      <w:pPr>
        <w:tabs>
          <w:tab w:val="left" w:pos="720"/>
          <w:tab w:val="left" w:pos="4500"/>
        </w:tabs>
        <w:spacing w:line="280" w:lineRule="atLeast"/>
      </w:pPr>
      <w:r>
        <w:lastRenderedPageBreak/>
        <w:tab/>
      </w:r>
      <w:r>
        <w:tab/>
      </w:r>
      <w:bookmarkStart w:id="0" w:name="memodate"/>
      <w:bookmarkEnd w:id="0"/>
      <w:r w:rsidR="00B36ACB">
        <w:t>March 14</w:t>
      </w:r>
      <w:bookmarkStart w:id="1" w:name="_GoBack"/>
      <w:bookmarkEnd w:id="1"/>
      <w:r w:rsidR="003E5170">
        <w:t>, 2012</w:t>
      </w:r>
    </w:p>
    <w:p w:rsidR="00E72DC6" w:rsidRDefault="00E72DC6">
      <w:pPr>
        <w:tabs>
          <w:tab w:val="left" w:pos="720"/>
          <w:tab w:val="left" w:pos="4680"/>
        </w:tabs>
        <w:spacing w:line="280" w:lineRule="atLeast"/>
      </w:pPr>
    </w:p>
    <w:p w:rsidR="00E72DC6" w:rsidRDefault="00E72DC6">
      <w:pPr>
        <w:tabs>
          <w:tab w:val="left" w:pos="720"/>
          <w:tab w:val="left" w:pos="4680"/>
        </w:tabs>
        <w:spacing w:line="280" w:lineRule="atLeast"/>
      </w:pPr>
      <w:r>
        <w:t xml:space="preserve">M  </w:t>
      </w:r>
      <w:proofErr w:type="gramStart"/>
      <w:r>
        <w:t>E  M</w:t>
      </w:r>
      <w:proofErr w:type="gramEnd"/>
      <w:r>
        <w:t xml:space="preserve">  O  R  A  N  D  U  M </w:t>
      </w:r>
    </w:p>
    <w:p w:rsidR="00E72DC6" w:rsidRDefault="00E72DC6">
      <w:pPr>
        <w:tabs>
          <w:tab w:val="left" w:pos="720"/>
          <w:tab w:val="left" w:pos="4680"/>
        </w:tabs>
        <w:spacing w:line="280" w:lineRule="atLeast"/>
      </w:pPr>
    </w:p>
    <w:p w:rsidR="00E72DC6" w:rsidRDefault="00E72DC6">
      <w:pPr>
        <w:tabs>
          <w:tab w:val="left" w:pos="720"/>
          <w:tab w:val="left" w:pos="4680"/>
        </w:tabs>
        <w:spacing w:line="280" w:lineRule="atLeast"/>
        <w:ind w:left="720" w:hanging="720"/>
      </w:pPr>
      <w:r>
        <w:rPr>
          <w:i/>
        </w:rPr>
        <w:t>To:</w:t>
      </w:r>
      <w:r>
        <w:tab/>
      </w:r>
      <w:bookmarkStart w:id="2" w:name="memoto"/>
      <w:bookmarkEnd w:id="2"/>
      <w:r w:rsidR="003E5170">
        <w:t>Washington Representatives</w:t>
      </w:r>
    </w:p>
    <w:p w:rsidR="00E72DC6" w:rsidRDefault="00E72DC6">
      <w:pPr>
        <w:tabs>
          <w:tab w:val="left" w:pos="720"/>
          <w:tab w:val="left" w:pos="4680"/>
        </w:tabs>
        <w:spacing w:line="280" w:lineRule="atLeast"/>
        <w:ind w:left="720" w:hanging="720"/>
      </w:pPr>
      <w:r>
        <w:rPr>
          <w:i/>
        </w:rPr>
        <w:t>From:</w:t>
      </w:r>
      <w:r>
        <w:tab/>
      </w:r>
      <w:bookmarkStart w:id="3" w:name="memofrom"/>
      <w:bookmarkEnd w:id="3"/>
      <w:r w:rsidR="003E5170">
        <w:t>Heather Hogsett</w:t>
      </w:r>
    </w:p>
    <w:p w:rsidR="00246FD6" w:rsidRDefault="00E72DC6" w:rsidP="00246FD6">
      <w:pPr>
        <w:tabs>
          <w:tab w:val="left" w:pos="720"/>
          <w:tab w:val="left" w:pos="4680"/>
        </w:tabs>
        <w:spacing w:line="280" w:lineRule="atLeast"/>
        <w:ind w:left="720" w:hanging="720"/>
      </w:pPr>
      <w:r>
        <w:rPr>
          <w:i/>
        </w:rPr>
        <w:t>Re:</w:t>
      </w:r>
      <w:r>
        <w:tab/>
      </w:r>
      <w:bookmarkStart w:id="4" w:name="memore"/>
      <w:bookmarkEnd w:id="4"/>
      <w:r w:rsidR="003E5170">
        <w:t>Implementation of the Public Safety Broadband Network</w:t>
      </w:r>
    </w:p>
    <w:p w:rsidR="00246FD6" w:rsidRDefault="00246FD6">
      <w:pPr>
        <w:tabs>
          <w:tab w:val="left" w:pos="720"/>
          <w:tab w:val="left" w:pos="3780"/>
        </w:tabs>
        <w:spacing w:line="280" w:lineRule="atLeast"/>
        <w:jc w:val="both"/>
      </w:pPr>
    </w:p>
    <w:p w:rsidR="000D36C9" w:rsidRDefault="000D36C9">
      <w:pPr>
        <w:tabs>
          <w:tab w:val="left" w:pos="720"/>
          <w:tab w:val="left" w:pos="3780"/>
        </w:tabs>
        <w:spacing w:line="280" w:lineRule="atLeast"/>
        <w:jc w:val="both"/>
      </w:pPr>
      <w:r>
        <w:t>This memorandum highlights key milestones for states as legislation to reallocate the D block of spectrum and construct a nationwide public safety broadband network is implemented.  It also addresses several frequently asked questions.</w:t>
      </w:r>
    </w:p>
    <w:p w:rsidR="00287D37" w:rsidRDefault="00287D37">
      <w:pPr>
        <w:tabs>
          <w:tab w:val="left" w:pos="720"/>
          <w:tab w:val="left" w:pos="3780"/>
        </w:tabs>
        <w:spacing w:line="280" w:lineRule="atLeast"/>
        <w:jc w:val="both"/>
      </w:pPr>
    </w:p>
    <w:p w:rsidR="00287D37" w:rsidRPr="00904685" w:rsidRDefault="00287D37">
      <w:pPr>
        <w:tabs>
          <w:tab w:val="left" w:pos="720"/>
          <w:tab w:val="left" w:pos="3780"/>
        </w:tabs>
        <w:spacing w:line="280" w:lineRule="atLeast"/>
        <w:jc w:val="both"/>
        <w:rPr>
          <w:b/>
          <w:u w:val="single"/>
        </w:rPr>
      </w:pPr>
      <w:r w:rsidRPr="00904685">
        <w:rPr>
          <w:b/>
          <w:u w:val="single"/>
        </w:rPr>
        <w:t>Key Dates for Network Development</w:t>
      </w:r>
    </w:p>
    <w:p w:rsidR="00010641" w:rsidRDefault="003B2C12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The legislation requires the establishment of two boards that will play important roles in the development of the nationwide public safety network.  The first </w:t>
      </w:r>
      <w:r w:rsidR="00DA4540">
        <w:t xml:space="preserve">is the technical advisory board that will be established by the Federal Communications Commission </w:t>
      </w:r>
      <w:r w:rsidR="008B35A2">
        <w:t xml:space="preserve">(FCC) </w:t>
      </w:r>
      <w:r w:rsidR="00DA4540">
        <w:t>to develop technical standards to ensure interoperability across the country.  The second is the board of the First Responder Network Authority (</w:t>
      </w:r>
      <w:proofErr w:type="spellStart"/>
      <w:r w:rsidR="00DA4540">
        <w:t>FirstNet</w:t>
      </w:r>
      <w:proofErr w:type="spellEnd"/>
      <w:r w:rsidR="00DA4540">
        <w:t>) that will hold the license for the spectrum and is responsible for network construction, maintenance and upgrades.</w:t>
      </w:r>
      <w:r w:rsidR="00010641">
        <w:t xml:space="preserve">  </w:t>
      </w:r>
    </w:p>
    <w:p w:rsidR="00010641" w:rsidRDefault="00010641">
      <w:pPr>
        <w:tabs>
          <w:tab w:val="left" w:pos="720"/>
          <w:tab w:val="left" w:pos="3780"/>
        </w:tabs>
        <w:spacing w:line="280" w:lineRule="atLeast"/>
        <w:jc w:val="both"/>
      </w:pPr>
    </w:p>
    <w:p w:rsidR="00FD3369" w:rsidRDefault="00010641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Once these boards are established, </w:t>
      </w:r>
      <w:proofErr w:type="spellStart"/>
      <w:r>
        <w:t>FirstNet</w:t>
      </w:r>
      <w:proofErr w:type="spellEnd"/>
      <w:r>
        <w:t xml:space="preserve"> must develop and present to </w:t>
      </w:r>
      <w:r w:rsidR="00FD3369">
        <w:t xml:space="preserve">governors a plan to build the network in the state.  Governors will then have 90 days in which to decide whether to build a separate state network or participate in the national network.  </w:t>
      </w:r>
    </w:p>
    <w:p w:rsidR="00FD3369" w:rsidRDefault="00FD3369">
      <w:pPr>
        <w:tabs>
          <w:tab w:val="left" w:pos="720"/>
          <w:tab w:val="left" w:pos="3780"/>
        </w:tabs>
        <w:spacing w:line="280" w:lineRule="atLeast"/>
        <w:jc w:val="both"/>
      </w:pPr>
    </w:p>
    <w:tbl>
      <w:tblPr>
        <w:tblStyle w:val="TableGrid"/>
        <w:tblW w:w="0" w:type="auto"/>
        <w:tblLook w:val="04A0"/>
      </w:tblPr>
      <w:tblGrid>
        <w:gridCol w:w="3312"/>
        <w:gridCol w:w="1836"/>
        <w:gridCol w:w="4788"/>
      </w:tblGrid>
      <w:tr w:rsidR="003122C5" w:rsidRPr="00E72319" w:rsidTr="000765BE">
        <w:tc>
          <w:tcPr>
            <w:tcW w:w="3312" w:type="dxa"/>
          </w:tcPr>
          <w:p w:rsidR="003122C5" w:rsidRPr="00E72319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</w:p>
        </w:tc>
        <w:tc>
          <w:tcPr>
            <w:tcW w:w="1836" w:type="dxa"/>
          </w:tcPr>
          <w:p w:rsidR="003122C5" w:rsidRPr="00E72319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 w:rsidRPr="00E72319">
              <w:rPr>
                <w:b/>
                <w:i/>
              </w:rPr>
              <w:t>Deadline</w:t>
            </w:r>
          </w:p>
        </w:tc>
        <w:tc>
          <w:tcPr>
            <w:tcW w:w="4788" w:type="dxa"/>
          </w:tcPr>
          <w:p w:rsidR="003122C5" w:rsidRPr="00E72319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 w:rsidRPr="00E72319">
              <w:rPr>
                <w:b/>
                <w:i/>
              </w:rPr>
              <w:t>Requirements/Background</w:t>
            </w:r>
          </w:p>
        </w:tc>
      </w:tr>
      <w:tr w:rsidR="003122C5" w:rsidTr="000765BE">
        <w:tc>
          <w:tcPr>
            <w:tcW w:w="3312" w:type="dxa"/>
          </w:tcPr>
          <w:p w:rsidR="003122C5" w:rsidRPr="00E72319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 w:rsidRPr="00E72319">
              <w:rPr>
                <w:b/>
                <w:i/>
              </w:rPr>
              <w:t>FCC Board Appointments</w:t>
            </w:r>
          </w:p>
        </w:tc>
        <w:tc>
          <w:tcPr>
            <w:tcW w:w="1836" w:type="dxa"/>
          </w:tcPr>
          <w:p w:rsidR="003122C5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</w:pPr>
            <w:r>
              <w:t>March 22,</w:t>
            </w:r>
            <w:r w:rsidR="008B35A2">
              <w:t xml:space="preserve"> </w:t>
            </w:r>
            <w:r>
              <w:t>2012</w:t>
            </w:r>
          </w:p>
        </w:tc>
        <w:tc>
          <w:tcPr>
            <w:tcW w:w="4788" w:type="dxa"/>
          </w:tcPr>
          <w:p w:rsidR="00183349" w:rsidRPr="00007C12" w:rsidRDefault="00061C5B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>-</w:t>
            </w:r>
            <w:r w:rsidR="00183349" w:rsidRPr="00007C12">
              <w:rPr>
                <w:sz w:val="20"/>
                <w:szCs w:val="20"/>
              </w:rPr>
              <w:t>FCC has solicited nominees</w:t>
            </w:r>
          </w:p>
          <w:p w:rsidR="009627A5" w:rsidRPr="00007C12" w:rsidRDefault="009627A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 xml:space="preserve">-3 </w:t>
            </w:r>
            <w:r w:rsidR="007D32F3" w:rsidRPr="00007C12">
              <w:rPr>
                <w:sz w:val="20"/>
                <w:szCs w:val="20"/>
              </w:rPr>
              <w:t xml:space="preserve">designated </w:t>
            </w:r>
            <w:r w:rsidRPr="00007C12">
              <w:rPr>
                <w:sz w:val="20"/>
                <w:szCs w:val="20"/>
              </w:rPr>
              <w:t>state and local slots available and 3 public safety</w:t>
            </w:r>
          </w:p>
          <w:p w:rsidR="003122C5" w:rsidRPr="00007C12" w:rsidRDefault="00061C5B" w:rsidP="00183349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>-</w:t>
            </w:r>
            <w:r w:rsidR="00183349" w:rsidRPr="00007C12">
              <w:rPr>
                <w:sz w:val="20"/>
                <w:szCs w:val="20"/>
              </w:rPr>
              <w:t xml:space="preserve">Board must develop technical requirements to ensure interoperability by </w:t>
            </w:r>
            <w:r w:rsidR="009627A5" w:rsidRPr="00007C12">
              <w:rPr>
                <w:sz w:val="20"/>
                <w:szCs w:val="20"/>
              </w:rPr>
              <w:t>5/22/12</w:t>
            </w:r>
          </w:p>
          <w:p w:rsidR="00183349" w:rsidRPr="00007C12" w:rsidRDefault="00183349" w:rsidP="00183349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 xml:space="preserve">- </w:t>
            </w:r>
            <w:r w:rsidR="009627A5" w:rsidRPr="00007C12">
              <w:rPr>
                <w:sz w:val="20"/>
                <w:szCs w:val="20"/>
              </w:rPr>
              <w:t>Board terminates 7/7/12</w:t>
            </w:r>
          </w:p>
        </w:tc>
      </w:tr>
      <w:tr w:rsidR="003122C5" w:rsidTr="000765BE">
        <w:tc>
          <w:tcPr>
            <w:tcW w:w="3312" w:type="dxa"/>
          </w:tcPr>
          <w:p w:rsidR="003122C5" w:rsidRPr="00E72319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proofErr w:type="spellStart"/>
            <w:r w:rsidRPr="00E72319">
              <w:rPr>
                <w:b/>
                <w:i/>
              </w:rPr>
              <w:t>FirstNet</w:t>
            </w:r>
            <w:proofErr w:type="spellEnd"/>
            <w:r w:rsidRPr="00E72319">
              <w:rPr>
                <w:b/>
                <w:i/>
              </w:rPr>
              <w:t xml:space="preserve"> Board Appointments</w:t>
            </w:r>
          </w:p>
        </w:tc>
        <w:tc>
          <w:tcPr>
            <w:tcW w:w="1836" w:type="dxa"/>
          </w:tcPr>
          <w:p w:rsidR="003122C5" w:rsidRDefault="003122C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</w:pPr>
            <w:r>
              <w:t>August 22, 2012</w:t>
            </w:r>
          </w:p>
        </w:tc>
        <w:tc>
          <w:tcPr>
            <w:tcW w:w="4788" w:type="dxa"/>
          </w:tcPr>
          <w:p w:rsidR="003122C5" w:rsidRPr="00007C12" w:rsidRDefault="009627A5" w:rsidP="009627A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>-</w:t>
            </w:r>
            <w:r w:rsidR="00007C12">
              <w:rPr>
                <w:sz w:val="20"/>
                <w:szCs w:val="20"/>
              </w:rPr>
              <w:t>Appointments w</w:t>
            </w:r>
            <w:r w:rsidRPr="00007C12">
              <w:rPr>
                <w:sz w:val="20"/>
                <w:szCs w:val="20"/>
              </w:rPr>
              <w:t>ill be made by the Department of Commerce/NTIA</w:t>
            </w:r>
          </w:p>
          <w:p w:rsidR="009627A5" w:rsidRPr="00007C12" w:rsidRDefault="009627A5" w:rsidP="009627A5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 xml:space="preserve">- </w:t>
            </w:r>
            <w:r w:rsidR="007D32F3" w:rsidRPr="00007C12">
              <w:rPr>
                <w:sz w:val="20"/>
                <w:szCs w:val="20"/>
              </w:rPr>
              <w:t>3 designated state and local slots and 3 public safety</w:t>
            </w:r>
          </w:p>
        </w:tc>
      </w:tr>
      <w:tr w:rsidR="003122C5" w:rsidTr="000765BE">
        <w:tc>
          <w:tcPr>
            <w:tcW w:w="3312" w:type="dxa"/>
          </w:tcPr>
          <w:p w:rsidR="003122C5" w:rsidRPr="00E72319" w:rsidRDefault="001F1066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 w:rsidRPr="00E72319">
              <w:rPr>
                <w:b/>
                <w:i/>
              </w:rPr>
              <w:t>State Implementation Grants</w:t>
            </w:r>
          </w:p>
        </w:tc>
        <w:tc>
          <w:tcPr>
            <w:tcW w:w="1836" w:type="dxa"/>
          </w:tcPr>
          <w:p w:rsidR="003122C5" w:rsidRDefault="00E626E0">
            <w:pPr>
              <w:tabs>
                <w:tab w:val="left" w:pos="720"/>
                <w:tab w:val="left" w:pos="3780"/>
              </w:tabs>
              <w:spacing w:line="280" w:lineRule="atLeast"/>
              <w:jc w:val="both"/>
            </w:pPr>
            <w:r>
              <w:t>August 22, 2012</w:t>
            </w:r>
          </w:p>
        </w:tc>
        <w:tc>
          <w:tcPr>
            <w:tcW w:w="4788" w:type="dxa"/>
          </w:tcPr>
          <w:p w:rsidR="003122C5" w:rsidRDefault="00E626E0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 xml:space="preserve">-NTIA must develop </w:t>
            </w:r>
            <w:r w:rsidR="0059128E" w:rsidRPr="00007C12">
              <w:rPr>
                <w:sz w:val="20"/>
                <w:szCs w:val="20"/>
              </w:rPr>
              <w:t>grant guidance, including prioritization of activities to ensure coverage in rural and urban areas</w:t>
            </w:r>
          </w:p>
          <w:p w:rsidR="008B35A2" w:rsidRPr="00007C12" w:rsidRDefault="008B35A2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-total funding available will be $135 million</w:t>
            </w:r>
          </w:p>
        </w:tc>
      </w:tr>
      <w:tr w:rsidR="003122C5" w:rsidTr="000765BE">
        <w:tc>
          <w:tcPr>
            <w:tcW w:w="3312" w:type="dxa"/>
          </w:tcPr>
          <w:p w:rsidR="003122C5" w:rsidRPr="00E72319" w:rsidRDefault="0059128E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 w:rsidRPr="00E72319">
              <w:rPr>
                <w:b/>
                <w:i/>
              </w:rPr>
              <w:t>Governor Decision to Opt-Out</w:t>
            </w:r>
          </w:p>
        </w:tc>
        <w:tc>
          <w:tcPr>
            <w:tcW w:w="1836" w:type="dxa"/>
          </w:tcPr>
          <w:p w:rsidR="003122C5" w:rsidRDefault="00E72319" w:rsidP="00061C5B">
            <w:pPr>
              <w:tabs>
                <w:tab w:val="left" w:pos="720"/>
                <w:tab w:val="left" w:pos="3780"/>
              </w:tabs>
              <w:spacing w:line="280" w:lineRule="atLeast"/>
              <w:jc w:val="both"/>
            </w:pPr>
            <w:r>
              <w:t xml:space="preserve">90 days </w:t>
            </w:r>
          </w:p>
        </w:tc>
        <w:tc>
          <w:tcPr>
            <w:tcW w:w="4788" w:type="dxa"/>
          </w:tcPr>
          <w:p w:rsidR="003122C5" w:rsidRPr="00007C12" w:rsidRDefault="00061C5B" w:rsidP="00061C5B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 xml:space="preserve">-After </w:t>
            </w:r>
            <w:proofErr w:type="spellStart"/>
            <w:r w:rsidRPr="00007C12">
              <w:rPr>
                <w:sz w:val="20"/>
                <w:szCs w:val="20"/>
              </w:rPr>
              <w:t>FirstNet</w:t>
            </w:r>
            <w:proofErr w:type="spellEnd"/>
            <w:r w:rsidRPr="00007C12">
              <w:rPr>
                <w:sz w:val="20"/>
                <w:szCs w:val="20"/>
              </w:rPr>
              <w:t xml:space="preserve"> provides plan for construction within the state, including </w:t>
            </w:r>
            <w:r w:rsidR="008B35A2">
              <w:rPr>
                <w:sz w:val="20"/>
                <w:szCs w:val="20"/>
              </w:rPr>
              <w:t xml:space="preserve">the </w:t>
            </w:r>
            <w:r w:rsidRPr="00007C12">
              <w:rPr>
                <w:sz w:val="20"/>
                <w:szCs w:val="20"/>
              </w:rPr>
              <w:t>state</w:t>
            </w:r>
            <w:r w:rsidR="008B35A2">
              <w:rPr>
                <w:sz w:val="20"/>
                <w:szCs w:val="20"/>
              </w:rPr>
              <w:t>’s</w:t>
            </w:r>
            <w:r w:rsidRPr="00007C12">
              <w:rPr>
                <w:sz w:val="20"/>
                <w:szCs w:val="20"/>
              </w:rPr>
              <w:t xml:space="preserve"> funding level</w:t>
            </w:r>
            <w:r w:rsidR="005A1C8A" w:rsidRPr="00007C12">
              <w:rPr>
                <w:sz w:val="20"/>
                <w:szCs w:val="20"/>
              </w:rPr>
              <w:t xml:space="preserve">, </w:t>
            </w:r>
            <w:r w:rsidR="008B35A2">
              <w:rPr>
                <w:sz w:val="20"/>
                <w:szCs w:val="20"/>
              </w:rPr>
              <w:t xml:space="preserve">the </w:t>
            </w:r>
            <w:r w:rsidR="005A1C8A" w:rsidRPr="00007C12">
              <w:rPr>
                <w:sz w:val="20"/>
                <w:szCs w:val="20"/>
              </w:rPr>
              <w:t xml:space="preserve">governor must decide whether to participate in national </w:t>
            </w:r>
            <w:r w:rsidR="00AE0207">
              <w:rPr>
                <w:sz w:val="20"/>
                <w:szCs w:val="20"/>
              </w:rPr>
              <w:t xml:space="preserve">network </w:t>
            </w:r>
            <w:r w:rsidR="005A1C8A" w:rsidRPr="00007C12">
              <w:rPr>
                <w:sz w:val="20"/>
                <w:szCs w:val="20"/>
              </w:rPr>
              <w:t xml:space="preserve">deployment or </w:t>
            </w:r>
            <w:r w:rsidR="00AE0207">
              <w:rPr>
                <w:sz w:val="20"/>
                <w:szCs w:val="20"/>
              </w:rPr>
              <w:t xml:space="preserve">to </w:t>
            </w:r>
            <w:r w:rsidR="005A1C8A" w:rsidRPr="00007C12">
              <w:rPr>
                <w:sz w:val="20"/>
                <w:szCs w:val="20"/>
              </w:rPr>
              <w:t xml:space="preserve">deploy </w:t>
            </w:r>
            <w:r w:rsidR="00AE0207">
              <w:rPr>
                <w:sz w:val="20"/>
                <w:szCs w:val="20"/>
              </w:rPr>
              <w:t>a</w:t>
            </w:r>
            <w:r w:rsidR="005A1C8A" w:rsidRPr="00007C12">
              <w:rPr>
                <w:sz w:val="20"/>
                <w:szCs w:val="20"/>
              </w:rPr>
              <w:t xml:space="preserve"> state network that would be interoperable with the national network</w:t>
            </w:r>
          </w:p>
          <w:p w:rsidR="000765BE" w:rsidRPr="00007C12" w:rsidRDefault="00340F06" w:rsidP="00FD696F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>-if opting out</w:t>
            </w:r>
            <w:r w:rsidR="00FD696F" w:rsidRPr="00007C12">
              <w:rPr>
                <w:sz w:val="20"/>
                <w:szCs w:val="20"/>
              </w:rPr>
              <w:t xml:space="preserve">, </w:t>
            </w:r>
            <w:r w:rsidR="00AE0207">
              <w:rPr>
                <w:sz w:val="20"/>
                <w:szCs w:val="20"/>
              </w:rPr>
              <w:t xml:space="preserve">the </w:t>
            </w:r>
            <w:r w:rsidR="00FA098A" w:rsidRPr="00007C12">
              <w:rPr>
                <w:sz w:val="20"/>
                <w:szCs w:val="20"/>
              </w:rPr>
              <w:t xml:space="preserve">state must </w:t>
            </w:r>
            <w:r w:rsidR="000765BE" w:rsidRPr="00007C12">
              <w:rPr>
                <w:sz w:val="20"/>
                <w:szCs w:val="20"/>
              </w:rPr>
              <w:t xml:space="preserve">submit </w:t>
            </w:r>
            <w:r w:rsidR="00AE0207">
              <w:rPr>
                <w:sz w:val="20"/>
                <w:szCs w:val="20"/>
              </w:rPr>
              <w:t xml:space="preserve">an </w:t>
            </w:r>
            <w:r w:rsidR="000765BE" w:rsidRPr="00007C12">
              <w:rPr>
                <w:sz w:val="20"/>
                <w:szCs w:val="20"/>
              </w:rPr>
              <w:t>alternative plan for construction and operation to the FCC that demonstrates compliance with technical requirements and interoperability with national network</w:t>
            </w:r>
            <w:r w:rsidR="00FD696F" w:rsidRPr="00007C12">
              <w:rPr>
                <w:sz w:val="20"/>
                <w:szCs w:val="20"/>
              </w:rPr>
              <w:t>; must also apply</w:t>
            </w:r>
            <w:r w:rsidR="00AE0207">
              <w:rPr>
                <w:sz w:val="20"/>
                <w:szCs w:val="20"/>
              </w:rPr>
              <w:t xml:space="preserve"> to NTIA to lease the spectrum </w:t>
            </w:r>
            <w:r w:rsidR="00FD696F" w:rsidRPr="00007C12">
              <w:rPr>
                <w:sz w:val="20"/>
                <w:szCs w:val="20"/>
              </w:rPr>
              <w:t xml:space="preserve">and for a grant to </w:t>
            </w:r>
            <w:r w:rsidR="00FD696F" w:rsidRPr="00007C12">
              <w:rPr>
                <w:sz w:val="20"/>
                <w:szCs w:val="20"/>
              </w:rPr>
              <w:lastRenderedPageBreak/>
              <w:t>construct the radio access network within the state</w:t>
            </w:r>
          </w:p>
        </w:tc>
      </w:tr>
      <w:tr w:rsidR="003122C5" w:rsidTr="000765BE">
        <w:tc>
          <w:tcPr>
            <w:tcW w:w="3312" w:type="dxa"/>
          </w:tcPr>
          <w:p w:rsidR="000765BE" w:rsidRDefault="00FA098A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State Request for Proposals </w:t>
            </w:r>
          </w:p>
          <w:p w:rsidR="003122C5" w:rsidRPr="00E72319" w:rsidRDefault="00FA098A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(if opting out)</w:t>
            </w:r>
          </w:p>
        </w:tc>
        <w:tc>
          <w:tcPr>
            <w:tcW w:w="1836" w:type="dxa"/>
          </w:tcPr>
          <w:p w:rsidR="003122C5" w:rsidRDefault="005A1C8A">
            <w:pPr>
              <w:tabs>
                <w:tab w:val="left" w:pos="720"/>
                <w:tab w:val="left" w:pos="3780"/>
              </w:tabs>
              <w:spacing w:line="280" w:lineRule="atLeast"/>
              <w:jc w:val="both"/>
            </w:pPr>
            <w:r>
              <w:t>180 days</w:t>
            </w:r>
          </w:p>
        </w:tc>
        <w:tc>
          <w:tcPr>
            <w:tcW w:w="4788" w:type="dxa"/>
          </w:tcPr>
          <w:p w:rsidR="003122C5" w:rsidRPr="00007C12" w:rsidRDefault="005A1C8A">
            <w:pPr>
              <w:tabs>
                <w:tab w:val="left" w:pos="720"/>
                <w:tab w:val="left" w:pos="3780"/>
              </w:tabs>
              <w:spacing w:line="280" w:lineRule="atLeast"/>
              <w:jc w:val="both"/>
              <w:rPr>
                <w:sz w:val="20"/>
                <w:szCs w:val="20"/>
              </w:rPr>
            </w:pPr>
            <w:r w:rsidRPr="00007C12">
              <w:rPr>
                <w:sz w:val="20"/>
                <w:szCs w:val="20"/>
              </w:rPr>
              <w:t>-If the governor chooses to opt-out of the national network, governor must complete RFP for construction</w:t>
            </w:r>
            <w:r w:rsidR="000765BE" w:rsidRPr="00007C12">
              <w:rPr>
                <w:sz w:val="20"/>
                <w:szCs w:val="20"/>
              </w:rPr>
              <w:t>, maintenance and operation</w:t>
            </w:r>
            <w:r w:rsidRPr="00007C12">
              <w:rPr>
                <w:sz w:val="20"/>
                <w:szCs w:val="20"/>
              </w:rPr>
              <w:t xml:space="preserve"> of network</w:t>
            </w:r>
            <w:r w:rsidR="00AE0207">
              <w:rPr>
                <w:sz w:val="20"/>
                <w:szCs w:val="20"/>
              </w:rPr>
              <w:t xml:space="preserve"> within 180 days</w:t>
            </w:r>
          </w:p>
        </w:tc>
      </w:tr>
    </w:tbl>
    <w:p w:rsidR="005E5947" w:rsidRDefault="005E5947">
      <w:pPr>
        <w:tabs>
          <w:tab w:val="left" w:pos="720"/>
          <w:tab w:val="left" w:pos="3780"/>
        </w:tabs>
        <w:spacing w:line="280" w:lineRule="atLeast"/>
        <w:jc w:val="both"/>
      </w:pPr>
    </w:p>
    <w:p w:rsidR="00287D37" w:rsidRDefault="00287D37">
      <w:pPr>
        <w:tabs>
          <w:tab w:val="left" w:pos="720"/>
          <w:tab w:val="left" w:pos="3780"/>
        </w:tabs>
        <w:spacing w:line="280" w:lineRule="atLeast"/>
        <w:jc w:val="both"/>
      </w:pPr>
    </w:p>
    <w:p w:rsidR="00287D37" w:rsidRPr="00904685" w:rsidRDefault="00287D37">
      <w:pPr>
        <w:tabs>
          <w:tab w:val="left" w:pos="720"/>
          <w:tab w:val="left" w:pos="3780"/>
        </w:tabs>
        <w:spacing w:line="280" w:lineRule="atLeast"/>
        <w:jc w:val="both"/>
        <w:rPr>
          <w:b/>
          <w:u w:val="single"/>
        </w:rPr>
      </w:pPr>
      <w:r w:rsidRPr="00904685">
        <w:rPr>
          <w:b/>
          <w:u w:val="single"/>
        </w:rPr>
        <w:t>Frequently Asked Questions</w:t>
      </w:r>
    </w:p>
    <w:p w:rsidR="006145D6" w:rsidRPr="005E5947" w:rsidRDefault="006145D6">
      <w:pPr>
        <w:tabs>
          <w:tab w:val="left" w:pos="720"/>
          <w:tab w:val="left" w:pos="3780"/>
        </w:tabs>
        <w:spacing w:line="280" w:lineRule="atLeast"/>
        <w:jc w:val="both"/>
        <w:rPr>
          <w:b/>
        </w:rPr>
      </w:pPr>
    </w:p>
    <w:p w:rsidR="00287D37" w:rsidRPr="00904685" w:rsidRDefault="00287D37">
      <w:pPr>
        <w:tabs>
          <w:tab w:val="left" w:pos="720"/>
          <w:tab w:val="left" w:pos="3780"/>
        </w:tabs>
        <w:spacing w:line="280" w:lineRule="atLeast"/>
        <w:jc w:val="both"/>
        <w:rPr>
          <w:b/>
          <w:i/>
        </w:rPr>
      </w:pPr>
      <w:r w:rsidRPr="00904685">
        <w:rPr>
          <w:b/>
          <w:i/>
        </w:rPr>
        <w:t xml:space="preserve">When will </w:t>
      </w:r>
      <w:r w:rsidR="001B6669" w:rsidRPr="00904685">
        <w:rPr>
          <w:b/>
          <w:i/>
        </w:rPr>
        <w:t xml:space="preserve">funding be </w:t>
      </w:r>
      <w:r w:rsidRPr="00904685">
        <w:rPr>
          <w:b/>
          <w:i/>
        </w:rPr>
        <w:t>available to states?</w:t>
      </w:r>
    </w:p>
    <w:p w:rsidR="001B6669" w:rsidRDefault="006145D6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The first funding available to states will be $135 million in </w:t>
      </w:r>
      <w:r w:rsidR="003A0434">
        <w:t xml:space="preserve">implementation </w:t>
      </w:r>
      <w:r>
        <w:t xml:space="preserve">grants from the National Telecommunications and Information Administration (NTIA).  </w:t>
      </w:r>
      <w:r w:rsidR="00D36460">
        <w:t xml:space="preserve">NTIA must establish requirements for the use of these funds by August 22, 2012.  </w:t>
      </w:r>
      <w:r>
        <w:t>These grants are intended to assist states</w:t>
      </w:r>
      <w:r w:rsidR="00FE088B">
        <w:t xml:space="preserve"> and localities</w:t>
      </w:r>
      <w:r>
        <w:t xml:space="preserve"> in utilizing and integrating infrastructure and equipment with the nationwide broadband network to meet the needs of the jurisdiction.  </w:t>
      </w:r>
      <w:r w:rsidR="0007551C">
        <w:t>These grants will require a 20 percent match by the state unless waived by NTIA.</w:t>
      </w:r>
    </w:p>
    <w:p w:rsidR="00C22E72" w:rsidRDefault="00C22E72">
      <w:pPr>
        <w:tabs>
          <w:tab w:val="left" w:pos="720"/>
          <w:tab w:val="left" w:pos="3780"/>
        </w:tabs>
        <w:spacing w:line="280" w:lineRule="atLeast"/>
        <w:jc w:val="both"/>
      </w:pPr>
    </w:p>
    <w:p w:rsidR="001B6669" w:rsidRDefault="00C22E72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In addition to state and local </w:t>
      </w:r>
      <w:r w:rsidR="003A0434">
        <w:t>implementation grants, $7 billion will be available to construct the nationwide netw</w:t>
      </w:r>
      <w:r w:rsidR="00DC5873">
        <w:t xml:space="preserve">ork.  This funding will not be available until </w:t>
      </w:r>
      <w:proofErr w:type="spellStart"/>
      <w:r w:rsidR="00DC5873">
        <w:t>FirstNet</w:t>
      </w:r>
      <w:proofErr w:type="spellEnd"/>
      <w:r w:rsidR="00DC5873">
        <w:t xml:space="preserve"> is ready to begin construction.  States choosing to build their own network rather than participate in construction of the nationwide network may apply to NTIA to receive a portion of these funds.  </w:t>
      </w:r>
    </w:p>
    <w:p w:rsidR="00287D37" w:rsidRDefault="00287D37">
      <w:pPr>
        <w:tabs>
          <w:tab w:val="left" w:pos="720"/>
          <w:tab w:val="left" w:pos="3780"/>
        </w:tabs>
        <w:spacing w:line="280" w:lineRule="atLeast"/>
        <w:jc w:val="both"/>
      </w:pPr>
    </w:p>
    <w:p w:rsidR="00287D37" w:rsidRPr="00904685" w:rsidRDefault="00287D37">
      <w:pPr>
        <w:tabs>
          <w:tab w:val="left" w:pos="720"/>
          <w:tab w:val="left" w:pos="3780"/>
        </w:tabs>
        <w:spacing w:line="280" w:lineRule="atLeast"/>
        <w:jc w:val="both"/>
        <w:rPr>
          <w:b/>
          <w:i/>
        </w:rPr>
      </w:pPr>
      <w:r w:rsidRPr="00904685">
        <w:rPr>
          <w:b/>
          <w:i/>
        </w:rPr>
        <w:t>How will the legislation impact jurisdictions with current or pending waivers?</w:t>
      </w:r>
    </w:p>
    <w:p w:rsidR="005E5947" w:rsidRDefault="001000DE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Prior to the passage of the legislation, 21 jurisdictions had received waivers from the FCC to begin construction on their own broadband networks.  A number of other jurisdictions have waiver requests pending with the FCC.  Neither the FCC nor NTIA have provided guidance to these jurisdictions regarding whether or how they should move forward.  </w:t>
      </w:r>
      <w:r w:rsidR="00904685">
        <w:t>NGA continues to coordinate with these agencies and will share information as it becomes available.</w:t>
      </w:r>
    </w:p>
    <w:p w:rsidR="00DC5873" w:rsidRDefault="00DC5873">
      <w:pPr>
        <w:tabs>
          <w:tab w:val="left" w:pos="720"/>
          <w:tab w:val="left" w:pos="3780"/>
        </w:tabs>
        <w:spacing w:line="280" w:lineRule="atLeast"/>
        <w:jc w:val="both"/>
      </w:pPr>
    </w:p>
    <w:p w:rsidR="005E5947" w:rsidRPr="007B2A3B" w:rsidRDefault="005E5947">
      <w:pPr>
        <w:tabs>
          <w:tab w:val="left" w:pos="720"/>
          <w:tab w:val="left" w:pos="3780"/>
        </w:tabs>
        <w:spacing w:line="280" w:lineRule="atLeast"/>
        <w:jc w:val="both"/>
        <w:rPr>
          <w:b/>
          <w:i/>
        </w:rPr>
      </w:pPr>
      <w:r w:rsidRPr="007B2A3B">
        <w:rPr>
          <w:b/>
          <w:i/>
        </w:rPr>
        <w:t>What should states do now?</w:t>
      </w:r>
    </w:p>
    <w:p w:rsidR="007B2A3B" w:rsidRDefault="007B2A3B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States should begin updating their public safety communications plans to incorporate broadband technologies and ensure that statewide interoperability governing boards </w:t>
      </w:r>
      <w:r w:rsidR="00712D42">
        <w:t>include the appropriate state and local representatives.  Broadband technologies are different in many ways from traditional public safety radio communications</w:t>
      </w:r>
      <w:r w:rsidR="007D5763">
        <w:t xml:space="preserve"> and offer new opportunities</w:t>
      </w:r>
      <w:r w:rsidR="00712D42">
        <w:t xml:space="preserve">.  </w:t>
      </w:r>
      <w:r w:rsidR="007D5763">
        <w:t xml:space="preserve">For instance, </w:t>
      </w:r>
      <w:r w:rsidR="00712D42">
        <w:t>state</w:t>
      </w:r>
      <w:r w:rsidR="007D5763">
        <w:t>s may be able to leverage other</w:t>
      </w:r>
      <w:r w:rsidR="00712D42">
        <w:t xml:space="preserve"> broadband initiatives under the purview of chief information officers (CIOs)</w:t>
      </w:r>
      <w:r w:rsidR="007D5763">
        <w:t xml:space="preserve"> for public safety purposes</w:t>
      </w:r>
      <w:r w:rsidR="00712D42">
        <w:t>.</w:t>
      </w:r>
      <w:r w:rsidR="007D5763">
        <w:t xml:space="preserve">  </w:t>
      </w:r>
      <w:r w:rsidR="00644861">
        <w:t>In the coming weeks, t</w:t>
      </w:r>
      <w:r w:rsidR="007D5763">
        <w:t xml:space="preserve">he NGA Center for Best Practices will </w:t>
      </w:r>
      <w:r w:rsidR="00644861">
        <w:t xml:space="preserve">announce plans to provide states with technical assistance surrounding </w:t>
      </w:r>
      <w:r w:rsidR="005C2864">
        <w:t>implementation of public safety broadband.</w:t>
      </w:r>
    </w:p>
    <w:p w:rsidR="005E5947" w:rsidRDefault="005E5947">
      <w:pPr>
        <w:tabs>
          <w:tab w:val="left" w:pos="720"/>
          <w:tab w:val="left" w:pos="3780"/>
        </w:tabs>
        <w:spacing w:line="280" w:lineRule="atLeast"/>
        <w:jc w:val="both"/>
      </w:pPr>
    </w:p>
    <w:p w:rsidR="005E5947" w:rsidRPr="00E4036D" w:rsidRDefault="005E5947">
      <w:pPr>
        <w:tabs>
          <w:tab w:val="left" w:pos="720"/>
          <w:tab w:val="left" w:pos="3780"/>
        </w:tabs>
        <w:spacing w:line="280" w:lineRule="atLeast"/>
        <w:jc w:val="both"/>
        <w:rPr>
          <w:b/>
          <w:i/>
        </w:rPr>
      </w:pPr>
      <w:r w:rsidRPr="00E4036D">
        <w:rPr>
          <w:b/>
          <w:i/>
        </w:rPr>
        <w:t xml:space="preserve">How can </w:t>
      </w:r>
      <w:r w:rsidR="002B47AF" w:rsidRPr="00E4036D">
        <w:rPr>
          <w:b/>
          <w:i/>
        </w:rPr>
        <w:t>a state</w:t>
      </w:r>
      <w:r w:rsidRPr="00E4036D">
        <w:rPr>
          <w:b/>
          <w:i/>
        </w:rPr>
        <w:t xml:space="preserve"> nominate someone to the </w:t>
      </w:r>
      <w:r w:rsidR="001B6669" w:rsidRPr="00E4036D">
        <w:rPr>
          <w:b/>
          <w:i/>
        </w:rPr>
        <w:t>boards?</w:t>
      </w:r>
    </w:p>
    <w:p w:rsidR="002B47AF" w:rsidRDefault="002B47AF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The FCC will announce members of its technical advisory board in the next several weeks.  NGA solicited nominees from governors’ offices, </w:t>
      </w:r>
      <w:r w:rsidR="00886613">
        <w:t xml:space="preserve">whose names </w:t>
      </w:r>
      <w:r>
        <w:t>were submitted to the FCC.</w:t>
      </w:r>
    </w:p>
    <w:p w:rsidR="002B47AF" w:rsidRDefault="002B47AF">
      <w:pPr>
        <w:tabs>
          <w:tab w:val="left" w:pos="720"/>
          <w:tab w:val="left" w:pos="3780"/>
        </w:tabs>
        <w:spacing w:line="280" w:lineRule="atLeast"/>
        <w:jc w:val="both"/>
      </w:pPr>
    </w:p>
    <w:p w:rsidR="002B47AF" w:rsidRDefault="002B47AF">
      <w:pPr>
        <w:tabs>
          <w:tab w:val="left" w:pos="720"/>
          <w:tab w:val="left" w:pos="3780"/>
        </w:tabs>
        <w:spacing w:line="280" w:lineRule="atLeast"/>
        <w:jc w:val="both"/>
      </w:pPr>
      <w:r>
        <w:t xml:space="preserve">NTIA will be responsible for coordinating appointments to the </w:t>
      </w:r>
      <w:proofErr w:type="spellStart"/>
      <w:r>
        <w:t>FirstNet</w:t>
      </w:r>
      <w:proofErr w:type="spellEnd"/>
      <w:r>
        <w:t xml:space="preserve"> board.  When information regarding NTIA’s nominations process is released, NGA will share it with governors</w:t>
      </w:r>
      <w:r w:rsidR="00886613">
        <w:t>’ offices and facilitate the submission of nominees.</w:t>
      </w:r>
    </w:p>
    <w:p w:rsidR="00B36ACB" w:rsidRDefault="00B36ACB">
      <w:pPr>
        <w:tabs>
          <w:tab w:val="left" w:pos="720"/>
          <w:tab w:val="left" w:pos="3780"/>
        </w:tabs>
        <w:spacing w:line="280" w:lineRule="atLeast"/>
        <w:jc w:val="both"/>
      </w:pPr>
    </w:p>
    <w:p w:rsidR="00B36ACB" w:rsidRDefault="00B36ACB">
      <w:pPr>
        <w:tabs>
          <w:tab w:val="left" w:pos="720"/>
          <w:tab w:val="left" w:pos="3780"/>
        </w:tabs>
        <w:spacing w:line="280" w:lineRule="atLeast"/>
        <w:jc w:val="both"/>
      </w:pPr>
      <w:r>
        <w:t>If you have any questions please contact Heather Hogsett (</w:t>
      </w:r>
      <w:hyperlink r:id="rId9" w:history="1">
        <w:r w:rsidRPr="00E066C2">
          <w:rPr>
            <w:rStyle w:val="Hyperlink"/>
          </w:rPr>
          <w:t>hhogsett@nga.org</w:t>
        </w:r>
      </w:hyperlink>
      <w:r>
        <w:t>; 202.624.5360) or Mike Obrock (</w:t>
      </w:r>
      <w:hyperlink r:id="rId10" w:history="1">
        <w:r w:rsidRPr="00E066C2">
          <w:rPr>
            <w:rStyle w:val="Hyperlink"/>
          </w:rPr>
          <w:t>mobrock@nga.org</w:t>
        </w:r>
      </w:hyperlink>
      <w:r>
        <w:t>; 202.624.5390).</w:t>
      </w:r>
    </w:p>
    <w:p w:rsidR="00886613" w:rsidRDefault="00886613">
      <w:pPr>
        <w:tabs>
          <w:tab w:val="left" w:pos="720"/>
          <w:tab w:val="left" w:pos="3780"/>
        </w:tabs>
        <w:spacing w:line="280" w:lineRule="atLeast"/>
        <w:jc w:val="both"/>
      </w:pPr>
    </w:p>
    <w:p w:rsidR="00886613" w:rsidRDefault="00886613">
      <w:pPr>
        <w:tabs>
          <w:tab w:val="left" w:pos="720"/>
          <w:tab w:val="left" w:pos="3780"/>
        </w:tabs>
        <w:spacing w:line="280" w:lineRule="atLeast"/>
        <w:jc w:val="both"/>
      </w:pPr>
    </w:p>
    <w:sectPr w:rsidR="00886613" w:rsidSect="00A41453">
      <w:type w:val="continuous"/>
      <w:pgSz w:w="12240" w:h="15840"/>
      <w:pgMar w:top="245" w:right="1080" w:bottom="720" w:left="1440" w:header="720" w:footer="720" w:gutter="0"/>
      <w:pgNumType w:start="1"/>
      <w:cols w:space="720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02236"/>
    <w:multiLevelType w:val="hybridMultilevel"/>
    <w:tmpl w:val="28629C18"/>
    <w:lvl w:ilvl="0" w:tplc="F39AE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3E5170"/>
    <w:rsid w:val="00007C12"/>
    <w:rsid w:val="00010641"/>
    <w:rsid w:val="00061C5B"/>
    <w:rsid w:val="0007551C"/>
    <w:rsid w:val="000765BE"/>
    <w:rsid w:val="000D36C9"/>
    <w:rsid w:val="001000DE"/>
    <w:rsid w:val="00183349"/>
    <w:rsid w:val="001A1FDA"/>
    <w:rsid w:val="001B6669"/>
    <w:rsid w:val="001F1066"/>
    <w:rsid w:val="00246FD6"/>
    <w:rsid w:val="0026635F"/>
    <w:rsid w:val="00287D37"/>
    <w:rsid w:val="002B47AF"/>
    <w:rsid w:val="003122C5"/>
    <w:rsid w:val="003336D2"/>
    <w:rsid w:val="00340F06"/>
    <w:rsid w:val="00343332"/>
    <w:rsid w:val="003A0434"/>
    <w:rsid w:val="003B2C12"/>
    <w:rsid w:val="003E5170"/>
    <w:rsid w:val="003F0A37"/>
    <w:rsid w:val="00467470"/>
    <w:rsid w:val="004B6211"/>
    <w:rsid w:val="0059128E"/>
    <w:rsid w:val="005A1C8A"/>
    <w:rsid w:val="005C2864"/>
    <w:rsid w:val="005E5947"/>
    <w:rsid w:val="006145D6"/>
    <w:rsid w:val="00644861"/>
    <w:rsid w:val="0068791E"/>
    <w:rsid w:val="006E6F7C"/>
    <w:rsid w:val="00707862"/>
    <w:rsid w:val="00712D42"/>
    <w:rsid w:val="007B2A3B"/>
    <w:rsid w:val="007D32F3"/>
    <w:rsid w:val="007D5763"/>
    <w:rsid w:val="007E4BD9"/>
    <w:rsid w:val="007F45F4"/>
    <w:rsid w:val="007F5D54"/>
    <w:rsid w:val="00886613"/>
    <w:rsid w:val="008A4E3B"/>
    <w:rsid w:val="008B35A2"/>
    <w:rsid w:val="008D75B5"/>
    <w:rsid w:val="00904685"/>
    <w:rsid w:val="00924B6D"/>
    <w:rsid w:val="00927396"/>
    <w:rsid w:val="009627A5"/>
    <w:rsid w:val="009D3230"/>
    <w:rsid w:val="00A0281A"/>
    <w:rsid w:val="00A41453"/>
    <w:rsid w:val="00A60435"/>
    <w:rsid w:val="00A80C6C"/>
    <w:rsid w:val="00AB3BE8"/>
    <w:rsid w:val="00AC103A"/>
    <w:rsid w:val="00AE0207"/>
    <w:rsid w:val="00AF1624"/>
    <w:rsid w:val="00B36ABF"/>
    <w:rsid w:val="00B36ACB"/>
    <w:rsid w:val="00B85A88"/>
    <w:rsid w:val="00C22E72"/>
    <w:rsid w:val="00CA28AF"/>
    <w:rsid w:val="00D36460"/>
    <w:rsid w:val="00DA4540"/>
    <w:rsid w:val="00DC5873"/>
    <w:rsid w:val="00DE5A61"/>
    <w:rsid w:val="00E4036D"/>
    <w:rsid w:val="00E626E0"/>
    <w:rsid w:val="00E72319"/>
    <w:rsid w:val="00E72DC6"/>
    <w:rsid w:val="00EF1909"/>
    <w:rsid w:val="00F25DC4"/>
    <w:rsid w:val="00F300C1"/>
    <w:rsid w:val="00F70C9F"/>
    <w:rsid w:val="00FA098A"/>
    <w:rsid w:val="00FD3369"/>
    <w:rsid w:val="00FD696F"/>
    <w:rsid w:val="00FE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453"/>
    <w:rPr>
      <w:sz w:val="22"/>
      <w:szCs w:val="24"/>
    </w:rPr>
  </w:style>
  <w:style w:type="paragraph" w:styleId="Heading1">
    <w:name w:val="heading 1"/>
    <w:basedOn w:val="Normal"/>
    <w:next w:val="Normal"/>
    <w:qFormat/>
    <w:rsid w:val="00A41453"/>
    <w:pPr>
      <w:keepNext/>
      <w:outlineLvl w:val="0"/>
    </w:pPr>
    <w:rPr>
      <w:rFonts w:ascii="Microsoft Sans Serif" w:hAnsi="Microsoft Sans Serif" w:cs="Microsoft Sans Serif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2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C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2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349"/>
    <w:pPr>
      <w:ind w:left="720"/>
      <w:contextualSpacing/>
    </w:pPr>
  </w:style>
  <w:style w:type="character" w:styleId="Hyperlink">
    <w:name w:val="Hyperlink"/>
    <w:basedOn w:val="DefaultParagraphFont"/>
    <w:rsid w:val="00B36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crosoft Sans Serif" w:hAnsi="Microsoft Sans Serif" w:cs="Microsoft Sans Serif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2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C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2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349"/>
    <w:pPr>
      <w:ind w:left="720"/>
      <w:contextualSpacing/>
    </w:pPr>
  </w:style>
  <w:style w:type="character" w:styleId="Hyperlink">
    <w:name w:val="Hyperlink"/>
    <w:basedOn w:val="DefaultParagraphFont"/>
    <w:rsid w:val="00B36A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obrock@ng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hogsett@ng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ogsett\Desktop\Ngamemo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6c8d59b1-4483-47f4-99b7-96d17760a8de">Memo</Document_x0020_Type>
    <Subfolder xmlns="6c8d59b1-4483-47f4-99b7-96d17760a8de">5</Subfolder>
    <Folder xmlns="6c8d59b1-4483-47f4-99b7-96d17760a8de">20</Folder>
    <Keyword xmlns="6c8d59b1-4483-47f4-99b7-96d17760a8d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52E86278B106E489F9BE1CB8572B07C" ma:contentTypeVersion="9" ma:contentTypeDescription="Create a new Word document." ma:contentTypeScope="" ma:versionID="9a11a9ea32334679bb05cb378bc5f60e">
  <xsd:schema xmlns:xsd="http://www.w3.org/2001/XMLSchema" xmlns:xs="http://www.w3.org/2001/XMLSchema" xmlns:p="http://schemas.microsoft.com/office/2006/metadata/properties" xmlns:ns2="6c8d59b1-4483-47f4-99b7-96d17760a8de" targetNamespace="http://schemas.microsoft.com/office/2006/metadata/properties" ma:root="true" ma:fieldsID="fb566ae15657eb78f71a8ed3612f66f9" ns2:_="">
    <xsd:import namespace="6c8d59b1-4483-47f4-99b7-96d17760a8de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Folder" minOccurs="0"/>
                <xsd:element ref="ns2:Subfolder" minOccurs="0"/>
                <xsd:element ref="ns2: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59b1-4483-47f4-99b7-96d17760a8d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Administrative" ma:format="Dropdown" ma:internalName="Document_x0020_Type">
      <xsd:simpleType>
        <xsd:restriction base="dms:Choice">
          <xsd:enumeration value="Administrative"/>
          <xsd:enumeration value="Agenda"/>
          <xsd:enumeration value="Analysis"/>
          <xsd:enumeration value="Article"/>
          <xsd:enumeration value="Chart"/>
          <xsd:enumeration value="Legal"/>
          <xsd:enumeration value="Legislation"/>
          <xsd:enumeration value="Letter"/>
          <xsd:enumeration value="Meeting Materials"/>
          <xsd:enumeration value="Memo"/>
          <xsd:enumeration value="Other"/>
          <xsd:enumeration value="Policy Position"/>
          <xsd:enumeration value="Presentation"/>
          <xsd:enumeration value="Publication"/>
          <xsd:enumeration value="Report"/>
          <xsd:enumeration value="Talking Points"/>
          <xsd:enumeration value="Testimony"/>
        </xsd:restriction>
      </xsd:simpleType>
    </xsd:element>
    <xsd:element name="Folder" ma:index="9" nillable="true" ma:displayName="Folder" ma:list="{e8f828ea-4d5a-4b24-9cb2-7027e62f98e0}" ma:internalName="Folder" ma:showField="Title">
      <xsd:simpleType>
        <xsd:restriction base="dms:Lookup"/>
      </xsd:simpleType>
    </xsd:element>
    <xsd:element name="Subfolder" ma:index="10" nillable="true" ma:displayName="Subfolder" ma:list="{eae74aa5-8436-467b-ae21-7be0b519cfb9}" ma:internalName="Subfolder" ma:showField="Title">
      <xsd:simpleType>
        <xsd:restriction base="dms:Lookup"/>
      </xsd:simpleType>
    </xsd:element>
    <xsd:element name="Keyword" ma:index="11" nillable="true" ma:displayName="Keyword" ma:list="{631656df-01ee-4fa2-94a8-b7c5d6ed4678}" ma:internalName="Keyword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C764B-DC2A-494E-843C-DDC38083904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6c8d59b1-4483-47f4-99b7-96d17760a8de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18CE7B3-C409-4825-AD00-6DBE4C516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12AF7-4C7B-4954-9A93-F2B063D0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d59b1-4483-47f4-99b7-96d17760a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Ngamemo2</Template>
  <TotalTime>1</TotalTime>
  <Pages>2</Pages>
  <Words>833</Words>
  <Characters>4888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Hogsett, Heather</dc:creator>
  <cp:lastModifiedBy>sfay</cp:lastModifiedBy>
  <cp:revision>2</cp:revision>
  <cp:lastPrinted>2007-07-12T16:43:00Z</cp:lastPrinted>
  <dcterms:created xsi:type="dcterms:W3CDTF">2012-03-20T01:35:00Z</dcterms:created>
  <dcterms:modified xsi:type="dcterms:W3CDTF">2012-03-20T01:35:00Z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0x010100F52E86278B106E489F9BE1CB8572B07C</vt:lpwstr>
  </property>
</Properties>
</file>