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4E71D" w14:textId="77777777" w:rsidR="00BF27E9" w:rsidRPr="00362D83" w:rsidRDefault="00362D83" w:rsidP="00362D83">
      <w:pPr>
        <w:spacing w:after="0"/>
        <w:jc w:val="center"/>
        <w:rPr>
          <w:rFonts w:ascii="Century Schoolbook" w:hAnsi="Century Schoolbook"/>
          <w:b/>
          <w:sz w:val="24"/>
          <w:szCs w:val="24"/>
        </w:rPr>
      </w:pPr>
      <w:r w:rsidRPr="00362D83">
        <w:rPr>
          <w:rFonts w:ascii="Century Schoolbook" w:hAnsi="Century Schoolbook"/>
          <w:b/>
          <w:sz w:val="24"/>
          <w:szCs w:val="24"/>
        </w:rPr>
        <w:t>Confidential Memo</w:t>
      </w:r>
    </w:p>
    <w:p w14:paraId="5DC4E71E" w14:textId="77777777" w:rsidR="00362D83" w:rsidRPr="00362D83" w:rsidRDefault="00362D83" w:rsidP="00362D83">
      <w:pPr>
        <w:spacing w:after="0"/>
        <w:jc w:val="center"/>
        <w:rPr>
          <w:rFonts w:ascii="Century Schoolbook" w:hAnsi="Century Schoolbook"/>
          <w:b/>
          <w:sz w:val="24"/>
          <w:szCs w:val="24"/>
        </w:rPr>
      </w:pPr>
      <w:r w:rsidRPr="00362D83">
        <w:rPr>
          <w:rFonts w:ascii="Century Schoolbook" w:hAnsi="Century Schoolbook"/>
          <w:b/>
          <w:sz w:val="24"/>
          <w:szCs w:val="24"/>
        </w:rPr>
        <w:t>Amicus Request</w:t>
      </w:r>
    </w:p>
    <w:p w14:paraId="5DC4E71F" w14:textId="77777777" w:rsidR="00362D83" w:rsidRPr="007A4C1E" w:rsidRDefault="00362D83" w:rsidP="00362D83">
      <w:pPr>
        <w:spacing w:after="0"/>
        <w:jc w:val="center"/>
        <w:rPr>
          <w:rFonts w:ascii="Century Schoolbook" w:hAnsi="Century Schoolbook"/>
          <w:sz w:val="24"/>
          <w:szCs w:val="24"/>
        </w:rPr>
      </w:pPr>
    </w:p>
    <w:p w14:paraId="5DC4E720" w14:textId="77777777" w:rsidR="007A4C1E" w:rsidRDefault="007A4C1E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To:  IPDC Board of Directors</w:t>
      </w:r>
    </w:p>
    <w:p w14:paraId="5DC4E721" w14:textId="77777777" w:rsidR="007A4C1E" w:rsidRPr="007A4C1E" w:rsidRDefault="007A4C1E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From:  Joel C. Wieneke</w:t>
      </w:r>
    </w:p>
    <w:p w14:paraId="5DC4E722" w14:textId="77777777" w:rsidR="007A4C1E" w:rsidRPr="007A4C1E" w:rsidRDefault="007A4C1E">
      <w:pPr>
        <w:rPr>
          <w:rFonts w:ascii="Century Schoolbook" w:hAnsi="Century Schoolbook"/>
          <w:sz w:val="24"/>
          <w:szCs w:val="24"/>
        </w:rPr>
      </w:pPr>
    </w:p>
    <w:p w14:paraId="5DC4E723" w14:textId="1DD1B9AC" w:rsidR="007A4C1E" w:rsidRDefault="007A4C1E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Re:  </w:t>
      </w:r>
      <w:r w:rsidR="00F70A04">
        <w:rPr>
          <w:rFonts w:ascii="Century Schoolbook" w:hAnsi="Century Schoolbook"/>
          <w:sz w:val="24"/>
          <w:szCs w:val="24"/>
        </w:rPr>
        <w:tab/>
      </w:r>
      <w:r w:rsidRPr="007A4C1E">
        <w:rPr>
          <w:rFonts w:ascii="Century Schoolbook" w:hAnsi="Century Schoolbook"/>
          <w:sz w:val="24"/>
          <w:szCs w:val="24"/>
        </w:rPr>
        <w:t>Amicus Reques</w:t>
      </w:r>
      <w:r w:rsidR="003D4E55">
        <w:rPr>
          <w:rFonts w:ascii="Century Schoolbook" w:hAnsi="Century Schoolbook"/>
          <w:sz w:val="24"/>
          <w:szCs w:val="24"/>
        </w:rPr>
        <w:t xml:space="preserve">t: </w:t>
      </w:r>
      <w:r w:rsidR="00B83810">
        <w:rPr>
          <w:rFonts w:ascii="Century Schoolbook" w:hAnsi="Century Schoolbook"/>
          <w:sz w:val="24"/>
          <w:szCs w:val="24"/>
        </w:rPr>
        <w:t>Work Product Privilege and Police Reports</w:t>
      </w:r>
    </w:p>
    <w:p w14:paraId="11CCB09D" w14:textId="19FC3C80" w:rsidR="00F70A04" w:rsidRDefault="00F70A04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Pr="00264091">
        <w:rPr>
          <w:rFonts w:ascii="Century Schoolbook" w:hAnsi="Century Schoolbook"/>
          <w:i/>
          <w:iCs/>
          <w:sz w:val="24"/>
          <w:szCs w:val="24"/>
        </w:rPr>
        <w:t>Minges v. State</w:t>
      </w:r>
      <w:r>
        <w:rPr>
          <w:rFonts w:ascii="Century Schoolbook" w:hAnsi="Century Schoolbook"/>
          <w:sz w:val="24"/>
          <w:szCs w:val="24"/>
        </w:rPr>
        <w:t xml:space="preserve">, </w:t>
      </w:r>
      <w:r w:rsidR="000D3273">
        <w:rPr>
          <w:rFonts w:ascii="Century Schoolbook" w:hAnsi="Century Schoolbook"/>
          <w:sz w:val="24"/>
          <w:szCs w:val="24"/>
        </w:rPr>
        <w:t xml:space="preserve">Case No. </w:t>
      </w:r>
      <w:r w:rsidR="00DB046D">
        <w:rPr>
          <w:rFonts w:ascii="Century Schoolbook" w:hAnsi="Century Schoolbook"/>
          <w:sz w:val="24"/>
          <w:szCs w:val="24"/>
        </w:rPr>
        <w:t>21A-CR-216</w:t>
      </w:r>
    </w:p>
    <w:p w14:paraId="5DC4E724" w14:textId="42B84784" w:rsidR="009054F1" w:rsidRDefault="007A4C1E" w:rsidP="00A91FB8">
      <w:pPr>
        <w:spacing w:line="40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E17C86">
        <w:rPr>
          <w:rFonts w:ascii="Century Schoolbook" w:hAnsi="Century Schoolbook"/>
          <w:sz w:val="24"/>
          <w:szCs w:val="24"/>
        </w:rPr>
        <w:t xml:space="preserve">Mike Cunningham has recently received permission to file a Notice of Appeal in his interlocutory appeal </w:t>
      </w:r>
      <w:r w:rsidR="008F69F2">
        <w:rPr>
          <w:rFonts w:ascii="Century Schoolbook" w:hAnsi="Century Schoolbook"/>
          <w:sz w:val="24"/>
          <w:szCs w:val="24"/>
        </w:rPr>
        <w:t>from</w:t>
      </w:r>
      <w:r w:rsidR="002E78F1">
        <w:rPr>
          <w:rFonts w:ascii="Century Schoolbook" w:hAnsi="Century Schoolbook"/>
          <w:sz w:val="24"/>
          <w:szCs w:val="24"/>
        </w:rPr>
        <w:t xml:space="preserve"> the trial court’s denial of a motion to compel discovery. In his </w:t>
      </w:r>
      <w:r w:rsidR="00AE335E">
        <w:rPr>
          <w:rFonts w:ascii="Century Schoolbook" w:hAnsi="Century Schoolbook"/>
          <w:sz w:val="24"/>
          <w:szCs w:val="24"/>
        </w:rPr>
        <w:t>motion to the Court of Appeals, he explains</w:t>
      </w:r>
      <w:r w:rsidR="001B646D">
        <w:rPr>
          <w:rFonts w:ascii="Century Schoolbook" w:hAnsi="Century Schoolbook"/>
          <w:sz w:val="24"/>
          <w:szCs w:val="24"/>
        </w:rPr>
        <w:t xml:space="preserve"> the </w:t>
      </w:r>
      <w:r w:rsidR="00663B15">
        <w:rPr>
          <w:rFonts w:ascii="Century Schoolbook" w:hAnsi="Century Schoolbook"/>
          <w:sz w:val="24"/>
          <w:szCs w:val="24"/>
        </w:rPr>
        <w:t xml:space="preserve">State would allow defense counsel to view police reports at the prosecutor’s office, or </w:t>
      </w:r>
      <w:r w:rsidR="00971C3D">
        <w:rPr>
          <w:rFonts w:ascii="Century Schoolbook" w:hAnsi="Century Schoolbook"/>
          <w:sz w:val="24"/>
          <w:szCs w:val="24"/>
        </w:rPr>
        <w:t xml:space="preserve">the defense </w:t>
      </w:r>
      <w:r w:rsidR="000F2ED3">
        <w:rPr>
          <w:rFonts w:ascii="Century Schoolbook" w:hAnsi="Century Schoolbook"/>
          <w:sz w:val="24"/>
          <w:szCs w:val="24"/>
        </w:rPr>
        <w:t xml:space="preserve">counsel </w:t>
      </w:r>
      <w:r w:rsidR="00971C3D">
        <w:rPr>
          <w:rFonts w:ascii="Century Schoolbook" w:hAnsi="Century Schoolbook"/>
          <w:sz w:val="24"/>
          <w:szCs w:val="24"/>
        </w:rPr>
        <w:t>could receive a copy if</w:t>
      </w:r>
      <w:r w:rsidR="000F2ED3">
        <w:rPr>
          <w:rFonts w:ascii="Century Schoolbook" w:hAnsi="Century Schoolbook"/>
          <w:sz w:val="24"/>
          <w:szCs w:val="24"/>
        </w:rPr>
        <w:t xml:space="preserve"> they </w:t>
      </w:r>
      <w:r w:rsidR="00EF3CE6">
        <w:rPr>
          <w:rFonts w:ascii="Century Schoolbook" w:hAnsi="Century Schoolbook"/>
          <w:sz w:val="24"/>
          <w:szCs w:val="24"/>
        </w:rPr>
        <w:t xml:space="preserve">signed and stipulated to the prosecutor’s “protective order, the </w:t>
      </w:r>
      <w:r w:rsidR="008357E9">
        <w:rPr>
          <w:rFonts w:ascii="Century Schoolbook" w:hAnsi="Century Schoolbook"/>
          <w:sz w:val="24"/>
          <w:szCs w:val="24"/>
        </w:rPr>
        <w:t xml:space="preserve">terms and conditions of which were not negotiable.”  </w:t>
      </w:r>
      <w:r w:rsidR="002A5808">
        <w:rPr>
          <w:rFonts w:ascii="Century Schoolbook" w:hAnsi="Century Schoolbook"/>
          <w:sz w:val="24"/>
          <w:szCs w:val="24"/>
        </w:rPr>
        <w:t xml:space="preserve">The motion does not explain what those terms and conditions are, but it is assumed that </w:t>
      </w:r>
      <w:r w:rsidR="00AC656D">
        <w:rPr>
          <w:rFonts w:ascii="Century Schoolbook" w:hAnsi="Century Schoolbook"/>
          <w:sz w:val="24"/>
          <w:szCs w:val="24"/>
        </w:rPr>
        <w:t>they contain prohibition</w:t>
      </w:r>
      <w:r w:rsidR="00D67AE1">
        <w:rPr>
          <w:rFonts w:ascii="Century Schoolbook" w:hAnsi="Century Schoolbook"/>
          <w:sz w:val="24"/>
          <w:szCs w:val="24"/>
        </w:rPr>
        <w:t>s</w:t>
      </w:r>
      <w:r w:rsidR="00AC656D">
        <w:rPr>
          <w:rFonts w:ascii="Century Schoolbook" w:hAnsi="Century Schoolbook"/>
          <w:sz w:val="24"/>
          <w:szCs w:val="24"/>
        </w:rPr>
        <w:t xml:space="preserve"> </w:t>
      </w:r>
      <w:r w:rsidR="0007061B">
        <w:rPr>
          <w:rFonts w:ascii="Century Schoolbook" w:hAnsi="Century Schoolbook"/>
          <w:sz w:val="24"/>
          <w:szCs w:val="24"/>
        </w:rPr>
        <w:t>denying</w:t>
      </w:r>
      <w:r w:rsidR="00AC656D">
        <w:rPr>
          <w:rFonts w:ascii="Century Schoolbook" w:hAnsi="Century Schoolbook"/>
          <w:sz w:val="24"/>
          <w:szCs w:val="24"/>
        </w:rPr>
        <w:t xml:space="preserve"> the defendant an opportunity to view the </w:t>
      </w:r>
      <w:r w:rsidR="0007061B">
        <w:rPr>
          <w:rFonts w:ascii="Century Schoolbook" w:hAnsi="Century Schoolbook"/>
          <w:sz w:val="24"/>
          <w:szCs w:val="24"/>
        </w:rPr>
        <w:t>police report</w:t>
      </w:r>
      <w:r w:rsidR="002655C7">
        <w:rPr>
          <w:rFonts w:ascii="Century Schoolbook" w:hAnsi="Century Schoolbook"/>
          <w:sz w:val="24"/>
          <w:szCs w:val="24"/>
        </w:rPr>
        <w:t xml:space="preserve">s, and against using the police reports </w:t>
      </w:r>
      <w:r w:rsidR="008D6A6B">
        <w:rPr>
          <w:rFonts w:ascii="Century Schoolbook" w:hAnsi="Century Schoolbook"/>
          <w:sz w:val="24"/>
          <w:szCs w:val="24"/>
        </w:rPr>
        <w:t xml:space="preserve">as evidence or </w:t>
      </w:r>
      <w:r w:rsidR="002655C7">
        <w:rPr>
          <w:rFonts w:ascii="Century Schoolbook" w:hAnsi="Century Schoolbook"/>
          <w:sz w:val="24"/>
          <w:szCs w:val="24"/>
        </w:rPr>
        <w:t xml:space="preserve">for </w:t>
      </w:r>
      <w:r w:rsidR="008D6A6B">
        <w:rPr>
          <w:rFonts w:ascii="Century Schoolbook" w:hAnsi="Century Schoolbook"/>
          <w:sz w:val="24"/>
          <w:szCs w:val="24"/>
        </w:rPr>
        <w:t xml:space="preserve">impeachment during </w:t>
      </w:r>
      <w:r w:rsidR="002655C7">
        <w:rPr>
          <w:rFonts w:ascii="Century Schoolbook" w:hAnsi="Century Schoolbook"/>
          <w:sz w:val="24"/>
          <w:szCs w:val="24"/>
        </w:rPr>
        <w:t>cross-examination.</w:t>
      </w:r>
    </w:p>
    <w:p w14:paraId="14F3A49E" w14:textId="6DA2E1F7" w:rsidR="005B0C9A" w:rsidRDefault="005B0C9A" w:rsidP="00A91FB8">
      <w:pPr>
        <w:spacing w:line="40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The </w:t>
      </w:r>
      <w:r w:rsidR="001E4C22">
        <w:rPr>
          <w:rFonts w:ascii="Century Schoolbook" w:hAnsi="Century Schoolbook"/>
          <w:sz w:val="24"/>
          <w:szCs w:val="24"/>
        </w:rPr>
        <w:t>stated purpose</w:t>
      </w:r>
      <w:r>
        <w:rPr>
          <w:rFonts w:ascii="Century Schoolbook" w:hAnsi="Century Schoolbook"/>
          <w:sz w:val="24"/>
          <w:szCs w:val="24"/>
        </w:rPr>
        <w:t xml:space="preserve"> of the motion requesting permission to </w:t>
      </w:r>
      <w:r w:rsidR="00B54792">
        <w:rPr>
          <w:rFonts w:ascii="Century Schoolbook" w:hAnsi="Century Schoolbook"/>
          <w:sz w:val="24"/>
          <w:szCs w:val="24"/>
        </w:rPr>
        <w:t xml:space="preserve">immediately </w:t>
      </w:r>
      <w:r>
        <w:rPr>
          <w:rFonts w:ascii="Century Schoolbook" w:hAnsi="Century Schoolbook"/>
          <w:sz w:val="24"/>
          <w:szCs w:val="24"/>
        </w:rPr>
        <w:t>appeal the trial court’s order is</w:t>
      </w:r>
      <w:r w:rsidR="001E4C22">
        <w:rPr>
          <w:rFonts w:ascii="Century Schoolbook" w:hAnsi="Century Schoolbook"/>
          <w:sz w:val="24"/>
          <w:szCs w:val="24"/>
        </w:rPr>
        <w:t xml:space="preserve"> to</w:t>
      </w:r>
      <w:r w:rsidR="00FD4B22">
        <w:rPr>
          <w:rFonts w:ascii="Century Schoolbook" w:hAnsi="Century Schoolbook"/>
          <w:sz w:val="24"/>
          <w:szCs w:val="24"/>
        </w:rPr>
        <w:t xml:space="preserve"> seek a change in the law announced in </w:t>
      </w:r>
      <w:r w:rsidR="004F2DA3" w:rsidRPr="00135D2F">
        <w:rPr>
          <w:rFonts w:ascii="Century Schoolbook" w:hAnsi="Century Schoolbook"/>
          <w:i/>
          <w:iCs/>
          <w:sz w:val="24"/>
          <w:szCs w:val="24"/>
        </w:rPr>
        <w:t>State, ex rel. Keaton v. Circuit Court of Rush County</w:t>
      </w:r>
      <w:r w:rsidR="004F2DA3">
        <w:rPr>
          <w:rFonts w:ascii="Century Schoolbook" w:hAnsi="Century Schoolbook"/>
          <w:sz w:val="24"/>
          <w:szCs w:val="24"/>
        </w:rPr>
        <w:t>, 475</w:t>
      </w:r>
      <w:r w:rsidR="00264091">
        <w:rPr>
          <w:rFonts w:ascii="Century Schoolbook" w:hAnsi="Century Schoolbook"/>
          <w:sz w:val="24"/>
          <w:szCs w:val="24"/>
        </w:rPr>
        <w:t xml:space="preserve"> N.E.2d 1146 (Ind. 1985). </w:t>
      </w:r>
      <w:r w:rsidR="00135D2F" w:rsidRPr="00135D2F">
        <w:rPr>
          <w:rFonts w:ascii="Century Schoolbook" w:hAnsi="Century Schoolbook"/>
          <w:i/>
          <w:iCs/>
          <w:sz w:val="24"/>
          <w:szCs w:val="24"/>
        </w:rPr>
        <w:t>Keaton</w:t>
      </w:r>
      <w:r w:rsidR="00135D2F">
        <w:rPr>
          <w:rFonts w:ascii="Century Schoolbook" w:hAnsi="Century Schoolbook"/>
          <w:sz w:val="24"/>
          <w:szCs w:val="24"/>
        </w:rPr>
        <w:t xml:space="preserve"> held broadly that police reports were protected by the work product privilege</w:t>
      </w:r>
      <w:r w:rsidR="00A35C55">
        <w:rPr>
          <w:rFonts w:ascii="Century Schoolbook" w:hAnsi="Century Schoolbook"/>
          <w:sz w:val="24"/>
          <w:szCs w:val="24"/>
        </w:rPr>
        <w:t xml:space="preserve">. The facts were slightly different, in that </w:t>
      </w:r>
      <w:r w:rsidR="001D6236">
        <w:rPr>
          <w:rFonts w:ascii="Century Schoolbook" w:hAnsi="Century Schoolbook"/>
          <w:sz w:val="24"/>
          <w:szCs w:val="24"/>
        </w:rPr>
        <w:t xml:space="preserve">the defense attorneys in </w:t>
      </w:r>
      <w:r w:rsidR="001D6236" w:rsidRPr="00C3659B">
        <w:rPr>
          <w:rFonts w:ascii="Century Schoolbook" w:hAnsi="Century Schoolbook"/>
          <w:i/>
          <w:iCs/>
          <w:sz w:val="24"/>
          <w:szCs w:val="24"/>
        </w:rPr>
        <w:t>Keaton</w:t>
      </w:r>
      <w:r w:rsidR="001D6236">
        <w:rPr>
          <w:rFonts w:ascii="Century Schoolbook" w:hAnsi="Century Schoolbook"/>
          <w:sz w:val="24"/>
          <w:szCs w:val="24"/>
        </w:rPr>
        <w:t xml:space="preserve"> were provided an opportunity to view the police reports, but there was no offer by the State to provide the </w:t>
      </w:r>
      <w:r w:rsidR="005C30E9">
        <w:rPr>
          <w:rFonts w:ascii="Century Schoolbook" w:hAnsi="Century Schoolbook"/>
          <w:sz w:val="24"/>
          <w:szCs w:val="24"/>
        </w:rPr>
        <w:t xml:space="preserve">police reports if the defense attorneys </w:t>
      </w:r>
      <w:proofErr w:type="gramStart"/>
      <w:r w:rsidR="005C30E9">
        <w:rPr>
          <w:rFonts w:ascii="Century Schoolbook" w:hAnsi="Century Schoolbook"/>
          <w:sz w:val="24"/>
          <w:szCs w:val="24"/>
        </w:rPr>
        <w:t>entered into</w:t>
      </w:r>
      <w:proofErr w:type="gramEnd"/>
      <w:r w:rsidR="005C30E9">
        <w:rPr>
          <w:rFonts w:ascii="Century Schoolbook" w:hAnsi="Century Schoolbook"/>
          <w:sz w:val="24"/>
          <w:szCs w:val="24"/>
        </w:rPr>
        <w:t xml:space="preserve"> a stipulation.</w:t>
      </w:r>
    </w:p>
    <w:p w14:paraId="354E86CF" w14:textId="209688C5" w:rsidR="002655C7" w:rsidRDefault="002655C7" w:rsidP="00A91FB8">
      <w:pPr>
        <w:spacing w:line="40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</w:p>
    <w:p w14:paraId="4303A9FB" w14:textId="6CB77C42" w:rsidR="003963F6" w:rsidRDefault="009054F1" w:rsidP="009F48F1">
      <w:pPr>
        <w:spacing w:line="40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Pr="00C1611F">
        <w:rPr>
          <w:rFonts w:ascii="Century Schoolbook" w:hAnsi="Century Schoolbook"/>
          <w:b/>
          <w:sz w:val="24"/>
          <w:szCs w:val="24"/>
        </w:rPr>
        <w:t>IPDC’s Role as Amicus</w:t>
      </w:r>
      <w:r>
        <w:rPr>
          <w:rFonts w:ascii="Century Schoolbook" w:hAnsi="Century Schoolbook"/>
          <w:sz w:val="24"/>
          <w:szCs w:val="24"/>
        </w:rPr>
        <w:t xml:space="preserve">:  </w:t>
      </w:r>
      <w:r w:rsidR="00C11C74">
        <w:rPr>
          <w:rFonts w:ascii="Century Schoolbook" w:hAnsi="Century Schoolbook"/>
          <w:sz w:val="24"/>
          <w:szCs w:val="24"/>
        </w:rPr>
        <w:t xml:space="preserve">Mr. Cunningham was asked what role he thought IPDC might be able to contribute as Amicus, and </w:t>
      </w:r>
      <w:r w:rsidR="00082606">
        <w:rPr>
          <w:rFonts w:ascii="Century Schoolbook" w:hAnsi="Century Schoolbook"/>
          <w:sz w:val="24"/>
          <w:szCs w:val="24"/>
        </w:rPr>
        <w:t xml:space="preserve">the substantive suggestion was for IPDC to </w:t>
      </w:r>
      <w:r w:rsidR="00236E5B">
        <w:rPr>
          <w:rFonts w:ascii="Century Schoolbook" w:hAnsi="Century Schoolbook"/>
          <w:sz w:val="24"/>
          <w:szCs w:val="24"/>
        </w:rPr>
        <w:t>brief</w:t>
      </w:r>
      <w:r w:rsidR="00082606">
        <w:rPr>
          <w:rFonts w:ascii="Century Schoolbook" w:hAnsi="Century Schoolbook"/>
          <w:sz w:val="24"/>
          <w:szCs w:val="24"/>
        </w:rPr>
        <w:t xml:space="preserve"> how other states </w:t>
      </w:r>
      <w:r w:rsidR="00574235">
        <w:rPr>
          <w:rFonts w:ascii="Century Schoolbook" w:hAnsi="Century Schoolbook"/>
          <w:sz w:val="24"/>
          <w:szCs w:val="24"/>
        </w:rPr>
        <w:t xml:space="preserve">address the work product privilege in the context of </w:t>
      </w:r>
      <w:r w:rsidR="000E29C9">
        <w:rPr>
          <w:rFonts w:ascii="Century Schoolbook" w:hAnsi="Century Schoolbook"/>
          <w:sz w:val="24"/>
          <w:szCs w:val="24"/>
        </w:rPr>
        <w:t>police reports.</w:t>
      </w:r>
      <w:r w:rsidR="00176587">
        <w:rPr>
          <w:rFonts w:ascii="Century Schoolbook" w:hAnsi="Century Schoolbook"/>
          <w:sz w:val="24"/>
          <w:szCs w:val="24"/>
        </w:rPr>
        <w:t xml:space="preserve"> He also </w:t>
      </w:r>
      <w:r w:rsidR="007C74CF">
        <w:rPr>
          <w:rFonts w:ascii="Century Schoolbook" w:hAnsi="Century Schoolbook"/>
          <w:sz w:val="24"/>
          <w:szCs w:val="24"/>
        </w:rPr>
        <w:t>reiterated</w:t>
      </w:r>
      <w:r w:rsidR="00176587">
        <w:rPr>
          <w:rFonts w:ascii="Century Schoolbook" w:hAnsi="Century Schoolbook"/>
          <w:sz w:val="24"/>
          <w:szCs w:val="24"/>
        </w:rPr>
        <w:t xml:space="preserve"> the goal of </w:t>
      </w:r>
      <w:r w:rsidR="003963F6">
        <w:rPr>
          <w:rFonts w:ascii="Century Schoolbook" w:hAnsi="Century Schoolbook"/>
          <w:sz w:val="24"/>
          <w:szCs w:val="24"/>
        </w:rPr>
        <w:t>getting this case to the Indiana Supreme Court.</w:t>
      </w:r>
    </w:p>
    <w:p w14:paraId="5A24A095" w14:textId="01ECE166" w:rsidR="000E29C9" w:rsidRPr="00E219AD" w:rsidRDefault="000E29C9" w:rsidP="009F48F1">
      <w:pPr>
        <w:spacing w:line="400" w:lineRule="atLeast"/>
        <w:rPr>
          <w:rFonts w:ascii="Century Schoolbook" w:hAnsi="Century Schoolbook"/>
          <w:i/>
          <w:iCs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ab/>
      </w:r>
      <w:r w:rsidR="000529CC" w:rsidRPr="00E219AD">
        <w:rPr>
          <w:rFonts w:ascii="Century Schoolbook" w:hAnsi="Century Schoolbook"/>
          <w:b/>
          <w:bCs/>
          <w:sz w:val="24"/>
          <w:szCs w:val="24"/>
        </w:rPr>
        <w:t>Recommendation:</w:t>
      </w:r>
      <w:r w:rsidR="000529CC">
        <w:rPr>
          <w:rFonts w:ascii="Century Schoolbook" w:hAnsi="Century Schoolbook"/>
          <w:sz w:val="24"/>
          <w:szCs w:val="24"/>
        </w:rPr>
        <w:t xml:space="preserve">  </w:t>
      </w:r>
      <w:r w:rsidR="001F4FD2" w:rsidRPr="00E219AD">
        <w:rPr>
          <w:rFonts w:ascii="Century Schoolbook" w:hAnsi="Century Schoolbook"/>
          <w:i/>
          <w:iCs/>
          <w:sz w:val="24"/>
          <w:szCs w:val="24"/>
        </w:rPr>
        <w:t>Provide research assistance</w:t>
      </w:r>
      <w:r w:rsidR="001F16F5" w:rsidRPr="00E219AD">
        <w:rPr>
          <w:rFonts w:ascii="Century Schoolbook" w:hAnsi="Century Schoolbook"/>
          <w:i/>
          <w:iCs/>
          <w:sz w:val="24"/>
          <w:szCs w:val="24"/>
        </w:rPr>
        <w:t xml:space="preserve"> and monitor the appeal for potential </w:t>
      </w:r>
      <w:r w:rsidR="00E219AD" w:rsidRPr="00E219AD">
        <w:rPr>
          <w:rFonts w:ascii="Century Schoolbook" w:hAnsi="Century Schoolbook"/>
          <w:i/>
          <w:iCs/>
          <w:sz w:val="24"/>
          <w:szCs w:val="24"/>
        </w:rPr>
        <w:t xml:space="preserve">participation as Amicus </w:t>
      </w:r>
      <w:r w:rsidR="00B62CF0">
        <w:rPr>
          <w:rFonts w:ascii="Century Schoolbook" w:hAnsi="Century Schoolbook"/>
          <w:i/>
          <w:iCs/>
          <w:sz w:val="24"/>
          <w:szCs w:val="24"/>
        </w:rPr>
        <w:t xml:space="preserve">before </w:t>
      </w:r>
      <w:r w:rsidR="00E219AD" w:rsidRPr="00E219AD">
        <w:rPr>
          <w:rFonts w:ascii="Century Schoolbook" w:hAnsi="Century Schoolbook"/>
          <w:i/>
          <w:iCs/>
          <w:sz w:val="24"/>
          <w:szCs w:val="24"/>
        </w:rPr>
        <w:t>the Indiana Supreme Court.</w:t>
      </w:r>
    </w:p>
    <w:p w14:paraId="5DC4E72C" w14:textId="4689A626" w:rsidR="00217E58" w:rsidRDefault="00E219AD" w:rsidP="00A91FB8">
      <w:pPr>
        <w:spacing w:line="40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C27C69">
        <w:rPr>
          <w:rFonts w:ascii="Century Schoolbook" w:hAnsi="Century Schoolbook"/>
          <w:sz w:val="24"/>
          <w:szCs w:val="24"/>
        </w:rPr>
        <w:t>This is a single</w:t>
      </w:r>
      <w:r w:rsidR="00C23827">
        <w:rPr>
          <w:rFonts w:ascii="Century Schoolbook" w:hAnsi="Century Schoolbook"/>
          <w:sz w:val="24"/>
          <w:szCs w:val="24"/>
        </w:rPr>
        <w:t>-</w:t>
      </w:r>
      <w:r w:rsidR="00C27C69">
        <w:rPr>
          <w:rFonts w:ascii="Century Schoolbook" w:hAnsi="Century Schoolbook"/>
          <w:sz w:val="24"/>
          <w:szCs w:val="24"/>
        </w:rPr>
        <w:t>issue appeal</w:t>
      </w:r>
      <w:r w:rsidR="00A81CA2">
        <w:rPr>
          <w:rFonts w:ascii="Century Schoolbook" w:hAnsi="Century Schoolbook"/>
          <w:sz w:val="24"/>
          <w:szCs w:val="24"/>
        </w:rPr>
        <w:t>,</w:t>
      </w:r>
      <w:r w:rsidR="00C27C69">
        <w:rPr>
          <w:rFonts w:ascii="Century Schoolbook" w:hAnsi="Century Schoolbook"/>
          <w:sz w:val="24"/>
          <w:szCs w:val="24"/>
        </w:rPr>
        <w:t xml:space="preserve"> and the appellant has a </w:t>
      </w:r>
      <w:r w:rsidR="00760CD1">
        <w:rPr>
          <w:rFonts w:ascii="Century Schoolbook" w:hAnsi="Century Schoolbook"/>
          <w:sz w:val="24"/>
          <w:szCs w:val="24"/>
        </w:rPr>
        <w:t xml:space="preserve">large word limit at the Court of Appeals (14,000), so </w:t>
      </w:r>
      <w:r w:rsidR="00174D14">
        <w:rPr>
          <w:rFonts w:ascii="Century Schoolbook" w:hAnsi="Century Schoolbook"/>
          <w:sz w:val="24"/>
          <w:szCs w:val="24"/>
        </w:rPr>
        <w:t xml:space="preserve">a discussion of how other states address work product in context </w:t>
      </w:r>
      <w:r w:rsidR="00351CB6">
        <w:rPr>
          <w:rFonts w:ascii="Century Schoolbook" w:hAnsi="Century Schoolbook"/>
          <w:sz w:val="24"/>
          <w:szCs w:val="24"/>
        </w:rPr>
        <w:t xml:space="preserve">of police reports </w:t>
      </w:r>
      <w:r w:rsidR="00C20433">
        <w:rPr>
          <w:rFonts w:ascii="Century Schoolbook" w:hAnsi="Century Schoolbook"/>
          <w:sz w:val="24"/>
          <w:szCs w:val="24"/>
        </w:rPr>
        <w:t>can fit in the Appellant’s Brief</w:t>
      </w:r>
      <w:r w:rsidR="00351CB6">
        <w:rPr>
          <w:rFonts w:ascii="Century Schoolbook" w:hAnsi="Century Schoolbook"/>
          <w:sz w:val="24"/>
          <w:szCs w:val="24"/>
        </w:rPr>
        <w:t xml:space="preserve">. Moreover, the </w:t>
      </w:r>
      <w:proofErr w:type="gramStart"/>
      <w:r w:rsidR="00351CB6">
        <w:rPr>
          <w:rFonts w:ascii="Century Schoolbook" w:hAnsi="Century Schoolbook"/>
          <w:sz w:val="24"/>
          <w:szCs w:val="24"/>
        </w:rPr>
        <w:t>ultimate goal</w:t>
      </w:r>
      <w:proofErr w:type="gramEnd"/>
      <w:r w:rsidR="00351CB6">
        <w:rPr>
          <w:rFonts w:ascii="Century Schoolbook" w:hAnsi="Century Schoolbook"/>
          <w:sz w:val="24"/>
          <w:szCs w:val="24"/>
        </w:rPr>
        <w:t xml:space="preserve"> of the appeal is to </w:t>
      </w:r>
      <w:r w:rsidR="00836C7A">
        <w:rPr>
          <w:rFonts w:ascii="Century Schoolbook" w:hAnsi="Century Schoolbook"/>
          <w:sz w:val="24"/>
          <w:szCs w:val="24"/>
        </w:rPr>
        <w:t>reverse</w:t>
      </w:r>
      <w:r w:rsidR="00351CB6">
        <w:rPr>
          <w:rFonts w:ascii="Century Schoolbook" w:hAnsi="Century Schoolbook"/>
          <w:sz w:val="24"/>
          <w:szCs w:val="24"/>
        </w:rPr>
        <w:t xml:space="preserve"> Supreme Court precedent. </w:t>
      </w:r>
      <w:proofErr w:type="gramStart"/>
      <w:r w:rsidR="002B7BC9">
        <w:rPr>
          <w:rFonts w:ascii="Century Schoolbook" w:hAnsi="Century Schoolbook"/>
          <w:sz w:val="24"/>
          <w:szCs w:val="24"/>
        </w:rPr>
        <w:t>In light of</w:t>
      </w:r>
      <w:proofErr w:type="gramEnd"/>
      <w:r w:rsidR="002B7BC9">
        <w:rPr>
          <w:rFonts w:ascii="Century Schoolbook" w:hAnsi="Century Schoolbook"/>
          <w:sz w:val="24"/>
          <w:szCs w:val="24"/>
        </w:rPr>
        <w:t xml:space="preserve"> that stated goal, the purpose of the Court of Appeals level is to </w:t>
      </w:r>
      <w:r w:rsidR="007609A5">
        <w:rPr>
          <w:rFonts w:ascii="Century Schoolbook" w:hAnsi="Century Schoolbook"/>
          <w:sz w:val="24"/>
          <w:szCs w:val="24"/>
        </w:rPr>
        <w:t xml:space="preserve">develop and frame the issue in a way that will </w:t>
      </w:r>
      <w:r w:rsidR="00836C7A">
        <w:rPr>
          <w:rFonts w:ascii="Century Schoolbook" w:hAnsi="Century Schoolbook"/>
          <w:sz w:val="24"/>
          <w:szCs w:val="24"/>
        </w:rPr>
        <w:t>help lead</w:t>
      </w:r>
      <w:r w:rsidR="007609A5">
        <w:rPr>
          <w:rFonts w:ascii="Century Schoolbook" w:hAnsi="Century Schoolbook"/>
          <w:sz w:val="24"/>
          <w:szCs w:val="24"/>
        </w:rPr>
        <w:t xml:space="preserve"> </w:t>
      </w:r>
      <w:r w:rsidR="00836C7A">
        <w:rPr>
          <w:rFonts w:ascii="Century Schoolbook" w:hAnsi="Century Schoolbook"/>
          <w:sz w:val="24"/>
          <w:szCs w:val="24"/>
        </w:rPr>
        <w:t>to</w:t>
      </w:r>
      <w:r w:rsidR="007609A5">
        <w:rPr>
          <w:rFonts w:ascii="Century Schoolbook" w:hAnsi="Century Schoolbook"/>
          <w:sz w:val="24"/>
          <w:szCs w:val="24"/>
        </w:rPr>
        <w:t xml:space="preserve"> Transfer. </w:t>
      </w:r>
      <w:r w:rsidR="00A252E2">
        <w:rPr>
          <w:rFonts w:ascii="Century Schoolbook" w:hAnsi="Century Schoolbook"/>
          <w:sz w:val="24"/>
          <w:szCs w:val="24"/>
        </w:rPr>
        <w:t xml:space="preserve">IPDC can </w:t>
      </w:r>
      <w:r w:rsidR="00B466DF">
        <w:rPr>
          <w:rFonts w:ascii="Century Schoolbook" w:hAnsi="Century Schoolbook"/>
          <w:sz w:val="24"/>
          <w:szCs w:val="24"/>
        </w:rPr>
        <w:t xml:space="preserve">adequately </w:t>
      </w:r>
      <w:r w:rsidR="00A252E2">
        <w:rPr>
          <w:rFonts w:ascii="Century Schoolbook" w:hAnsi="Century Schoolbook"/>
          <w:sz w:val="24"/>
          <w:szCs w:val="24"/>
        </w:rPr>
        <w:t xml:space="preserve">provide assistance </w:t>
      </w:r>
      <w:r w:rsidR="00B466DF">
        <w:rPr>
          <w:rFonts w:ascii="Century Schoolbook" w:hAnsi="Century Schoolbook"/>
          <w:sz w:val="24"/>
          <w:szCs w:val="24"/>
        </w:rPr>
        <w:t xml:space="preserve">with this goal </w:t>
      </w:r>
      <w:r w:rsidR="00A252E2">
        <w:rPr>
          <w:rFonts w:ascii="Century Schoolbook" w:hAnsi="Century Schoolbook"/>
          <w:sz w:val="24"/>
          <w:szCs w:val="24"/>
        </w:rPr>
        <w:t xml:space="preserve">through research and </w:t>
      </w:r>
      <w:proofErr w:type="gramStart"/>
      <w:r w:rsidR="00A252E2">
        <w:rPr>
          <w:rFonts w:ascii="Century Schoolbook" w:hAnsi="Century Schoolbook"/>
          <w:sz w:val="24"/>
          <w:szCs w:val="24"/>
        </w:rPr>
        <w:t>suggestion</w:t>
      </w:r>
      <w:r w:rsidR="0077328F">
        <w:rPr>
          <w:rFonts w:ascii="Century Schoolbook" w:hAnsi="Century Schoolbook"/>
          <w:sz w:val="24"/>
          <w:szCs w:val="24"/>
        </w:rPr>
        <w:t>, and</w:t>
      </w:r>
      <w:proofErr w:type="gramEnd"/>
      <w:r w:rsidR="0077328F">
        <w:rPr>
          <w:rFonts w:ascii="Century Schoolbook" w:hAnsi="Century Schoolbook"/>
          <w:sz w:val="24"/>
          <w:szCs w:val="24"/>
        </w:rPr>
        <w:t xml:space="preserve"> monitor the appeal for participation at the next stage</w:t>
      </w:r>
      <w:r w:rsidR="00A252E2">
        <w:rPr>
          <w:rFonts w:ascii="Century Schoolbook" w:hAnsi="Century Schoolbook"/>
          <w:sz w:val="24"/>
          <w:szCs w:val="24"/>
        </w:rPr>
        <w:t>.</w:t>
      </w:r>
    </w:p>
    <w:p w14:paraId="2F967423" w14:textId="49003809" w:rsidR="00A252E2" w:rsidRPr="007A4C1E" w:rsidRDefault="00A252E2" w:rsidP="00A91FB8">
      <w:pPr>
        <w:spacing w:line="400" w:lineRule="atLeast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</w:r>
      <w:r w:rsidR="00AF1383">
        <w:rPr>
          <w:rFonts w:ascii="Century Schoolbook" w:hAnsi="Century Schoolbook"/>
          <w:sz w:val="24"/>
          <w:szCs w:val="24"/>
        </w:rPr>
        <w:t xml:space="preserve">Finally, the Notice of Appeal is due March </w:t>
      </w:r>
      <w:r w:rsidR="00336006">
        <w:rPr>
          <w:rFonts w:ascii="Century Schoolbook" w:hAnsi="Century Schoolbook"/>
          <w:sz w:val="24"/>
          <w:szCs w:val="24"/>
        </w:rPr>
        <w:t>13</w:t>
      </w:r>
      <w:r w:rsidR="00336006" w:rsidRPr="00336006">
        <w:rPr>
          <w:rFonts w:ascii="Century Schoolbook" w:hAnsi="Century Schoolbook"/>
          <w:sz w:val="24"/>
          <w:szCs w:val="24"/>
          <w:vertAlign w:val="superscript"/>
        </w:rPr>
        <w:t>th</w:t>
      </w:r>
      <w:r w:rsidR="00336006">
        <w:rPr>
          <w:rFonts w:ascii="Century Schoolbook" w:hAnsi="Century Schoolbook"/>
          <w:sz w:val="24"/>
          <w:szCs w:val="24"/>
        </w:rPr>
        <w:t>, an</w:t>
      </w:r>
      <w:r w:rsidR="007B18F0">
        <w:rPr>
          <w:rFonts w:ascii="Century Schoolbook" w:hAnsi="Century Schoolbook"/>
          <w:sz w:val="24"/>
          <w:szCs w:val="24"/>
        </w:rPr>
        <w:t xml:space="preserve">d the Transcript may be filed quickly, potentially making the initial briefs due </w:t>
      </w:r>
      <w:r w:rsidR="007D453B">
        <w:rPr>
          <w:rFonts w:ascii="Century Schoolbook" w:hAnsi="Century Schoolbook"/>
          <w:sz w:val="24"/>
          <w:szCs w:val="24"/>
        </w:rPr>
        <w:t>as early as the end of April</w:t>
      </w:r>
      <w:r w:rsidR="009D4B9E">
        <w:rPr>
          <w:rFonts w:ascii="Century Schoolbook" w:hAnsi="Century Schoolbook"/>
          <w:sz w:val="24"/>
          <w:szCs w:val="24"/>
        </w:rPr>
        <w:t xml:space="preserve"> or early May</w:t>
      </w:r>
      <w:r w:rsidR="007D453B">
        <w:rPr>
          <w:rFonts w:ascii="Century Schoolbook" w:hAnsi="Century Schoolbook"/>
          <w:sz w:val="24"/>
          <w:szCs w:val="24"/>
        </w:rPr>
        <w:t>. That could co</w:t>
      </w:r>
      <w:r w:rsidR="00444E68">
        <w:rPr>
          <w:rFonts w:ascii="Century Schoolbook" w:hAnsi="Century Schoolbook"/>
          <w:sz w:val="24"/>
          <w:szCs w:val="24"/>
        </w:rPr>
        <w:t>incide with the end of the legislative session</w:t>
      </w:r>
      <w:r w:rsidR="008C531A">
        <w:rPr>
          <w:rFonts w:ascii="Century Schoolbook" w:hAnsi="Century Schoolbook"/>
          <w:sz w:val="24"/>
          <w:szCs w:val="24"/>
        </w:rPr>
        <w:t>,</w:t>
      </w:r>
      <w:r w:rsidR="00A81CA2">
        <w:rPr>
          <w:rFonts w:ascii="Century Schoolbook" w:hAnsi="Century Schoolbook"/>
          <w:sz w:val="24"/>
          <w:szCs w:val="24"/>
        </w:rPr>
        <w:t xml:space="preserve"> a</w:t>
      </w:r>
      <w:r w:rsidR="009D4B9E">
        <w:rPr>
          <w:rFonts w:ascii="Century Schoolbook" w:hAnsi="Century Schoolbook"/>
          <w:sz w:val="24"/>
          <w:szCs w:val="24"/>
        </w:rPr>
        <w:t xml:space="preserve"> time when </w:t>
      </w:r>
      <w:r w:rsidR="006A2699">
        <w:rPr>
          <w:rFonts w:ascii="Century Schoolbook" w:hAnsi="Century Schoolbook"/>
          <w:sz w:val="24"/>
          <w:szCs w:val="24"/>
        </w:rPr>
        <w:t>IPDC legal staff will be particularly stretched thin.</w:t>
      </w:r>
    </w:p>
    <w:sectPr w:rsidR="00A252E2" w:rsidRPr="007A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1E"/>
    <w:rsid w:val="000529CC"/>
    <w:rsid w:val="0007061B"/>
    <w:rsid w:val="00082606"/>
    <w:rsid w:val="000C38D1"/>
    <w:rsid w:val="000D3273"/>
    <w:rsid w:val="000E29C9"/>
    <w:rsid w:val="000F2ED3"/>
    <w:rsid w:val="00135D2F"/>
    <w:rsid w:val="00174D14"/>
    <w:rsid w:val="00176587"/>
    <w:rsid w:val="001A4C18"/>
    <w:rsid w:val="001B646D"/>
    <w:rsid w:val="001D6236"/>
    <w:rsid w:val="001E4C22"/>
    <w:rsid w:val="001F16F5"/>
    <w:rsid w:val="001F4FD2"/>
    <w:rsid w:val="00217E58"/>
    <w:rsid w:val="00236E5B"/>
    <w:rsid w:val="00264091"/>
    <w:rsid w:val="002655C7"/>
    <w:rsid w:val="002A5808"/>
    <w:rsid w:val="002B7BC9"/>
    <w:rsid w:val="002E78F1"/>
    <w:rsid w:val="0033465B"/>
    <w:rsid w:val="00336006"/>
    <w:rsid w:val="00351CB6"/>
    <w:rsid w:val="00362D83"/>
    <w:rsid w:val="003963F6"/>
    <w:rsid w:val="003B2201"/>
    <w:rsid w:val="003D4E55"/>
    <w:rsid w:val="00417BC0"/>
    <w:rsid w:val="00444E68"/>
    <w:rsid w:val="004F2DA3"/>
    <w:rsid w:val="005609A4"/>
    <w:rsid w:val="00574235"/>
    <w:rsid w:val="005B0C9A"/>
    <w:rsid w:val="005C30E9"/>
    <w:rsid w:val="00663B15"/>
    <w:rsid w:val="00693AF2"/>
    <w:rsid w:val="006A2699"/>
    <w:rsid w:val="00745C16"/>
    <w:rsid w:val="007609A5"/>
    <w:rsid w:val="00760CD1"/>
    <w:rsid w:val="0077328F"/>
    <w:rsid w:val="007A4C1E"/>
    <w:rsid w:val="007B18F0"/>
    <w:rsid w:val="007C74CF"/>
    <w:rsid w:val="007D453B"/>
    <w:rsid w:val="008357E9"/>
    <w:rsid w:val="00836C7A"/>
    <w:rsid w:val="008C531A"/>
    <w:rsid w:val="008D6A6B"/>
    <w:rsid w:val="008F69F2"/>
    <w:rsid w:val="009054F1"/>
    <w:rsid w:val="00971C3D"/>
    <w:rsid w:val="009D4B9E"/>
    <w:rsid w:val="009F48F1"/>
    <w:rsid w:val="00A252E2"/>
    <w:rsid w:val="00A35C55"/>
    <w:rsid w:val="00A81CA2"/>
    <w:rsid w:val="00A91FB8"/>
    <w:rsid w:val="00AC656D"/>
    <w:rsid w:val="00AE335E"/>
    <w:rsid w:val="00AF1383"/>
    <w:rsid w:val="00B466DF"/>
    <w:rsid w:val="00B54792"/>
    <w:rsid w:val="00B57C34"/>
    <w:rsid w:val="00B62CF0"/>
    <w:rsid w:val="00B83810"/>
    <w:rsid w:val="00BF27E9"/>
    <w:rsid w:val="00C11C74"/>
    <w:rsid w:val="00C1611F"/>
    <w:rsid w:val="00C20433"/>
    <w:rsid w:val="00C23827"/>
    <w:rsid w:val="00C27C69"/>
    <w:rsid w:val="00C3659B"/>
    <w:rsid w:val="00D67AE1"/>
    <w:rsid w:val="00DB046D"/>
    <w:rsid w:val="00DD5647"/>
    <w:rsid w:val="00DF1830"/>
    <w:rsid w:val="00E17C86"/>
    <w:rsid w:val="00E219AD"/>
    <w:rsid w:val="00EE74EB"/>
    <w:rsid w:val="00EF3CE6"/>
    <w:rsid w:val="00F45549"/>
    <w:rsid w:val="00F70A04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E71D"/>
  <w15:chartTrackingRefBased/>
  <w15:docId w15:val="{B4C66BDF-55B3-4746-97C3-3C87E1DE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Wieneke, Joel</dc:creator>
  <cp:keywords/>
  <dc:description/>
  <cp:lastModifiedBy>Wieneke, Joel</cp:lastModifiedBy>
  <cp:revision>76</cp:revision>
  <dcterms:created xsi:type="dcterms:W3CDTF">2021-03-07T10:08:00Z</dcterms:created>
  <dcterms:modified xsi:type="dcterms:W3CDTF">2021-03-07T11:04:00Z</dcterms:modified>
</cp:coreProperties>
</file>