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2" w:type="dxa"/>
        <w:tblLook w:val="0000" w:firstRow="0" w:lastRow="0" w:firstColumn="0" w:lastColumn="0" w:noHBand="0" w:noVBand="0"/>
      </w:tblPr>
      <w:tblGrid>
        <w:gridCol w:w="11016"/>
        <w:gridCol w:w="277"/>
        <w:gridCol w:w="277"/>
      </w:tblGrid>
      <w:tr w:rsidR="006C7245" w14:paraId="4071C38E" w14:textId="77777777" w:rsidTr="000A140D">
        <w:trPr>
          <w:trHeight w:val="950"/>
        </w:trPr>
        <w:tc>
          <w:tcPr>
            <w:tcW w:w="2005" w:type="dxa"/>
            <w:vMerge w:val="restart"/>
          </w:tcPr>
          <w:p w14:paraId="7EE419E8" w14:textId="77777777" w:rsidR="006C7245" w:rsidRDefault="006C7245" w:rsidP="000A140D">
            <w:r>
              <w:rPr>
                <w:noProof/>
              </w:rPr>
              <mc:AlternateContent>
                <mc:Choice Requires="wps">
                  <w:drawing>
                    <wp:anchor distT="0" distB="0" distL="114300" distR="114300" simplePos="0" relativeHeight="251659264" behindDoc="0" locked="0" layoutInCell="1" allowOverlap="1" wp14:anchorId="72AB280E" wp14:editId="2B2C8365">
                      <wp:simplePos x="0" y="0"/>
                      <wp:positionH relativeFrom="column">
                        <wp:posOffset>1362075</wp:posOffset>
                      </wp:positionH>
                      <wp:positionV relativeFrom="paragraph">
                        <wp:posOffset>714375</wp:posOffset>
                      </wp:positionV>
                      <wp:extent cx="5372100"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29"/>
                                    <w:gridCol w:w="2103"/>
                                    <w:gridCol w:w="3340"/>
                                  </w:tblGrid>
                                  <w:tr w:rsidR="006C7245" w:rsidRPr="00C96B36" w14:paraId="69C3F275" w14:textId="77777777" w:rsidTr="00F119F7">
                                    <w:trPr>
                                      <w:trHeight w:val="720"/>
                                    </w:trPr>
                                    <w:tc>
                                      <w:tcPr>
                                        <w:tcW w:w="2729" w:type="dxa"/>
                                      </w:tcPr>
                                      <w:p w14:paraId="61F3E135" w14:textId="77777777" w:rsidR="006C7245" w:rsidRDefault="006C7245" w:rsidP="00F119F7">
                                        <w:pPr>
                                          <w:rPr>
                                            <w:rFonts w:ascii="Arial Narrow" w:hAnsi="Arial Narrow" w:cs="Arial"/>
                                            <w:color w:val="333399"/>
                                            <w:sz w:val="18"/>
                                            <w:szCs w:val="18"/>
                                          </w:rPr>
                                        </w:pPr>
                                        <w:r>
                                          <w:rPr>
                                            <w:rFonts w:ascii="Arial Narrow" w:hAnsi="Arial Narrow" w:cs="Arial"/>
                                            <w:color w:val="333399"/>
                                            <w:sz w:val="18"/>
                                            <w:szCs w:val="18"/>
                                          </w:rPr>
                                          <w:t>Greenfield District</w:t>
                                        </w:r>
                                      </w:p>
                                      <w:p w14:paraId="6413A34A" w14:textId="77777777" w:rsidR="006C7245" w:rsidRPr="00C96B36" w:rsidRDefault="006C7245" w:rsidP="00F119F7">
                                        <w:pPr>
                                          <w:rPr>
                                            <w:rFonts w:ascii="Arial Narrow" w:hAnsi="Arial Narrow" w:cs="Arial"/>
                                            <w:color w:val="333399"/>
                                            <w:sz w:val="18"/>
                                            <w:szCs w:val="18"/>
                                          </w:rPr>
                                        </w:pPr>
                                        <w:r>
                                          <w:rPr>
                                            <w:rFonts w:ascii="Arial Narrow" w:hAnsi="Arial Narrow" w:cs="Arial"/>
                                            <w:color w:val="333399"/>
                                            <w:sz w:val="18"/>
                                            <w:szCs w:val="18"/>
                                          </w:rPr>
                                          <w:t>32 South Broadway Street</w:t>
                                        </w:r>
                                      </w:p>
                                      <w:p w14:paraId="606C4372" w14:textId="77777777" w:rsidR="006C7245" w:rsidRPr="00C96B36" w:rsidRDefault="006C7245" w:rsidP="00F119F7">
                                        <w:pPr>
                                          <w:rPr>
                                            <w:rFonts w:ascii="Arial Narrow" w:hAnsi="Arial Narrow" w:cs="Arial"/>
                                            <w:color w:val="333399"/>
                                            <w:sz w:val="18"/>
                                            <w:szCs w:val="18"/>
                                          </w:rPr>
                                        </w:pPr>
                                        <w:r>
                                          <w:rPr>
                                            <w:rFonts w:ascii="Arial Narrow" w:hAnsi="Arial Narrow" w:cs="Arial"/>
                                            <w:color w:val="333399"/>
                                            <w:sz w:val="18"/>
                                            <w:szCs w:val="18"/>
                                          </w:rPr>
                                          <w:t>Greenfield, Indiana 46140</w:t>
                                        </w:r>
                                      </w:p>
                                    </w:tc>
                                    <w:tc>
                                      <w:tcPr>
                                        <w:tcW w:w="2103" w:type="dxa"/>
                                      </w:tcPr>
                                      <w:p w14:paraId="34644608" w14:textId="77777777" w:rsidR="006C7245" w:rsidRPr="00C96B36" w:rsidRDefault="006C7245" w:rsidP="00F119F7">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05DF5DAD" w14:textId="77777777" w:rsidR="006C7245" w:rsidRPr="00C96B36" w:rsidRDefault="006C7245" w:rsidP="00F119F7">
                                        <w:pPr>
                                          <w:rPr>
                                            <w:rFonts w:ascii="Impact" w:hAnsi="Impact"/>
                                            <w:color w:val="333399"/>
                                            <w:sz w:val="40"/>
                                            <w:szCs w:val="40"/>
                                          </w:rPr>
                                        </w:pPr>
                                        <w:r>
                                          <w:rPr>
                                            <w:rFonts w:ascii="Arial Narrow" w:hAnsi="Arial Narrow" w:cs="Arial"/>
                                            <w:color w:val="333399"/>
                                            <w:sz w:val="18"/>
                                            <w:szCs w:val="18"/>
                                          </w:rPr>
                                          <w:t>FAX: (317</w:t>
                                        </w:r>
                                        <w:r w:rsidRPr="00C96B36">
                                          <w:rPr>
                                            <w:rFonts w:ascii="Arial Narrow" w:hAnsi="Arial Narrow" w:cs="Arial"/>
                                            <w:color w:val="333399"/>
                                            <w:sz w:val="18"/>
                                            <w:szCs w:val="18"/>
                                          </w:rPr>
                                          <w:t xml:space="preserve">) </w:t>
                                        </w:r>
                                        <w:r>
                                          <w:rPr>
                                            <w:rFonts w:ascii="Arial Narrow" w:hAnsi="Arial Narrow" w:cs="Arial"/>
                                            <w:color w:val="333399"/>
                                            <w:sz w:val="18"/>
                                            <w:szCs w:val="18"/>
                                          </w:rPr>
                                          <w:t>462-7031</w:t>
                                        </w:r>
                                      </w:p>
                                    </w:tc>
                                    <w:tc>
                                      <w:tcPr>
                                        <w:tcW w:w="3340" w:type="dxa"/>
                                      </w:tcPr>
                                      <w:p w14:paraId="6519753C" w14:textId="77777777" w:rsidR="006C7245" w:rsidRDefault="006C7245" w:rsidP="00F119F7">
                                        <w:pPr>
                                          <w:rPr>
                                            <w:rFonts w:ascii="Arial" w:hAnsi="Arial" w:cs="Arial"/>
                                            <w:b/>
                                            <w:color w:val="333399"/>
                                            <w:sz w:val="20"/>
                                            <w:szCs w:val="20"/>
                                          </w:rPr>
                                        </w:pPr>
                                        <w:r>
                                          <w:rPr>
                                            <w:rFonts w:ascii="Arial" w:hAnsi="Arial" w:cs="Arial"/>
                                            <w:b/>
                                            <w:color w:val="333399"/>
                                            <w:sz w:val="20"/>
                                            <w:szCs w:val="20"/>
                                          </w:rPr>
                                          <w:t>Eric Holcomb</w:t>
                                        </w:r>
                                        <w:r w:rsidRPr="00C96B36">
                                          <w:rPr>
                                            <w:rFonts w:ascii="Arial" w:hAnsi="Arial" w:cs="Arial"/>
                                            <w:b/>
                                            <w:color w:val="333399"/>
                                            <w:sz w:val="20"/>
                                            <w:szCs w:val="20"/>
                                          </w:rPr>
                                          <w:t>, Governor</w:t>
                                        </w:r>
                                      </w:p>
                                      <w:p w14:paraId="1CB37244" w14:textId="77777777" w:rsidR="006C7245" w:rsidRPr="00C96B36" w:rsidRDefault="006C7245" w:rsidP="00F119F7">
                                        <w:pPr>
                                          <w:rPr>
                                            <w:rFonts w:ascii="Arial" w:hAnsi="Arial" w:cs="Arial"/>
                                            <w:b/>
                                            <w:color w:val="333399"/>
                                            <w:sz w:val="20"/>
                                            <w:szCs w:val="20"/>
                                          </w:rPr>
                                        </w:pPr>
                                        <w:r>
                                          <w:rPr>
                                            <w:rFonts w:ascii="Arial" w:hAnsi="Arial" w:cs="Arial"/>
                                            <w:b/>
                                            <w:color w:val="333399"/>
                                            <w:sz w:val="20"/>
                                            <w:szCs w:val="20"/>
                                          </w:rPr>
                                          <w:t>Michael Smith, Commissioner</w:t>
                                        </w:r>
                                      </w:p>
                                      <w:p w14:paraId="2B334AA9" w14:textId="77777777" w:rsidR="006C7245" w:rsidRPr="00C96B36" w:rsidRDefault="006C7245" w:rsidP="00F119F7">
                                        <w:pPr>
                                          <w:rPr>
                                            <w:rFonts w:ascii="Impact" w:hAnsi="Impact"/>
                                            <w:color w:val="333399"/>
                                            <w:sz w:val="20"/>
                                            <w:szCs w:val="20"/>
                                          </w:rPr>
                                        </w:pPr>
                                      </w:p>
                                    </w:tc>
                                  </w:tr>
                                </w:tbl>
                                <w:p w14:paraId="1D397422" w14:textId="77777777" w:rsidR="006C7245" w:rsidRPr="00C96B36" w:rsidRDefault="006C7245" w:rsidP="006C7245">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B280E" id="_x0000_t202" coordsize="21600,21600" o:spt="202" path="m,l,21600r21600,l21600,xe">
                      <v:stroke joinstyle="miter"/>
                      <v:path gradientshapeok="t" o:connecttype="rect"/>
                    </v:shapetype>
                    <v:shape id="Text Box 9" o:spid="_x0000_s1026" type="#_x0000_t202" style="position:absolute;margin-left:107.25pt;margin-top:56.25pt;width:42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29"/>
                              <w:gridCol w:w="2103"/>
                              <w:gridCol w:w="3340"/>
                            </w:tblGrid>
                            <w:tr w:rsidR="006C7245" w:rsidRPr="00C96B36" w14:paraId="69C3F275" w14:textId="77777777" w:rsidTr="00F119F7">
                              <w:trPr>
                                <w:trHeight w:val="720"/>
                              </w:trPr>
                              <w:tc>
                                <w:tcPr>
                                  <w:tcW w:w="2729" w:type="dxa"/>
                                </w:tcPr>
                                <w:p w14:paraId="61F3E135" w14:textId="77777777" w:rsidR="006C7245" w:rsidRDefault="006C7245" w:rsidP="00F119F7">
                                  <w:pPr>
                                    <w:rPr>
                                      <w:rFonts w:ascii="Arial Narrow" w:hAnsi="Arial Narrow" w:cs="Arial"/>
                                      <w:color w:val="333399"/>
                                      <w:sz w:val="18"/>
                                      <w:szCs w:val="18"/>
                                    </w:rPr>
                                  </w:pPr>
                                  <w:r>
                                    <w:rPr>
                                      <w:rFonts w:ascii="Arial Narrow" w:hAnsi="Arial Narrow" w:cs="Arial"/>
                                      <w:color w:val="333399"/>
                                      <w:sz w:val="18"/>
                                      <w:szCs w:val="18"/>
                                    </w:rPr>
                                    <w:t>Greenfield District</w:t>
                                  </w:r>
                                </w:p>
                                <w:p w14:paraId="6413A34A" w14:textId="77777777" w:rsidR="006C7245" w:rsidRPr="00C96B36" w:rsidRDefault="006C7245" w:rsidP="00F119F7">
                                  <w:pPr>
                                    <w:rPr>
                                      <w:rFonts w:ascii="Arial Narrow" w:hAnsi="Arial Narrow" w:cs="Arial"/>
                                      <w:color w:val="333399"/>
                                      <w:sz w:val="18"/>
                                      <w:szCs w:val="18"/>
                                    </w:rPr>
                                  </w:pPr>
                                  <w:r>
                                    <w:rPr>
                                      <w:rFonts w:ascii="Arial Narrow" w:hAnsi="Arial Narrow" w:cs="Arial"/>
                                      <w:color w:val="333399"/>
                                      <w:sz w:val="18"/>
                                      <w:szCs w:val="18"/>
                                    </w:rPr>
                                    <w:t>32 South Broadway Street</w:t>
                                  </w:r>
                                </w:p>
                                <w:p w14:paraId="606C4372" w14:textId="77777777" w:rsidR="006C7245" w:rsidRPr="00C96B36" w:rsidRDefault="006C7245" w:rsidP="00F119F7">
                                  <w:pPr>
                                    <w:rPr>
                                      <w:rFonts w:ascii="Arial Narrow" w:hAnsi="Arial Narrow" w:cs="Arial"/>
                                      <w:color w:val="333399"/>
                                      <w:sz w:val="18"/>
                                      <w:szCs w:val="18"/>
                                    </w:rPr>
                                  </w:pPr>
                                  <w:r>
                                    <w:rPr>
                                      <w:rFonts w:ascii="Arial Narrow" w:hAnsi="Arial Narrow" w:cs="Arial"/>
                                      <w:color w:val="333399"/>
                                      <w:sz w:val="18"/>
                                      <w:szCs w:val="18"/>
                                    </w:rPr>
                                    <w:t>Greenfield, Indiana 46140</w:t>
                                  </w:r>
                                </w:p>
                              </w:tc>
                              <w:tc>
                                <w:tcPr>
                                  <w:tcW w:w="2103" w:type="dxa"/>
                                </w:tcPr>
                                <w:p w14:paraId="34644608" w14:textId="77777777" w:rsidR="006C7245" w:rsidRPr="00C96B36" w:rsidRDefault="006C7245" w:rsidP="00F119F7">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05DF5DAD" w14:textId="77777777" w:rsidR="006C7245" w:rsidRPr="00C96B36" w:rsidRDefault="006C7245" w:rsidP="00F119F7">
                                  <w:pPr>
                                    <w:rPr>
                                      <w:rFonts w:ascii="Impact" w:hAnsi="Impact"/>
                                      <w:color w:val="333399"/>
                                      <w:sz w:val="40"/>
                                      <w:szCs w:val="40"/>
                                    </w:rPr>
                                  </w:pPr>
                                  <w:r>
                                    <w:rPr>
                                      <w:rFonts w:ascii="Arial Narrow" w:hAnsi="Arial Narrow" w:cs="Arial"/>
                                      <w:color w:val="333399"/>
                                      <w:sz w:val="18"/>
                                      <w:szCs w:val="18"/>
                                    </w:rPr>
                                    <w:t>FAX: (317</w:t>
                                  </w:r>
                                  <w:r w:rsidRPr="00C96B36">
                                    <w:rPr>
                                      <w:rFonts w:ascii="Arial Narrow" w:hAnsi="Arial Narrow" w:cs="Arial"/>
                                      <w:color w:val="333399"/>
                                      <w:sz w:val="18"/>
                                      <w:szCs w:val="18"/>
                                    </w:rPr>
                                    <w:t xml:space="preserve">) </w:t>
                                  </w:r>
                                  <w:r>
                                    <w:rPr>
                                      <w:rFonts w:ascii="Arial Narrow" w:hAnsi="Arial Narrow" w:cs="Arial"/>
                                      <w:color w:val="333399"/>
                                      <w:sz w:val="18"/>
                                      <w:szCs w:val="18"/>
                                    </w:rPr>
                                    <w:t>462-7031</w:t>
                                  </w:r>
                                </w:p>
                              </w:tc>
                              <w:tc>
                                <w:tcPr>
                                  <w:tcW w:w="3340" w:type="dxa"/>
                                </w:tcPr>
                                <w:p w14:paraId="6519753C" w14:textId="77777777" w:rsidR="006C7245" w:rsidRDefault="006C7245" w:rsidP="00F119F7">
                                  <w:pPr>
                                    <w:rPr>
                                      <w:rFonts w:ascii="Arial" w:hAnsi="Arial" w:cs="Arial"/>
                                      <w:b/>
                                      <w:color w:val="333399"/>
                                      <w:sz w:val="20"/>
                                      <w:szCs w:val="20"/>
                                    </w:rPr>
                                  </w:pPr>
                                  <w:r>
                                    <w:rPr>
                                      <w:rFonts w:ascii="Arial" w:hAnsi="Arial" w:cs="Arial"/>
                                      <w:b/>
                                      <w:color w:val="333399"/>
                                      <w:sz w:val="20"/>
                                      <w:szCs w:val="20"/>
                                    </w:rPr>
                                    <w:t>Eric Holcomb</w:t>
                                  </w:r>
                                  <w:r w:rsidRPr="00C96B36">
                                    <w:rPr>
                                      <w:rFonts w:ascii="Arial" w:hAnsi="Arial" w:cs="Arial"/>
                                      <w:b/>
                                      <w:color w:val="333399"/>
                                      <w:sz w:val="20"/>
                                      <w:szCs w:val="20"/>
                                    </w:rPr>
                                    <w:t>, Governor</w:t>
                                  </w:r>
                                </w:p>
                                <w:p w14:paraId="1CB37244" w14:textId="77777777" w:rsidR="006C7245" w:rsidRPr="00C96B36" w:rsidRDefault="006C7245" w:rsidP="00F119F7">
                                  <w:pPr>
                                    <w:rPr>
                                      <w:rFonts w:ascii="Arial" w:hAnsi="Arial" w:cs="Arial"/>
                                      <w:b/>
                                      <w:color w:val="333399"/>
                                      <w:sz w:val="20"/>
                                      <w:szCs w:val="20"/>
                                    </w:rPr>
                                  </w:pPr>
                                  <w:r>
                                    <w:rPr>
                                      <w:rFonts w:ascii="Arial" w:hAnsi="Arial" w:cs="Arial"/>
                                      <w:b/>
                                      <w:color w:val="333399"/>
                                      <w:sz w:val="20"/>
                                      <w:szCs w:val="20"/>
                                    </w:rPr>
                                    <w:t>Michael Smith, Commissioner</w:t>
                                  </w:r>
                                </w:p>
                                <w:p w14:paraId="2B334AA9" w14:textId="77777777" w:rsidR="006C7245" w:rsidRPr="00C96B36" w:rsidRDefault="006C7245" w:rsidP="00F119F7">
                                  <w:pPr>
                                    <w:rPr>
                                      <w:rFonts w:ascii="Impact" w:hAnsi="Impact"/>
                                      <w:color w:val="333399"/>
                                      <w:sz w:val="20"/>
                                      <w:szCs w:val="20"/>
                                    </w:rPr>
                                  </w:pPr>
                                </w:p>
                              </w:tc>
                            </w:tr>
                          </w:tbl>
                          <w:p w14:paraId="1D397422" w14:textId="77777777" w:rsidR="006C7245" w:rsidRPr="00C96B36" w:rsidRDefault="006C7245" w:rsidP="006C7245">
                            <w:pPr>
                              <w:rPr>
                                <w:color w:val="333399"/>
                              </w:rPr>
                            </w:pPr>
                          </w:p>
                        </w:txbxContent>
                      </v:textbox>
                    </v:shape>
                  </w:pict>
                </mc:Fallback>
              </mc:AlternateContent>
            </w:r>
            <w:r>
              <w:rPr>
                <w:noProof/>
              </w:rPr>
              <w:drawing>
                <wp:inline distT="0" distB="0" distL="0" distR="0" wp14:anchorId="65B97927" wp14:editId="1769C79B">
                  <wp:extent cx="6848475" cy="1057275"/>
                  <wp:effectExtent l="0" t="0" r="9525" b="9525"/>
                  <wp:docPr id="8" name="Picture 8"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Bann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p>
        </w:tc>
        <w:tc>
          <w:tcPr>
            <w:tcW w:w="8867" w:type="dxa"/>
            <w:gridSpan w:val="2"/>
          </w:tcPr>
          <w:p w14:paraId="0FC2D4FE" w14:textId="77777777" w:rsidR="006C7245" w:rsidRDefault="006C7245" w:rsidP="000A140D"/>
        </w:tc>
      </w:tr>
      <w:tr w:rsidR="006C7245" w14:paraId="696785C8" w14:textId="77777777" w:rsidTr="000A140D">
        <w:trPr>
          <w:trHeight w:val="642"/>
        </w:trPr>
        <w:tc>
          <w:tcPr>
            <w:tcW w:w="2005" w:type="dxa"/>
            <w:vMerge/>
          </w:tcPr>
          <w:p w14:paraId="6767E9A9" w14:textId="77777777" w:rsidR="006C7245" w:rsidRDefault="006C7245" w:rsidP="000A140D">
            <w:pPr>
              <w:pStyle w:val="Header"/>
            </w:pPr>
          </w:p>
        </w:tc>
        <w:tc>
          <w:tcPr>
            <w:tcW w:w="5472" w:type="dxa"/>
          </w:tcPr>
          <w:p w14:paraId="187BF8C0" w14:textId="77777777" w:rsidR="006C7245" w:rsidRDefault="006C7245" w:rsidP="000A140D"/>
        </w:tc>
        <w:tc>
          <w:tcPr>
            <w:tcW w:w="3395" w:type="dxa"/>
          </w:tcPr>
          <w:p w14:paraId="670296FE" w14:textId="77777777" w:rsidR="006C7245" w:rsidRPr="00A50F8F" w:rsidRDefault="006C7245" w:rsidP="000A140D">
            <w:pPr>
              <w:rPr>
                <w:rFonts w:ascii="Impact" w:hAnsi="Impact" w:cs="Impact"/>
                <w:sz w:val="40"/>
                <w:szCs w:val="40"/>
              </w:rPr>
            </w:pPr>
          </w:p>
        </w:tc>
      </w:tr>
      <w:tr w:rsidR="006C7245" w14:paraId="53911F7F" w14:textId="77777777" w:rsidTr="000A140D">
        <w:trPr>
          <w:trHeight w:val="642"/>
        </w:trPr>
        <w:tc>
          <w:tcPr>
            <w:tcW w:w="2005" w:type="dxa"/>
          </w:tcPr>
          <w:p w14:paraId="43843EFE" w14:textId="77777777" w:rsidR="006C7245" w:rsidRDefault="006C7245" w:rsidP="000A140D"/>
        </w:tc>
        <w:tc>
          <w:tcPr>
            <w:tcW w:w="5472" w:type="dxa"/>
          </w:tcPr>
          <w:p w14:paraId="43718159" w14:textId="77777777" w:rsidR="006C7245" w:rsidRDefault="006C7245" w:rsidP="000A140D"/>
        </w:tc>
        <w:tc>
          <w:tcPr>
            <w:tcW w:w="3395" w:type="dxa"/>
          </w:tcPr>
          <w:p w14:paraId="747BFC76" w14:textId="77777777" w:rsidR="006C7245" w:rsidRDefault="006C7245" w:rsidP="000A140D">
            <w:pPr>
              <w:rPr>
                <w:rFonts w:ascii="Arial" w:hAnsi="Arial" w:cs="Arial"/>
                <w:b/>
                <w:bCs/>
                <w:sz w:val="20"/>
                <w:szCs w:val="20"/>
              </w:rPr>
            </w:pPr>
          </w:p>
        </w:tc>
      </w:tr>
    </w:tbl>
    <w:p w14:paraId="017222E2" w14:textId="77777777" w:rsidR="006C7245" w:rsidRDefault="006C7245" w:rsidP="006C7245">
      <w:pPr>
        <w:jc w:val="both"/>
        <w:rPr>
          <w:rFonts w:ascii="Calibri" w:hAnsi="Calibri"/>
          <w:sz w:val="22"/>
          <w:szCs w:val="22"/>
        </w:rPr>
      </w:pPr>
    </w:p>
    <w:p w14:paraId="12B0E01E" w14:textId="27FE7791" w:rsidR="006C7245" w:rsidRPr="0040358F" w:rsidRDefault="006C7245" w:rsidP="006C7245">
      <w:pPr>
        <w:jc w:val="both"/>
        <w:rPr>
          <w:rFonts w:ascii="Calibri" w:hAnsi="Calibri"/>
          <w:b/>
          <w:bCs/>
          <w:sz w:val="22"/>
          <w:szCs w:val="22"/>
        </w:rPr>
      </w:pPr>
      <w:r w:rsidRPr="0040358F">
        <w:rPr>
          <w:rFonts w:ascii="Calibri" w:hAnsi="Calibri"/>
          <w:b/>
          <w:bCs/>
          <w:sz w:val="22"/>
          <w:szCs w:val="22"/>
        </w:rPr>
        <w:t xml:space="preserve">LEGAL NOTICE OF PUBLIC HEARING – </w:t>
      </w:r>
      <w:r>
        <w:rPr>
          <w:rFonts w:ascii="Calibri" w:hAnsi="Calibri"/>
          <w:b/>
          <w:bCs/>
          <w:sz w:val="22"/>
          <w:szCs w:val="22"/>
        </w:rPr>
        <w:t>Designation (</w:t>
      </w:r>
      <w:r w:rsidRPr="0040358F">
        <w:rPr>
          <w:rFonts w:ascii="Calibri" w:hAnsi="Calibri"/>
          <w:b/>
          <w:bCs/>
          <w:sz w:val="22"/>
          <w:szCs w:val="22"/>
        </w:rPr>
        <w:t>Des.</w:t>
      </w:r>
      <w:r>
        <w:rPr>
          <w:rFonts w:ascii="Calibri" w:hAnsi="Calibri"/>
          <w:b/>
          <w:bCs/>
          <w:sz w:val="22"/>
          <w:szCs w:val="22"/>
        </w:rPr>
        <w:t>)</w:t>
      </w:r>
      <w:r w:rsidRPr="0040358F">
        <w:rPr>
          <w:rFonts w:ascii="Calibri" w:hAnsi="Calibri"/>
          <w:b/>
          <w:bCs/>
          <w:sz w:val="22"/>
          <w:szCs w:val="22"/>
        </w:rPr>
        <w:t xml:space="preserve"> Numbers 1593230 and </w:t>
      </w:r>
      <w:r w:rsidR="000E5ACE">
        <w:rPr>
          <w:rFonts w:ascii="Calibri" w:hAnsi="Calibri"/>
          <w:b/>
          <w:bCs/>
          <w:sz w:val="22"/>
          <w:szCs w:val="22"/>
        </w:rPr>
        <w:t>2003</w:t>
      </w:r>
      <w:r w:rsidR="00910645">
        <w:rPr>
          <w:rFonts w:ascii="Calibri" w:hAnsi="Calibri"/>
          <w:b/>
          <w:bCs/>
          <w:sz w:val="22"/>
          <w:szCs w:val="22"/>
        </w:rPr>
        <w:t>0</w:t>
      </w:r>
      <w:r w:rsidR="000E5ACE">
        <w:rPr>
          <w:rFonts w:ascii="Calibri" w:hAnsi="Calibri"/>
          <w:b/>
          <w:bCs/>
          <w:sz w:val="22"/>
          <w:szCs w:val="22"/>
        </w:rPr>
        <w:t>91</w:t>
      </w:r>
    </w:p>
    <w:p w14:paraId="2692923A" w14:textId="77777777" w:rsidR="006C7245" w:rsidRDefault="006C7245" w:rsidP="006C7245">
      <w:pPr>
        <w:jc w:val="both"/>
        <w:rPr>
          <w:rFonts w:ascii="Calibri" w:hAnsi="Calibri"/>
          <w:b/>
          <w:bCs/>
          <w:sz w:val="22"/>
          <w:szCs w:val="22"/>
        </w:rPr>
      </w:pPr>
      <w:r w:rsidRPr="0040358F">
        <w:rPr>
          <w:rFonts w:ascii="Calibri" w:hAnsi="Calibri"/>
          <w:b/>
          <w:bCs/>
          <w:sz w:val="22"/>
          <w:szCs w:val="22"/>
        </w:rPr>
        <w:t>Proposed S</w:t>
      </w:r>
      <w:r>
        <w:rPr>
          <w:rFonts w:ascii="Calibri" w:hAnsi="Calibri"/>
          <w:b/>
          <w:bCs/>
          <w:sz w:val="22"/>
          <w:szCs w:val="22"/>
        </w:rPr>
        <w:t>tate Road (SR)</w:t>
      </w:r>
      <w:r w:rsidRPr="0040358F">
        <w:rPr>
          <w:rFonts w:ascii="Calibri" w:hAnsi="Calibri"/>
          <w:b/>
          <w:bCs/>
          <w:sz w:val="22"/>
          <w:szCs w:val="22"/>
        </w:rPr>
        <w:t xml:space="preserve"> 3 Road Rehabilitation Project in New Castle, Henry County, Indiana</w:t>
      </w:r>
    </w:p>
    <w:p w14:paraId="60008A4E" w14:textId="77777777" w:rsidR="006C7245" w:rsidRDefault="006C7245" w:rsidP="006C7245">
      <w:pPr>
        <w:jc w:val="both"/>
        <w:rPr>
          <w:rFonts w:ascii="Calibri" w:hAnsi="Calibri"/>
          <w:b/>
          <w:bCs/>
          <w:sz w:val="22"/>
          <w:szCs w:val="22"/>
        </w:rPr>
      </w:pPr>
    </w:p>
    <w:p w14:paraId="0FC6C29F" w14:textId="4F9A84D1" w:rsidR="006C7245" w:rsidRPr="00A55175" w:rsidRDefault="006C7245" w:rsidP="006C7245">
      <w:pPr>
        <w:jc w:val="both"/>
        <w:rPr>
          <w:rFonts w:asciiTheme="minorHAnsi" w:hAnsiTheme="minorHAnsi" w:cstheme="minorHAnsi"/>
          <w:bCs/>
          <w:iCs/>
          <w:sz w:val="22"/>
          <w:szCs w:val="22"/>
        </w:rPr>
      </w:pPr>
      <w:r w:rsidRPr="00A55175">
        <w:rPr>
          <w:rFonts w:asciiTheme="minorHAnsi" w:hAnsiTheme="minorHAnsi" w:cstheme="minorHAnsi"/>
          <w:b/>
          <w:bCs/>
          <w:sz w:val="22"/>
          <w:szCs w:val="22"/>
          <w:u w:val="single"/>
        </w:rPr>
        <w:t xml:space="preserve">The Indiana Department of Transportation (INDOT) Greenfield </w:t>
      </w:r>
      <w:r w:rsidRPr="0007080E">
        <w:rPr>
          <w:rFonts w:asciiTheme="minorHAnsi" w:hAnsiTheme="minorHAnsi" w:cstheme="minorHAnsi"/>
          <w:b/>
          <w:bCs/>
          <w:sz w:val="22"/>
          <w:szCs w:val="22"/>
          <w:u w:val="single"/>
        </w:rPr>
        <w:t xml:space="preserve">District will host a public hearing on </w:t>
      </w:r>
      <w:r w:rsidR="00437AC1" w:rsidRPr="00E92D7E">
        <w:rPr>
          <w:rFonts w:asciiTheme="minorHAnsi" w:hAnsiTheme="minorHAnsi" w:cstheme="minorHAnsi"/>
          <w:b/>
          <w:bCs/>
          <w:sz w:val="22"/>
          <w:szCs w:val="22"/>
          <w:u w:val="single"/>
        </w:rPr>
        <w:t>Wednesday</w:t>
      </w:r>
      <w:r w:rsidRPr="00E92D7E">
        <w:rPr>
          <w:rFonts w:asciiTheme="minorHAnsi" w:hAnsiTheme="minorHAnsi" w:cstheme="minorHAnsi"/>
          <w:b/>
          <w:bCs/>
          <w:sz w:val="22"/>
          <w:szCs w:val="22"/>
          <w:u w:val="single"/>
        </w:rPr>
        <w:t xml:space="preserve">, </w:t>
      </w:r>
      <w:r w:rsidR="00437AC1" w:rsidRPr="00E92D7E">
        <w:rPr>
          <w:rFonts w:asciiTheme="minorHAnsi" w:hAnsiTheme="minorHAnsi" w:cstheme="minorHAnsi"/>
          <w:b/>
          <w:bCs/>
          <w:sz w:val="22"/>
          <w:szCs w:val="22"/>
          <w:u w:val="single"/>
        </w:rPr>
        <w:t>October 11</w:t>
      </w:r>
      <w:r w:rsidRPr="00E92D7E">
        <w:rPr>
          <w:rFonts w:asciiTheme="minorHAnsi" w:hAnsiTheme="minorHAnsi" w:cstheme="minorHAnsi"/>
          <w:b/>
          <w:bCs/>
          <w:sz w:val="22"/>
          <w:szCs w:val="22"/>
          <w:u w:val="single"/>
        </w:rPr>
        <w:t xml:space="preserve">, </w:t>
      </w:r>
      <w:r w:rsidRPr="0007080E">
        <w:rPr>
          <w:rFonts w:asciiTheme="minorHAnsi" w:hAnsiTheme="minorHAnsi" w:cstheme="minorHAnsi"/>
          <w:b/>
          <w:bCs/>
          <w:sz w:val="22"/>
          <w:szCs w:val="22"/>
          <w:u w:val="single"/>
        </w:rPr>
        <w:t xml:space="preserve">2023, at the Bundy Auditorium located at 601 Parkview Drive, New Castle, IN 47362 on the campus of the New Castle Middle/High School. The public hearing </w:t>
      </w:r>
      <w:r w:rsidRPr="00E92D7E">
        <w:rPr>
          <w:rFonts w:asciiTheme="minorHAnsi" w:hAnsiTheme="minorHAnsi" w:cstheme="minorHAnsi"/>
          <w:b/>
          <w:bCs/>
          <w:sz w:val="22"/>
          <w:szCs w:val="22"/>
          <w:u w:val="single"/>
        </w:rPr>
        <w:t>will begin at 6:00 p.m</w:t>
      </w:r>
      <w:r w:rsidRPr="0041234A">
        <w:rPr>
          <w:rFonts w:asciiTheme="minorHAnsi" w:hAnsiTheme="minorHAnsi" w:cstheme="minorHAnsi"/>
          <w:b/>
          <w:bCs/>
          <w:sz w:val="22"/>
          <w:szCs w:val="22"/>
          <w:u w:val="single"/>
        </w:rPr>
        <w:t>.</w:t>
      </w:r>
      <w:r w:rsidR="0041234A" w:rsidRPr="0041234A">
        <w:rPr>
          <w:rFonts w:asciiTheme="minorHAnsi" w:hAnsiTheme="minorHAnsi" w:cstheme="minorHAnsi"/>
          <w:b/>
          <w:bCs/>
          <w:sz w:val="22"/>
          <w:szCs w:val="22"/>
          <w:u w:val="single"/>
        </w:rPr>
        <w:t xml:space="preserve"> and doors open at 5:30 p.m.</w:t>
      </w:r>
      <w:r w:rsidRPr="00A55175">
        <w:rPr>
          <w:rFonts w:asciiTheme="minorHAnsi" w:hAnsiTheme="minorHAnsi" w:cstheme="minorHAnsi"/>
          <w:sz w:val="22"/>
          <w:szCs w:val="22"/>
        </w:rPr>
        <w:t xml:space="preserve"> The purpose of the public hearing is to offer all interested persons an opportunity to comment on </w:t>
      </w:r>
      <w:r w:rsidR="0041234A">
        <w:rPr>
          <w:rFonts w:asciiTheme="minorHAnsi" w:hAnsiTheme="minorHAnsi" w:cstheme="minorHAnsi"/>
          <w:sz w:val="22"/>
          <w:szCs w:val="22"/>
        </w:rPr>
        <w:t xml:space="preserve">the environmental document and </w:t>
      </w:r>
      <w:r w:rsidRPr="00A55175">
        <w:rPr>
          <w:rFonts w:asciiTheme="minorHAnsi" w:hAnsiTheme="minorHAnsi" w:cstheme="minorHAnsi"/>
          <w:sz w:val="22"/>
          <w:szCs w:val="22"/>
        </w:rPr>
        <w:t xml:space="preserve">current preliminary design plans to rehabilitate SR 3 in New Castle. The purpose of the project is to improve </w:t>
      </w:r>
      <w:r w:rsidRPr="00A55175">
        <w:rPr>
          <w:rFonts w:asciiTheme="minorHAnsi" w:hAnsiTheme="minorHAnsi" w:cstheme="minorHAnsi"/>
          <w:bCs/>
          <w:iCs/>
          <w:sz w:val="22"/>
          <w:szCs w:val="22"/>
        </w:rPr>
        <w:t>the condition of the pavement</w:t>
      </w:r>
      <w:r>
        <w:rPr>
          <w:rFonts w:asciiTheme="minorHAnsi" w:hAnsiTheme="minorHAnsi" w:cstheme="minorHAnsi"/>
          <w:bCs/>
          <w:iCs/>
          <w:sz w:val="22"/>
          <w:szCs w:val="22"/>
        </w:rPr>
        <w:t xml:space="preserve">, </w:t>
      </w:r>
      <w:r w:rsidRPr="00A55175">
        <w:rPr>
          <w:rFonts w:asciiTheme="minorHAnsi" w:hAnsiTheme="minorHAnsi" w:cstheme="minorHAnsi"/>
          <w:bCs/>
          <w:iCs/>
          <w:sz w:val="22"/>
          <w:szCs w:val="22"/>
        </w:rPr>
        <w:t xml:space="preserve">reduce right-angle vehicle crashes, improve </w:t>
      </w:r>
      <w:r>
        <w:rPr>
          <w:rFonts w:asciiTheme="minorHAnsi" w:hAnsiTheme="minorHAnsi" w:cstheme="minorHAnsi"/>
          <w:bCs/>
          <w:iCs/>
          <w:sz w:val="22"/>
          <w:szCs w:val="22"/>
        </w:rPr>
        <w:t xml:space="preserve">the condition of the </w:t>
      </w:r>
      <w:r w:rsidRPr="00A55175">
        <w:rPr>
          <w:rFonts w:asciiTheme="minorHAnsi" w:hAnsiTheme="minorHAnsi" w:cstheme="minorHAnsi"/>
          <w:bCs/>
          <w:iCs/>
          <w:sz w:val="22"/>
          <w:szCs w:val="22"/>
        </w:rPr>
        <w:t xml:space="preserve">drainage </w:t>
      </w:r>
      <w:r>
        <w:rPr>
          <w:rFonts w:asciiTheme="minorHAnsi" w:hAnsiTheme="minorHAnsi" w:cstheme="minorHAnsi"/>
          <w:bCs/>
          <w:iCs/>
          <w:sz w:val="22"/>
          <w:szCs w:val="22"/>
        </w:rPr>
        <w:t>infrastructure</w:t>
      </w:r>
      <w:r w:rsidRPr="00A55175">
        <w:rPr>
          <w:rFonts w:asciiTheme="minorHAnsi" w:hAnsiTheme="minorHAnsi" w:cstheme="minorHAnsi"/>
          <w:bCs/>
          <w:iCs/>
          <w:sz w:val="22"/>
          <w:szCs w:val="22"/>
        </w:rPr>
        <w:t>, and provide pedestrian facilities.</w:t>
      </w:r>
    </w:p>
    <w:p w14:paraId="5724F553" w14:textId="77777777" w:rsidR="006C7245" w:rsidRPr="00A55175" w:rsidRDefault="006C7245" w:rsidP="006C7245">
      <w:pPr>
        <w:tabs>
          <w:tab w:val="left" w:pos="2535"/>
        </w:tabs>
        <w:jc w:val="both"/>
        <w:rPr>
          <w:rFonts w:asciiTheme="minorHAnsi" w:hAnsiTheme="minorHAnsi" w:cstheme="minorHAnsi"/>
          <w:bCs/>
          <w:iCs/>
          <w:sz w:val="22"/>
          <w:szCs w:val="22"/>
        </w:rPr>
      </w:pPr>
      <w:r>
        <w:rPr>
          <w:rFonts w:asciiTheme="minorHAnsi" w:hAnsiTheme="minorHAnsi" w:cstheme="minorHAnsi"/>
          <w:bCs/>
          <w:iCs/>
          <w:sz w:val="22"/>
          <w:szCs w:val="22"/>
        </w:rPr>
        <w:tab/>
      </w:r>
    </w:p>
    <w:p w14:paraId="3FE44765" w14:textId="77777777" w:rsidR="006C7245" w:rsidRPr="00A55175" w:rsidRDefault="006C7245" w:rsidP="006C7245">
      <w:pPr>
        <w:jc w:val="both"/>
        <w:rPr>
          <w:rFonts w:asciiTheme="minorHAnsi" w:hAnsiTheme="minorHAnsi" w:cstheme="minorHAnsi"/>
          <w:sz w:val="22"/>
          <w:szCs w:val="22"/>
        </w:rPr>
      </w:pPr>
      <w:bookmarkStart w:id="0" w:name="_Hlk143683625"/>
      <w:r w:rsidRPr="00A55175">
        <w:rPr>
          <w:rFonts w:asciiTheme="minorHAnsi" w:hAnsiTheme="minorHAnsi" w:cstheme="minorHAnsi"/>
          <w:bCs/>
          <w:iCs/>
          <w:sz w:val="22"/>
          <w:szCs w:val="22"/>
        </w:rPr>
        <w:t xml:space="preserve">The project is located on SR 3 (known locally as South Memorial Drive), from 3.14 miles north of </w:t>
      </w:r>
      <w:r>
        <w:rPr>
          <w:rFonts w:asciiTheme="minorHAnsi" w:hAnsiTheme="minorHAnsi" w:cstheme="minorHAnsi"/>
          <w:bCs/>
          <w:iCs/>
          <w:sz w:val="22"/>
          <w:szCs w:val="22"/>
        </w:rPr>
        <w:t>Interstate (</w:t>
      </w:r>
      <w:r w:rsidRPr="00A55175">
        <w:rPr>
          <w:rFonts w:asciiTheme="minorHAnsi" w:hAnsiTheme="minorHAnsi" w:cstheme="minorHAnsi"/>
          <w:bCs/>
          <w:iCs/>
          <w:sz w:val="22"/>
          <w:szCs w:val="22"/>
        </w:rPr>
        <w:t>I</w:t>
      </w:r>
      <w:r>
        <w:rPr>
          <w:rFonts w:asciiTheme="minorHAnsi" w:hAnsiTheme="minorHAnsi" w:cstheme="minorHAnsi"/>
          <w:bCs/>
          <w:iCs/>
          <w:sz w:val="22"/>
          <w:szCs w:val="22"/>
        </w:rPr>
        <w:t>)</w:t>
      </w:r>
      <w:r w:rsidRPr="00A55175">
        <w:rPr>
          <w:rFonts w:asciiTheme="minorHAnsi" w:hAnsiTheme="minorHAnsi" w:cstheme="minorHAnsi"/>
          <w:bCs/>
          <w:iCs/>
          <w:sz w:val="22"/>
          <w:szCs w:val="22"/>
        </w:rPr>
        <w:t xml:space="preserve">-70 (Sherry Lynn Drive) north to SR 38 (known locally as Broad Street). </w:t>
      </w:r>
      <w:bookmarkEnd w:id="0"/>
      <w:r w:rsidRPr="00A55175">
        <w:rPr>
          <w:rFonts w:asciiTheme="minorHAnsi" w:hAnsiTheme="minorHAnsi" w:cstheme="minorHAnsi"/>
          <w:sz w:val="22"/>
          <w:szCs w:val="22"/>
        </w:rPr>
        <w:t>As proposed, the project involves</w:t>
      </w:r>
      <w:bookmarkStart w:id="1" w:name="_Hlk93572922"/>
      <w:r w:rsidRPr="00A55175">
        <w:rPr>
          <w:rFonts w:asciiTheme="minorHAnsi" w:eastAsiaTheme="minorHAnsi" w:hAnsiTheme="minorHAnsi" w:cstheme="minorHAnsi"/>
          <w:bCs/>
          <w:iCs/>
          <w:sz w:val="22"/>
          <w:szCs w:val="22"/>
        </w:rPr>
        <w:t xml:space="preserve"> </w:t>
      </w:r>
      <w:bookmarkStart w:id="2" w:name="_Hlk143685262"/>
      <w:r w:rsidRPr="00A55175">
        <w:rPr>
          <w:rFonts w:asciiTheme="minorHAnsi" w:hAnsiTheme="minorHAnsi" w:cstheme="minorHAnsi"/>
          <w:bCs/>
          <w:iCs/>
          <w:sz w:val="22"/>
          <w:szCs w:val="22"/>
        </w:rPr>
        <w:t>a full depth hot mix asphalt (HMA) pavement reconstruction with two 12-foot-wide travel lanes in each direction. The existing 16-foot-wide two-way left turn lane (TWLTL) median will be removed, and a raised asphalt / concrete median will be installed within the northern project area (SR 38 south to Trojan Lane). The elimination of the TWLTL median will result in traffic accessing properties via right-in and right-out only. The TWLTL median will be reconstructed and maintained within the southern project area (Trojan Lane south to Sherry Lynn Drive). A 2.58-foot-wide curb and gutter will be constructed along both sides of SR 3. Six-foot-wide sidewalks will be constructed adjacent to the back of curb on both sides of SR 3 from SR 38 south to Trojan Lane. Six-foot-wide sidewalks will be constructed adjacent to the back of curb on the east side of SR 3 from Trojan Lane south to Sherry Lynn Drive.</w:t>
      </w:r>
      <w:r w:rsidRPr="00A55175">
        <w:rPr>
          <w:rFonts w:asciiTheme="minorHAnsi" w:hAnsiTheme="minorHAnsi" w:cstheme="minorHAnsi"/>
          <w:sz w:val="22"/>
          <w:szCs w:val="22"/>
        </w:rPr>
        <w:t xml:space="preserve"> </w:t>
      </w:r>
      <w:r w:rsidRPr="00A55175">
        <w:rPr>
          <w:rFonts w:asciiTheme="minorHAnsi" w:hAnsiTheme="minorHAnsi" w:cstheme="minorHAnsi"/>
          <w:bCs/>
          <w:iCs/>
          <w:sz w:val="22"/>
          <w:szCs w:val="22"/>
        </w:rPr>
        <w:t xml:space="preserve">Raised pavement markers will be installed at fire hydrant locations. </w:t>
      </w:r>
      <w:r w:rsidRPr="00A55175">
        <w:rPr>
          <w:rFonts w:asciiTheme="minorHAnsi" w:hAnsiTheme="minorHAnsi" w:cstheme="minorHAnsi"/>
          <w:sz w:val="22"/>
          <w:szCs w:val="22"/>
        </w:rPr>
        <w:t xml:space="preserve"> </w:t>
      </w:r>
    </w:p>
    <w:p w14:paraId="3393CA27" w14:textId="77777777" w:rsidR="006C7245" w:rsidRPr="00470F72" w:rsidRDefault="006C7245" w:rsidP="006C7245">
      <w:pPr>
        <w:jc w:val="both"/>
        <w:rPr>
          <w:rFonts w:asciiTheme="minorHAnsi" w:hAnsiTheme="minorHAnsi" w:cstheme="minorHAnsi"/>
          <w:sz w:val="22"/>
          <w:szCs w:val="22"/>
        </w:rPr>
      </w:pPr>
    </w:p>
    <w:p w14:paraId="47BF198D" w14:textId="4F3110B9" w:rsidR="006C7245" w:rsidRPr="00470F72" w:rsidRDefault="006C7245" w:rsidP="006C7245">
      <w:pPr>
        <w:jc w:val="both"/>
        <w:rPr>
          <w:rFonts w:asciiTheme="minorHAnsi" w:hAnsiTheme="minorHAnsi" w:cstheme="minorHAnsi"/>
          <w:bCs/>
          <w:iCs/>
          <w:sz w:val="22"/>
          <w:szCs w:val="22"/>
        </w:rPr>
      </w:pPr>
      <w:r w:rsidRPr="00470F72">
        <w:rPr>
          <w:rFonts w:asciiTheme="minorHAnsi" w:hAnsiTheme="minorHAnsi" w:cstheme="minorHAnsi"/>
          <w:sz w:val="22"/>
          <w:szCs w:val="22"/>
        </w:rPr>
        <w:t>Existing traffic signal equipment will be reused as much as possible at the existing seven signalized intersections</w:t>
      </w:r>
      <w:r w:rsidR="0041234A">
        <w:rPr>
          <w:rFonts w:asciiTheme="minorHAnsi" w:hAnsiTheme="minorHAnsi" w:cstheme="minorHAnsi"/>
          <w:sz w:val="22"/>
          <w:szCs w:val="22"/>
        </w:rPr>
        <w:t xml:space="preserve"> when possible</w:t>
      </w:r>
      <w:r w:rsidRPr="00470F72">
        <w:rPr>
          <w:rFonts w:asciiTheme="minorHAnsi" w:hAnsiTheme="minorHAnsi" w:cstheme="minorHAnsi"/>
          <w:sz w:val="22"/>
          <w:szCs w:val="22"/>
        </w:rPr>
        <w:t xml:space="preserve">. Signal heads will need replaced / relocated to accommodate new lane configurations, as needed. Conduit, underground wiring, signal detection, handholes and detector housings will be replaced, as needed. Pedestrian signals and push buttons will be installed and connected to existing signals </w:t>
      </w:r>
      <w:r w:rsidRPr="00470F72">
        <w:rPr>
          <w:rFonts w:asciiTheme="minorHAnsi" w:hAnsiTheme="minorHAnsi" w:cstheme="minorHAnsi"/>
          <w:bCs/>
          <w:iCs/>
          <w:sz w:val="22"/>
          <w:szCs w:val="22"/>
        </w:rPr>
        <w:t>and pedestrian crosswalks will be placed on the roadway</w:t>
      </w:r>
      <w:r w:rsidRPr="00470F72">
        <w:rPr>
          <w:rFonts w:asciiTheme="minorHAnsi" w:hAnsiTheme="minorHAnsi" w:cstheme="minorHAnsi"/>
          <w:sz w:val="22"/>
          <w:szCs w:val="22"/>
        </w:rPr>
        <w:t xml:space="preserve">. Within the project area, the speed limit will be lowered from 45 to 40 miles per hour (mph). This will result in incidental construction north of SR 38 to install signs indicating the lowered speed limit. </w:t>
      </w:r>
    </w:p>
    <w:bookmarkEnd w:id="1"/>
    <w:p w14:paraId="094418D5" w14:textId="77777777" w:rsidR="006C7245" w:rsidRPr="00A55175" w:rsidRDefault="006C7245" w:rsidP="006C7245">
      <w:pPr>
        <w:jc w:val="both"/>
        <w:rPr>
          <w:rFonts w:asciiTheme="minorHAnsi" w:hAnsiTheme="minorHAnsi" w:cstheme="minorHAnsi"/>
          <w:sz w:val="22"/>
          <w:szCs w:val="22"/>
        </w:rPr>
      </w:pPr>
    </w:p>
    <w:p w14:paraId="1479585B" w14:textId="77777777" w:rsidR="006C7245" w:rsidRPr="00470F72" w:rsidRDefault="006C7245" w:rsidP="006C7245">
      <w:pPr>
        <w:jc w:val="both"/>
        <w:rPr>
          <w:rFonts w:asciiTheme="minorHAnsi" w:hAnsiTheme="minorHAnsi" w:cstheme="minorHAnsi"/>
          <w:bCs/>
          <w:iCs/>
          <w:sz w:val="22"/>
          <w:szCs w:val="22"/>
        </w:rPr>
      </w:pPr>
      <w:r w:rsidRPr="00470F72">
        <w:rPr>
          <w:rFonts w:asciiTheme="minorHAnsi" w:hAnsiTheme="minorHAnsi" w:cstheme="minorHAnsi"/>
          <w:bCs/>
          <w:iCs/>
          <w:sz w:val="22"/>
          <w:szCs w:val="22"/>
        </w:rPr>
        <w:t xml:space="preserve">A new storm sewer trunkline will be installed under the roadway, along the entire length of the project area. New drainage inlets and / or castings will be installed along SR 3 and connect to the new storm sewer trunkline. The project will </w:t>
      </w:r>
      <w:r>
        <w:rPr>
          <w:rFonts w:asciiTheme="minorHAnsi" w:hAnsiTheme="minorHAnsi" w:cstheme="minorHAnsi"/>
          <w:bCs/>
          <w:iCs/>
          <w:sz w:val="22"/>
          <w:szCs w:val="22"/>
        </w:rPr>
        <w:t xml:space="preserve">replace two small structures: </w:t>
      </w:r>
      <w:r w:rsidRPr="00A55175">
        <w:rPr>
          <w:rFonts w:asciiTheme="minorHAnsi" w:hAnsiTheme="minorHAnsi" w:cstheme="minorHAnsi"/>
          <w:bCs/>
          <w:iCs/>
          <w:sz w:val="22"/>
          <w:szCs w:val="22"/>
        </w:rPr>
        <w:t>CV 003-033-112.35</w:t>
      </w:r>
      <w:r>
        <w:rPr>
          <w:rFonts w:asciiTheme="minorHAnsi" w:hAnsiTheme="minorHAnsi" w:cstheme="minorHAnsi"/>
          <w:bCs/>
          <w:iCs/>
          <w:sz w:val="22"/>
          <w:szCs w:val="22"/>
        </w:rPr>
        <w:t xml:space="preserve"> will be replaced with </w:t>
      </w:r>
      <w:r w:rsidRPr="00A55175">
        <w:rPr>
          <w:rFonts w:asciiTheme="minorHAnsi" w:hAnsiTheme="minorHAnsi" w:cstheme="minorHAnsi"/>
          <w:bCs/>
          <w:iCs/>
          <w:sz w:val="22"/>
          <w:szCs w:val="22"/>
        </w:rPr>
        <w:t xml:space="preserve">a 115-foot-long, 36-inch-diameter </w:t>
      </w:r>
      <w:r>
        <w:rPr>
          <w:rFonts w:asciiTheme="minorHAnsi" w:hAnsiTheme="minorHAnsi" w:cstheme="minorHAnsi"/>
          <w:bCs/>
          <w:iCs/>
          <w:sz w:val="22"/>
          <w:szCs w:val="22"/>
        </w:rPr>
        <w:t>corrugated metal pipe (</w:t>
      </w:r>
      <w:r w:rsidRPr="00A55175">
        <w:rPr>
          <w:rFonts w:asciiTheme="minorHAnsi" w:hAnsiTheme="minorHAnsi" w:cstheme="minorHAnsi"/>
          <w:bCs/>
          <w:iCs/>
          <w:sz w:val="22"/>
          <w:szCs w:val="22"/>
        </w:rPr>
        <w:t>CMP</w:t>
      </w:r>
      <w:r>
        <w:rPr>
          <w:rFonts w:asciiTheme="minorHAnsi" w:hAnsiTheme="minorHAnsi" w:cstheme="minorHAnsi"/>
          <w:bCs/>
          <w:iCs/>
          <w:sz w:val="22"/>
          <w:szCs w:val="22"/>
        </w:rPr>
        <w:t xml:space="preserve">) and </w:t>
      </w:r>
      <w:r w:rsidRPr="00A55175">
        <w:rPr>
          <w:rFonts w:asciiTheme="minorHAnsi" w:hAnsiTheme="minorHAnsi" w:cstheme="minorHAnsi"/>
          <w:bCs/>
          <w:iCs/>
          <w:sz w:val="22"/>
          <w:szCs w:val="22"/>
        </w:rPr>
        <w:t>CV 003-033-112.57</w:t>
      </w:r>
      <w:r>
        <w:rPr>
          <w:rFonts w:asciiTheme="minorHAnsi" w:hAnsiTheme="minorHAnsi" w:cstheme="minorHAnsi"/>
          <w:bCs/>
          <w:iCs/>
          <w:sz w:val="22"/>
          <w:szCs w:val="22"/>
        </w:rPr>
        <w:t xml:space="preserve"> will be replaced with </w:t>
      </w:r>
      <w:r w:rsidRPr="00A55175">
        <w:rPr>
          <w:rFonts w:asciiTheme="minorHAnsi" w:hAnsiTheme="minorHAnsi" w:cstheme="minorHAnsi"/>
          <w:bCs/>
          <w:iCs/>
          <w:sz w:val="22"/>
          <w:szCs w:val="22"/>
        </w:rPr>
        <w:t xml:space="preserve">a 7-foot-diameter smooth circular pipe. Riprap will be installed at </w:t>
      </w:r>
      <w:r>
        <w:rPr>
          <w:rFonts w:asciiTheme="minorHAnsi" w:hAnsiTheme="minorHAnsi" w:cstheme="minorHAnsi"/>
          <w:bCs/>
          <w:iCs/>
          <w:sz w:val="22"/>
          <w:szCs w:val="22"/>
        </w:rPr>
        <w:t xml:space="preserve">both </w:t>
      </w:r>
      <w:r w:rsidRPr="00A55175">
        <w:rPr>
          <w:rFonts w:asciiTheme="minorHAnsi" w:hAnsiTheme="minorHAnsi" w:cstheme="minorHAnsi"/>
          <w:bCs/>
          <w:iCs/>
          <w:sz w:val="22"/>
          <w:szCs w:val="22"/>
        </w:rPr>
        <w:t>structure outlet</w:t>
      </w:r>
      <w:r>
        <w:rPr>
          <w:rFonts w:asciiTheme="minorHAnsi" w:hAnsiTheme="minorHAnsi" w:cstheme="minorHAnsi"/>
          <w:bCs/>
          <w:iCs/>
          <w:sz w:val="22"/>
          <w:szCs w:val="22"/>
        </w:rPr>
        <w:t>s</w:t>
      </w:r>
      <w:r w:rsidRPr="00A55175">
        <w:rPr>
          <w:rFonts w:asciiTheme="minorHAnsi" w:hAnsiTheme="minorHAnsi" w:cstheme="minorHAnsi"/>
          <w:bCs/>
          <w:iCs/>
          <w:sz w:val="22"/>
          <w:szCs w:val="22"/>
        </w:rPr>
        <w:t>.</w:t>
      </w:r>
      <w:r>
        <w:rPr>
          <w:rFonts w:asciiTheme="minorHAnsi" w:hAnsiTheme="minorHAnsi" w:cstheme="minorHAnsi"/>
          <w:bCs/>
          <w:iCs/>
          <w:sz w:val="22"/>
          <w:szCs w:val="22"/>
        </w:rPr>
        <w:t xml:space="preserve"> </w:t>
      </w:r>
      <w:r w:rsidRPr="00A55175">
        <w:rPr>
          <w:rFonts w:asciiTheme="minorHAnsi" w:hAnsiTheme="minorHAnsi" w:cstheme="minorHAnsi"/>
          <w:bCs/>
          <w:iCs/>
          <w:sz w:val="22"/>
          <w:szCs w:val="22"/>
        </w:rPr>
        <w:t>CLV 46722</w:t>
      </w:r>
      <w:r>
        <w:rPr>
          <w:rFonts w:asciiTheme="minorHAnsi" w:hAnsiTheme="minorHAnsi" w:cstheme="minorHAnsi"/>
          <w:bCs/>
          <w:iCs/>
          <w:sz w:val="22"/>
          <w:szCs w:val="22"/>
        </w:rPr>
        <w:t xml:space="preserve"> will be lined with </w:t>
      </w:r>
      <w:r w:rsidRPr="00A55175">
        <w:rPr>
          <w:rFonts w:asciiTheme="minorHAnsi" w:hAnsiTheme="minorHAnsi" w:cstheme="minorHAnsi"/>
          <w:bCs/>
          <w:iCs/>
          <w:sz w:val="22"/>
          <w:szCs w:val="22"/>
        </w:rPr>
        <w:t xml:space="preserve">a high-density polyethylene </w:t>
      </w:r>
      <w:r>
        <w:rPr>
          <w:rFonts w:asciiTheme="minorHAnsi" w:hAnsiTheme="minorHAnsi" w:cstheme="minorHAnsi"/>
          <w:bCs/>
          <w:iCs/>
          <w:sz w:val="22"/>
          <w:szCs w:val="22"/>
        </w:rPr>
        <w:t>(</w:t>
      </w:r>
      <w:r w:rsidRPr="00A55175">
        <w:rPr>
          <w:rFonts w:asciiTheme="minorHAnsi" w:hAnsiTheme="minorHAnsi" w:cstheme="minorHAnsi"/>
          <w:bCs/>
          <w:iCs/>
          <w:sz w:val="22"/>
          <w:szCs w:val="22"/>
        </w:rPr>
        <w:t>HDPE</w:t>
      </w:r>
      <w:r>
        <w:rPr>
          <w:rFonts w:asciiTheme="minorHAnsi" w:hAnsiTheme="minorHAnsi" w:cstheme="minorHAnsi"/>
          <w:bCs/>
          <w:iCs/>
          <w:sz w:val="22"/>
          <w:szCs w:val="22"/>
        </w:rPr>
        <w:t>)</w:t>
      </w:r>
      <w:r w:rsidRPr="00A55175">
        <w:rPr>
          <w:rFonts w:asciiTheme="minorHAnsi" w:hAnsiTheme="minorHAnsi" w:cstheme="minorHAnsi"/>
          <w:bCs/>
          <w:iCs/>
          <w:sz w:val="22"/>
          <w:szCs w:val="22"/>
        </w:rPr>
        <w:t xml:space="preserve"> or cured-in-place-pipe (CIPP)</w:t>
      </w:r>
      <w:r>
        <w:rPr>
          <w:rFonts w:asciiTheme="minorHAnsi" w:hAnsiTheme="minorHAnsi" w:cstheme="minorHAnsi"/>
          <w:bCs/>
          <w:iCs/>
          <w:sz w:val="22"/>
          <w:szCs w:val="22"/>
        </w:rPr>
        <w:t>.</w:t>
      </w:r>
    </w:p>
    <w:bookmarkEnd w:id="2"/>
    <w:p w14:paraId="0E3F5EA6" w14:textId="77777777" w:rsidR="006C7245" w:rsidRDefault="006C7245" w:rsidP="006C7245">
      <w:pPr>
        <w:jc w:val="both"/>
        <w:rPr>
          <w:rFonts w:asciiTheme="minorHAnsi" w:hAnsiTheme="minorHAnsi" w:cstheme="minorHAnsi"/>
          <w:sz w:val="22"/>
          <w:szCs w:val="22"/>
        </w:rPr>
      </w:pPr>
    </w:p>
    <w:p w14:paraId="301EB3A3" w14:textId="77777777" w:rsidR="006C7245" w:rsidRDefault="006C7245" w:rsidP="006C7245">
      <w:pPr>
        <w:jc w:val="both"/>
        <w:rPr>
          <w:rFonts w:asciiTheme="minorHAnsi" w:hAnsiTheme="minorHAnsi" w:cstheme="minorHAnsi"/>
          <w:sz w:val="22"/>
          <w:szCs w:val="22"/>
        </w:rPr>
      </w:pPr>
      <w:r w:rsidRPr="00A55175">
        <w:rPr>
          <w:rFonts w:asciiTheme="minorHAnsi" w:hAnsiTheme="minorHAnsi" w:cstheme="minorHAnsi"/>
          <w:sz w:val="22"/>
          <w:szCs w:val="22"/>
        </w:rPr>
        <w:t xml:space="preserve">The Maintenance of Traffic (MOT) plan </w:t>
      </w:r>
      <w:bookmarkStart w:id="3" w:name="_Hlk143683705"/>
      <w:r w:rsidRPr="00A55175">
        <w:rPr>
          <w:rFonts w:asciiTheme="minorHAnsi" w:hAnsiTheme="minorHAnsi" w:cstheme="minorHAnsi"/>
          <w:bCs/>
          <w:iCs/>
          <w:sz w:val="22"/>
          <w:szCs w:val="22"/>
        </w:rPr>
        <w:t xml:space="preserve">will involve two phases to allow for continued vehicular traffic northbound and southbound on SR 3. </w:t>
      </w:r>
      <w:r w:rsidRPr="00A55175">
        <w:rPr>
          <w:rFonts w:asciiTheme="minorHAnsi" w:hAnsiTheme="minorHAnsi" w:cstheme="minorHAnsi"/>
          <w:sz w:val="22"/>
          <w:szCs w:val="22"/>
        </w:rPr>
        <w:t>Access to all properties will be maintained during construction. INDOT will coordinate with emergency services, local school corporation officials</w:t>
      </w:r>
      <w:r>
        <w:rPr>
          <w:rFonts w:asciiTheme="minorHAnsi" w:hAnsiTheme="minorHAnsi" w:cstheme="minorHAnsi"/>
          <w:sz w:val="22"/>
          <w:szCs w:val="22"/>
        </w:rPr>
        <w:t>,</w:t>
      </w:r>
      <w:r w:rsidRPr="00A55175">
        <w:rPr>
          <w:rFonts w:asciiTheme="minorHAnsi" w:hAnsiTheme="minorHAnsi" w:cstheme="minorHAnsi"/>
          <w:sz w:val="22"/>
          <w:szCs w:val="22"/>
        </w:rPr>
        <w:t xml:space="preserve"> and project stakeholders to ensure potential disruptions and impacts are minimized as much as possible. </w:t>
      </w:r>
      <w:bookmarkEnd w:id="3"/>
      <w:r>
        <w:rPr>
          <w:rFonts w:asciiTheme="minorHAnsi" w:hAnsiTheme="minorHAnsi" w:cstheme="minorHAnsi"/>
          <w:sz w:val="22"/>
          <w:szCs w:val="22"/>
        </w:rPr>
        <w:t xml:space="preserve">The project will require </w:t>
      </w:r>
      <w:r w:rsidRPr="00A55175">
        <w:rPr>
          <w:rFonts w:asciiTheme="minorHAnsi" w:hAnsiTheme="minorHAnsi" w:cstheme="minorHAnsi"/>
          <w:bCs/>
          <w:iCs/>
          <w:sz w:val="22"/>
          <w:szCs w:val="22"/>
        </w:rPr>
        <w:t>approximately 0.10 acre of permanent right-of-way and 0.15 acre of temporary right-of-way</w:t>
      </w:r>
      <w:r w:rsidRPr="00A55175">
        <w:rPr>
          <w:rFonts w:asciiTheme="minorHAnsi" w:hAnsiTheme="minorHAnsi" w:cstheme="minorHAnsi"/>
          <w:sz w:val="22"/>
          <w:szCs w:val="22"/>
        </w:rPr>
        <w:t xml:space="preserve">. </w:t>
      </w:r>
    </w:p>
    <w:p w14:paraId="24DE49EF" w14:textId="77777777" w:rsidR="006C7245" w:rsidRDefault="006C7245" w:rsidP="006C7245">
      <w:pPr>
        <w:jc w:val="both"/>
        <w:rPr>
          <w:rFonts w:asciiTheme="minorHAnsi" w:hAnsiTheme="minorHAnsi" w:cstheme="minorHAnsi"/>
          <w:sz w:val="22"/>
          <w:szCs w:val="22"/>
        </w:rPr>
      </w:pPr>
    </w:p>
    <w:p w14:paraId="7EC727DE" w14:textId="2CEE9251" w:rsidR="006C7245" w:rsidRPr="00DC0AAA" w:rsidRDefault="006C7245" w:rsidP="006C7245">
      <w:pPr>
        <w:jc w:val="both"/>
        <w:rPr>
          <w:rFonts w:asciiTheme="minorHAnsi" w:hAnsiTheme="minorHAnsi" w:cstheme="minorHAnsi"/>
          <w:sz w:val="22"/>
          <w:szCs w:val="22"/>
        </w:rPr>
      </w:pPr>
      <w:r w:rsidRPr="00DC0AAA">
        <w:rPr>
          <w:rFonts w:asciiTheme="minorHAnsi" w:hAnsiTheme="minorHAnsi" w:cstheme="minorHAnsi"/>
          <w:sz w:val="22"/>
          <w:szCs w:val="22"/>
        </w:rPr>
        <w:t xml:space="preserve">Federal and state funds are proposed to be used for construction of this </w:t>
      </w:r>
      <w:r w:rsidRPr="00D30E09">
        <w:rPr>
          <w:rFonts w:asciiTheme="minorHAnsi" w:hAnsiTheme="minorHAnsi" w:cstheme="minorHAnsi"/>
          <w:sz w:val="22"/>
          <w:szCs w:val="22"/>
        </w:rPr>
        <w:t>project.</w:t>
      </w:r>
      <w:r w:rsidR="00D30E09" w:rsidRPr="00D30E09">
        <w:rPr>
          <w:rFonts w:asciiTheme="minorHAnsi" w:hAnsiTheme="minorHAnsi" w:cstheme="minorHAnsi"/>
          <w:sz w:val="22"/>
          <w:szCs w:val="22"/>
        </w:rPr>
        <w:t xml:space="preserve"> </w:t>
      </w:r>
      <w:bookmarkStart w:id="4" w:name="_Hlk144372344"/>
      <w:r w:rsidR="00D30E09" w:rsidRPr="00D30E09">
        <w:rPr>
          <w:rFonts w:ascii="Calibri" w:hAnsi="Calibri" w:cs="Calibri"/>
          <w:snapToGrid w:val="0"/>
          <w:sz w:val="22"/>
          <w:szCs w:val="22"/>
        </w:rPr>
        <w:t xml:space="preserve">The estimated total cost of the project is </w:t>
      </w:r>
      <w:r w:rsidR="003B44D6">
        <w:rPr>
          <w:rFonts w:ascii="Calibri" w:hAnsi="Calibri" w:cs="Calibri"/>
          <w:snapToGrid w:val="0"/>
          <w:sz w:val="22"/>
          <w:szCs w:val="22"/>
        </w:rPr>
        <w:t xml:space="preserve">approximately </w:t>
      </w:r>
      <w:r w:rsidR="00D30E09" w:rsidRPr="00D30E09">
        <w:rPr>
          <w:rFonts w:ascii="Calibri" w:hAnsi="Calibri" w:cs="Calibri"/>
          <w:snapToGrid w:val="0"/>
          <w:sz w:val="22"/>
          <w:szCs w:val="22"/>
        </w:rPr>
        <w:t>$36</w:t>
      </w:r>
      <w:r w:rsidR="003B44D6">
        <w:rPr>
          <w:rFonts w:ascii="Calibri" w:hAnsi="Calibri" w:cs="Calibri"/>
          <w:snapToGrid w:val="0"/>
          <w:sz w:val="22"/>
          <w:szCs w:val="22"/>
        </w:rPr>
        <w:t>M</w:t>
      </w:r>
      <w:r w:rsidR="00D30E09" w:rsidRPr="00D30E09">
        <w:rPr>
          <w:rFonts w:ascii="Calibri" w:hAnsi="Calibri" w:cs="Calibri"/>
          <w:snapToGrid w:val="0"/>
          <w:sz w:val="22"/>
          <w:szCs w:val="22"/>
        </w:rPr>
        <w:t xml:space="preserve"> and includes engineering, right-of-way, and construction costs. </w:t>
      </w:r>
      <w:bookmarkEnd w:id="4"/>
      <w:r w:rsidRPr="00D30E09">
        <w:rPr>
          <w:rFonts w:asciiTheme="minorHAnsi" w:hAnsiTheme="minorHAnsi" w:cstheme="minorHAnsi"/>
          <w:sz w:val="22"/>
          <w:szCs w:val="22"/>
        </w:rPr>
        <w:t>INDOT</w:t>
      </w:r>
      <w:r w:rsidRPr="00DC0AAA">
        <w:rPr>
          <w:rFonts w:asciiTheme="minorHAnsi" w:hAnsiTheme="minorHAnsi" w:cstheme="minorHAnsi"/>
          <w:sz w:val="22"/>
          <w:szCs w:val="22"/>
        </w:rPr>
        <w:t xml:space="preserve"> and the Federal Highway Administration (FHWA) have agreed that this project poses minimal impact to </w:t>
      </w:r>
      <w:r w:rsidR="0041234A">
        <w:rPr>
          <w:rFonts w:asciiTheme="minorHAnsi" w:hAnsiTheme="minorHAnsi" w:cstheme="minorHAnsi"/>
          <w:sz w:val="22"/>
          <w:szCs w:val="22"/>
        </w:rPr>
        <w:t xml:space="preserve">the </w:t>
      </w:r>
      <w:r w:rsidRPr="00DC0AAA">
        <w:rPr>
          <w:rFonts w:asciiTheme="minorHAnsi" w:hAnsiTheme="minorHAnsi" w:cstheme="minorHAnsi"/>
          <w:sz w:val="22"/>
          <w:szCs w:val="22"/>
        </w:rPr>
        <w:t xml:space="preserve">natural environment. A Categorical Exclusion (CE) </w:t>
      </w:r>
      <w:r>
        <w:rPr>
          <w:rFonts w:asciiTheme="minorHAnsi" w:hAnsiTheme="minorHAnsi" w:cstheme="minorHAnsi"/>
          <w:sz w:val="22"/>
          <w:szCs w:val="22"/>
        </w:rPr>
        <w:t xml:space="preserve">Level 1 </w:t>
      </w:r>
      <w:r w:rsidRPr="00DC0AAA">
        <w:rPr>
          <w:rFonts w:asciiTheme="minorHAnsi" w:hAnsiTheme="minorHAnsi" w:cstheme="minorHAnsi"/>
          <w:sz w:val="22"/>
          <w:szCs w:val="22"/>
        </w:rPr>
        <w:t xml:space="preserve">environmental document has been prepared for the project. The environmental documentation and preliminary design information is available </w:t>
      </w:r>
      <w:r>
        <w:rPr>
          <w:rFonts w:asciiTheme="minorHAnsi" w:hAnsiTheme="minorHAnsi" w:cstheme="minorHAnsi"/>
          <w:sz w:val="22"/>
          <w:szCs w:val="22"/>
        </w:rPr>
        <w:t xml:space="preserve">for viewing </w:t>
      </w:r>
      <w:r w:rsidRPr="00DC0AAA">
        <w:rPr>
          <w:rFonts w:asciiTheme="minorHAnsi" w:hAnsiTheme="minorHAnsi" w:cstheme="minorHAnsi"/>
          <w:sz w:val="22"/>
          <w:szCs w:val="22"/>
        </w:rPr>
        <w:t>at the following locations:</w:t>
      </w:r>
    </w:p>
    <w:p w14:paraId="39516BE1" w14:textId="77777777" w:rsidR="006C7245" w:rsidRPr="00DC0AAA" w:rsidRDefault="006C7245" w:rsidP="006C7245">
      <w:pPr>
        <w:jc w:val="both"/>
        <w:rPr>
          <w:rFonts w:asciiTheme="minorHAnsi" w:hAnsiTheme="minorHAnsi" w:cstheme="minorHAnsi"/>
          <w:sz w:val="22"/>
          <w:szCs w:val="22"/>
        </w:rPr>
      </w:pPr>
    </w:p>
    <w:p w14:paraId="03A476E0" w14:textId="77777777" w:rsidR="006C7245" w:rsidRPr="00C03C58" w:rsidRDefault="006C7245" w:rsidP="006C7245">
      <w:pPr>
        <w:pStyle w:val="ListParagraph"/>
        <w:numPr>
          <w:ilvl w:val="0"/>
          <w:numId w:val="1"/>
        </w:numPr>
        <w:jc w:val="both"/>
        <w:rPr>
          <w:rFonts w:asciiTheme="minorHAnsi" w:hAnsiTheme="minorHAnsi" w:cstheme="minorHAnsi"/>
          <w:sz w:val="22"/>
          <w:szCs w:val="22"/>
        </w:rPr>
      </w:pPr>
      <w:r w:rsidRPr="00C03C58">
        <w:rPr>
          <w:rFonts w:asciiTheme="minorHAnsi" w:hAnsiTheme="minorHAnsi" w:cstheme="minorHAnsi"/>
          <w:sz w:val="22"/>
          <w:szCs w:val="22"/>
        </w:rPr>
        <w:t>New Castle-Henry County Public Library located at 376 South 15</w:t>
      </w:r>
      <w:r w:rsidRPr="00C03C58">
        <w:rPr>
          <w:rFonts w:asciiTheme="minorHAnsi" w:hAnsiTheme="minorHAnsi" w:cstheme="minorHAnsi"/>
          <w:sz w:val="22"/>
          <w:szCs w:val="22"/>
          <w:vertAlign w:val="superscript"/>
        </w:rPr>
        <w:t>th</w:t>
      </w:r>
      <w:r w:rsidRPr="00C03C58">
        <w:rPr>
          <w:rFonts w:asciiTheme="minorHAnsi" w:hAnsiTheme="minorHAnsi" w:cstheme="minorHAnsi"/>
          <w:sz w:val="22"/>
          <w:szCs w:val="22"/>
        </w:rPr>
        <w:t xml:space="preserve"> Street, New Castle, IN 47362. </w:t>
      </w:r>
    </w:p>
    <w:p w14:paraId="57712493" w14:textId="1A356449" w:rsidR="006C7245" w:rsidRPr="00C03C58" w:rsidRDefault="006C7245" w:rsidP="006C7245">
      <w:pPr>
        <w:pStyle w:val="ListParagraph"/>
        <w:numPr>
          <w:ilvl w:val="0"/>
          <w:numId w:val="1"/>
        </w:numPr>
        <w:jc w:val="both"/>
        <w:rPr>
          <w:rFonts w:asciiTheme="minorHAnsi" w:hAnsiTheme="minorHAnsi" w:cstheme="minorHAnsi"/>
          <w:sz w:val="22"/>
          <w:szCs w:val="22"/>
        </w:rPr>
      </w:pPr>
      <w:bookmarkStart w:id="5" w:name="_Hlk143442794"/>
      <w:r w:rsidRPr="00C03C58">
        <w:rPr>
          <w:rFonts w:asciiTheme="minorHAnsi" w:hAnsiTheme="minorHAnsi" w:cstheme="minorHAnsi"/>
          <w:sz w:val="22"/>
          <w:szCs w:val="22"/>
        </w:rPr>
        <w:t xml:space="preserve">INDOT Greenfield District Office located at 32 South Broadway, Greenfield, IN 46140. </w:t>
      </w:r>
      <w:bookmarkEnd w:id="5"/>
      <w:r w:rsidR="00436259">
        <w:rPr>
          <w:rFonts w:asciiTheme="minorHAnsi" w:hAnsiTheme="minorHAnsi" w:cstheme="minorHAnsi"/>
          <w:sz w:val="22"/>
          <w:szCs w:val="22"/>
        </w:rPr>
        <w:t>If assistance is needed, p</w:t>
      </w:r>
      <w:r w:rsidRPr="00C03C58">
        <w:rPr>
          <w:rFonts w:asciiTheme="minorHAnsi" w:hAnsiTheme="minorHAnsi" w:cstheme="minorHAnsi"/>
          <w:sz w:val="22"/>
          <w:szCs w:val="22"/>
        </w:rPr>
        <w:t xml:space="preserve">lease </w:t>
      </w:r>
      <w:r w:rsidR="00CC0554">
        <w:rPr>
          <w:rFonts w:asciiTheme="minorHAnsi" w:hAnsiTheme="minorHAnsi" w:cstheme="minorHAnsi"/>
          <w:sz w:val="22"/>
          <w:szCs w:val="22"/>
        </w:rPr>
        <w:t xml:space="preserve">submit a </w:t>
      </w:r>
      <w:r w:rsidR="00436259">
        <w:rPr>
          <w:rFonts w:asciiTheme="minorHAnsi" w:hAnsiTheme="minorHAnsi" w:cstheme="minorHAnsi"/>
          <w:sz w:val="22"/>
          <w:szCs w:val="22"/>
        </w:rPr>
        <w:t>request</w:t>
      </w:r>
      <w:r w:rsidR="00CC0554">
        <w:rPr>
          <w:rFonts w:asciiTheme="minorHAnsi" w:hAnsiTheme="minorHAnsi" w:cstheme="minorHAnsi"/>
          <w:sz w:val="22"/>
          <w:szCs w:val="22"/>
        </w:rPr>
        <w:t xml:space="preserve"> to attention</w:t>
      </w:r>
      <w:r w:rsidR="00CC0554" w:rsidRPr="00C03C58">
        <w:rPr>
          <w:rFonts w:asciiTheme="minorHAnsi" w:hAnsiTheme="minorHAnsi" w:cstheme="minorHAnsi"/>
          <w:sz w:val="22"/>
          <w:szCs w:val="22"/>
        </w:rPr>
        <w:t xml:space="preserve"> </w:t>
      </w:r>
      <w:r w:rsidRPr="00C03C58">
        <w:rPr>
          <w:rFonts w:asciiTheme="minorHAnsi" w:hAnsiTheme="minorHAnsi" w:cstheme="minorHAnsi"/>
          <w:sz w:val="22"/>
          <w:szCs w:val="22"/>
        </w:rPr>
        <w:t xml:space="preserve">Nathan Riggs at </w:t>
      </w:r>
      <w:hyperlink r:id="rId8" w:history="1">
        <w:r w:rsidR="00CC0554">
          <w:rPr>
            <w:rStyle w:val="Hyperlink"/>
            <w:rFonts w:asciiTheme="minorHAnsi" w:hAnsiTheme="minorHAnsi" w:cstheme="minorHAnsi"/>
            <w:sz w:val="22"/>
            <w:szCs w:val="22"/>
          </w:rPr>
          <w:t>www.INDOT4U.com</w:t>
        </w:r>
      </w:hyperlink>
      <w:r w:rsidRPr="00C03C58">
        <w:rPr>
          <w:rFonts w:asciiTheme="minorHAnsi" w:hAnsiTheme="minorHAnsi" w:cstheme="minorHAnsi"/>
          <w:sz w:val="22"/>
          <w:szCs w:val="22"/>
        </w:rPr>
        <w:t xml:space="preserve"> or </w:t>
      </w:r>
      <w:r w:rsidR="00CC0554">
        <w:rPr>
          <w:rFonts w:asciiTheme="minorHAnsi" w:hAnsiTheme="minorHAnsi" w:cstheme="minorHAnsi"/>
          <w:sz w:val="22"/>
          <w:szCs w:val="22"/>
        </w:rPr>
        <w:t>call 1-</w:t>
      </w:r>
      <w:r w:rsidRPr="00C03C58">
        <w:rPr>
          <w:rFonts w:asciiTheme="minorHAnsi" w:hAnsiTheme="minorHAnsi" w:cstheme="minorHAnsi"/>
          <w:sz w:val="22"/>
          <w:szCs w:val="22"/>
        </w:rPr>
        <w:t>855-INDOT4U (463-6848).</w:t>
      </w:r>
    </w:p>
    <w:p w14:paraId="2A94F3E5" w14:textId="0D54FAFF" w:rsidR="006C7245" w:rsidRDefault="00254909" w:rsidP="006C7245">
      <w:pPr>
        <w:jc w:val="both"/>
        <w:rPr>
          <w:rFonts w:asciiTheme="minorHAnsi" w:hAnsiTheme="minorHAnsi" w:cstheme="minorHAnsi"/>
          <w:sz w:val="22"/>
          <w:szCs w:val="22"/>
          <w:highlight w:val="yellow"/>
        </w:rPr>
      </w:pPr>
      <w:r w:rsidRPr="00C03C58">
        <w:rPr>
          <w:rFonts w:ascii="Calibri" w:hAnsi="Calibri" w:cs="Calibri"/>
          <w:noProof/>
          <w:snapToGrid w:val="0"/>
          <w:sz w:val="22"/>
          <w:szCs w:val="22"/>
        </w:rPr>
        <w:drawing>
          <wp:anchor distT="0" distB="0" distL="114300" distR="114300" simplePos="0" relativeHeight="251660288" behindDoc="0" locked="0" layoutInCell="1" allowOverlap="1" wp14:anchorId="501B3124" wp14:editId="21B0C491">
            <wp:simplePos x="0" y="0"/>
            <wp:positionH relativeFrom="margin">
              <wp:posOffset>5829300</wp:posOffset>
            </wp:positionH>
            <wp:positionV relativeFrom="paragraph">
              <wp:posOffset>102870</wp:posOffset>
            </wp:positionV>
            <wp:extent cx="983615" cy="971550"/>
            <wp:effectExtent l="0" t="0" r="6985" b="0"/>
            <wp:wrapSquare wrapText="bothSides"/>
            <wp:docPr id="10" name="Picture 9" descr="A qr code with black dots&#10;&#10;Description automatically generated">
              <a:extLst xmlns:a="http://schemas.openxmlformats.org/drawingml/2006/main">
                <a:ext uri="{FF2B5EF4-FFF2-40B4-BE49-F238E27FC236}">
                  <a16:creationId xmlns:a16="http://schemas.microsoft.com/office/drawing/2014/main" id="{821E6007-DF01-470E-AFE8-AE2FE1EFB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with black dots&#10;&#10;Description automatically generated">
                      <a:extLst>
                        <a:ext uri="{FF2B5EF4-FFF2-40B4-BE49-F238E27FC236}">
                          <a16:creationId xmlns:a16="http://schemas.microsoft.com/office/drawing/2014/main" id="{821E6007-DF01-470E-AFE8-AE2FE1EFB0A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5333" t="5714" r="5154" b="5893"/>
                    <a:stretch/>
                  </pic:blipFill>
                  <pic:spPr bwMode="auto">
                    <a:xfrm>
                      <a:off x="0" y="0"/>
                      <a:ext cx="98361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D5F86" w14:textId="5E6B3675" w:rsidR="006C7245" w:rsidRDefault="006C7245" w:rsidP="006C7245">
      <w:pPr>
        <w:widowControl w:val="0"/>
        <w:jc w:val="both"/>
        <w:rPr>
          <w:rFonts w:ascii="Calibri" w:hAnsi="Calibri" w:cs="Calibri"/>
          <w:snapToGrid w:val="0"/>
          <w:sz w:val="22"/>
          <w:szCs w:val="22"/>
        </w:rPr>
      </w:pPr>
      <w:r>
        <w:rPr>
          <w:rFonts w:ascii="Calibri" w:hAnsi="Calibri" w:cs="Calibri"/>
          <w:snapToGrid w:val="0"/>
          <w:sz w:val="22"/>
          <w:szCs w:val="22"/>
        </w:rPr>
        <w:t xml:space="preserve">Additionally, a </w:t>
      </w:r>
      <w:r w:rsidRPr="00DB313D">
        <w:rPr>
          <w:rFonts w:ascii="Calibri" w:hAnsi="Calibri" w:cs="Calibri"/>
          <w:snapToGrid w:val="0"/>
          <w:sz w:val="22"/>
          <w:szCs w:val="22"/>
        </w:rPr>
        <w:t xml:space="preserve">project webpage </w:t>
      </w:r>
      <w:r w:rsidR="0041234A">
        <w:rPr>
          <w:rFonts w:ascii="Calibri" w:hAnsi="Calibri" w:cs="Calibri"/>
          <w:snapToGrid w:val="0"/>
          <w:sz w:val="22"/>
          <w:szCs w:val="22"/>
        </w:rPr>
        <w:t>has been created</w:t>
      </w:r>
      <w:r w:rsidRPr="00DB313D">
        <w:rPr>
          <w:rFonts w:ascii="Calibri" w:hAnsi="Calibri" w:cs="Calibri"/>
          <w:snapToGrid w:val="0"/>
          <w:sz w:val="22"/>
          <w:szCs w:val="22"/>
        </w:rPr>
        <w:t xml:space="preserve"> to ensure project information </w:t>
      </w:r>
      <w:r w:rsidR="0041234A">
        <w:rPr>
          <w:rFonts w:ascii="Calibri" w:hAnsi="Calibri" w:cs="Calibri"/>
          <w:snapToGrid w:val="0"/>
          <w:sz w:val="22"/>
          <w:szCs w:val="22"/>
        </w:rPr>
        <w:t>is available online</w:t>
      </w:r>
      <w:r w:rsidRPr="00DB313D">
        <w:rPr>
          <w:rFonts w:ascii="Calibri" w:hAnsi="Calibri" w:cs="Calibri"/>
          <w:snapToGrid w:val="0"/>
          <w:sz w:val="22"/>
          <w:szCs w:val="22"/>
        </w:rPr>
        <w:t xml:space="preserve"> via the project </w:t>
      </w:r>
      <w:r w:rsidR="0041234A">
        <w:rPr>
          <w:rFonts w:ascii="Calibri" w:hAnsi="Calibri" w:cs="Calibri"/>
          <w:snapToGrid w:val="0"/>
          <w:sz w:val="22"/>
          <w:szCs w:val="22"/>
        </w:rPr>
        <w:t>sponsor's</w:t>
      </w:r>
      <w:r w:rsidR="0041234A" w:rsidRPr="00DB313D">
        <w:rPr>
          <w:rFonts w:ascii="Calibri" w:hAnsi="Calibri" w:cs="Calibri"/>
          <w:snapToGrid w:val="0"/>
          <w:sz w:val="22"/>
          <w:szCs w:val="22"/>
        </w:rPr>
        <w:t xml:space="preserve"> </w:t>
      </w:r>
      <w:r w:rsidRPr="00DB313D">
        <w:rPr>
          <w:rFonts w:ascii="Calibri" w:hAnsi="Calibri" w:cs="Calibri"/>
          <w:snapToGrid w:val="0"/>
          <w:sz w:val="22"/>
          <w:szCs w:val="22"/>
        </w:rPr>
        <w:t>web page</w:t>
      </w:r>
      <w:r>
        <w:rPr>
          <w:rFonts w:ascii="Calibri" w:hAnsi="Calibri" w:cs="Calibri"/>
          <w:snapToGrid w:val="0"/>
          <w:sz w:val="22"/>
          <w:szCs w:val="22"/>
        </w:rPr>
        <w:t xml:space="preserve"> </w:t>
      </w:r>
      <w:hyperlink r:id="rId10" w:history="1">
        <w:r>
          <w:rPr>
            <w:rStyle w:val="Hyperlink"/>
            <w:rFonts w:ascii="Calibri" w:hAnsi="Calibri" w:cs="Calibri"/>
            <w:snapToGrid w:val="0"/>
            <w:sz w:val="22"/>
            <w:szCs w:val="22"/>
          </w:rPr>
          <w:t>Greenfield</w:t>
        </w:r>
        <w:r w:rsidRPr="00D70181">
          <w:rPr>
            <w:rStyle w:val="Hyperlink"/>
            <w:rFonts w:ascii="Calibri" w:hAnsi="Calibri" w:cs="Calibri"/>
            <w:snapToGrid w:val="0"/>
            <w:sz w:val="22"/>
            <w:szCs w:val="22"/>
          </w:rPr>
          <w:t>.indot.in.gov</w:t>
        </w:r>
      </w:hyperlink>
      <w:r>
        <w:rPr>
          <w:rFonts w:ascii="Calibri" w:hAnsi="Calibri" w:cs="Calibri"/>
          <w:snapToGrid w:val="0"/>
          <w:sz w:val="22"/>
          <w:szCs w:val="22"/>
        </w:rPr>
        <w:t xml:space="preserve"> if you are unable to attend in person. </w:t>
      </w:r>
      <w:r w:rsidRPr="00D70181">
        <w:rPr>
          <w:rFonts w:ascii="Calibri" w:hAnsi="Calibri" w:cs="Calibri"/>
          <w:snapToGrid w:val="0"/>
          <w:sz w:val="22"/>
          <w:szCs w:val="22"/>
        </w:rPr>
        <w:t xml:space="preserve"> </w:t>
      </w:r>
      <w:r>
        <w:rPr>
          <w:rFonts w:ascii="Calibri" w:hAnsi="Calibri" w:cs="Calibri"/>
          <w:snapToGrid w:val="0"/>
          <w:sz w:val="22"/>
          <w:szCs w:val="22"/>
        </w:rPr>
        <w:t>Lastly</w:t>
      </w:r>
      <w:r w:rsidRPr="00DB313D">
        <w:rPr>
          <w:rFonts w:ascii="Calibri" w:hAnsi="Calibri" w:cs="Calibri"/>
          <w:snapToGrid w:val="0"/>
          <w:sz w:val="22"/>
          <w:szCs w:val="22"/>
        </w:rPr>
        <w:t>, project information, including the environmental document, may be mailed upon request</w:t>
      </w:r>
      <w:r>
        <w:rPr>
          <w:rFonts w:ascii="Calibri" w:hAnsi="Calibri" w:cs="Calibri"/>
          <w:snapToGrid w:val="0"/>
          <w:sz w:val="22"/>
          <w:szCs w:val="22"/>
        </w:rPr>
        <w:t>. Lastly</w:t>
      </w:r>
      <w:r w:rsidRPr="00DB313D">
        <w:rPr>
          <w:rFonts w:ascii="Calibri" w:hAnsi="Calibri" w:cs="Calibri"/>
          <w:snapToGrid w:val="0"/>
          <w:sz w:val="22"/>
          <w:szCs w:val="22"/>
        </w:rPr>
        <w:t>, project information, including the environmental document, may be mailed upon request</w:t>
      </w:r>
      <w:r>
        <w:rPr>
          <w:rFonts w:ascii="Calibri" w:hAnsi="Calibri" w:cs="Calibri"/>
          <w:snapToGrid w:val="0"/>
          <w:sz w:val="22"/>
          <w:szCs w:val="22"/>
        </w:rPr>
        <w:t>.</w:t>
      </w:r>
    </w:p>
    <w:p w14:paraId="2C266E86" w14:textId="77777777" w:rsidR="006C7245" w:rsidRDefault="006C7245" w:rsidP="006C7245">
      <w:pPr>
        <w:widowControl w:val="0"/>
        <w:jc w:val="both"/>
        <w:rPr>
          <w:rFonts w:ascii="Calibri" w:hAnsi="Calibri" w:cs="Calibri"/>
          <w:sz w:val="22"/>
          <w:szCs w:val="22"/>
        </w:rPr>
      </w:pPr>
    </w:p>
    <w:p w14:paraId="596AD229" w14:textId="5B4FDC0A" w:rsidR="006C7245" w:rsidRDefault="006C7245" w:rsidP="006C7245">
      <w:pPr>
        <w:jc w:val="both"/>
        <w:rPr>
          <w:rFonts w:asciiTheme="minorHAnsi" w:hAnsiTheme="minorHAnsi" w:cstheme="minorHAnsi"/>
          <w:sz w:val="22"/>
          <w:szCs w:val="22"/>
        </w:rPr>
      </w:pPr>
      <w:r w:rsidRPr="000D5A36">
        <w:rPr>
          <w:rFonts w:asciiTheme="minorHAnsi" w:hAnsiTheme="minorHAnsi" w:cstheme="minorHAnsi"/>
          <w:sz w:val="22"/>
          <w:szCs w:val="22"/>
        </w:rPr>
        <w:t xml:space="preserve">Public statements for the record will be taken as part of the public hearing procedure. All verbal statements recorded during the public hearing and all written comments submitted prior to, during and for a period of two (2) weeks following the hearing date, will be evaluated, considered, and </w:t>
      </w:r>
      <w:r w:rsidRPr="00C03C58">
        <w:rPr>
          <w:rFonts w:asciiTheme="minorHAnsi" w:hAnsiTheme="minorHAnsi" w:cstheme="minorHAnsi"/>
          <w:sz w:val="22"/>
          <w:szCs w:val="22"/>
        </w:rPr>
        <w:t xml:space="preserve">addressed in subsequent environmental documentation. Written comments may be submitted prior to the public hearing and within the comment period to </w:t>
      </w:r>
      <w:bookmarkStart w:id="6" w:name="_Hlk97804032"/>
      <w:r w:rsidRPr="00C03C58">
        <w:rPr>
          <w:rFonts w:asciiTheme="minorHAnsi" w:hAnsiTheme="minorHAnsi" w:cstheme="minorHAnsi"/>
          <w:sz w:val="22"/>
          <w:szCs w:val="22"/>
        </w:rPr>
        <w:t xml:space="preserve">Jeff Brechbill at First Group Engineering located at 5925 Lakeside Boulevard, Indianapolis, IN 46278 or at </w:t>
      </w:r>
      <w:hyperlink r:id="rId11" w:history="1">
        <w:r w:rsidRPr="00C03C58">
          <w:rPr>
            <w:rStyle w:val="Hyperlink"/>
            <w:rFonts w:asciiTheme="minorHAnsi" w:hAnsiTheme="minorHAnsi" w:cstheme="minorHAnsi"/>
            <w:sz w:val="22"/>
            <w:szCs w:val="22"/>
          </w:rPr>
          <w:t>jbrechbill@FirstGroupEngineering.com</w:t>
        </w:r>
      </w:hyperlink>
      <w:bookmarkEnd w:id="6"/>
      <w:r w:rsidRPr="00C03C58">
        <w:rPr>
          <w:rFonts w:asciiTheme="minorHAnsi" w:hAnsiTheme="minorHAnsi" w:cstheme="minorHAnsi"/>
          <w:sz w:val="22"/>
          <w:szCs w:val="22"/>
        </w:rPr>
        <w:t xml:space="preserve">. INDOT respectfully requests comments </w:t>
      </w:r>
      <w:r w:rsidRPr="0007080E">
        <w:rPr>
          <w:rFonts w:asciiTheme="minorHAnsi" w:hAnsiTheme="minorHAnsi" w:cstheme="minorHAnsi"/>
          <w:sz w:val="22"/>
          <w:szCs w:val="22"/>
        </w:rPr>
        <w:t xml:space="preserve">be submitted by </w:t>
      </w:r>
      <w:r w:rsidR="00437AC1" w:rsidRPr="00E92D7E">
        <w:rPr>
          <w:rFonts w:asciiTheme="minorHAnsi" w:hAnsiTheme="minorHAnsi" w:cstheme="minorHAnsi"/>
          <w:sz w:val="22"/>
          <w:szCs w:val="22"/>
        </w:rPr>
        <w:t>Thursday</w:t>
      </w:r>
      <w:r w:rsidRPr="00E92D7E">
        <w:rPr>
          <w:rFonts w:asciiTheme="minorHAnsi" w:hAnsiTheme="minorHAnsi" w:cstheme="minorHAnsi"/>
          <w:sz w:val="22"/>
          <w:szCs w:val="22"/>
        </w:rPr>
        <w:t xml:space="preserve">, October </w:t>
      </w:r>
      <w:r w:rsidR="00437AC1" w:rsidRPr="00E92D7E">
        <w:rPr>
          <w:rFonts w:asciiTheme="minorHAnsi" w:hAnsiTheme="minorHAnsi" w:cstheme="minorHAnsi"/>
          <w:sz w:val="22"/>
          <w:szCs w:val="22"/>
        </w:rPr>
        <w:t>26</w:t>
      </w:r>
      <w:r w:rsidRPr="00E92D7E">
        <w:rPr>
          <w:rFonts w:asciiTheme="minorHAnsi" w:hAnsiTheme="minorHAnsi" w:cstheme="minorHAnsi"/>
          <w:sz w:val="22"/>
          <w:szCs w:val="22"/>
        </w:rPr>
        <w:t>, 2023</w:t>
      </w:r>
      <w:r w:rsidRPr="0007080E">
        <w:rPr>
          <w:rFonts w:asciiTheme="minorHAnsi" w:hAnsiTheme="minorHAnsi" w:cstheme="minorHAnsi"/>
          <w:sz w:val="22"/>
          <w:szCs w:val="22"/>
        </w:rPr>
        <w:t>.</w:t>
      </w:r>
    </w:p>
    <w:p w14:paraId="720D53AC" w14:textId="77777777" w:rsidR="006C7245" w:rsidRDefault="006C7245" w:rsidP="006C7245">
      <w:pPr>
        <w:jc w:val="both"/>
        <w:rPr>
          <w:rFonts w:asciiTheme="minorHAnsi" w:hAnsiTheme="minorHAnsi" w:cstheme="minorHAnsi"/>
          <w:sz w:val="22"/>
          <w:szCs w:val="22"/>
        </w:rPr>
      </w:pPr>
    </w:p>
    <w:p w14:paraId="044FD317" w14:textId="52150523" w:rsidR="006C7245" w:rsidRPr="00D201E5" w:rsidRDefault="006C7245" w:rsidP="006C7245">
      <w:pPr>
        <w:jc w:val="both"/>
        <w:rPr>
          <w:rFonts w:asciiTheme="minorHAnsi" w:hAnsiTheme="minorHAnsi" w:cstheme="minorHAnsi"/>
          <w:sz w:val="22"/>
          <w:szCs w:val="22"/>
        </w:rPr>
      </w:pPr>
      <w:r w:rsidRPr="00D201E5">
        <w:rPr>
          <w:rFonts w:asciiTheme="minorHAnsi" w:hAnsiTheme="minorHAnsi" w:cstheme="minorHAnsi"/>
          <w:sz w:val="22"/>
          <w:szCs w:val="22"/>
        </w:rPr>
        <w:t xml:space="preserve">With advance notice, INDOT will provide accommodations for persons with disabilities with regards to participation and access to project information as part of the hearings process including arranging auxiliary aids, interpretation services for the hearing impaired, services for the sight impaired, and other services as needed. In addition, INDOT will provide accommodations for persons of Limited English Proficiency (LEP) requiring auxiliary aids including language interpretation services and document conversion. Should </w:t>
      </w:r>
      <w:r w:rsidRPr="00C03C58">
        <w:rPr>
          <w:rFonts w:asciiTheme="minorHAnsi" w:hAnsiTheme="minorHAnsi" w:cstheme="minorHAnsi"/>
          <w:sz w:val="22"/>
          <w:szCs w:val="22"/>
        </w:rPr>
        <w:t>accommodation</w:t>
      </w:r>
      <w:r w:rsidR="00436259">
        <w:rPr>
          <w:rFonts w:asciiTheme="minorHAnsi" w:hAnsiTheme="minorHAnsi" w:cstheme="minorHAnsi"/>
          <w:sz w:val="22"/>
          <w:szCs w:val="22"/>
        </w:rPr>
        <w:t>s</w:t>
      </w:r>
      <w:r w:rsidRPr="00C03C58">
        <w:rPr>
          <w:rFonts w:asciiTheme="minorHAnsi" w:hAnsiTheme="minorHAnsi" w:cstheme="minorHAnsi"/>
          <w:sz w:val="22"/>
          <w:szCs w:val="22"/>
        </w:rPr>
        <w:t xml:space="preserve"> be required, please </w:t>
      </w:r>
      <w:r w:rsidR="00CC0554">
        <w:rPr>
          <w:rFonts w:asciiTheme="minorHAnsi" w:hAnsiTheme="minorHAnsi" w:cstheme="minorHAnsi"/>
          <w:sz w:val="22"/>
          <w:szCs w:val="22"/>
        </w:rPr>
        <w:t xml:space="preserve">submit a </w:t>
      </w:r>
      <w:r w:rsidR="00436259">
        <w:rPr>
          <w:rFonts w:asciiTheme="minorHAnsi" w:hAnsiTheme="minorHAnsi" w:cstheme="minorHAnsi"/>
          <w:sz w:val="22"/>
          <w:szCs w:val="22"/>
        </w:rPr>
        <w:t>request</w:t>
      </w:r>
      <w:r w:rsidR="00CC0554">
        <w:rPr>
          <w:rFonts w:asciiTheme="minorHAnsi" w:hAnsiTheme="minorHAnsi" w:cstheme="minorHAnsi"/>
          <w:sz w:val="22"/>
          <w:szCs w:val="22"/>
        </w:rPr>
        <w:t xml:space="preserve"> to attention</w:t>
      </w:r>
      <w:r w:rsidR="00CC0554" w:rsidRPr="00C03C58">
        <w:t xml:space="preserve"> </w:t>
      </w:r>
      <w:r w:rsidRPr="00C03C58">
        <w:rPr>
          <w:rFonts w:asciiTheme="minorHAnsi" w:hAnsiTheme="minorHAnsi" w:cstheme="minorHAnsi"/>
          <w:sz w:val="22"/>
          <w:szCs w:val="22"/>
        </w:rPr>
        <w:t xml:space="preserve">Nathan Riggs, INDOT Project Manager, Greenfield District at </w:t>
      </w:r>
      <w:hyperlink r:id="rId12" w:history="1">
        <w:r w:rsidR="00CC0554">
          <w:rPr>
            <w:rStyle w:val="Hyperlink"/>
            <w:rFonts w:asciiTheme="minorHAnsi" w:hAnsiTheme="minorHAnsi" w:cstheme="minorHAnsi"/>
            <w:sz w:val="22"/>
            <w:szCs w:val="22"/>
          </w:rPr>
          <w:t>www.INDOT4U.com</w:t>
        </w:r>
      </w:hyperlink>
      <w:r w:rsidR="00CC0554">
        <w:rPr>
          <w:rStyle w:val="Hyperlink"/>
          <w:rFonts w:asciiTheme="minorHAnsi" w:hAnsiTheme="minorHAnsi" w:cstheme="minorHAnsi"/>
          <w:sz w:val="22"/>
          <w:szCs w:val="22"/>
        </w:rPr>
        <w:t xml:space="preserve"> </w:t>
      </w:r>
      <w:r w:rsidRPr="00C03C58">
        <w:rPr>
          <w:rFonts w:asciiTheme="minorHAnsi" w:hAnsiTheme="minorHAnsi" w:cstheme="minorHAnsi"/>
          <w:sz w:val="22"/>
          <w:szCs w:val="22"/>
        </w:rPr>
        <w:t xml:space="preserve">or </w:t>
      </w:r>
      <w:r w:rsidR="00CC0554">
        <w:rPr>
          <w:rFonts w:asciiTheme="minorHAnsi" w:hAnsiTheme="minorHAnsi" w:cstheme="minorHAnsi"/>
          <w:sz w:val="22"/>
          <w:szCs w:val="22"/>
        </w:rPr>
        <w:t>call 1-</w:t>
      </w:r>
      <w:r w:rsidRPr="00C03C58">
        <w:rPr>
          <w:rFonts w:asciiTheme="minorHAnsi" w:hAnsiTheme="minorHAnsi" w:cstheme="minorHAnsi"/>
          <w:sz w:val="22"/>
          <w:szCs w:val="22"/>
        </w:rPr>
        <w:t>855-INDOT4U (463-6848).</w:t>
      </w:r>
    </w:p>
    <w:p w14:paraId="0561D886" w14:textId="77777777" w:rsidR="006C7245" w:rsidRDefault="006C7245" w:rsidP="006C7245">
      <w:pPr>
        <w:jc w:val="both"/>
        <w:rPr>
          <w:rFonts w:asciiTheme="minorHAnsi" w:hAnsiTheme="minorHAnsi" w:cstheme="minorHAnsi"/>
          <w:sz w:val="22"/>
          <w:szCs w:val="22"/>
          <w:highlight w:val="yellow"/>
        </w:rPr>
      </w:pPr>
    </w:p>
    <w:p w14:paraId="15BC44E1" w14:textId="77777777" w:rsidR="006C7245" w:rsidRPr="000D5A36" w:rsidRDefault="006C7245" w:rsidP="006C7245">
      <w:pPr>
        <w:jc w:val="both"/>
        <w:rPr>
          <w:rFonts w:asciiTheme="minorHAnsi" w:hAnsiTheme="minorHAnsi" w:cstheme="minorHAnsi"/>
          <w:sz w:val="22"/>
          <w:szCs w:val="22"/>
          <w:highlight w:val="yellow"/>
        </w:rPr>
      </w:pPr>
      <w:r w:rsidRPr="000D5A36">
        <w:rPr>
          <w:rFonts w:asciiTheme="minorHAnsi" w:hAnsiTheme="minorHAnsi" w:cstheme="minorHAnsi"/>
          <w:sz w:val="22"/>
          <w:szCs w:val="22"/>
        </w:rPr>
        <w:t>This notice is published in compliance with Code of Federal Regulations, Title 23, Section 771 (CFR 771.111(h)(1) states: “Each State must have procedures approved by the FHWA to carry out a public involvement/public hearing program.” 23 CFR 450.212(a)(7) states: “Public involvement procedures shall provide for periodic review of the effectiveness of the public involvement process to ensure that the process provides full and open access to all and revision of the process as necessary.” approved by the Federal Highway Administration, U.S. Department of Transportation on July 7, 2021</w:t>
      </w:r>
      <w:r>
        <w:rPr>
          <w:rFonts w:asciiTheme="minorHAnsi" w:hAnsiTheme="minorHAnsi" w:cstheme="minorHAnsi"/>
          <w:sz w:val="22"/>
          <w:szCs w:val="22"/>
        </w:rPr>
        <w:t>.</w:t>
      </w:r>
    </w:p>
    <w:p w14:paraId="02D43B66" w14:textId="77777777" w:rsidR="00096F19" w:rsidRDefault="00096F19"/>
    <w:sectPr w:rsidR="00096F19" w:rsidSect="00E379C1">
      <w:footerReference w:type="default" r:id="rId13"/>
      <w:pgSz w:w="12240" w:h="15840"/>
      <w:pgMar w:top="720" w:right="720" w:bottom="72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F332" w14:textId="77777777" w:rsidR="00D30E09" w:rsidRDefault="00D30E09">
      <w:r>
        <w:separator/>
      </w:r>
    </w:p>
  </w:endnote>
  <w:endnote w:type="continuationSeparator" w:id="0">
    <w:p w14:paraId="03C484A2" w14:textId="77777777" w:rsidR="00D30E09" w:rsidRDefault="00D3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BA29" w14:textId="77777777" w:rsidR="006C7245" w:rsidRPr="00736BF6" w:rsidRDefault="006C7245" w:rsidP="00511D50">
    <w:pPr>
      <w:pStyle w:val="Footer"/>
      <w:pBdr>
        <w:top w:val="single" w:sz="4" w:space="1" w:color="D9D9D9" w:themeColor="background1" w:themeShade="D9"/>
      </w:pBdr>
      <w:jc w:val="right"/>
      <w:rPr>
        <w:rFonts w:asciiTheme="minorHAnsi" w:hAnsiTheme="minorHAnsi"/>
        <w:sz w:val="20"/>
        <w:szCs w:val="20"/>
      </w:rPr>
    </w:pPr>
  </w:p>
  <w:p w14:paraId="4D227AA1" w14:textId="77777777" w:rsidR="006C7245" w:rsidRPr="006A234D" w:rsidRDefault="006C7245" w:rsidP="009A0434">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      </w:t>
    </w:r>
    <w:r w:rsidRPr="006A234D">
      <w:rPr>
        <w:rFonts w:ascii="Arial" w:hAnsi="Arial" w:cs="Arial"/>
        <w:i/>
        <w:iCs/>
        <w:sz w:val="20"/>
        <w:szCs w:val="20"/>
      </w:rPr>
      <w:t>www.in.gov/dot/</w:t>
    </w:r>
  </w:p>
  <w:p w14:paraId="3EC7541F" w14:textId="77777777" w:rsidR="006C7245" w:rsidRDefault="006C7245" w:rsidP="009A0434">
    <w:pPr>
      <w:pStyle w:val="Footer"/>
      <w:jc w:val="center"/>
    </w:pPr>
    <w:r w:rsidRPr="006A234D">
      <w:rPr>
        <w:rFonts w:ascii="Arial" w:hAnsi="Arial" w:cs="Arial"/>
        <w:b/>
        <w:bCs/>
        <w:i/>
        <w:iCs/>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5171" w14:textId="77777777" w:rsidR="00D30E09" w:rsidRDefault="00D30E09">
      <w:r>
        <w:separator/>
      </w:r>
    </w:p>
  </w:footnote>
  <w:footnote w:type="continuationSeparator" w:id="0">
    <w:p w14:paraId="39A15CC2" w14:textId="77777777" w:rsidR="00D30E09" w:rsidRDefault="00D3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3417E"/>
    <w:multiLevelType w:val="hybridMultilevel"/>
    <w:tmpl w:val="D938B092"/>
    <w:lvl w:ilvl="0" w:tplc="D1BEF7C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29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3D"/>
    <w:rsid w:val="0007080E"/>
    <w:rsid w:val="00096F19"/>
    <w:rsid w:val="000E5ACE"/>
    <w:rsid w:val="00254909"/>
    <w:rsid w:val="003326BB"/>
    <w:rsid w:val="003B44D6"/>
    <w:rsid w:val="0041234A"/>
    <w:rsid w:val="00436259"/>
    <w:rsid w:val="00437AC1"/>
    <w:rsid w:val="006C7245"/>
    <w:rsid w:val="007E685E"/>
    <w:rsid w:val="008B503F"/>
    <w:rsid w:val="00910645"/>
    <w:rsid w:val="00982853"/>
    <w:rsid w:val="00CC0554"/>
    <w:rsid w:val="00CF4EE2"/>
    <w:rsid w:val="00D30E09"/>
    <w:rsid w:val="00E92D7E"/>
    <w:rsid w:val="00F70A3D"/>
    <w:rsid w:val="00F8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5867"/>
  <w15:chartTrackingRefBased/>
  <w15:docId w15:val="{1DF0C0F5-9656-4B6C-937C-446B9EF4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7245"/>
    <w:pPr>
      <w:tabs>
        <w:tab w:val="center" w:pos="4320"/>
        <w:tab w:val="right" w:pos="8640"/>
      </w:tabs>
    </w:pPr>
  </w:style>
  <w:style w:type="character" w:customStyle="1" w:styleId="HeaderChar">
    <w:name w:val="Header Char"/>
    <w:basedOn w:val="DefaultParagraphFont"/>
    <w:link w:val="Header"/>
    <w:rsid w:val="006C7245"/>
    <w:rPr>
      <w:rFonts w:ascii="Times New Roman" w:eastAsia="Times New Roman" w:hAnsi="Times New Roman" w:cs="Times New Roman"/>
      <w:sz w:val="24"/>
      <w:szCs w:val="24"/>
    </w:rPr>
  </w:style>
  <w:style w:type="paragraph" w:styleId="Footer">
    <w:name w:val="footer"/>
    <w:basedOn w:val="Normal"/>
    <w:link w:val="FooterChar"/>
    <w:uiPriority w:val="99"/>
    <w:rsid w:val="006C7245"/>
    <w:pPr>
      <w:tabs>
        <w:tab w:val="center" w:pos="4320"/>
        <w:tab w:val="right" w:pos="8640"/>
      </w:tabs>
    </w:pPr>
  </w:style>
  <w:style w:type="character" w:customStyle="1" w:styleId="FooterChar">
    <w:name w:val="Footer Char"/>
    <w:basedOn w:val="DefaultParagraphFont"/>
    <w:link w:val="Footer"/>
    <w:uiPriority w:val="99"/>
    <w:rsid w:val="006C7245"/>
    <w:rPr>
      <w:rFonts w:ascii="Times New Roman" w:eastAsia="Times New Roman" w:hAnsi="Times New Roman" w:cs="Times New Roman"/>
      <w:sz w:val="24"/>
      <w:szCs w:val="24"/>
    </w:rPr>
  </w:style>
  <w:style w:type="character" w:styleId="Hyperlink">
    <w:name w:val="Hyperlink"/>
    <w:rsid w:val="006C7245"/>
    <w:rPr>
      <w:color w:val="0000FF"/>
      <w:u w:val="single"/>
    </w:rPr>
  </w:style>
  <w:style w:type="paragraph" w:styleId="ListParagraph">
    <w:name w:val="List Paragraph"/>
    <w:basedOn w:val="Normal"/>
    <w:uiPriority w:val="34"/>
    <w:qFormat/>
    <w:rsid w:val="006C7245"/>
    <w:pPr>
      <w:ind w:left="720"/>
    </w:pPr>
  </w:style>
  <w:style w:type="character" w:styleId="CommentReference">
    <w:name w:val="annotation reference"/>
    <w:rsid w:val="006C7245"/>
    <w:rPr>
      <w:sz w:val="16"/>
      <w:szCs w:val="16"/>
    </w:rPr>
  </w:style>
  <w:style w:type="paragraph" w:styleId="CommentText">
    <w:name w:val="annotation text"/>
    <w:basedOn w:val="Normal"/>
    <w:link w:val="CommentTextChar"/>
    <w:rsid w:val="006C7245"/>
    <w:rPr>
      <w:sz w:val="20"/>
      <w:szCs w:val="20"/>
    </w:rPr>
  </w:style>
  <w:style w:type="character" w:customStyle="1" w:styleId="CommentTextChar">
    <w:name w:val="Comment Text Char"/>
    <w:basedOn w:val="DefaultParagraphFont"/>
    <w:link w:val="CommentText"/>
    <w:rsid w:val="006C7245"/>
    <w:rPr>
      <w:rFonts w:ascii="Times New Roman" w:eastAsia="Times New Roman" w:hAnsi="Times New Roman" w:cs="Times New Roman"/>
      <w:sz w:val="20"/>
      <w:szCs w:val="20"/>
    </w:rPr>
  </w:style>
  <w:style w:type="paragraph" w:styleId="Revision">
    <w:name w:val="Revision"/>
    <w:hidden/>
    <w:uiPriority w:val="99"/>
    <w:semiHidden/>
    <w:rsid w:val="000E5AC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85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iggs@indot.in.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DOT4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rechbill@FirstGroupEngineer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gov/indot/about-indot/central-office/welcome-to-the-greenfield-distric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RQAW</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 Boot</dc:creator>
  <cp:keywords/>
  <dc:description/>
  <cp:lastModifiedBy>Kyle J. Boot</cp:lastModifiedBy>
  <cp:revision>16</cp:revision>
  <dcterms:created xsi:type="dcterms:W3CDTF">2023-08-25T16:48:00Z</dcterms:created>
  <dcterms:modified xsi:type="dcterms:W3CDTF">2023-09-20T12:16:00Z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52c20249c8310b7ed223f7fcf06d5b570e83cb5ffa569c81f3909947ee7b4441</vt:lpwstr>
  </property>
</Properties>
</file>