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8970" w14:textId="66AFB44F" w:rsidR="003D4B89" w:rsidRPr="005E34EF" w:rsidRDefault="005F2367" w:rsidP="005C21FB">
      <w:pPr>
        <w:pStyle w:val="NoSpacing"/>
        <w:rPr>
          <w:rFonts w:ascii="Arial" w:hAnsi="Arial" w:cs="Arial"/>
          <w:b/>
          <w:bCs/>
          <w:color w:val="003359"/>
          <w:sz w:val="32"/>
          <w:szCs w:val="32"/>
        </w:rPr>
      </w:pPr>
      <w:bookmarkStart w:id="0" w:name="_Toc57114985"/>
      <w:r w:rsidRPr="005E34EF">
        <w:rPr>
          <w:rFonts w:ascii="Arial" w:hAnsi="Arial" w:cs="Arial"/>
          <w:b/>
          <w:bCs/>
          <w:color w:val="003359"/>
          <w:sz w:val="32"/>
          <w:szCs w:val="32"/>
        </w:rPr>
        <w:t xml:space="preserve">PY 2021 </w:t>
      </w:r>
      <w:r w:rsidR="003D4B89" w:rsidRPr="005E34EF">
        <w:rPr>
          <w:rFonts w:ascii="Arial" w:hAnsi="Arial" w:cs="Arial"/>
          <w:b/>
          <w:bCs/>
          <w:color w:val="003359"/>
          <w:sz w:val="32"/>
          <w:szCs w:val="32"/>
        </w:rPr>
        <w:t>CSBG-D Grants</w:t>
      </w:r>
      <w:bookmarkEnd w:id="0"/>
    </w:p>
    <w:p w14:paraId="5DDAA01F" w14:textId="68C3DE9D" w:rsidR="003D4B89" w:rsidRPr="001C29D0" w:rsidRDefault="005F2367" w:rsidP="003D4B89">
      <w:pPr>
        <w:spacing w:after="0"/>
        <w:rPr>
          <w:rFonts w:ascii="Arial" w:hAnsi="Arial" w:cs="Arial"/>
          <w:szCs w:val="20"/>
        </w:rPr>
      </w:pPr>
      <w:r w:rsidRPr="00AA14EA">
        <w:rPr>
          <w:rFonts w:ascii="Arial" w:hAnsi="Arial" w:cs="Arial"/>
          <w:szCs w:val="20"/>
        </w:rPr>
        <w:t>For the</w:t>
      </w:r>
      <w:r w:rsidR="003D4B89" w:rsidRPr="00AA14EA">
        <w:rPr>
          <w:rFonts w:ascii="Arial" w:hAnsi="Arial" w:cs="Arial"/>
          <w:szCs w:val="20"/>
        </w:rPr>
        <w:t xml:space="preserve"> 202</w:t>
      </w:r>
      <w:r w:rsidR="00FB5930">
        <w:rPr>
          <w:rFonts w:ascii="Arial" w:hAnsi="Arial" w:cs="Arial"/>
          <w:szCs w:val="20"/>
        </w:rPr>
        <w:t>2</w:t>
      </w:r>
      <w:r w:rsidRPr="00AA14EA">
        <w:rPr>
          <w:rFonts w:ascii="Arial" w:hAnsi="Arial" w:cs="Arial"/>
          <w:szCs w:val="20"/>
        </w:rPr>
        <w:t xml:space="preserve"> State Program Year</w:t>
      </w:r>
      <w:r w:rsidR="003D4B89" w:rsidRPr="00AA14EA">
        <w:rPr>
          <w:rFonts w:ascii="Arial" w:hAnsi="Arial" w:cs="Arial"/>
          <w:szCs w:val="20"/>
        </w:rPr>
        <w:t xml:space="preserve">, IHCDA will issue </w:t>
      </w:r>
      <w:r w:rsidR="007B483A" w:rsidRPr="00AA14EA">
        <w:rPr>
          <w:rFonts w:ascii="Arial" w:hAnsi="Arial" w:cs="Arial"/>
          <w:szCs w:val="20"/>
        </w:rPr>
        <w:t xml:space="preserve">a </w:t>
      </w:r>
      <w:r w:rsidR="003D4B89" w:rsidRPr="00AA14EA">
        <w:rPr>
          <w:rFonts w:ascii="Arial" w:hAnsi="Arial" w:cs="Arial"/>
          <w:szCs w:val="20"/>
        </w:rPr>
        <w:t xml:space="preserve">separate CSBG </w:t>
      </w:r>
      <w:r w:rsidR="00460FBE" w:rsidRPr="00AA14EA">
        <w:rPr>
          <w:rFonts w:ascii="Arial" w:hAnsi="Arial" w:cs="Arial"/>
          <w:szCs w:val="20"/>
        </w:rPr>
        <w:t xml:space="preserve">discretionary </w:t>
      </w:r>
      <w:r w:rsidR="00AA14EA">
        <w:rPr>
          <w:rFonts w:ascii="Arial" w:hAnsi="Arial" w:cs="Arial"/>
          <w:szCs w:val="20"/>
        </w:rPr>
        <w:t xml:space="preserve">(CSBG-D) </w:t>
      </w:r>
      <w:r w:rsidR="003D4B89" w:rsidRPr="00AA14EA">
        <w:rPr>
          <w:rFonts w:ascii="Arial" w:hAnsi="Arial" w:cs="Arial"/>
          <w:szCs w:val="20"/>
        </w:rPr>
        <w:t xml:space="preserve">grant award for the following types of expenses: staff and board development, TTA to correct deficiencies identified during monitoring, and any additional TTA that IHCDA deems </w:t>
      </w:r>
      <w:commentRangeStart w:id="1"/>
      <w:r w:rsidR="003D4B89" w:rsidRPr="00AA14EA">
        <w:rPr>
          <w:rFonts w:ascii="Arial" w:hAnsi="Arial" w:cs="Arial"/>
          <w:szCs w:val="20"/>
        </w:rPr>
        <w:t>necessary</w:t>
      </w:r>
      <w:commentRangeEnd w:id="1"/>
      <w:r w:rsidR="00FB5930">
        <w:rPr>
          <w:rStyle w:val="CommentReference"/>
          <w:rFonts w:ascii="Arial" w:hAnsi="Arial"/>
        </w:rPr>
        <w:commentReference w:id="1"/>
      </w:r>
      <w:r w:rsidR="003D4B89" w:rsidRPr="00AA14EA">
        <w:rPr>
          <w:rFonts w:ascii="Arial" w:hAnsi="Arial" w:cs="Arial"/>
          <w:szCs w:val="20"/>
        </w:rPr>
        <w:t>.</w:t>
      </w:r>
    </w:p>
    <w:p w14:paraId="273D9DFB" w14:textId="77777777" w:rsidR="003D4B89" w:rsidRPr="005E34EF" w:rsidRDefault="003D4B89" w:rsidP="001C29D0">
      <w:pPr>
        <w:pStyle w:val="Heading1"/>
        <w:rPr>
          <w:color w:val="A2AD00"/>
        </w:rPr>
      </w:pPr>
      <w:bookmarkStart w:id="2" w:name="_Toc57114986"/>
      <w:r w:rsidRPr="005E34EF">
        <w:rPr>
          <w:color w:val="A2AD00"/>
        </w:rPr>
        <w:t>Staff/Board Development Funding</w:t>
      </w:r>
      <w:bookmarkEnd w:id="2"/>
    </w:p>
    <w:p w14:paraId="01E25C10" w14:textId="269AC442" w:rsidR="003D4B89" w:rsidRPr="00AA14EA" w:rsidRDefault="003D4B89" w:rsidP="003D4B89">
      <w:pPr>
        <w:spacing w:after="0"/>
        <w:rPr>
          <w:rFonts w:ascii="Arial" w:hAnsi="Arial" w:cs="Arial"/>
          <w:szCs w:val="20"/>
        </w:rPr>
      </w:pPr>
      <w:r w:rsidRPr="00AA14EA">
        <w:rPr>
          <w:rFonts w:ascii="Arial" w:hAnsi="Arial" w:cs="Arial"/>
          <w:szCs w:val="20"/>
        </w:rPr>
        <w:t>Using 202</w:t>
      </w:r>
      <w:r w:rsidR="00FB5930">
        <w:rPr>
          <w:rFonts w:ascii="Arial" w:hAnsi="Arial" w:cs="Arial"/>
          <w:szCs w:val="20"/>
        </w:rPr>
        <w:t>1</w:t>
      </w:r>
      <w:r w:rsidRPr="00AA14EA">
        <w:rPr>
          <w:rFonts w:ascii="Arial" w:hAnsi="Arial" w:cs="Arial"/>
          <w:szCs w:val="20"/>
        </w:rPr>
        <w:t xml:space="preserve"> Discretionary funds, IHCDA will offer additional funding to CAA</w:t>
      </w:r>
      <w:r w:rsidR="005F2367" w:rsidRPr="00AA14EA">
        <w:rPr>
          <w:rFonts w:ascii="Arial" w:hAnsi="Arial" w:cs="Arial"/>
          <w:szCs w:val="20"/>
        </w:rPr>
        <w:t>s</w:t>
      </w:r>
      <w:r w:rsidRPr="00AA14EA">
        <w:rPr>
          <w:rFonts w:ascii="Arial" w:hAnsi="Arial" w:cs="Arial"/>
          <w:szCs w:val="20"/>
        </w:rPr>
        <w:t xml:space="preserve"> to support staff and board training and professional certifications. CAAs </w:t>
      </w:r>
      <w:r w:rsidR="005F2367" w:rsidRPr="00AA14EA">
        <w:rPr>
          <w:rFonts w:ascii="Arial" w:hAnsi="Arial" w:cs="Arial"/>
          <w:szCs w:val="20"/>
        </w:rPr>
        <w:t>had to</w:t>
      </w:r>
      <w:r w:rsidRPr="00AA14EA">
        <w:rPr>
          <w:rFonts w:ascii="Arial" w:hAnsi="Arial" w:cs="Arial"/>
          <w:szCs w:val="20"/>
        </w:rPr>
        <w:t xml:space="preserve"> “opt-in” in order to access the funds</w:t>
      </w:r>
      <w:r w:rsidR="00460FBE" w:rsidRPr="00AA14EA">
        <w:rPr>
          <w:rFonts w:ascii="Arial" w:hAnsi="Arial" w:cs="Arial"/>
          <w:szCs w:val="20"/>
        </w:rPr>
        <w:t xml:space="preserve"> through a survey sent in the last quarter of 2020. I</w:t>
      </w:r>
      <w:r w:rsidRPr="00AA14EA">
        <w:rPr>
          <w:rFonts w:ascii="Arial" w:hAnsi="Arial" w:cs="Arial"/>
          <w:szCs w:val="20"/>
        </w:rPr>
        <w:t>f a CAA respond</w:t>
      </w:r>
      <w:r w:rsidR="00460FBE" w:rsidRPr="00AA14EA">
        <w:rPr>
          <w:rFonts w:ascii="Arial" w:hAnsi="Arial" w:cs="Arial"/>
          <w:szCs w:val="20"/>
        </w:rPr>
        <w:t>ed</w:t>
      </w:r>
      <w:r w:rsidRPr="00AA14EA">
        <w:rPr>
          <w:rFonts w:ascii="Arial" w:hAnsi="Arial" w:cs="Arial"/>
          <w:szCs w:val="20"/>
        </w:rPr>
        <w:t xml:space="preserve"> “yes” </w:t>
      </w:r>
      <w:r w:rsidR="00460FBE" w:rsidRPr="00AA14EA">
        <w:rPr>
          <w:rFonts w:ascii="Arial" w:hAnsi="Arial" w:cs="Arial"/>
          <w:szCs w:val="20"/>
        </w:rPr>
        <w:t>on that survey, $2,</w:t>
      </w:r>
      <w:commentRangeStart w:id="3"/>
      <w:r w:rsidR="00460FBE" w:rsidRPr="00AA14EA">
        <w:rPr>
          <w:rFonts w:ascii="Arial" w:hAnsi="Arial" w:cs="Arial"/>
          <w:szCs w:val="20"/>
        </w:rPr>
        <w:t>000</w:t>
      </w:r>
      <w:commentRangeEnd w:id="3"/>
      <w:r w:rsidR="00FB5930">
        <w:rPr>
          <w:rStyle w:val="CommentReference"/>
          <w:rFonts w:ascii="Arial" w:hAnsi="Arial"/>
        </w:rPr>
        <w:commentReference w:id="3"/>
      </w:r>
      <w:r w:rsidRPr="00AA14EA">
        <w:rPr>
          <w:rFonts w:ascii="Arial" w:hAnsi="Arial" w:cs="Arial"/>
          <w:szCs w:val="20"/>
        </w:rPr>
        <w:t xml:space="preserve"> will be </w:t>
      </w:r>
      <w:r w:rsidR="007B483A" w:rsidRPr="00AA14EA">
        <w:rPr>
          <w:rFonts w:ascii="Arial" w:hAnsi="Arial" w:cs="Arial"/>
          <w:szCs w:val="20"/>
        </w:rPr>
        <w:t>provided through</w:t>
      </w:r>
      <w:r w:rsidRPr="00AA14EA">
        <w:rPr>
          <w:rFonts w:ascii="Arial" w:hAnsi="Arial" w:cs="Arial"/>
          <w:szCs w:val="20"/>
        </w:rPr>
        <w:t xml:space="preserve"> </w:t>
      </w:r>
      <w:r w:rsidR="00460FBE" w:rsidRPr="00AA14EA">
        <w:rPr>
          <w:rFonts w:ascii="Arial" w:hAnsi="Arial" w:cs="Arial"/>
          <w:szCs w:val="20"/>
        </w:rPr>
        <w:t>the</w:t>
      </w:r>
      <w:r w:rsidRPr="00AA14EA">
        <w:rPr>
          <w:rFonts w:ascii="Arial" w:hAnsi="Arial" w:cs="Arial"/>
          <w:szCs w:val="20"/>
        </w:rPr>
        <w:t xml:space="preserve"> CSBG-D award</w:t>
      </w:r>
      <w:r w:rsidR="00460FBE" w:rsidRPr="00AA14EA">
        <w:rPr>
          <w:rFonts w:ascii="Arial" w:hAnsi="Arial" w:cs="Arial"/>
          <w:szCs w:val="20"/>
        </w:rPr>
        <w:t xml:space="preserve">, </w:t>
      </w:r>
      <w:r w:rsidRPr="00AA14EA">
        <w:rPr>
          <w:rFonts w:ascii="Arial" w:hAnsi="Arial" w:cs="Arial"/>
          <w:szCs w:val="20"/>
        </w:rPr>
        <w:t>specifically to the budget line “Staff Development.”</w:t>
      </w:r>
    </w:p>
    <w:p w14:paraId="63F275ED" w14:textId="77777777" w:rsidR="003D4B89" w:rsidRPr="00AA14EA" w:rsidRDefault="003D4B89" w:rsidP="003D4B89">
      <w:pPr>
        <w:spacing w:after="0"/>
        <w:rPr>
          <w:rFonts w:ascii="Arial" w:hAnsi="Arial" w:cs="Arial"/>
          <w:szCs w:val="20"/>
        </w:rPr>
      </w:pPr>
    </w:p>
    <w:p w14:paraId="67A2F411" w14:textId="516608D6" w:rsidR="003D4B89" w:rsidRPr="00AA14EA" w:rsidRDefault="003D4B89" w:rsidP="003D4B89">
      <w:pPr>
        <w:spacing w:after="0"/>
        <w:rPr>
          <w:rFonts w:ascii="Arial" w:hAnsi="Arial" w:cs="Arial"/>
          <w:szCs w:val="20"/>
        </w:rPr>
      </w:pPr>
      <w:r w:rsidRPr="00AA14EA">
        <w:rPr>
          <w:rFonts w:ascii="Arial" w:hAnsi="Arial" w:cs="Arial"/>
          <w:szCs w:val="20"/>
        </w:rPr>
        <w:t>When an agency “opt</w:t>
      </w:r>
      <w:r w:rsidR="00460FBE" w:rsidRPr="00AA14EA">
        <w:rPr>
          <w:rFonts w:ascii="Arial" w:hAnsi="Arial" w:cs="Arial"/>
          <w:szCs w:val="20"/>
        </w:rPr>
        <w:t>ed</w:t>
      </w:r>
      <w:r w:rsidRPr="00AA14EA">
        <w:rPr>
          <w:rFonts w:ascii="Arial" w:hAnsi="Arial" w:cs="Arial"/>
          <w:szCs w:val="20"/>
        </w:rPr>
        <w:t xml:space="preserve"> in” to use these funds</w:t>
      </w:r>
      <w:r w:rsidR="00460FBE" w:rsidRPr="00AA14EA">
        <w:rPr>
          <w:rFonts w:ascii="Arial" w:hAnsi="Arial" w:cs="Arial"/>
          <w:szCs w:val="20"/>
        </w:rPr>
        <w:t xml:space="preserve"> in the survey</w:t>
      </w:r>
      <w:r w:rsidRPr="00AA14EA">
        <w:rPr>
          <w:rFonts w:ascii="Arial" w:hAnsi="Arial" w:cs="Arial"/>
          <w:szCs w:val="20"/>
        </w:rPr>
        <w:t xml:space="preserve">, they </w:t>
      </w:r>
      <w:r w:rsidR="00460FBE" w:rsidRPr="00AA14EA">
        <w:rPr>
          <w:rFonts w:ascii="Arial" w:hAnsi="Arial" w:cs="Arial"/>
          <w:szCs w:val="20"/>
        </w:rPr>
        <w:t>had to</w:t>
      </w:r>
      <w:r w:rsidRPr="00AA14EA">
        <w:rPr>
          <w:rFonts w:ascii="Arial" w:hAnsi="Arial" w:cs="Arial"/>
          <w:szCs w:val="20"/>
        </w:rPr>
        <w:t xml:space="preserve"> provide a brief explanation of who they are considering using the funds for and for what types of trainings or certifications. That plan may change and CAAs do NOT need prior approval if their final expenses do not match their original proposal, as long as they follow the restrictions outlined below</w:t>
      </w:r>
      <w:r w:rsidR="00460FBE" w:rsidRPr="00AA14EA">
        <w:rPr>
          <w:rFonts w:ascii="Arial" w:hAnsi="Arial" w:cs="Arial"/>
          <w:szCs w:val="20"/>
        </w:rPr>
        <w:t>:</w:t>
      </w:r>
    </w:p>
    <w:p w14:paraId="717A2164" w14:textId="77777777" w:rsidR="003D4B89" w:rsidRPr="00AA14EA" w:rsidRDefault="003D4B89" w:rsidP="003D4B89">
      <w:pPr>
        <w:spacing w:after="0"/>
        <w:rPr>
          <w:rFonts w:ascii="Arial" w:hAnsi="Arial" w:cs="Arial"/>
          <w:szCs w:val="20"/>
        </w:rPr>
      </w:pPr>
    </w:p>
    <w:p w14:paraId="7AD86C0C" w14:textId="60B867B0" w:rsidR="003D4B89" w:rsidRPr="00AA14EA" w:rsidRDefault="003D4B89" w:rsidP="00AA14EA">
      <w:pPr>
        <w:numPr>
          <w:ilvl w:val="0"/>
          <w:numId w:val="1"/>
        </w:numPr>
        <w:spacing w:after="0" w:line="240" w:lineRule="auto"/>
        <w:rPr>
          <w:rFonts w:ascii="Arial" w:eastAsia="Times New Roman" w:hAnsi="Arial" w:cs="Arial"/>
          <w:szCs w:val="20"/>
        </w:rPr>
      </w:pPr>
      <w:r w:rsidRPr="00AA14EA">
        <w:rPr>
          <w:rFonts w:ascii="Arial" w:eastAsia="Times New Roman" w:hAnsi="Arial" w:cs="Arial"/>
          <w:szCs w:val="20"/>
        </w:rPr>
        <w:t>Initial funds are from IHCDA's 202</w:t>
      </w:r>
      <w:r w:rsidR="000B290A">
        <w:rPr>
          <w:rFonts w:ascii="Arial" w:eastAsia="Times New Roman" w:hAnsi="Arial" w:cs="Arial"/>
          <w:szCs w:val="20"/>
        </w:rPr>
        <w:t>1</w:t>
      </w:r>
      <w:r w:rsidRPr="00AA14EA">
        <w:rPr>
          <w:rFonts w:ascii="Arial" w:eastAsia="Times New Roman" w:hAnsi="Arial" w:cs="Arial"/>
          <w:szCs w:val="20"/>
        </w:rPr>
        <w:t xml:space="preserve"> award, and so must be spent by 9/30/2</w:t>
      </w:r>
      <w:r w:rsidR="000B290A">
        <w:rPr>
          <w:rFonts w:ascii="Arial" w:eastAsia="Times New Roman" w:hAnsi="Arial" w:cs="Arial"/>
          <w:szCs w:val="20"/>
        </w:rPr>
        <w:t>2</w:t>
      </w:r>
      <w:r w:rsidRPr="00AA14EA">
        <w:rPr>
          <w:rFonts w:ascii="Arial" w:eastAsia="Times New Roman" w:hAnsi="Arial" w:cs="Arial"/>
          <w:szCs w:val="20"/>
        </w:rPr>
        <w:t>, and claimed by 11/15/2</w:t>
      </w:r>
      <w:r w:rsidR="000B290A">
        <w:rPr>
          <w:rFonts w:ascii="Arial" w:eastAsia="Times New Roman" w:hAnsi="Arial" w:cs="Arial"/>
          <w:szCs w:val="20"/>
        </w:rPr>
        <w:t>2</w:t>
      </w:r>
      <w:r w:rsidRPr="00AA14EA">
        <w:rPr>
          <w:rFonts w:ascii="Arial" w:eastAsia="Times New Roman" w:hAnsi="Arial" w:cs="Arial"/>
          <w:szCs w:val="20"/>
        </w:rPr>
        <w:t>.</w:t>
      </w:r>
    </w:p>
    <w:p w14:paraId="5BB60CC2" w14:textId="77777777" w:rsidR="003D4B89" w:rsidRPr="00AA14EA" w:rsidRDefault="003D4B89" w:rsidP="00AA14EA">
      <w:pPr>
        <w:numPr>
          <w:ilvl w:val="0"/>
          <w:numId w:val="1"/>
        </w:numPr>
        <w:spacing w:after="0" w:line="240" w:lineRule="auto"/>
        <w:rPr>
          <w:rFonts w:ascii="Arial" w:eastAsia="Times New Roman" w:hAnsi="Arial" w:cs="Arial"/>
          <w:szCs w:val="20"/>
        </w:rPr>
      </w:pPr>
      <w:r w:rsidRPr="00AA14EA">
        <w:rPr>
          <w:rFonts w:ascii="Arial" w:eastAsia="Times New Roman" w:hAnsi="Arial" w:cs="Arial"/>
          <w:szCs w:val="20"/>
        </w:rPr>
        <w:t>They are separate from the 90% funds CAAs receive in regular CSBG funding and so will not impact a CAA’s Administrative percentage.</w:t>
      </w:r>
    </w:p>
    <w:p w14:paraId="721446D0" w14:textId="77777777" w:rsidR="003D4B89" w:rsidRPr="00AA14EA" w:rsidRDefault="003D4B89" w:rsidP="00AA14EA">
      <w:pPr>
        <w:numPr>
          <w:ilvl w:val="0"/>
          <w:numId w:val="1"/>
        </w:numPr>
        <w:spacing w:after="0" w:line="240" w:lineRule="auto"/>
        <w:rPr>
          <w:rFonts w:ascii="Arial" w:eastAsia="Times New Roman" w:hAnsi="Arial" w:cs="Arial"/>
          <w:szCs w:val="20"/>
        </w:rPr>
      </w:pPr>
      <w:r w:rsidRPr="00AA14EA">
        <w:rPr>
          <w:rFonts w:ascii="Arial" w:eastAsia="Times New Roman" w:hAnsi="Arial" w:cs="Arial"/>
          <w:szCs w:val="20"/>
        </w:rPr>
        <w:t>These funds may NOT be used in place of training funds provided by other programs, such as T/TA funds in Weatherization.</w:t>
      </w:r>
    </w:p>
    <w:p w14:paraId="0EED9FB0" w14:textId="77777777" w:rsidR="003D4B89" w:rsidRPr="00AA14EA" w:rsidRDefault="003D4B89" w:rsidP="00AA14EA">
      <w:pPr>
        <w:numPr>
          <w:ilvl w:val="0"/>
          <w:numId w:val="1"/>
        </w:numPr>
        <w:spacing w:after="0" w:line="240" w:lineRule="auto"/>
        <w:rPr>
          <w:rFonts w:ascii="Arial" w:eastAsia="Times New Roman" w:hAnsi="Arial" w:cs="Arial"/>
          <w:szCs w:val="20"/>
        </w:rPr>
      </w:pPr>
      <w:r w:rsidRPr="00AA14EA">
        <w:rPr>
          <w:rFonts w:ascii="Arial" w:eastAsia="Times New Roman" w:hAnsi="Arial" w:cs="Arial"/>
          <w:szCs w:val="20"/>
        </w:rPr>
        <w:t>There is a cap of $500 per person. CAAs can spend less than that and support more than four individuals with these funds, but they cannot spend more than $500 on a single individual.</w:t>
      </w:r>
    </w:p>
    <w:p w14:paraId="4D13DBCF" w14:textId="77777777" w:rsidR="003D4B89" w:rsidRPr="00AA14EA" w:rsidRDefault="003D4B89" w:rsidP="00AA14EA">
      <w:pPr>
        <w:numPr>
          <w:ilvl w:val="0"/>
          <w:numId w:val="1"/>
        </w:numPr>
        <w:spacing w:after="0" w:line="240" w:lineRule="auto"/>
        <w:rPr>
          <w:rFonts w:ascii="Arial" w:eastAsia="Times New Roman" w:hAnsi="Arial" w:cs="Arial"/>
          <w:szCs w:val="20"/>
        </w:rPr>
      </w:pPr>
      <w:r w:rsidRPr="00AA14EA">
        <w:rPr>
          <w:rFonts w:ascii="Arial" w:eastAsia="Times New Roman" w:hAnsi="Arial" w:cs="Arial"/>
          <w:szCs w:val="20"/>
        </w:rPr>
        <w:t>At least one person must be a board member and one person in a non-management role.</w:t>
      </w:r>
    </w:p>
    <w:p w14:paraId="0DE468DF" w14:textId="77777777" w:rsidR="003D4B89" w:rsidRPr="00AA14EA" w:rsidRDefault="003D4B89" w:rsidP="00AA14EA">
      <w:pPr>
        <w:numPr>
          <w:ilvl w:val="0"/>
          <w:numId w:val="1"/>
        </w:numPr>
        <w:spacing w:after="0" w:line="240" w:lineRule="auto"/>
        <w:rPr>
          <w:rFonts w:ascii="Arial" w:eastAsia="Times New Roman" w:hAnsi="Arial" w:cs="Arial"/>
          <w:szCs w:val="20"/>
        </w:rPr>
      </w:pPr>
      <w:r w:rsidRPr="00AA14EA">
        <w:rPr>
          <w:rFonts w:ascii="Arial" w:eastAsia="Times New Roman" w:hAnsi="Arial" w:cs="Arial"/>
          <w:szCs w:val="20"/>
        </w:rPr>
        <w:t>Allowable expenses include training/conference registrations, certification fees and travel costs, including meals.</w:t>
      </w:r>
    </w:p>
    <w:p w14:paraId="0E97F03B" w14:textId="526DCDBC" w:rsidR="003D4B89" w:rsidRPr="00AA14EA" w:rsidRDefault="003D4B89" w:rsidP="00AA14EA">
      <w:pPr>
        <w:numPr>
          <w:ilvl w:val="1"/>
          <w:numId w:val="1"/>
        </w:numPr>
        <w:spacing w:after="0" w:line="240" w:lineRule="auto"/>
        <w:rPr>
          <w:rFonts w:ascii="Arial" w:eastAsia="Times New Roman" w:hAnsi="Arial" w:cs="Arial"/>
          <w:szCs w:val="20"/>
        </w:rPr>
      </w:pPr>
      <w:r w:rsidRPr="00AA14EA">
        <w:rPr>
          <w:rFonts w:ascii="Arial" w:eastAsia="Times New Roman" w:hAnsi="Arial" w:cs="Arial"/>
          <w:szCs w:val="20"/>
        </w:rPr>
        <w:t>Because IHCDA plans to support INCAA's conference in other ways with CSBG funds, these funds may not be used to send CAA staff to INCAA's conference. They may however be used to send board members to INCAA's conference. </w:t>
      </w:r>
    </w:p>
    <w:p w14:paraId="597A96E3" w14:textId="4EFB6A64" w:rsidR="00460FBE" w:rsidRPr="00AA14EA" w:rsidRDefault="00460FBE" w:rsidP="00460FBE">
      <w:pPr>
        <w:shd w:val="clear" w:color="auto" w:fill="FFFFFF"/>
        <w:spacing w:after="0" w:line="240" w:lineRule="auto"/>
        <w:rPr>
          <w:rFonts w:ascii="Arial" w:eastAsia="Times New Roman" w:hAnsi="Arial" w:cs="Arial"/>
          <w:szCs w:val="20"/>
        </w:rPr>
      </w:pPr>
    </w:p>
    <w:p w14:paraId="1E2D55B2" w14:textId="0F95F7EE" w:rsidR="00460FBE" w:rsidRPr="00AA14EA" w:rsidRDefault="00EF40D2" w:rsidP="00AA14EA">
      <w:pPr>
        <w:spacing w:after="0" w:line="240" w:lineRule="auto"/>
        <w:rPr>
          <w:rFonts w:ascii="Arial" w:eastAsia="Times New Roman" w:hAnsi="Arial" w:cs="Arial"/>
          <w:szCs w:val="20"/>
        </w:rPr>
      </w:pPr>
      <w:r w:rsidRPr="00AA14EA">
        <w:rPr>
          <w:rFonts w:ascii="Arial" w:eastAsia="Times New Roman" w:hAnsi="Arial" w:cs="Arial"/>
          <w:szCs w:val="20"/>
        </w:rPr>
        <w:t xml:space="preserve">Claims on those funds must be reimbursement-based and have supporting documentation such as invoices and receipts. </w:t>
      </w:r>
      <w:r w:rsidR="00460FBE" w:rsidRPr="00AA14EA">
        <w:rPr>
          <w:rFonts w:ascii="Arial" w:eastAsia="Times New Roman" w:hAnsi="Arial" w:cs="Arial"/>
          <w:b/>
          <w:bCs/>
          <w:szCs w:val="20"/>
        </w:rPr>
        <w:t>Once the $2,000 has been spent, the CAA will need to report which staff positions were supported with the training funds and they type of training they received.</w:t>
      </w:r>
      <w:r w:rsidR="00460FBE" w:rsidRPr="00AA14EA">
        <w:rPr>
          <w:rFonts w:ascii="Arial" w:eastAsia="Times New Roman" w:hAnsi="Arial" w:cs="Arial"/>
          <w:szCs w:val="20"/>
        </w:rPr>
        <w:t xml:space="preserve"> </w:t>
      </w:r>
    </w:p>
    <w:p w14:paraId="75E7CA44" w14:textId="77777777" w:rsidR="003D4B89" w:rsidRPr="00AA14EA" w:rsidRDefault="003D4B89" w:rsidP="003D4B89">
      <w:pPr>
        <w:spacing w:after="0"/>
        <w:rPr>
          <w:rFonts w:ascii="Arial" w:hAnsi="Arial" w:cs="Arial"/>
          <w:szCs w:val="20"/>
        </w:rPr>
      </w:pPr>
    </w:p>
    <w:p w14:paraId="584793CE" w14:textId="77777777" w:rsidR="003D4B89" w:rsidRPr="005E34EF" w:rsidRDefault="003D4B89" w:rsidP="003D4B89">
      <w:pPr>
        <w:keepNext/>
        <w:keepLines/>
        <w:spacing w:after="0"/>
        <w:outlineLvl w:val="2"/>
        <w:rPr>
          <w:rFonts w:ascii="Arial" w:eastAsiaTheme="majorEastAsia" w:hAnsi="Arial" w:cs="Arial"/>
          <w:color w:val="A2AD00"/>
          <w:sz w:val="28"/>
          <w:szCs w:val="24"/>
        </w:rPr>
      </w:pPr>
      <w:bookmarkStart w:id="4" w:name="_Toc57114987"/>
      <w:r w:rsidRPr="005E34EF">
        <w:rPr>
          <w:rFonts w:ascii="Arial" w:eastAsiaTheme="majorEastAsia" w:hAnsi="Arial" w:cs="Arial"/>
          <w:color w:val="A2AD00"/>
          <w:sz w:val="28"/>
          <w:szCs w:val="24"/>
        </w:rPr>
        <w:t>Monitoring T&amp;TA Funding</w:t>
      </w:r>
      <w:bookmarkEnd w:id="4"/>
    </w:p>
    <w:p w14:paraId="4CFE1E7A" w14:textId="39E81797" w:rsidR="003D4B89" w:rsidRPr="00AA14EA" w:rsidRDefault="003D4B89" w:rsidP="003D4B89">
      <w:pPr>
        <w:spacing w:after="0"/>
        <w:rPr>
          <w:rFonts w:ascii="Arial" w:hAnsi="Arial" w:cs="Arial"/>
          <w:szCs w:val="20"/>
        </w:rPr>
      </w:pPr>
      <w:r w:rsidRPr="00AA14EA">
        <w:rPr>
          <w:rFonts w:ascii="Arial" w:hAnsi="Arial" w:cs="Arial"/>
          <w:szCs w:val="20"/>
        </w:rPr>
        <w:t>In addition to Staff/Board development funds, CAAs will have the opportunity to request direct assistance after the</w:t>
      </w:r>
      <w:r w:rsidR="00AA14EA">
        <w:rPr>
          <w:rFonts w:ascii="Arial" w:hAnsi="Arial" w:cs="Arial"/>
          <w:szCs w:val="20"/>
        </w:rPr>
        <w:t>ir</w:t>
      </w:r>
      <w:r w:rsidRPr="00AA14EA">
        <w:rPr>
          <w:rFonts w:ascii="Arial" w:hAnsi="Arial" w:cs="Arial"/>
          <w:szCs w:val="20"/>
        </w:rPr>
        <w:t xml:space="preserve"> </w:t>
      </w:r>
      <w:r w:rsidR="00AA14EA">
        <w:rPr>
          <w:rFonts w:ascii="Arial" w:hAnsi="Arial" w:cs="Arial"/>
          <w:szCs w:val="20"/>
        </w:rPr>
        <w:t xml:space="preserve">CAR </w:t>
      </w:r>
      <w:r w:rsidRPr="00AA14EA">
        <w:rPr>
          <w:rFonts w:ascii="Arial" w:hAnsi="Arial" w:cs="Arial"/>
          <w:szCs w:val="20"/>
        </w:rPr>
        <w:t>monitoring review</w:t>
      </w:r>
      <w:r w:rsidR="001D1FC3" w:rsidRPr="00AA14EA">
        <w:rPr>
          <w:rFonts w:ascii="Arial" w:hAnsi="Arial" w:cs="Arial"/>
          <w:szCs w:val="20"/>
        </w:rPr>
        <w:t xml:space="preserve"> has begun</w:t>
      </w:r>
      <w:r w:rsidRPr="00AA14EA">
        <w:rPr>
          <w:rFonts w:ascii="Arial" w:hAnsi="Arial" w:cs="Arial"/>
          <w:szCs w:val="20"/>
        </w:rPr>
        <w:t xml:space="preserve">. </w:t>
      </w:r>
      <w:r w:rsidR="00D51EAC" w:rsidRPr="00AA14EA">
        <w:rPr>
          <w:rFonts w:ascii="Arial" w:hAnsi="Arial" w:cs="Arial"/>
          <w:szCs w:val="20"/>
        </w:rPr>
        <w:t>A</w:t>
      </w:r>
      <w:r w:rsidRPr="00AA14EA">
        <w:rPr>
          <w:rFonts w:ascii="Arial" w:hAnsi="Arial" w:cs="Arial"/>
          <w:szCs w:val="20"/>
        </w:rPr>
        <w:t xml:space="preserve"> CAA can email a funding request</w:t>
      </w:r>
      <w:r w:rsidR="007B483A" w:rsidRPr="00AA14EA">
        <w:rPr>
          <w:rFonts w:ascii="Arial" w:hAnsi="Arial" w:cs="Arial"/>
          <w:szCs w:val="20"/>
        </w:rPr>
        <w:t xml:space="preserve">, using the subject line “Monitoring TTA Funding Request,” </w:t>
      </w:r>
      <w:r w:rsidRPr="00AA14EA">
        <w:rPr>
          <w:rFonts w:ascii="Arial" w:hAnsi="Arial" w:cs="Arial"/>
          <w:szCs w:val="20"/>
        </w:rPr>
        <w:t>to the CSBG inbox (</w:t>
      </w:r>
      <w:hyperlink r:id="rId11" w:history="1">
        <w:r w:rsidRPr="00AA14EA">
          <w:rPr>
            <w:rFonts w:ascii="Arial" w:hAnsi="Arial" w:cs="Arial"/>
            <w:color w:val="0563C1" w:themeColor="hyperlink"/>
            <w:szCs w:val="20"/>
            <w:u w:val="single"/>
          </w:rPr>
          <w:t>CSBG@ihcda.in.gov</w:t>
        </w:r>
      </w:hyperlink>
      <w:r w:rsidRPr="00AA14EA">
        <w:rPr>
          <w:rFonts w:ascii="Arial" w:hAnsi="Arial" w:cs="Arial"/>
          <w:szCs w:val="20"/>
        </w:rPr>
        <w:t>)</w:t>
      </w:r>
      <w:r w:rsidR="00D51EAC" w:rsidRPr="00AA14EA">
        <w:rPr>
          <w:rFonts w:ascii="Arial" w:hAnsi="Arial" w:cs="Arial"/>
          <w:szCs w:val="20"/>
        </w:rPr>
        <w:t xml:space="preserve"> at any point between their CAR Monitoring beginning and 60 days after the IHCDA CSBG Monitor has sent the CAR Monitoring Report</w:t>
      </w:r>
      <w:r w:rsidRPr="00AA14EA">
        <w:rPr>
          <w:rFonts w:ascii="Arial" w:hAnsi="Arial" w:cs="Arial"/>
          <w:szCs w:val="20"/>
        </w:rPr>
        <w:t xml:space="preserve">. This option is available to all monitored agencies, not just those on Quality or Modified Quality Improvement Plans. </w:t>
      </w:r>
    </w:p>
    <w:p w14:paraId="4BE40397" w14:textId="77777777" w:rsidR="003D4B89" w:rsidRPr="00AA14EA" w:rsidRDefault="003D4B89" w:rsidP="003D4B89">
      <w:pPr>
        <w:spacing w:after="0"/>
        <w:rPr>
          <w:rFonts w:ascii="Arial" w:hAnsi="Arial" w:cs="Arial"/>
          <w:szCs w:val="20"/>
        </w:rPr>
      </w:pPr>
    </w:p>
    <w:p w14:paraId="320B3F81" w14:textId="56E70DD8" w:rsidR="007B483A" w:rsidRPr="00AA14EA" w:rsidRDefault="003D4B89" w:rsidP="003D4B89">
      <w:pPr>
        <w:spacing w:after="0"/>
        <w:rPr>
          <w:rFonts w:ascii="Arial" w:hAnsi="Arial" w:cs="Arial"/>
          <w:szCs w:val="20"/>
        </w:rPr>
      </w:pPr>
      <w:r w:rsidRPr="00AA14EA">
        <w:rPr>
          <w:rFonts w:ascii="Arial" w:hAnsi="Arial" w:cs="Arial"/>
          <w:szCs w:val="20"/>
        </w:rPr>
        <w:lastRenderedPageBreak/>
        <w:t xml:space="preserve">Within the email proposal to IHCDA staff, the CAA must </w:t>
      </w:r>
      <w:r w:rsidR="001D1FC3" w:rsidRPr="00AA14EA">
        <w:rPr>
          <w:rFonts w:ascii="Arial" w:hAnsi="Arial" w:cs="Arial"/>
          <w:szCs w:val="20"/>
        </w:rPr>
        <w:t>address the following question</w:t>
      </w:r>
      <w:r w:rsidR="007B483A" w:rsidRPr="00AA14EA">
        <w:rPr>
          <w:rFonts w:ascii="Arial" w:hAnsi="Arial" w:cs="Arial"/>
          <w:szCs w:val="20"/>
        </w:rPr>
        <w:t>s</w:t>
      </w:r>
      <w:r w:rsidR="001D1FC3" w:rsidRPr="00AA14EA">
        <w:rPr>
          <w:rFonts w:ascii="Arial" w:hAnsi="Arial" w:cs="Arial"/>
          <w:szCs w:val="20"/>
        </w:rPr>
        <w:t xml:space="preserve"> either in the body of the email or in a separate attachment</w:t>
      </w:r>
      <w:r w:rsidRPr="00AA14EA">
        <w:rPr>
          <w:rFonts w:ascii="Arial" w:hAnsi="Arial" w:cs="Arial"/>
          <w:szCs w:val="20"/>
        </w:rPr>
        <w:t>:</w:t>
      </w:r>
    </w:p>
    <w:p w14:paraId="790B04A3" w14:textId="77777777" w:rsidR="007B483A" w:rsidRPr="00AA14EA" w:rsidRDefault="007B483A" w:rsidP="003D4B89">
      <w:pPr>
        <w:spacing w:after="0"/>
        <w:rPr>
          <w:rFonts w:ascii="Arial" w:hAnsi="Arial" w:cs="Arial"/>
          <w:szCs w:val="20"/>
        </w:rPr>
      </w:pPr>
    </w:p>
    <w:p w14:paraId="62B4FEBC" w14:textId="7422610B" w:rsidR="003D4B89" w:rsidRPr="00AA14EA" w:rsidRDefault="001D1FC3" w:rsidP="003D4B89">
      <w:pPr>
        <w:numPr>
          <w:ilvl w:val="0"/>
          <w:numId w:val="2"/>
        </w:numPr>
        <w:contextualSpacing/>
        <w:rPr>
          <w:rFonts w:ascii="Arial" w:hAnsi="Arial" w:cs="Arial"/>
          <w:szCs w:val="20"/>
        </w:rPr>
      </w:pPr>
      <w:r w:rsidRPr="00AA14EA">
        <w:rPr>
          <w:rFonts w:ascii="Arial" w:hAnsi="Arial" w:cs="Arial"/>
          <w:szCs w:val="20"/>
        </w:rPr>
        <w:t xml:space="preserve">Which deficiency or deficiencies do you plan to address with this funding request? </w:t>
      </w:r>
      <w:r w:rsidR="00AA14EA">
        <w:rPr>
          <w:rFonts w:ascii="Arial" w:hAnsi="Arial" w:cs="Arial"/>
          <w:szCs w:val="20"/>
        </w:rPr>
        <w:t>I</w:t>
      </w:r>
      <w:r w:rsidRPr="00AA14EA">
        <w:rPr>
          <w:rFonts w:ascii="Arial" w:hAnsi="Arial" w:cs="Arial"/>
          <w:szCs w:val="20"/>
        </w:rPr>
        <w:t xml:space="preserve">nclude the </w:t>
      </w:r>
      <w:r w:rsidR="00E462D0" w:rsidRPr="00AA14EA">
        <w:rPr>
          <w:rFonts w:ascii="Arial" w:hAnsi="Arial" w:cs="Arial"/>
          <w:szCs w:val="20"/>
        </w:rPr>
        <w:t xml:space="preserve">Federal or State </w:t>
      </w:r>
      <w:r w:rsidRPr="00AA14EA">
        <w:rPr>
          <w:rFonts w:ascii="Arial" w:hAnsi="Arial" w:cs="Arial"/>
          <w:szCs w:val="20"/>
        </w:rPr>
        <w:t>Organizational Standard number and where the deficiency was first noted (CAR Monitoring Report, Observational Report, notes from the IHCDA Monitor, etc.)</w:t>
      </w:r>
    </w:p>
    <w:p w14:paraId="549D5008" w14:textId="4B328A62" w:rsidR="003D4B89" w:rsidRPr="00AA14EA" w:rsidRDefault="001D1FC3" w:rsidP="003D4B89">
      <w:pPr>
        <w:numPr>
          <w:ilvl w:val="0"/>
          <w:numId w:val="2"/>
        </w:numPr>
        <w:contextualSpacing/>
        <w:rPr>
          <w:rFonts w:ascii="Arial" w:hAnsi="Arial" w:cs="Arial"/>
          <w:szCs w:val="20"/>
        </w:rPr>
      </w:pPr>
      <w:r w:rsidRPr="00AA14EA">
        <w:rPr>
          <w:rFonts w:ascii="Arial" w:hAnsi="Arial" w:cs="Arial"/>
          <w:szCs w:val="20"/>
        </w:rPr>
        <w:t xml:space="preserve">How will you address the deficiency or deficiencies? </w:t>
      </w:r>
      <w:r w:rsidR="00AA14EA">
        <w:rPr>
          <w:rFonts w:ascii="Arial" w:hAnsi="Arial" w:cs="Arial"/>
          <w:szCs w:val="20"/>
        </w:rPr>
        <w:t>I</w:t>
      </w:r>
      <w:r w:rsidRPr="00AA14EA">
        <w:rPr>
          <w:rFonts w:ascii="Arial" w:hAnsi="Arial" w:cs="Arial"/>
          <w:szCs w:val="20"/>
        </w:rPr>
        <w:t>nclude a general description of actions, a brief timeline and note if a contractor will be involved; if a contractor is involved, attach their scope of work to the email request.</w:t>
      </w:r>
    </w:p>
    <w:p w14:paraId="321425AA" w14:textId="2F7B453F" w:rsidR="003D4B89" w:rsidRPr="00AA14EA" w:rsidRDefault="001D1FC3" w:rsidP="003D4B89">
      <w:pPr>
        <w:numPr>
          <w:ilvl w:val="0"/>
          <w:numId w:val="2"/>
        </w:numPr>
        <w:contextualSpacing/>
        <w:rPr>
          <w:rFonts w:ascii="Arial" w:hAnsi="Arial" w:cs="Arial"/>
          <w:szCs w:val="20"/>
        </w:rPr>
      </w:pPr>
      <w:r w:rsidRPr="00AA14EA">
        <w:rPr>
          <w:rFonts w:ascii="Arial" w:hAnsi="Arial" w:cs="Arial"/>
          <w:szCs w:val="20"/>
        </w:rPr>
        <w:t>How will you spend your requested funding? Please use the table below:</w:t>
      </w:r>
    </w:p>
    <w:tbl>
      <w:tblPr>
        <w:tblStyle w:val="TableGrid"/>
        <w:tblW w:w="0" w:type="auto"/>
        <w:tblInd w:w="720" w:type="dxa"/>
        <w:tblLook w:val="04A0" w:firstRow="1" w:lastRow="0" w:firstColumn="1" w:lastColumn="0" w:noHBand="0" w:noVBand="1"/>
      </w:tblPr>
      <w:tblGrid>
        <w:gridCol w:w="4315"/>
        <w:gridCol w:w="3420"/>
      </w:tblGrid>
      <w:tr w:rsidR="001D1FC3" w:rsidRPr="00AA14EA" w14:paraId="7AEF6599" w14:textId="77777777" w:rsidTr="00AA4DBB">
        <w:tc>
          <w:tcPr>
            <w:tcW w:w="4315" w:type="dxa"/>
          </w:tcPr>
          <w:p w14:paraId="085F5F0D" w14:textId="12667A01" w:rsidR="001D1FC3" w:rsidRPr="00AA14EA" w:rsidRDefault="001D1FC3" w:rsidP="00AA4DBB">
            <w:pPr>
              <w:pStyle w:val="ListParagraph"/>
              <w:ind w:left="0"/>
              <w:rPr>
                <w:rFonts w:ascii="Arial" w:hAnsi="Arial" w:cs="Arial"/>
                <w:b/>
                <w:bCs/>
              </w:rPr>
            </w:pPr>
            <w:r w:rsidRPr="00AA14EA">
              <w:rPr>
                <w:rFonts w:ascii="Arial" w:hAnsi="Arial" w:cs="Arial"/>
                <w:b/>
                <w:bCs/>
              </w:rPr>
              <w:t>Expense Type</w:t>
            </w:r>
            <w:r w:rsidR="001A592A" w:rsidRPr="00AA14EA">
              <w:rPr>
                <w:rFonts w:ascii="Arial" w:hAnsi="Arial" w:cs="Arial"/>
                <w:b/>
                <w:bCs/>
              </w:rPr>
              <w:t xml:space="preserve"> </w:t>
            </w:r>
          </w:p>
        </w:tc>
        <w:tc>
          <w:tcPr>
            <w:tcW w:w="3420" w:type="dxa"/>
          </w:tcPr>
          <w:p w14:paraId="4DCE35B6" w14:textId="77777777" w:rsidR="001D1FC3" w:rsidRPr="00AA14EA" w:rsidRDefault="001D1FC3" w:rsidP="00AA4DBB">
            <w:pPr>
              <w:pStyle w:val="ListParagraph"/>
              <w:ind w:left="0"/>
              <w:rPr>
                <w:rFonts w:ascii="Arial" w:hAnsi="Arial" w:cs="Arial"/>
                <w:b/>
                <w:bCs/>
              </w:rPr>
            </w:pPr>
            <w:r w:rsidRPr="00AA14EA">
              <w:rPr>
                <w:rFonts w:ascii="Arial" w:hAnsi="Arial" w:cs="Arial"/>
                <w:b/>
                <w:bCs/>
              </w:rPr>
              <w:t>Expense Amount</w:t>
            </w:r>
          </w:p>
        </w:tc>
      </w:tr>
      <w:tr w:rsidR="001D1FC3" w:rsidRPr="00AA14EA" w14:paraId="7303F4F4" w14:textId="77777777" w:rsidTr="00AA4DBB">
        <w:tc>
          <w:tcPr>
            <w:tcW w:w="4315" w:type="dxa"/>
          </w:tcPr>
          <w:p w14:paraId="4D19A0A8" w14:textId="4D52E80D" w:rsidR="001D1FC3" w:rsidRPr="00AA14EA" w:rsidRDefault="0080599E" w:rsidP="00AA4DBB">
            <w:pPr>
              <w:pStyle w:val="ListParagraph"/>
              <w:ind w:left="0"/>
              <w:rPr>
                <w:rFonts w:ascii="Arial" w:hAnsi="Arial" w:cs="Arial"/>
                <w:i/>
                <w:iCs/>
                <w:sz w:val="24"/>
                <w:szCs w:val="24"/>
              </w:rPr>
            </w:pPr>
            <w:r w:rsidRPr="00AA14EA">
              <w:rPr>
                <w:rFonts w:ascii="Arial" w:hAnsi="Arial" w:cs="Arial"/>
                <w:i/>
                <w:iCs/>
              </w:rPr>
              <w:t>Ex: c</w:t>
            </w:r>
            <w:r w:rsidR="001A592A" w:rsidRPr="00AA14EA">
              <w:rPr>
                <w:rFonts w:ascii="Arial" w:hAnsi="Arial" w:cs="Arial"/>
                <w:i/>
                <w:iCs/>
              </w:rPr>
              <w:t>ontractor, materials, etc.</w:t>
            </w:r>
          </w:p>
        </w:tc>
        <w:tc>
          <w:tcPr>
            <w:tcW w:w="3420" w:type="dxa"/>
          </w:tcPr>
          <w:p w14:paraId="6B353375" w14:textId="77777777" w:rsidR="001D1FC3" w:rsidRPr="00AA14EA" w:rsidRDefault="001D1FC3" w:rsidP="00AA4DBB">
            <w:pPr>
              <w:pStyle w:val="ListParagraph"/>
              <w:ind w:left="0"/>
              <w:rPr>
                <w:rFonts w:ascii="Arial" w:hAnsi="Arial" w:cs="Arial"/>
                <w:sz w:val="24"/>
                <w:szCs w:val="24"/>
              </w:rPr>
            </w:pPr>
          </w:p>
        </w:tc>
      </w:tr>
      <w:tr w:rsidR="001D1FC3" w:rsidRPr="00AA14EA" w14:paraId="72D9CD79" w14:textId="77777777" w:rsidTr="00AA4DBB">
        <w:tc>
          <w:tcPr>
            <w:tcW w:w="4315" w:type="dxa"/>
          </w:tcPr>
          <w:p w14:paraId="79D932BE" w14:textId="77777777" w:rsidR="001D1FC3" w:rsidRPr="00AA14EA" w:rsidRDefault="001D1FC3" w:rsidP="00AA4DBB">
            <w:pPr>
              <w:pStyle w:val="ListParagraph"/>
              <w:ind w:left="0"/>
              <w:rPr>
                <w:rFonts w:ascii="Arial" w:hAnsi="Arial" w:cs="Arial"/>
                <w:sz w:val="24"/>
                <w:szCs w:val="24"/>
              </w:rPr>
            </w:pPr>
          </w:p>
        </w:tc>
        <w:tc>
          <w:tcPr>
            <w:tcW w:w="3420" w:type="dxa"/>
          </w:tcPr>
          <w:p w14:paraId="1C7C97D7" w14:textId="77777777" w:rsidR="001D1FC3" w:rsidRPr="00AA14EA" w:rsidRDefault="001D1FC3" w:rsidP="00AA4DBB">
            <w:pPr>
              <w:pStyle w:val="ListParagraph"/>
              <w:ind w:left="0"/>
              <w:rPr>
                <w:rFonts w:ascii="Arial" w:hAnsi="Arial" w:cs="Arial"/>
                <w:sz w:val="24"/>
                <w:szCs w:val="24"/>
              </w:rPr>
            </w:pPr>
          </w:p>
        </w:tc>
      </w:tr>
      <w:tr w:rsidR="001D1FC3" w:rsidRPr="00AA14EA" w14:paraId="0FD416E9" w14:textId="77777777" w:rsidTr="00AA4DBB">
        <w:tc>
          <w:tcPr>
            <w:tcW w:w="4315" w:type="dxa"/>
          </w:tcPr>
          <w:p w14:paraId="28AC87E8" w14:textId="5B90C59F" w:rsidR="001D1FC3" w:rsidRPr="00AA14EA" w:rsidRDefault="001D1FC3" w:rsidP="00AA4DBB">
            <w:pPr>
              <w:pStyle w:val="ListParagraph"/>
              <w:ind w:left="0"/>
              <w:rPr>
                <w:rFonts w:ascii="Arial" w:hAnsi="Arial" w:cs="Arial"/>
                <w:b/>
                <w:bCs/>
              </w:rPr>
            </w:pPr>
            <w:r w:rsidRPr="00AA14EA">
              <w:rPr>
                <w:rFonts w:ascii="Arial" w:hAnsi="Arial" w:cs="Arial"/>
                <w:b/>
                <w:bCs/>
              </w:rPr>
              <w:t>TOTAL:</w:t>
            </w:r>
          </w:p>
        </w:tc>
        <w:tc>
          <w:tcPr>
            <w:tcW w:w="3420" w:type="dxa"/>
          </w:tcPr>
          <w:p w14:paraId="7DE686F3" w14:textId="77777777" w:rsidR="001D1FC3" w:rsidRPr="00AA14EA" w:rsidRDefault="001D1FC3" w:rsidP="00AA4DBB">
            <w:pPr>
              <w:pStyle w:val="ListParagraph"/>
              <w:ind w:left="0"/>
              <w:rPr>
                <w:rFonts w:ascii="Arial" w:hAnsi="Arial" w:cs="Arial"/>
              </w:rPr>
            </w:pPr>
          </w:p>
        </w:tc>
      </w:tr>
    </w:tbl>
    <w:p w14:paraId="271C4B8B" w14:textId="77777777" w:rsidR="001D1FC3" w:rsidRPr="00AA14EA" w:rsidRDefault="001D1FC3" w:rsidP="001D1FC3">
      <w:pPr>
        <w:ind w:left="720"/>
        <w:contextualSpacing/>
        <w:rPr>
          <w:rFonts w:ascii="Arial" w:hAnsi="Arial" w:cs="Arial"/>
          <w:szCs w:val="20"/>
        </w:rPr>
      </w:pPr>
    </w:p>
    <w:p w14:paraId="51F2C639" w14:textId="77777777" w:rsidR="00D51EAC" w:rsidRPr="00AA14EA" w:rsidRDefault="00D51EAC" w:rsidP="00D51EAC">
      <w:pPr>
        <w:ind w:left="720"/>
        <w:contextualSpacing/>
        <w:rPr>
          <w:rFonts w:ascii="Arial" w:hAnsi="Arial" w:cs="Arial"/>
          <w:szCs w:val="20"/>
        </w:rPr>
      </w:pPr>
    </w:p>
    <w:p w14:paraId="34ED4B76" w14:textId="44FE5598" w:rsidR="003D4B89" w:rsidRPr="00AA14EA" w:rsidRDefault="003D4B89" w:rsidP="003D4B89">
      <w:pPr>
        <w:rPr>
          <w:rFonts w:ascii="Arial" w:hAnsi="Arial" w:cs="Arial"/>
          <w:szCs w:val="20"/>
        </w:rPr>
      </w:pPr>
      <w:r w:rsidRPr="00AA14EA">
        <w:rPr>
          <w:rFonts w:ascii="Arial" w:hAnsi="Arial" w:cs="Arial"/>
          <w:szCs w:val="20"/>
        </w:rPr>
        <w:t>CAAs may make requests of up to $10,000</w:t>
      </w:r>
      <w:r w:rsidR="00AA14EA">
        <w:rPr>
          <w:rFonts w:ascii="Arial" w:hAnsi="Arial" w:cs="Arial"/>
          <w:szCs w:val="20"/>
        </w:rPr>
        <w:t>; if a CAA has a severe need for more funds, they may note that in their request for IHCDA to consider increasing their award</w:t>
      </w:r>
      <w:r w:rsidRPr="00AA14EA">
        <w:rPr>
          <w:rFonts w:ascii="Arial" w:hAnsi="Arial" w:cs="Arial"/>
          <w:szCs w:val="20"/>
        </w:rPr>
        <w:t>. If approved, those funds will be added to the CAA’s CSBG-D award via an award amendment and will be added to their budget line items as “Monitoring TTA.” Allowable expenses include contractor fees, as well as staff time and other costs on a case-by-case basis. Claims on those funds must be reimbursement-based and have supporting documentation such as invoices and receipts</w:t>
      </w:r>
      <w:r w:rsidR="001D1FC3" w:rsidRPr="00AA14EA">
        <w:rPr>
          <w:rFonts w:ascii="Arial" w:hAnsi="Arial" w:cs="Arial"/>
          <w:szCs w:val="20"/>
        </w:rPr>
        <w:t>.</w:t>
      </w:r>
    </w:p>
    <w:p w14:paraId="0E74BC9F" w14:textId="77777777" w:rsidR="003D4B89" w:rsidRPr="005E34EF" w:rsidRDefault="003D4B89" w:rsidP="003D4B89">
      <w:pPr>
        <w:keepNext/>
        <w:keepLines/>
        <w:spacing w:after="0"/>
        <w:outlineLvl w:val="2"/>
        <w:rPr>
          <w:rFonts w:ascii="Arial" w:eastAsiaTheme="majorEastAsia" w:hAnsi="Arial" w:cs="Arial"/>
          <w:color w:val="A2AD00"/>
          <w:sz w:val="28"/>
          <w:szCs w:val="24"/>
        </w:rPr>
      </w:pPr>
      <w:bookmarkStart w:id="5" w:name="_Toc57114988"/>
      <w:r w:rsidRPr="005E34EF">
        <w:rPr>
          <w:rFonts w:ascii="Arial" w:eastAsiaTheme="majorEastAsia" w:hAnsi="Arial" w:cs="Arial"/>
          <w:color w:val="A2AD00"/>
          <w:sz w:val="28"/>
          <w:szCs w:val="24"/>
        </w:rPr>
        <w:t>Other Direct T&amp;TA Funding</w:t>
      </w:r>
      <w:bookmarkEnd w:id="5"/>
    </w:p>
    <w:p w14:paraId="2F74CF91" w14:textId="77777777" w:rsidR="003D4B89" w:rsidRPr="00AA14EA" w:rsidRDefault="003D4B89" w:rsidP="003D4B89">
      <w:pPr>
        <w:rPr>
          <w:rFonts w:ascii="Arial" w:hAnsi="Arial" w:cs="Arial"/>
          <w:szCs w:val="20"/>
        </w:rPr>
      </w:pPr>
      <w:r w:rsidRPr="00AA14EA">
        <w:rPr>
          <w:rFonts w:ascii="Arial" w:hAnsi="Arial" w:cs="Arial"/>
          <w:szCs w:val="20"/>
        </w:rPr>
        <w:t xml:space="preserve">IHCDA may, at its discretion and based on available funds, offer additional funds to an agency to address a deficiency that is discovered outside of the monitoring process. If that happens, those funds will also be added to a CAA’s CSBG-D award via an award amendment; the funds will be added to the award budget with the line item “General TTA.”  </w:t>
      </w:r>
    </w:p>
    <w:p w14:paraId="5A46AA7D" w14:textId="77777777" w:rsidR="00F363FF" w:rsidRDefault="000B290A"/>
    <w:sectPr w:rsidR="00F363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entadue, Joseph (IHCDA)" w:date="2021-10-27T09:54:00Z" w:initials="TJ(">
    <w:p w14:paraId="5D2F0737" w14:textId="02421F05" w:rsidR="00FB5930" w:rsidRDefault="00FB5930">
      <w:pPr>
        <w:pStyle w:val="CommentText"/>
      </w:pPr>
      <w:r>
        <w:rPr>
          <w:rStyle w:val="CommentReference"/>
        </w:rPr>
        <w:annotationRef/>
      </w:r>
      <w:r>
        <w:t>Are separate discretionary awards granted every year? Is this applicable to our 2022 manual?</w:t>
      </w:r>
    </w:p>
  </w:comment>
  <w:comment w:id="3" w:author="Trentadue, Joseph (IHCDA)" w:date="2021-10-27T09:55:00Z" w:initials="TJ(">
    <w:p w14:paraId="1A67DA71" w14:textId="26552427" w:rsidR="00FB5930" w:rsidRDefault="00FB5930">
      <w:pPr>
        <w:pStyle w:val="CommentText"/>
      </w:pPr>
      <w:r>
        <w:rPr>
          <w:rStyle w:val="CommentReference"/>
        </w:rPr>
        <w:annotationRef/>
      </w:r>
      <w:r>
        <w:t>Is this amount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F0737" w15:done="0"/>
  <w15:commentEx w15:paraId="1A67DA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A05B" w16cex:dateUtc="2021-10-27T13:54:00Z"/>
  <w16cex:commentExtensible w16cex:durableId="2523A08B" w16cex:dateUtc="2021-10-27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F0737" w16cid:durableId="2523A05B"/>
  <w16cid:commentId w16cid:paraId="1A67DA71" w16cid:durableId="2523A0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3FF4" w14:textId="77777777" w:rsidR="00315AA1" w:rsidRDefault="00315AA1" w:rsidP="00315AA1">
      <w:pPr>
        <w:spacing w:after="0" w:line="240" w:lineRule="auto"/>
      </w:pPr>
      <w:r>
        <w:separator/>
      </w:r>
    </w:p>
  </w:endnote>
  <w:endnote w:type="continuationSeparator" w:id="0">
    <w:p w14:paraId="3FD0A800" w14:textId="77777777" w:rsidR="00315AA1" w:rsidRDefault="00315AA1" w:rsidP="0031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707A" w14:textId="77777777" w:rsidR="00315AA1" w:rsidRDefault="00315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FB31" w14:textId="77777777" w:rsidR="00315AA1" w:rsidRDefault="00315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28EC" w14:textId="77777777" w:rsidR="00315AA1" w:rsidRDefault="0031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70D7" w14:textId="77777777" w:rsidR="00315AA1" w:rsidRDefault="00315AA1" w:rsidP="00315AA1">
      <w:pPr>
        <w:spacing w:after="0" w:line="240" w:lineRule="auto"/>
      </w:pPr>
      <w:r>
        <w:separator/>
      </w:r>
    </w:p>
  </w:footnote>
  <w:footnote w:type="continuationSeparator" w:id="0">
    <w:p w14:paraId="31CA68C6" w14:textId="77777777" w:rsidR="00315AA1" w:rsidRDefault="00315AA1" w:rsidP="0031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8041" w14:textId="77777777" w:rsidR="00315AA1" w:rsidRDefault="00315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E4DC" w14:textId="2C1AAB13" w:rsidR="00315AA1" w:rsidRDefault="00315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E901" w14:textId="77777777" w:rsidR="00315AA1" w:rsidRDefault="00315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7"/>
    <w:multiLevelType w:val="hybridMultilevel"/>
    <w:tmpl w:val="1BAAC318"/>
    <w:lvl w:ilvl="0" w:tplc="4828A384">
      <w:start w:val="1"/>
      <w:numFmt w:val="decimal"/>
      <w:lvlText w:val="%1."/>
      <w:lvlJc w:val="left"/>
      <w:pPr>
        <w:tabs>
          <w:tab w:val="num" w:pos="720"/>
        </w:tabs>
        <w:ind w:left="720" w:hanging="360"/>
      </w:pPr>
    </w:lvl>
    <w:lvl w:ilvl="1" w:tplc="A182788E">
      <w:start w:val="1"/>
      <w:numFmt w:val="bullet"/>
      <w:lvlText w:val=""/>
      <w:lvlJc w:val="left"/>
      <w:pPr>
        <w:tabs>
          <w:tab w:val="num" w:pos="1440"/>
        </w:tabs>
        <w:ind w:left="1440" w:hanging="360"/>
      </w:pPr>
      <w:rPr>
        <w:rFonts w:ascii="Symbol" w:hAnsi="Symbol" w:hint="default"/>
        <w:sz w:val="20"/>
      </w:rPr>
    </w:lvl>
    <w:lvl w:ilvl="2" w:tplc="6652BD40" w:tentative="1">
      <w:start w:val="1"/>
      <w:numFmt w:val="decimal"/>
      <w:lvlText w:val="%3."/>
      <w:lvlJc w:val="left"/>
      <w:pPr>
        <w:tabs>
          <w:tab w:val="num" w:pos="2160"/>
        </w:tabs>
        <w:ind w:left="2160" w:hanging="360"/>
      </w:pPr>
    </w:lvl>
    <w:lvl w:ilvl="3" w:tplc="F6D4A4FE" w:tentative="1">
      <w:start w:val="1"/>
      <w:numFmt w:val="decimal"/>
      <w:lvlText w:val="%4."/>
      <w:lvlJc w:val="left"/>
      <w:pPr>
        <w:tabs>
          <w:tab w:val="num" w:pos="2880"/>
        </w:tabs>
        <w:ind w:left="2880" w:hanging="360"/>
      </w:pPr>
    </w:lvl>
    <w:lvl w:ilvl="4" w:tplc="16D416C8" w:tentative="1">
      <w:start w:val="1"/>
      <w:numFmt w:val="decimal"/>
      <w:lvlText w:val="%5."/>
      <w:lvlJc w:val="left"/>
      <w:pPr>
        <w:tabs>
          <w:tab w:val="num" w:pos="3600"/>
        </w:tabs>
        <w:ind w:left="3600" w:hanging="360"/>
      </w:pPr>
    </w:lvl>
    <w:lvl w:ilvl="5" w:tplc="61FA31C2" w:tentative="1">
      <w:start w:val="1"/>
      <w:numFmt w:val="decimal"/>
      <w:lvlText w:val="%6."/>
      <w:lvlJc w:val="left"/>
      <w:pPr>
        <w:tabs>
          <w:tab w:val="num" w:pos="4320"/>
        </w:tabs>
        <w:ind w:left="4320" w:hanging="360"/>
      </w:pPr>
    </w:lvl>
    <w:lvl w:ilvl="6" w:tplc="5066C012" w:tentative="1">
      <w:start w:val="1"/>
      <w:numFmt w:val="decimal"/>
      <w:lvlText w:val="%7."/>
      <w:lvlJc w:val="left"/>
      <w:pPr>
        <w:tabs>
          <w:tab w:val="num" w:pos="5040"/>
        </w:tabs>
        <w:ind w:left="5040" w:hanging="360"/>
      </w:pPr>
    </w:lvl>
    <w:lvl w:ilvl="7" w:tplc="1B3C1280" w:tentative="1">
      <w:start w:val="1"/>
      <w:numFmt w:val="decimal"/>
      <w:lvlText w:val="%8."/>
      <w:lvlJc w:val="left"/>
      <w:pPr>
        <w:tabs>
          <w:tab w:val="num" w:pos="5760"/>
        </w:tabs>
        <w:ind w:left="5760" w:hanging="360"/>
      </w:pPr>
    </w:lvl>
    <w:lvl w:ilvl="8" w:tplc="F73C3A26" w:tentative="1">
      <w:start w:val="1"/>
      <w:numFmt w:val="decimal"/>
      <w:lvlText w:val="%9."/>
      <w:lvlJc w:val="left"/>
      <w:pPr>
        <w:tabs>
          <w:tab w:val="num" w:pos="6480"/>
        </w:tabs>
        <w:ind w:left="6480" w:hanging="360"/>
      </w:pPr>
    </w:lvl>
  </w:abstractNum>
  <w:abstractNum w:abstractNumId="1" w15:restartNumberingAfterBreak="0">
    <w:nsid w:val="126E3ADF"/>
    <w:multiLevelType w:val="hybridMultilevel"/>
    <w:tmpl w:val="8A28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ntadue, Joseph (IHCDA)">
    <w15:presenceInfo w15:providerId="AD" w15:userId="S::JTrentadue@ihcda.IN.gov::8b39fb10-9bee-48b3-820f-1f3def224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89"/>
    <w:rsid w:val="000B290A"/>
    <w:rsid w:val="001A592A"/>
    <w:rsid w:val="001C29D0"/>
    <w:rsid w:val="001D1FC3"/>
    <w:rsid w:val="00315AA1"/>
    <w:rsid w:val="003D4B89"/>
    <w:rsid w:val="00460FBE"/>
    <w:rsid w:val="00492EF8"/>
    <w:rsid w:val="005C21FB"/>
    <w:rsid w:val="005E34EF"/>
    <w:rsid w:val="005F2367"/>
    <w:rsid w:val="005F5129"/>
    <w:rsid w:val="007B483A"/>
    <w:rsid w:val="007E1243"/>
    <w:rsid w:val="0080599E"/>
    <w:rsid w:val="00821956"/>
    <w:rsid w:val="00893A17"/>
    <w:rsid w:val="008D7865"/>
    <w:rsid w:val="009757C4"/>
    <w:rsid w:val="00AA14EA"/>
    <w:rsid w:val="00D41F82"/>
    <w:rsid w:val="00D51EAC"/>
    <w:rsid w:val="00E3424D"/>
    <w:rsid w:val="00E462D0"/>
    <w:rsid w:val="00ED79B0"/>
    <w:rsid w:val="00EF40D2"/>
    <w:rsid w:val="00FB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4D235"/>
  <w15:chartTrackingRefBased/>
  <w15:docId w15:val="{E4F5D2ED-AB1C-41E1-81BF-3B1CF1E5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9D0"/>
    <w:pPr>
      <w:keepNext/>
      <w:keepLines/>
      <w:spacing w:before="240" w:after="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4B89"/>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3D4B89"/>
    <w:rPr>
      <w:rFonts w:ascii="Arial" w:hAnsi="Arial"/>
      <w:sz w:val="20"/>
      <w:szCs w:val="20"/>
    </w:rPr>
  </w:style>
  <w:style w:type="character" w:styleId="CommentReference">
    <w:name w:val="annotation reference"/>
    <w:basedOn w:val="DefaultParagraphFont"/>
    <w:uiPriority w:val="99"/>
    <w:unhideWhenUsed/>
    <w:rsid w:val="003D4B89"/>
    <w:rPr>
      <w:sz w:val="16"/>
      <w:szCs w:val="16"/>
    </w:rPr>
  </w:style>
  <w:style w:type="paragraph" w:styleId="BalloonText">
    <w:name w:val="Balloon Text"/>
    <w:basedOn w:val="Normal"/>
    <w:link w:val="BalloonTextChar"/>
    <w:uiPriority w:val="99"/>
    <w:semiHidden/>
    <w:unhideWhenUsed/>
    <w:rsid w:val="003D4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89"/>
    <w:rPr>
      <w:rFonts w:ascii="Segoe UI" w:hAnsi="Segoe UI" w:cs="Segoe UI"/>
      <w:sz w:val="18"/>
      <w:szCs w:val="18"/>
    </w:rPr>
  </w:style>
  <w:style w:type="paragraph" w:styleId="ListParagraph">
    <w:name w:val="List Paragraph"/>
    <w:basedOn w:val="Normal"/>
    <w:uiPriority w:val="34"/>
    <w:qFormat/>
    <w:rsid w:val="001D1FC3"/>
    <w:pPr>
      <w:ind w:left="720"/>
      <w:contextualSpacing/>
    </w:pPr>
  </w:style>
  <w:style w:type="table" w:styleId="TableGrid">
    <w:name w:val="Table Grid"/>
    <w:basedOn w:val="TableNormal"/>
    <w:uiPriority w:val="39"/>
    <w:rsid w:val="001D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AA1"/>
  </w:style>
  <w:style w:type="paragraph" w:styleId="Footer">
    <w:name w:val="footer"/>
    <w:basedOn w:val="Normal"/>
    <w:link w:val="FooterChar"/>
    <w:uiPriority w:val="99"/>
    <w:unhideWhenUsed/>
    <w:rsid w:val="0031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A1"/>
  </w:style>
  <w:style w:type="paragraph" w:styleId="CommentSubject">
    <w:name w:val="annotation subject"/>
    <w:basedOn w:val="CommentText"/>
    <w:next w:val="CommentText"/>
    <w:link w:val="CommentSubjectChar"/>
    <w:uiPriority w:val="99"/>
    <w:semiHidden/>
    <w:unhideWhenUsed/>
    <w:rsid w:val="00E462D0"/>
    <w:rPr>
      <w:rFonts w:asciiTheme="minorHAnsi" w:hAnsiTheme="minorHAnsi"/>
      <w:b/>
      <w:bCs/>
    </w:rPr>
  </w:style>
  <w:style w:type="character" w:customStyle="1" w:styleId="CommentSubjectChar">
    <w:name w:val="Comment Subject Char"/>
    <w:basedOn w:val="CommentTextChar"/>
    <w:link w:val="CommentSubject"/>
    <w:uiPriority w:val="99"/>
    <w:semiHidden/>
    <w:rsid w:val="00E462D0"/>
    <w:rPr>
      <w:rFonts w:ascii="Arial" w:hAnsi="Arial"/>
      <w:b/>
      <w:bCs/>
      <w:sz w:val="20"/>
      <w:szCs w:val="20"/>
    </w:rPr>
  </w:style>
  <w:style w:type="paragraph" w:styleId="NoSpacing">
    <w:name w:val="No Spacing"/>
    <w:uiPriority w:val="1"/>
    <w:qFormat/>
    <w:rsid w:val="005C21FB"/>
    <w:pPr>
      <w:spacing w:after="0" w:line="240" w:lineRule="auto"/>
    </w:pPr>
  </w:style>
  <w:style w:type="character" w:customStyle="1" w:styleId="Heading1Char">
    <w:name w:val="Heading 1 Char"/>
    <w:basedOn w:val="DefaultParagraphFont"/>
    <w:link w:val="Heading1"/>
    <w:uiPriority w:val="9"/>
    <w:rsid w:val="001C29D0"/>
    <w:rPr>
      <w:rFonts w:ascii="Arial" w:eastAsiaTheme="majorEastAsia" w:hAnsi="Arial"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BG@ihcda.in.gov"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Veronica</dc:creator>
  <cp:keywords/>
  <dc:description/>
  <cp:lastModifiedBy>Trentadue, Joseph (IHCDA)</cp:lastModifiedBy>
  <cp:revision>17</cp:revision>
  <dcterms:created xsi:type="dcterms:W3CDTF">2020-11-24T18:55:00Z</dcterms:created>
  <dcterms:modified xsi:type="dcterms:W3CDTF">2021-10-27T14:04:00Z</dcterms:modified>
</cp:coreProperties>
</file>