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CBD7F" w14:textId="4EA18255" w:rsidR="00FF1934" w:rsidRPr="001C73B7" w:rsidRDefault="00FF1934" w:rsidP="00FF1934">
      <w:pPr>
        <w:pStyle w:val="Title"/>
        <w:rPr>
          <w:b/>
          <w:bCs/>
          <w:color w:val="003359"/>
          <w:sz w:val="32"/>
          <w:szCs w:val="40"/>
        </w:rPr>
      </w:pPr>
      <w:bookmarkStart w:id="0" w:name="_Toc54007028"/>
      <w:r w:rsidRPr="001C73B7">
        <w:rPr>
          <w:b/>
          <w:bCs/>
          <w:color w:val="003359"/>
          <w:sz w:val="32"/>
          <w:szCs w:val="40"/>
        </w:rPr>
        <w:t>CSBG Carryover and Closeout</w:t>
      </w:r>
    </w:p>
    <w:p w14:paraId="1FA6E30F" w14:textId="62EC3511" w:rsidR="009B5BF2" w:rsidRPr="001C73B7" w:rsidRDefault="009B5BF2" w:rsidP="00321421">
      <w:pPr>
        <w:pStyle w:val="Heading1"/>
        <w:rPr>
          <w:color w:val="A2AD00"/>
        </w:rPr>
      </w:pPr>
      <w:r w:rsidRPr="001C73B7">
        <w:rPr>
          <w:color w:val="A2AD00"/>
        </w:rPr>
        <w:t>Carryover Report</w:t>
      </w:r>
      <w:bookmarkEnd w:id="0"/>
    </w:p>
    <w:p w14:paraId="699E919C" w14:textId="65829A52" w:rsidR="004D0B65" w:rsidRDefault="004D0B65" w:rsidP="009B5BF2">
      <w:pPr>
        <w:rPr>
          <w:rFonts w:ascii="Arial" w:hAnsi="Arial" w:cs="Arial"/>
        </w:rPr>
      </w:pPr>
      <w:r>
        <w:rPr>
          <w:rFonts w:ascii="Arial" w:hAnsi="Arial" w:cs="Arial"/>
        </w:rPr>
        <w:t xml:space="preserve">When CAAs receive their allocation of CSBG funds, they have the rest of that federal fiscal year to spend the funds, plus an additional federal fiscal year, before the funds are recaptured by IHCDA and eventually </w:t>
      </w:r>
      <w:r w:rsidR="00FF1934">
        <w:rPr>
          <w:rFonts w:ascii="Arial" w:hAnsi="Arial" w:cs="Arial"/>
        </w:rPr>
        <w:t xml:space="preserve">by </w:t>
      </w:r>
      <w:r>
        <w:rPr>
          <w:rFonts w:ascii="Arial" w:hAnsi="Arial" w:cs="Arial"/>
        </w:rPr>
        <w:t xml:space="preserve">HHS. If a CAA has not spent all of their funds by the end of the first federal fiscal year (by September 30), any funds left to be spent in the second year are considered </w:t>
      </w:r>
      <w:r w:rsidRPr="004D0B65">
        <w:rPr>
          <w:rFonts w:ascii="Arial" w:hAnsi="Arial" w:cs="Arial"/>
          <w:b/>
          <w:bCs/>
        </w:rPr>
        <w:t>Carryover Funds</w:t>
      </w:r>
      <w:r>
        <w:rPr>
          <w:rFonts w:ascii="Arial" w:hAnsi="Arial" w:cs="Arial"/>
        </w:rPr>
        <w:t xml:space="preserve">. </w:t>
      </w:r>
    </w:p>
    <w:p w14:paraId="2195B6CE" w14:textId="1FEA378E" w:rsidR="004D0B65" w:rsidRDefault="004D0B65" w:rsidP="009B5BF2">
      <w:pPr>
        <w:rPr>
          <w:rFonts w:ascii="Arial" w:hAnsi="Arial" w:cs="Arial"/>
        </w:rPr>
      </w:pPr>
      <w:r>
        <w:rPr>
          <w:rFonts w:ascii="Arial" w:hAnsi="Arial" w:cs="Arial"/>
        </w:rPr>
        <w:t xml:space="preserve">Carryover Funds must be tracked separately from funds spent in the first </w:t>
      </w:r>
      <w:r w:rsidR="001A5966">
        <w:rPr>
          <w:rFonts w:ascii="Arial" w:hAnsi="Arial" w:cs="Arial"/>
        </w:rPr>
        <w:t xml:space="preserve">federal </w:t>
      </w:r>
      <w:r>
        <w:rPr>
          <w:rFonts w:ascii="Arial" w:hAnsi="Arial" w:cs="Arial"/>
        </w:rPr>
        <w:t>fiscal year for reporting purposes (specifically Module 1 of the Annual Report).</w:t>
      </w:r>
    </w:p>
    <w:p w14:paraId="6D92471C" w14:textId="38643A96" w:rsidR="001712B9" w:rsidRDefault="004D0B65" w:rsidP="009B5BF2">
      <w:pPr>
        <w:rPr>
          <w:rFonts w:ascii="Arial" w:hAnsi="Arial" w:cs="Arial"/>
        </w:rPr>
      </w:pPr>
      <w:r>
        <w:rPr>
          <w:rFonts w:ascii="Arial" w:hAnsi="Arial" w:cs="Arial"/>
        </w:rPr>
        <w:t>For that purpose, if</w:t>
      </w:r>
      <w:r w:rsidR="009B5BF2" w:rsidRPr="009B5BF2">
        <w:rPr>
          <w:rFonts w:ascii="Arial" w:hAnsi="Arial" w:cs="Arial"/>
        </w:rPr>
        <w:t xml:space="preserve"> a CAA does not spend all of their funds by September 30</w:t>
      </w:r>
      <w:r w:rsidR="007262CD">
        <w:rPr>
          <w:rFonts w:ascii="Arial" w:hAnsi="Arial" w:cs="Arial"/>
        </w:rPr>
        <w:t xml:space="preserve"> </w:t>
      </w:r>
      <w:r w:rsidR="00321421">
        <w:rPr>
          <w:rFonts w:ascii="Arial" w:hAnsi="Arial" w:cs="Arial"/>
        </w:rPr>
        <w:t>in the</w:t>
      </w:r>
      <w:r w:rsidR="007262CD">
        <w:rPr>
          <w:rFonts w:ascii="Arial" w:hAnsi="Arial" w:cs="Arial"/>
        </w:rPr>
        <w:t xml:space="preserve"> </w:t>
      </w:r>
      <w:r w:rsidR="009B5BF2" w:rsidRPr="009B5BF2">
        <w:rPr>
          <w:rFonts w:ascii="Arial" w:hAnsi="Arial" w:cs="Arial"/>
        </w:rPr>
        <w:t>contract</w:t>
      </w:r>
      <w:r w:rsidR="00321421">
        <w:rPr>
          <w:rFonts w:ascii="Arial" w:hAnsi="Arial" w:cs="Arial"/>
        </w:rPr>
        <w:t>’s first</w:t>
      </w:r>
      <w:r w:rsidR="009B5BF2" w:rsidRPr="009B5BF2">
        <w:rPr>
          <w:rFonts w:ascii="Arial" w:hAnsi="Arial" w:cs="Arial"/>
        </w:rPr>
        <w:t xml:space="preserve"> year, they are required to complete a carry-over </w:t>
      </w:r>
      <w:r w:rsidR="00321421">
        <w:rPr>
          <w:rFonts w:ascii="Arial" w:hAnsi="Arial" w:cs="Arial"/>
        </w:rPr>
        <w:t>report</w:t>
      </w:r>
      <w:r w:rsidR="009B5BF2" w:rsidRPr="009B5BF2">
        <w:rPr>
          <w:rFonts w:ascii="Arial" w:hAnsi="Arial" w:cs="Arial"/>
        </w:rPr>
        <w:t xml:space="preserve"> </w:t>
      </w:r>
      <w:r>
        <w:rPr>
          <w:rFonts w:ascii="Arial" w:hAnsi="Arial" w:cs="Arial"/>
        </w:rPr>
        <w:t xml:space="preserve">that separates what they spent in the first </w:t>
      </w:r>
      <w:r w:rsidR="00321421">
        <w:rPr>
          <w:rFonts w:ascii="Arial" w:hAnsi="Arial" w:cs="Arial"/>
        </w:rPr>
        <w:t xml:space="preserve">federal fiscal </w:t>
      </w:r>
      <w:r>
        <w:rPr>
          <w:rFonts w:ascii="Arial" w:hAnsi="Arial" w:cs="Arial"/>
        </w:rPr>
        <w:t xml:space="preserve">year from what is remaining to be spent in the second </w:t>
      </w:r>
      <w:r w:rsidR="00321421">
        <w:rPr>
          <w:rFonts w:ascii="Arial" w:hAnsi="Arial" w:cs="Arial"/>
        </w:rPr>
        <w:t xml:space="preserve">federal fiscal </w:t>
      </w:r>
      <w:r>
        <w:rPr>
          <w:rFonts w:ascii="Arial" w:hAnsi="Arial" w:cs="Arial"/>
        </w:rPr>
        <w:t xml:space="preserve">year. IHCDA staff will then use the report to create new </w:t>
      </w:r>
      <w:r w:rsidR="001712B9">
        <w:rPr>
          <w:rFonts w:ascii="Arial" w:hAnsi="Arial" w:cs="Arial"/>
        </w:rPr>
        <w:t xml:space="preserve">budget </w:t>
      </w:r>
      <w:r>
        <w:rPr>
          <w:rFonts w:ascii="Arial" w:hAnsi="Arial" w:cs="Arial"/>
        </w:rPr>
        <w:t xml:space="preserve">line items on the </w:t>
      </w:r>
      <w:r w:rsidR="001712B9">
        <w:rPr>
          <w:rFonts w:ascii="Arial" w:hAnsi="Arial" w:cs="Arial"/>
        </w:rPr>
        <w:t xml:space="preserve">award in </w:t>
      </w:r>
      <w:proofErr w:type="spellStart"/>
      <w:r w:rsidR="001712B9">
        <w:rPr>
          <w:rFonts w:ascii="Arial" w:hAnsi="Arial" w:cs="Arial"/>
        </w:rPr>
        <w:t>IHCDAOnline</w:t>
      </w:r>
      <w:proofErr w:type="spellEnd"/>
      <w:r w:rsidR="001712B9">
        <w:rPr>
          <w:rFonts w:ascii="Arial" w:hAnsi="Arial" w:cs="Arial"/>
        </w:rPr>
        <w:t xml:space="preserve"> for CAAs to claim against.</w:t>
      </w:r>
    </w:p>
    <w:p w14:paraId="60617803" w14:textId="3AB99039" w:rsidR="009B5BF2" w:rsidRPr="009B5BF2" w:rsidRDefault="009B5BF2" w:rsidP="009B5BF2">
      <w:pPr>
        <w:rPr>
          <w:rFonts w:ascii="Arial" w:hAnsi="Arial" w:cs="Arial"/>
          <w:b/>
          <w:bCs/>
        </w:rPr>
      </w:pPr>
      <w:r w:rsidRPr="009B5BF2">
        <w:rPr>
          <w:rFonts w:ascii="Arial" w:hAnsi="Arial" w:cs="Arial"/>
        </w:rPr>
        <w:t xml:space="preserve">The </w:t>
      </w:r>
      <w:r w:rsidR="001712B9">
        <w:rPr>
          <w:rFonts w:ascii="Arial" w:hAnsi="Arial" w:cs="Arial"/>
        </w:rPr>
        <w:t>Carryover R</w:t>
      </w:r>
      <w:r w:rsidRPr="009B5BF2">
        <w:rPr>
          <w:rFonts w:ascii="Arial" w:hAnsi="Arial" w:cs="Arial"/>
        </w:rPr>
        <w:t>eport has no other impacts on IHCDA or CAA operations; CAAs should not worry about having carryover after September reflecting negatively on their agency.</w:t>
      </w:r>
    </w:p>
    <w:p w14:paraId="1645E276" w14:textId="77777777" w:rsidR="009B5BF2" w:rsidRPr="009B5BF2" w:rsidRDefault="009B5BF2" w:rsidP="009B5BF2">
      <w:pPr>
        <w:spacing w:after="0"/>
        <w:rPr>
          <w:rFonts w:ascii="Arial" w:hAnsi="Arial" w:cs="Arial"/>
        </w:rPr>
      </w:pPr>
    </w:p>
    <w:p w14:paraId="120D7467" w14:textId="77777777" w:rsidR="009B5BF2" w:rsidRPr="009B5BF2" w:rsidRDefault="009B5BF2" w:rsidP="009B5BF2">
      <w:pPr>
        <w:spacing w:after="0"/>
        <w:rPr>
          <w:rFonts w:ascii="Arial" w:hAnsi="Arial" w:cs="Arial"/>
        </w:rPr>
      </w:pPr>
      <w:r w:rsidRPr="009B5BF2">
        <w:rPr>
          <w:rFonts w:ascii="Arial" w:hAnsi="Arial" w:cs="Arial"/>
          <w:b/>
          <w:bCs/>
        </w:rPr>
        <w:t>To submit the Carryover Report</w:t>
      </w:r>
      <w:r w:rsidRPr="009B5BF2">
        <w:rPr>
          <w:rFonts w:ascii="Arial" w:hAnsi="Arial" w:cs="Arial"/>
        </w:rPr>
        <w:t>, please do the following:</w:t>
      </w:r>
    </w:p>
    <w:p w14:paraId="29375B5A" w14:textId="77777777" w:rsidR="009B5BF2" w:rsidRPr="009B5BF2" w:rsidRDefault="009B5BF2" w:rsidP="009B5BF2">
      <w:pPr>
        <w:numPr>
          <w:ilvl w:val="0"/>
          <w:numId w:val="1"/>
        </w:numPr>
        <w:spacing w:after="0"/>
        <w:contextualSpacing/>
        <w:rPr>
          <w:rFonts w:ascii="Arial" w:hAnsi="Arial" w:cs="Arial"/>
        </w:rPr>
      </w:pPr>
      <w:r w:rsidRPr="009B5BF2">
        <w:rPr>
          <w:rFonts w:ascii="Arial" w:hAnsi="Arial" w:cs="Arial"/>
        </w:rPr>
        <w:t>Submit your last claim for all funds expended between January 1 and September 30 by November 15.</w:t>
      </w:r>
    </w:p>
    <w:p w14:paraId="4BB84D8F" w14:textId="77777777" w:rsidR="009B5BF2" w:rsidRPr="009B5BF2" w:rsidRDefault="009B5BF2" w:rsidP="009B5BF2">
      <w:pPr>
        <w:numPr>
          <w:ilvl w:val="0"/>
          <w:numId w:val="1"/>
        </w:numPr>
        <w:spacing w:after="0"/>
        <w:contextualSpacing/>
        <w:rPr>
          <w:rFonts w:ascii="Arial" w:hAnsi="Arial" w:cs="Arial"/>
        </w:rPr>
      </w:pPr>
      <w:r w:rsidRPr="009B5BF2">
        <w:rPr>
          <w:rFonts w:ascii="Arial" w:hAnsi="Arial" w:cs="Arial"/>
        </w:rPr>
        <w:t xml:space="preserve">Submit a Carryover Report to </w:t>
      </w:r>
      <w:hyperlink r:id="rId8" w:history="1">
        <w:r w:rsidRPr="009B5BF2">
          <w:rPr>
            <w:rFonts w:ascii="Arial" w:hAnsi="Arial" w:cs="Arial"/>
            <w:color w:val="0563C1" w:themeColor="hyperlink"/>
            <w:u w:val="single"/>
          </w:rPr>
          <w:t>csbg@ihcda.in.gov</w:t>
        </w:r>
      </w:hyperlink>
      <w:r w:rsidRPr="009B5BF2">
        <w:rPr>
          <w:rFonts w:ascii="Arial" w:hAnsi="Arial" w:cs="Arial"/>
        </w:rPr>
        <w:t xml:space="preserve"> after the last claim for September is submitted.</w:t>
      </w:r>
    </w:p>
    <w:p w14:paraId="788433D3" w14:textId="35CD285A" w:rsidR="009B5BF2" w:rsidRPr="009B5BF2" w:rsidRDefault="009B5BF2" w:rsidP="009B5BF2">
      <w:pPr>
        <w:numPr>
          <w:ilvl w:val="0"/>
          <w:numId w:val="1"/>
        </w:numPr>
        <w:spacing w:after="0"/>
        <w:contextualSpacing/>
        <w:rPr>
          <w:rFonts w:ascii="Arial" w:hAnsi="Arial" w:cs="Arial"/>
        </w:rPr>
      </w:pPr>
      <w:r w:rsidRPr="009B5BF2">
        <w:rPr>
          <w:rFonts w:ascii="Arial" w:hAnsi="Arial" w:cs="Arial"/>
        </w:rPr>
        <w:t xml:space="preserve">Once IHCDA receives and approves the Carry-Over Report, the carry-over budget lines will be set up. </w:t>
      </w:r>
    </w:p>
    <w:p w14:paraId="02C50D6F" w14:textId="77777777" w:rsidR="009B5BF2" w:rsidRPr="009B5BF2" w:rsidRDefault="009B5BF2" w:rsidP="009B5BF2">
      <w:pPr>
        <w:spacing w:after="0"/>
        <w:ind w:left="1440"/>
        <w:contextualSpacing/>
        <w:rPr>
          <w:rFonts w:ascii="Arial" w:hAnsi="Arial" w:cs="Arial"/>
        </w:rPr>
      </w:pPr>
    </w:p>
    <w:p w14:paraId="5CA0FE77" w14:textId="77777777" w:rsidR="009B5BF2" w:rsidRPr="009B5BF2" w:rsidRDefault="009B5BF2" w:rsidP="009B5BF2">
      <w:pPr>
        <w:spacing w:after="0"/>
        <w:rPr>
          <w:rFonts w:ascii="Arial" w:hAnsi="Arial" w:cs="Arial"/>
        </w:rPr>
      </w:pPr>
      <w:r w:rsidRPr="009B5BF2">
        <w:rPr>
          <w:rFonts w:ascii="Arial" w:hAnsi="Arial" w:cs="Arial"/>
        </w:rPr>
        <w:t>A step-by-step guide on the carryover process is provided below</w:t>
      </w:r>
    </w:p>
    <w:p w14:paraId="274EFC57" w14:textId="77777777" w:rsidR="009B5BF2" w:rsidRPr="009B5BF2" w:rsidRDefault="009B5BF2" w:rsidP="009B5BF2">
      <w:pPr>
        <w:spacing w:after="0"/>
        <w:rPr>
          <w:rFonts w:ascii="Arial" w:hAnsi="Arial" w:cs="Arial"/>
        </w:rPr>
      </w:pPr>
    </w:p>
    <w:p w14:paraId="1C336FAC" w14:textId="77777777" w:rsidR="009B5BF2" w:rsidRPr="009B5BF2" w:rsidRDefault="009B5BF2" w:rsidP="009B5BF2">
      <w:pPr>
        <w:spacing w:after="0"/>
        <w:rPr>
          <w:rFonts w:ascii="Arial" w:hAnsi="Arial" w:cs="Arial"/>
          <w:b/>
          <w:bCs/>
        </w:rPr>
      </w:pPr>
      <w:r w:rsidRPr="009B5BF2">
        <w:rPr>
          <w:rFonts w:ascii="Arial" w:hAnsi="Arial" w:cs="Arial"/>
          <w:b/>
          <w:bCs/>
        </w:rPr>
        <w:t xml:space="preserve">STEP 1: </w:t>
      </w:r>
      <w:r w:rsidRPr="009B5BF2">
        <w:rPr>
          <w:rFonts w:ascii="Arial" w:hAnsi="Arial" w:cs="Arial"/>
        </w:rPr>
        <w:t xml:space="preserve"> Submit your last claim for expenditures from January 1 - September 30 in </w:t>
      </w:r>
      <w:proofErr w:type="spellStart"/>
      <w:r w:rsidRPr="009B5BF2">
        <w:rPr>
          <w:rFonts w:ascii="Arial" w:hAnsi="Arial" w:cs="Arial"/>
        </w:rPr>
        <w:t>IHCDAOnline</w:t>
      </w:r>
      <w:proofErr w:type="spellEnd"/>
      <w:r w:rsidRPr="009B5BF2">
        <w:rPr>
          <w:rFonts w:ascii="Arial" w:hAnsi="Arial" w:cs="Arial"/>
        </w:rPr>
        <w:t xml:space="preserve"> by November 15. Below is an example of a CAA that would have carryover:</w:t>
      </w:r>
    </w:p>
    <w:p w14:paraId="41327951" w14:textId="77777777" w:rsidR="00321421" w:rsidRDefault="00321421" w:rsidP="009B5BF2">
      <w:pPr>
        <w:spacing w:after="0"/>
        <w:ind w:left="720"/>
        <w:jc w:val="both"/>
        <w:rPr>
          <w:rFonts w:ascii="Arial" w:hAnsi="Arial" w:cs="Arial"/>
        </w:rPr>
      </w:pPr>
    </w:p>
    <w:p w14:paraId="7C4FD9B2" w14:textId="78286834" w:rsidR="009B5BF2" w:rsidRPr="009B5BF2" w:rsidRDefault="009B5BF2" w:rsidP="009B5BF2">
      <w:pPr>
        <w:spacing w:after="0"/>
        <w:ind w:left="720"/>
        <w:jc w:val="both"/>
        <w:rPr>
          <w:rFonts w:ascii="Arial" w:hAnsi="Arial" w:cs="Arial"/>
        </w:rPr>
      </w:pPr>
      <w:r w:rsidRPr="009B5BF2">
        <w:rPr>
          <w:rFonts w:ascii="Arial" w:hAnsi="Arial" w:cs="Arial"/>
        </w:rPr>
        <w:t>A CSBG award agreement in the amount of $269,087.32 with the following final claim amounts:</w:t>
      </w:r>
    </w:p>
    <w:p w14:paraId="1E5F750E" w14:textId="77777777" w:rsidR="009B5BF2" w:rsidRPr="009B5BF2" w:rsidRDefault="009B5BF2" w:rsidP="009B5BF2">
      <w:pPr>
        <w:spacing w:after="0"/>
        <w:ind w:left="1440"/>
        <w:jc w:val="both"/>
        <w:rPr>
          <w:rFonts w:ascii="Arial" w:hAnsi="Arial" w:cs="Arial"/>
          <w:i/>
          <w:iCs/>
        </w:rPr>
      </w:pPr>
      <w:r w:rsidRPr="009B5BF2">
        <w:rPr>
          <w:rFonts w:ascii="Arial" w:hAnsi="Arial" w:cs="Arial"/>
          <w:i/>
          <w:iCs/>
        </w:rPr>
        <w:t xml:space="preserve">Total admin </w:t>
      </w:r>
      <w:proofErr w:type="gramStart"/>
      <w:r w:rsidRPr="009B5BF2">
        <w:rPr>
          <w:rFonts w:ascii="Arial" w:hAnsi="Arial" w:cs="Arial"/>
          <w:i/>
          <w:iCs/>
        </w:rPr>
        <w:t xml:space="preserve">claims  </w:t>
      </w:r>
      <w:r w:rsidRPr="009B5BF2">
        <w:rPr>
          <w:rFonts w:ascii="Arial" w:hAnsi="Arial" w:cs="Arial"/>
          <w:i/>
          <w:iCs/>
        </w:rPr>
        <w:tab/>
      </w:r>
      <w:proofErr w:type="gramEnd"/>
      <w:r w:rsidRPr="009B5BF2">
        <w:rPr>
          <w:rFonts w:ascii="Arial" w:hAnsi="Arial" w:cs="Arial"/>
          <w:i/>
          <w:iCs/>
        </w:rPr>
        <w:tab/>
        <w:t xml:space="preserve"> </w:t>
      </w:r>
      <w:r w:rsidRPr="009B5BF2">
        <w:rPr>
          <w:rFonts w:ascii="Arial" w:hAnsi="Arial" w:cs="Arial"/>
          <w:i/>
          <w:iCs/>
        </w:rPr>
        <w:tab/>
      </w:r>
      <w:r w:rsidRPr="009B5BF2">
        <w:rPr>
          <w:rFonts w:ascii="Arial" w:hAnsi="Arial" w:cs="Arial"/>
          <w:i/>
          <w:iCs/>
        </w:rPr>
        <w:tab/>
      </w:r>
      <w:r w:rsidRPr="009B5BF2">
        <w:rPr>
          <w:rFonts w:ascii="Arial" w:hAnsi="Arial" w:cs="Arial"/>
          <w:i/>
          <w:iCs/>
        </w:rPr>
        <w:tab/>
      </w:r>
      <w:r w:rsidRPr="009B5BF2">
        <w:rPr>
          <w:rFonts w:ascii="Arial" w:hAnsi="Arial" w:cs="Arial"/>
          <w:i/>
          <w:iCs/>
        </w:rPr>
        <w:tab/>
      </w:r>
      <w:r w:rsidRPr="009B5BF2">
        <w:rPr>
          <w:rFonts w:ascii="Arial" w:hAnsi="Arial" w:cs="Arial"/>
          <w:i/>
          <w:iCs/>
        </w:rPr>
        <w:tab/>
        <w:t xml:space="preserve">$28,256.81  </w:t>
      </w:r>
    </w:p>
    <w:p w14:paraId="4F1A696F" w14:textId="77777777" w:rsidR="009B5BF2" w:rsidRPr="009B5BF2" w:rsidRDefault="009B5BF2" w:rsidP="009B5BF2">
      <w:pPr>
        <w:spacing w:after="0"/>
        <w:ind w:left="720" w:firstLine="720"/>
        <w:jc w:val="both"/>
        <w:rPr>
          <w:rFonts w:ascii="Arial" w:hAnsi="Arial" w:cs="Arial"/>
          <w:i/>
          <w:iCs/>
        </w:rPr>
      </w:pPr>
      <w:r w:rsidRPr="009B5BF2">
        <w:rPr>
          <w:rFonts w:ascii="Arial" w:hAnsi="Arial" w:cs="Arial"/>
          <w:i/>
          <w:iCs/>
        </w:rPr>
        <w:t>Total agency provided services claims</w:t>
      </w:r>
      <w:r w:rsidRPr="009B5BF2">
        <w:rPr>
          <w:rFonts w:ascii="Arial" w:hAnsi="Arial" w:cs="Arial"/>
          <w:i/>
          <w:iCs/>
        </w:rPr>
        <w:tab/>
      </w:r>
      <w:r w:rsidRPr="009B5BF2">
        <w:rPr>
          <w:rFonts w:ascii="Arial" w:hAnsi="Arial" w:cs="Arial"/>
          <w:i/>
          <w:iCs/>
        </w:rPr>
        <w:tab/>
      </w:r>
      <w:r w:rsidRPr="009B5BF2">
        <w:rPr>
          <w:rFonts w:ascii="Arial" w:hAnsi="Arial" w:cs="Arial"/>
          <w:i/>
          <w:iCs/>
        </w:rPr>
        <w:tab/>
      </w:r>
      <w:r w:rsidRPr="009B5BF2">
        <w:rPr>
          <w:rFonts w:ascii="Arial" w:hAnsi="Arial" w:cs="Arial"/>
          <w:i/>
          <w:iCs/>
        </w:rPr>
        <w:tab/>
        <w:t>$119,980.55</w:t>
      </w:r>
    </w:p>
    <w:p w14:paraId="434BAEE0" w14:textId="77777777" w:rsidR="009B5BF2" w:rsidRPr="009B5BF2" w:rsidRDefault="009B5BF2" w:rsidP="009B5BF2">
      <w:pPr>
        <w:spacing w:after="0"/>
        <w:ind w:left="720" w:firstLine="720"/>
        <w:jc w:val="both"/>
        <w:rPr>
          <w:rFonts w:ascii="Arial" w:hAnsi="Arial" w:cs="Arial"/>
          <w:i/>
          <w:iCs/>
        </w:rPr>
      </w:pPr>
      <w:r w:rsidRPr="009B5BF2">
        <w:rPr>
          <w:rFonts w:ascii="Arial" w:hAnsi="Arial" w:cs="Arial"/>
          <w:i/>
          <w:iCs/>
        </w:rPr>
        <w:t>Admin balance becomes the admin carry-over amount</w:t>
      </w:r>
      <w:r w:rsidRPr="009B5BF2">
        <w:rPr>
          <w:rFonts w:ascii="Arial" w:hAnsi="Arial" w:cs="Arial"/>
          <w:i/>
          <w:iCs/>
        </w:rPr>
        <w:tab/>
      </w:r>
      <w:r w:rsidRPr="009B5BF2">
        <w:rPr>
          <w:rFonts w:ascii="Arial" w:hAnsi="Arial" w:cs="Arial"/>
          <w:i/>
          <w:iCs/>
        </w:rPr>
        <w:tab/>
        <w:t>$14,743.19</w:t>
      </w:r>
    </w:p>
    <w:p w14:paraId="4980A243" w14:textId="22CED2E1" w:rsidR="009B5BF2" w:rsidRPr="009B5BF2" w:rsidRDefault="00321421" w:rsidP="009B5BF2">
      <w:pPr>
        <w:spacing w:after="0"/>
        <w:ind w:left="720" w:firstLine="720"/>
        <w:jc w:val="both"/>
        <w:rPr>
          <w:rFonts w:ascii="Arial" w:hAnsi="Arial" w:cs="Arial"/>
        </w:rPr>
      </w:pPr>
      <w:r>
        <w:rPr>
          <w:rFonts w:ascii="Arial" w:hAnsi="Arial" w:cs="Arial"/>
          <w:i/>
          <w:iCs/>
        </w:rPr>
        <w:t>Direct</w:t>
      </w:r>
      <w:r w:rsidR="009B5BF2" w:rsidRPr="009B5BF2">
        <w:rPr>
          <w:rFonts w:ascii="Arial" w:hAnsi="Arial" w:cs="Arial"/>
          <w:i/>
          <w:iCs/>
        </w:rPr>
        <w:t xml:space="preserve"> services balance becomes carry-over amount</w:t>
      </w:r>
      <w:r w:rsidR="009B5BF2" w:rsidRPr="009B5BF2">
        <w:rPr>
          <w:rFonts w:ascii="Arial" w:hAnsi="Arial" w:cs="Arial"/>
          <w:i/>
          <w:iCs/>
        </w:rPr>
        <w:tab/>
      </w:r>
      <w:r>
        <w:rPr>
          <w:rFonts w:ascii="Arial" w:hAnsi="Arial" w:cs="Arial"/>
          <w:i/>
          <w:iCs/>
        </w:rPr>
        <w:tab/>
      </w:r>
      <w:r w:rsidR="009B5BF2" w:rsidRPr="009B5BF2">
        <w:rPr>
          <w:rFonts w:ascii="Arial" w:hAnsi="Arial" w:cs="Arial"/>
          <w:i/>
          <w:iCs/>
        </w:rPr>
        <w:t>$106,106.77</w:t>
      </w:r>
    </w:p>
    <w:p w14:paraId="66DDCAD7" w14:textId="77777777" w:rsidR="009B5BF2" w:rsidRPr="009B5BF2" w:rsidRDefault="009B5BF2" w:rsidP="009B5BF2">
      <w:pPr>
        <w:spacing w:after="0"/>
        <w:rPr>
          <w:rFonts w:ascii="Arial" w:hAnsi="Arial" w:cs="Arial"/>
        </w:rPr>
      </w:pPr>
    </w:p>
    <w:p w14:paraId="65BB8686" w14:textId="0B2BA1B6" w:rsidR="009B5BF2" w:rsidRPr="009B5BF2" w:rsidRDefault="009534A9" w:rsidP="009B5BF2">
      <w:pPr>
        <w:rPr>
          <w:rFonts w:ascii="Arial" w:hAnsi="Arial" w:cs="Arial"/>
        </w:rPr>
      </w:pPr>
      <w:r>
        <w:rPr>
          <w:rFonts w:ascii="Arial" w:hAnsi="Arial" w:cs="Arial"/>
          <w:noProof/>
        </w:rPr>
        <w:lastRenderedPageBreak/>
        <mc:AlternateContent>
          <mc:Choice Requires="wpi">
            <w:drawing>
              <wp:anchor distT="0" distB="0" distL="114300" distR="114300" simplePos="0" relativeHeight="251663360" behindDoc="0" locked="0" layoutInCell="1" allowOverlap="1" wp14:anchorId="71DD94BB" wp14:editId="4A92822B">
                <wp:simplePos x="0" y="0"/>
                <wp:positionH relativeFrom="column">
                  <wp:posOffset>3714470</wp:posOffset>
                </wp:positionH>
                <wp:positionV relativeFrom="paragraph">
                  <wp:posOffset>2888760</wp:posOffset>
                </wp:positionV>
                <wp:extent cx="476280" cy="7200"/>
                <wp:effectExtent l="57150" t="114300" r="95250" b="126365"/>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476280" cy="7200"/>
                      </w14:xfrm>
                    </w14:contentPart>
                  </a:graphicData>
                </a:graphic>
              </wp:anchor>
            </w:drawing>
          </mc:Choice>
          <mc:Fallback>
            <w:pict>
              <v:shapetype w14:anchorId="679CCE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89.65pt;margin-top:221.8pt;width:43.15pt;height:11.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">
                <v:imagedata r:id="rId10" o:title=""/>
              </v:shape>
            </w:pict>
          </mc:Fallback>
        </mc:AlternateContent>
      </w:r>
      <w:r>
        <w:rPr>
          <w:rFonts w:ascii="Arial" w:hAnsi="Arial" w:cs="Arial"/>
          <w:noProof/>
        </w:rPr>
        <mc:AlternateContent>
          <mc:Choice Requires="wpi">
            <w:drawing>
              <wp:anchor distT="0" distB="0" distL="114300" distR="114300" simplePos="0" relativeHeight="251662336" behindDoc="0" locked="0" layoutInCell="1" allowOverlap="1" wp14:anchorId="7C5F0465" wp14:editId="4ED2DC50">
                <wp:simplePos x="0" y="0"/>
                <wp:positionH relativeFrom="column">
                  <wp:posOffset>3765230</wp:posOffset>
                </wp:positionH>
                <wp:positionV relativeFrom="paragraph">
                  <wp:posOffset>2741880</wp:posOffset>
                </wp:positionV>
                <wp:extent cx="399960" cy="33120"/>
                <wp:effectExtent l="57150" t="114300" r="95885" b="119380"/>
                <wp:wrapNone/>
                <wp:docPr id="5"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399960" cy="33120"/>
                      </w14:xfrm>
                    </w14:contentPart>
                  </a:graphicData>
                </a:graphic>
              </wp:anchor>
            </w:drawing>
          </mc:Choice>
          <mc:Fallback>
            <w:pict>
              <v:shape w14:anchorId="6A878949" id="Ink 5" o:spid="_x0000_s1026" type="#_x0000_t75" style="position:absolute;margin-left:293.6pt;margin-top:210.25pt;width:37.2pt;height:13.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">
                <v:imagedata r:id="rId12" o:title=""/>
              </v:shape>
            </w:pict>
          </mc:Fallback>
        </mc:AlternateContent>
      </w:r>
      <w:r>
        <w:rPr>
          <w:rFonts w:ascii="Arial" w:hAnsi="Arial" w:cs="Arial"/>
          <w:noProof/>
        </w:rPr>
        <mc:AlternateContent>
          <mc:Choice Requires="wpi">
            <w:drawing>
              <wp:anchor distT="0" distB="0" distL="114300" distR="114300" simplePos="0" relativeHeight="251661312" behindDoc="0" locked="0" layoutInCell="1" allowOverlap="1" wp14:anchorId="35FFF022" wp14:editId="7C5DE0C4">
                <wp:simplePos x="0" y="0"/>
                <wp:positionH relativeFrom="column">
                  <wp:posOffset>3073310</wp:posOffset>
                </wp:positionH>
                <wp:positionV relativeFrom="paragraph">
                  <wp:posOffset>2882280</wp:posOffset>
                </wp:positionV>
                <wp:extent cx="456840" cy="19440"/>
                <wp:effectExtent l="76200" t="95250" r="95885" b="133350"/>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456840" cy="19440"/>
                      </w14:xfrm>
                    </w14:contentPart>
                  </a:graphicData>
                </a:graphic>
              </wp:anchor>
            </w:drawing>
          </mc:Choice>
          <mc:Fallback>
            <w:pict>
              <v:shape w14:anchorId="0D0D2AF2" id="Ink 3" o:spid="_x0000_s1026" type="#_x0000_t75" style="position:absolute;margin-left:239.15pt;margin-top:221.3pt;width:41.6pt;height:1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">
                <v:imagedata r:id="rId14" o:title=""/>
              </v:shape>
            </w:pict>
          </mc:Fallback>
        </mc:AlternateContent>
      </w:r>
      <w:r>
        <w:rPr>
          <w:rFonts w:ascii="Arial" w:hAnsi="Arial" w:cs="Arial"/>
          <w:noProof/>
        </w:rPr>
        <mc:AlternateContent>
          <mc:Choice Requires="wpi">
            <w:drawing>
              <wp:anchor distT="0" distB="0" distL="114300" distR="114300" simplePos="0" relativeHeight="251660288" behindDoc="0" locked="0" layoutInCell="1" allowOverlap="1" wp14:anchorId="73AE746C" wp14:editId="4C1A1B08">
                <wp:simplePos x="0" y="0"/>
                <wp:positionH relativeFrom="column">
                  <wp:posOffset>3130550</wp:posOffset>
                </wp:positionH>
                <wp:positionV relativeFrom="paragraph">
                  <wp:posOffset>2749080</wp:posOffset>
                </wp:positionV>
                <wp:extent cx="431280" cy="19440"/>
                <wp:effectExtent l="76200" t="95250" r="102235" b="133350"/>
                <wp:wrapNone/>
                <wp:docPr id="1"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431280" cy="19440"/>
                      </w14:xfrm>
                    </w14:contentPart>
                  </a:graphicData>
                </a:graphic>
              </wp:anchor>
            </w:drawing>
          </mc:Choice>
          <mc:Fallback>
            <w:pict>
              <v:shape w14:anchorId="2DE2F3D1" id="Ink 1" o:spid="_x0000_s1026" type="#_x0000_t75" style="position:absolute;margin-left:243.65pt;margin-top:210.8pt;width:39.6pt;height:1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">
                <v:imagedata r:id="rId16" o:title=""/>
              </v:shape>
            </w:pict>
          </mc:Fallback>
        </mc:AlternateContent>
      </w:r>
      <w:r w:rsidR="001C73B7">
        <w:rPr>
          <w:rFonts w:ascii="Arial" w:hAnsi="Arial" w:cs="Arial"/>
          <w:noProof/>
        </w:rPr>
        <w:drawing>
          <wp:inline distT="0" distB="0" distL="0" distR="0" wp14:anchorId="6F3EA1FA" wp14:editId="11F1FAB5">
            <wp:extent cx="5773420" cy="5993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420" cy="5993130"/>
                    </a:xfrm>
                    <a:prstGeom prst="rect">
                      <a:avLst/>
                    </a:prstGeom>
                    <a:noFill/>
                  </pic:spPr>
                </pic:pic>
              </a:graphicData>
            </a:graphic>
          </wp:inline>
        </w:drawing>
      </w:r>
      <w:r w:rsidR="009B5BF2" w:rsidRPr="009B5BF2">
        <w:rPr>
          <w:rFonts w:ascii="Arial" w:hAnsi="Arial" w:cs="Arial"/>
        </w:rPr>
        <w:br w:type="page"/>
      </w:r>
      <w:r w:rsidR="009B5BF2" w:rsidRPr="009B5BF2">
        <w:rPr>
          <w:rFonts w:ascii="Arial" w:hAnsi="Arial" w:cs="Arial"/>
          <w:b/>
          <w:bCs/>
        </w:rPr>
        <w:lastRenderedPageBreak/>
        <w:t>STEP 2:</w:t>
      </w:r>
      <w:r w:rsidR="009B5BF2" w:rsidRPr="009B5BF2">
        <w:rPr>
          <w:rFonts w:ascii="Arial" w:hAnsi="Arial" w:cs="Arial"/>
        </w:rPr>
        <w:t xml:space="preserve"> Submit </w:t>
      </w:r>
      <w:r w:rsidR="009B5BF2" w:rsidRPr="009B5BF2">
        <w:rPr>
          <w:rFonts w:ascii="Arial" w:hAnsi="Arial" w:cs="Arial"/>
          <w:u w:val="single"/>
        </w:rPr>
        <w:t>Carryover Report</w:t>
      </w:r>
      <w:r w:rsidR="009B5BF2" w:rsidRPr="009B5BF2">
        <w:rPr>
          <w:rFonts w:ascii="Arial" w:hAnsi="Arial" w:cs="Arial"/>
        </w:rPr>
        <w:t xml:space="preserve"> by November 15.  After the final claim is made for September expenses, the CAA would submit a carry-over report to csbg@ihcda.in.gov.  Below is a sample </w:t>
      </w:r>
      <w:r w:rsidR="009B5BF2" w:rsidRPr="009B5BF2">
        <w:rPr>
          <w:rFonts w:ascii="Arial" w:hAnsi="Arial" w:cs="Arial"/>
          <w:u w:val="single"/>
        </w:rPr>
        <w:t>Carryover Report</w:t>
      </w:r>
      <w:r w:rsidR="009B5BF2" w:rsidRPr="009B5BF2">
        <w:rPr>
          <w:rFonts w:ascii="Arial" w:hAnsi="Arial" w:cs="Arial"/>
        </w:rPr>
        <w:t xml:space="preserve"> using the same numbers from the </w:t>
      </w:r>
      <w:r w:rsidR="00321421">
        <w:rPr>
          <w:rFonts w:ascii="Arial" w:hAnsi="Arial" w:cs="Arial"/>
        </w:rPr>
        <w:t xml:space="preserve">above </w:t>
      </w:r>
      <w:r w:rsidR="009B5BF2" w:rsidRPr="009B5BF2">
        <w:rPr>
          <w:rFonts w:ascii="Arial" w:hAnsi="Arial" w:cs="Arial"/>
        </w:rPr>
        <w:t>example:</w:t>
      </w:r>
    </w:p>
    <w:p w14:paraId="6624BC83" w14:textId="36F55F28" w:rsidR="009B5BF2" w:rsidRPr="009B5BF2" w:rsidRDefault="00E05BC4" w:rsidP="009B5BF2">
      <w:pPr>
        <w:rPr>
          <w:rFonts w:ascii="Arial" w:hAnsi="Arial" w:cs="Arial"/>
        </w:rPr>
      </w:pPr>
      <w:r>
        <w:rPr>
          <w:noProof/>
        </w:rPr>
        <w:drawing>
          <wp:inline distT="0" distB="0" distL="0" distR="0" wp14:anchorId="7E505167" wp14:editId="053422E7">
            <wp:extent cx="5819042" cy="4617620"/>
            <wp:effectExtent l="19050" t="19050" r="1079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1" t="29882" r="64253" b="21526"/>
                    <a:stretch/>
                  </pic:blipFill>
                  <pic:spPr bwMode="auto">
                    <a:xfrm>
                      <a:off x="0" y="0"/>
                      <a:ext cx="5833023" cy="46287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A60D4C5" w14:textId="77777777" w:rsidR="009B5BF2" w:rsidRPr="009B5BF2" w:rsidRDefault="009B5BF2" w:rsidP="009B5BF2">
      <w:pPr>
        <w:spacing w:after="0"/>
        <w:rPr>
          <w:rFonts w:ascii="Arial" w:hAnsi="Arial" w:cs="Arial"/>
        </w:rPr>
      </w:pPr>
    </w:p>
    <w:p w14:paraId="5FCF419C" w14:textId="77777777" w:rsidR="009B5BF2" w:rsidRPr="009B5BF2" w:rsidRDefault="009B5BF2" w:rsidP="009B5BF2">
      <w:pPr>
        <w:spacing w:after="0"/>
        <w:ind w:left="720"/>
        <w:rPr>
          <w:rFonts w:ascii="Arial" w:hAnsi="Arial" w:cs="Arial"/>
        </w:rPr>
      </w:pPr>
    </w:p>
    <w:p w14:paraId="2D14F8C8" w14:textId="77777777" w:rsidR="009B5BF2" w:rsidRPr="009B5BF2" w:rsidRDefault="009B5BF2" w:rsidP="009B5BF2">
      <w:pPr>
        <w:spacing w:after="0"/>
        <w:rPr>
          <w:rFonts w:ascii="Arial" w:hAnsi="Arial" w:cs="Arial"/>
        </w:rPr>
      </w:pPr>
    </w:p>
    <w:p w14:paraId="1898D4D8" w14:textId="77777777" w:rsidR="009B5BF2" w:rsidRPr="009B5BF2" w:rsidRDefault="009B5BF2" w:rsidP="009B5BF2">
      <w:pPr>
        <w:spacing w:after="0"/>
        <w:rPr>
          <w:rFonts w:ascii="Arial" w:hAnsi="Arial" w:cs="Arial"/>
        </w:rPr>
      </w:pPr>
    </w:p>
    <w:p w14:paraId="3A2A212F" w14:textId="77777777" w:rsidR="009B5BF2" w:rsidRPr="009B5BF2" w:rsidRDefault="009B5BF2" w:rsidP="009B5BF2">
      <w:pPr>
        <w:spacing w:after="0"/>
        <w:rPr>
          <w:rFonts w:ascii="Arial" w:hAnsi="Arial" w:cs="Arial"/>
        </w:rPr>
      </w:pPr>
    </w:p>
    <w:p w14:paraId="7D47E32F" w14:textId="77777777" w:rsidR="009B5BF2" w:rsidRPr="009B5BF2" w:rsidRDefault="009B5BF2" w:rsidP="009B5BF2">
      <w:pPr>
        <w:spacing w:after="0"/>
        <w:rPr>
          <w:rFonts w:ascii="Arial" w:hAnsi="Arial" w:cs="Arial"/>
        </w:rPr>
      </w:pPr>
    </w:p>
    <w:p w14:paraId="49E37D7B" w14:textId="77777777" w:rsidR="009B5BF2" w:rsidRPr="009B5BF2" w:rsidRDefault="009B5BF2" w:rsidP="009B5BF2">
      <w:pPr>
        <w:spacing w:after="0"/>
        <w:rPr>
          <w:rFonts w:ascii="Arial" w:hAnsi="Arial" w:cs="Arial"/>
        </w:rPr>
      </w:pPr>
    </w:p>
    <w:p w14:paraId="3751B7D1" w14:textId="77777777" w:rsidR="009B5BF2" w:rsidRPr="009B5BF2" w:rsidRDefault="009B5BF2" w:rsidP="009B5BF2">
      <w:pPr>
        <w:spacing w:after="0"/>
        <w:rPr>
          <w:rFonts w:ascii="Arial" w:hAnsi="Arial" w:cs="Arial"/>
        </w:rPr>
      </w:pPr>
    </w:p>
    <w:p w14:paraId="5505A87D" w14:textId="77777777" w:rsidR="009B5BF2" w:rsidRPr="009B5BF2" w:rsidRDefault="009B5BF2" w:rsidP="009B5BF2">
      <w:pPr>
        <w:rPr>
          <w:rFonts w:ascii="Arial" w:hAnsi="Arial" w:cs="Arial"/>
        </w:rPr>
      </w:pPr>
      <w:r w:rsidRPr="009B5BF2">
        <w:rPr>
          <w:rFonts w:ascii="Arial" w:hAnsi="Arial" w:cs="Arial"/>
        </w:rPr>
        <w:br w:type="page"/>
      </w:r>
    </w:p>
    <w:p w14:paraId="551D9BE6" w14:textId="032D6657" w:rsidR="009B5BF2" w:rsidRPr="009B5BF2" w:rsidRDefault="009B5BF2" w:rsidP="009B5BF2">
      <w:pPr>
        <w:spacing w:after="0"/>
        <w:rPr>
          <w:rFonts w:ascii="Arial" w:hAnsi="Arial" w:cs="Arial"/>
        </w:rPr>
      </w:pPr>
      <w:r w:rsidRPr="009B5BF2">
        <w:rPr>
          <w:rFonts w:ascii="Arial" w:hAnsi="Arial" w:cs="Arial"/>
        </w:rPr>
        <w:lastRenderedPageBreak/>
        <w:t xml:space="preserve">Once both steps are completed and the </w:t>
      </w:r>
      <w:r w:rsidRPr="009B5BF2">
        <w:rPr>
          <w:rFonts w:ascii="Arial" w:hAnsi="Arial" w:cs="Arial"/>
          <w:u w:val="single"/>
        </w:rPr>
        <w:t>Carryover Report</w:t>
      </w:r>
      <w:r w:rsidRPr="009B5BF2">
        <w:rPr>
          <w:rFonts w:ascii="Arial" w:hAnsi="Arial" w:cs="Arial"/>
        </w:rPr>
        <w:t xml:space="preserve"> is approved, IHCDA will set-up CSBG Carryover budget lines on your award and edit the CSBG budget lines down to what was spent from the start of the award term on January 1 until September 30. Any remaining funds (the balance) will be moved to “CSBG Carryover” lines. Below is an example using the amounts provided above.</w:t>
      </w:r>
    </w:p>
    <w:p w14:paraId="6BF2B43F" w14:textId="77777777" w:rsidR="009B5BF2" w:rsidRPr="009B5BF2" w:rsidRDefault="009B5BF2" w:rsidP="009B5BF2">
      <w:pPr>
        <w:spacing w:after="0"/>
        <w:ind w:left="720"/>
        <w:rPr>
          <w:rFonts w:ascii="Arial" w:hAnsi="Arial" w:cs="Arial"/>
        </w:rPr>
      </w:pPr>
    </w:p>
    <w:p w14:paraId="58F9D217" w14:textId="5FEA67F1" w:rsidR="009B5BF2" w:rsidRPr="009B5BF2" w:rsidRDefault="001C73B7" w:rsidP="009B5BF2">
      <w:pPr>
        <w:spacing w:after="0"/>
        <w:rPr>
          <w:rFonts w:ascii="Arial" w:hAnsi="Arial" w:cs="Arial"/>
          <w:sz w:val="40"/>
          <w:szCs w:val="40"/>
        </w:rPr>
      </w:pPr>
      <w:bookmarkStart w:id="1" w:name="_Hlk22897223"/>
      <w:r>
        <w:rPr>
          <w:rFonts w:ascii="Arial" w:hAnsi="Arial" w:cs="Arial"/>
          <w:noProof/>
          <w:sz w:val="40"/>
          <w:szCs w:val="40"/>
        </w:rPr>
        <w:drawing>
          <wp:inline distT="0" distB="0" distL="0" distR="0" wp14:anchorId="197D7DAA" wp14:editId="5429BAA6">
            <wp:extent cx="5993130" cy="5389245"/>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3130" cy="5389245"/>
                    </a:xfrm>
                    <a:prstGeom prst="rect">
                      <a:avLst/>
                    </a:prstGeom>
                    <a:noFill/>
                  </pic:spPr>
                </pic:pic>
              </a:graphicData>
            </a:graphic>
          </wp:inline>
        </w:drawing>
      </w:r>
    </w:p>
    <w:bookmarkEnd w:id="1"/>
    <w:p w14:paraId="02FDAA48" w14:textId="77777777" w:rsidR="009B5BF2" w:rsidRPr="009B5BF2" w:rsidRDefault="009B5BF2" w:rsidP="009B5BF2">
      <w:pPr>
        <w:spacing w:after="0"/>
        <w:rPr>
          <w:rFonts w:ascii="Arial" w:hAnsi="Arial" w:cs="Arial"/>
        </w:rPr>
      </w:pPr>
    </w:p>
    <w:p w14:paraId="587A2B2D" w14:textId="77777777" w:rsidR="009B5BF2" w:rsidRPr="009B5BF2" w:rsidRDefault="009B5BF2" w:rsidP="009B5BF2">
      <w:pPr>
        <w:spacing w:after="0"/>
        <w:rPr>
          <w:rFonts w:ascii="Arial" w:hAnsi="Arial" w:cs="Arial"/>
        </w:rPr>
      </w:pPr>
      <w:r w:rsidRPr="009B5BF2">
        <w:rPr>
          <w:rFonts w:ascii="Arial" w:hAnsi="Arial" w:cs="Arial"/>
        </w:rPr>
        <w:t>Please note that once the CSBG Carryover line items are set up, the CAA will not be able to make claims on the regular CSBG budget lines.</w:t>
      </w:r>
    </w:p>
    <w:p w14:paraId="61D73ED4" w14:textId="77777777" w:rsidR="009B5BF2" w:rsidRPr="009B5BF2" w:rsidRDefault="009B5BF2" w:rsidP="009B5BF2">
      <w:pPr>
        <w:spacing w:after="0"/>
        <w:rPr>
          <w:rFonts w:ascii="Arial" w:hAnsi="Arial" w:cs="Arial"/>
        </w:rPr>
      </w:pPr>
    </w:p>
    <w:p w14:paraId="199247EC" w14:textId="4AFDBC34" w:rsidR="009B5BF2" w:rsidRPr="009B5BF2" w:rsidRDefault="009B5BF2" w:rsidP="009B5BF2">
      <w:pPr>
        <w:spacing w:after="0"/>
        <w:jc w:val="both"/>
        <w:rPr>
          <w:rFonts w:ascii="Arial" w:hAnsi="Arial" w:cs="Arial"/>
        </w:rPr>
      </w:pPr>
      <w:r w:rsidRPr="009B5BF2">
        <w:rPr>
          <w:rFonts w:ascii="Arial" w:hAnsi="Arial" w:cs="Arial"/>
        </w:rPr>
        <w:t xml:space="preserve">The CAA can then continue to make claims on a monthly basis until all </w:t>
      </w:r>
      <w:r w:rsidR="009534A9">
        <w:rPr>
          <w:rFonts w:ascii="Arial" w:hAnsi="Arial" w:cs="Arial"/>
        </w:rPr>
        <w:t>carryover</w:t>
      </w:r>
      <w:r w:rsidRPr="009B5BF2">
        <w:rPr>
          <w:rFonts w:ascii="Arial" w:hAnsi="Arial" w:cs="Arial"/>
        </w:rPr>
        <w:t xml:space="preserve"> funds are expended, submitting budget modifications as needed, </w:t>
      </w:r>
      <w:r w:rsidR="009534A9">
        <w:rPr>
          <w:rFonts w:ascii="Arial" w:hAnsi="Arial" w:cs="Arial"/>
        </w:rPr>
        <w:t>using the process outlined in the Guide to CSBG Agreements, Budgets and Amendments</w:t>
      </w:r>
      <w:r w:rsidRPr="009B5BF2">
        <w:rPr>
          <w:rFonts w:ascii="Arial" w:hAnsi="Arial" w:cs="Arial"/>
        </w:rPr>
        <w:t xml:space="preserve">.  </w:t>
      </w:r>
    </w:p>
    <w:p w14:paraId="1BDDFAB5" w14:textId="77777777" w:rsidR="009B5BF2" w:rsidRPr="009B5BF2" w:rsidRDefault="009B5BF2" w:rsidP="009B5BF2">
      <w:pPr>
        <w:spacing w:after="0"/>
        <w:jc w:val="both"/>
        <w:rPr>
          <w:rFonts w:ascii="Arial" w:hAnsi="Arial" w:cs="Arial"/>
        </w:rPr>
      </w:pPr>
    </w:p>
    <w:p w14:paraId="2DE7C0A8" w14:textId="77777777" w:rsidR="009B5BF2" w:rsidRPr="009B5BF2" w:rsidRDefault="009B5BF2" w:rsidP="009B5BF2">
      <w:pPr>
        <w:spacing w:after="0"/>
        <w:rPr>
          <w:rFonts w:ascii="Arial" w:hAnsi="Arial" w:cs="Arial"/>
        </w:rPr>
      </w:pPr>
    </w:p>
    <w:p w14:paraId="2ED6AAC6" w14:textId="77777777" w:rsidR="009B5BF2" w:rsidRPr="001C73B7" w:rsidRDefault="009B5BF2" w:rsidP="00321421">
      <w:pPr>
        <w:pStyle w:val="Heading1"/>
        <w:rPr>
          <w:color w:val="A2AD00"/>
        </w:rPr>
      </w:pPr>
      <w:bookmarkStart w:id="2" w:name="_Toc54007029"/>
      <w:r w:rsidRPr="001C73B7">
        <w:rPr>
          <w:color w:val="A2AD00"/>
        </w:rPr>
        <w:lastRenderedPageBreak/>
        <w:t>Close-out Report</w:t>
      </w:r>
      <w:bookmarkEnd w:id="2"/>
    </w:p>
    <w:p w14:paraId="06D08F7F" w14:textId="49FC6EF5" w:rsidR="001A5966" w:rsidRDefault="00321421" w:rsidP="009B5BF2">
      <w:pPr>
        <w:spacing w:after="0"/>
        <w:jc w:val="both"/>
        <w:rPr>
          <w:rFonts w:ascii="Arial" w:hAnsi="Arial" w:cs="Arial"/>
        </w:rPr>
      </w:pPr>
      <w:r>
        <w:rPr>
          <w:rFonts w:ascii="Arial" w:hAnsi="Arial" w:cs="Arial"/>
        </w:rPr>
        <w:t xml:space="preserve">CAAs have until September 30 of the second year that the CSBG grant agreement covers to spend all of that agreement’s funds. </w:t>
      </w:r>
      <w:r w:rsidR="009B5BF2" w:rsidRPr="009B5BF2">
        <w:rPr>
          <w:rFonts w:ascii="Arial" w:hAnsi="Arial" w:cs="Arial"/>
        </w:rPr>
        <w:t>Once all funds have been expended</w:t>
      </w:r>
      <w:r w:rsidR="009534A9">
        <w:rPr>
          <w:rFonts w:ascii="Arial" w:hAnsi="Arial" w:cs="Arial"/>
        </w:rPr>
        <w:t>, including Carryover</w:t>
      </w:r>
      <w:r w:rsidR="009B5BF2" w:rsidRPr="009B5BF2">
        <w:rPr>
          <w:rFonts w:ascii="Arial" w:hAnsi="Arial" w:cs="Arial"/>
        </w:rPr>
        <w:t xml:space="preserve">, CAAs must make the final claim and submit the </w:t>
      </w:r>
      <w:r w:rsidR="009B5BF2" w:rsidRPr="009B5BF2">
        <w:rPr>
          <w:rFonts w:ascii="Arial" w:hAnsi="Arial" w:cs="Arial"/>
          <w:u w:val="single"/>
        </w:rPr>
        <w:t>Closeout Report</w:t>
      </w:r>
      <w:r w:rsidR="009B5BF2" w:rsidRPr="009B5BF2">
        <w:rPr>
          <w:rFonts w:ascii="Arial" w:hAnsi="Arial" w:cs="Arial"/>
        </w:rPr>
        <w:t xml:space="preserve"> by November 15</w:t>
      </w:r>
      <w:r w:rsidR="009534A9">
        <w:rPr>
          <w:rFonts w:ascii="Arial" w:hAnsi="Arial" w:cs="Arial"/>
        </w:rPr>
        <w:t xml:space="preserve"> of the second year of their</w:t>
      </w:r>
      <w:r w:rsidR="001A5966">
        <w:rPr>
          <w:rFonts w:ascii="Arial" w:hAnsi="Arial" w:cs="Arial"/>
        </w:rPr>
        <w:t xml:space="preserve"> agreement</w:t>
      </w:r>
      <w:r w:rsidR="009B5BF2" w:rsidRPr="009B5BF2">
        <w:rPr>
          <w:rFonts w:ascii="Arial" w:hAnsi="Arial" w:cs="Arial"/>
        </w:rPr>
        <w:t xml:space="preserve"> to access 202</w:t>
      </w:r>
      <w:r w:rsidR="006557D3">
        <w:rPr>
          <w:rFonts w:ascii="Arial" w:hAnsi="Arial" w:cs="Arial"/>
        </w:rPr>
        <w:t>1</w:t>
      </w:r>
      <w:r w:rsidR="009B5BF2" w:rsidRPr="009B5BF2">
        <w:rPr>
          <w:rFonts w:ascii="Arial" w:hAnsi="Arial" w:cs="Arial"/>
        </w:rPr>
        <w:t xml:space="preserve"> funding. </w:t>
      </w:r>
      <w:r w:rsidR="001A5966">
        <w:rPr>
          <w:rFonts w:ascii="Arial" w:hAnsi="Arial" w:cs="Arial"/>
        </w:rPr>
        <w:t>For example, 202</w:t>
      </w:r>
      <w:r w:rsidR="006557D3">
        <w:rPr>
          <w:rFonts w:ascii="Arial" w:hAnsi="Arial" w:cs="Arial"/>
        </w:rPr>
        <w:t>1</w:t>
      </w:r>
      <w:r w:rsidR="001A5966">
        <w:rPr>
          <w:rFonts w:ascii="Arial" w:hAnsi="Arial" w:cs="Arial"/>
        </w:rPr>
        <w:t xml:space="preserve"> awards would submit their Closeout Report by November 15, 202</w:t>
      </w:r>
      <w:r w:rsidR="006557D3">
        <w:rPr>
          <w:rFonts w:ascii="Arial" w:hAnsi="Arial" w:cs="Arial"/>
        </w:rPr>
        <w:t>2</w:t>
      </w:r>
      <w:r w:rsidR="001A5966">
        <w:rPr>
          <w:rFonts w:ascii="Arial" w:hAnsi="Arial" w:cs="Arial"/>
        </w:rPr>
        <w:t>.</w:t>
      </w:r>
    </w:p>
    <w:p w14:paraId="31F9B51A" w14:textId="77777777" w:rsidR="001A5966" w:rsidRDefault="001A5966" w:rsidP="009B5BF2">
      <w:pPr>
        <w:spacing w:after="0"/>
        <w:jc w:val="both"/>
        <w:rPr>
          <w:rFonts w:ascii="Arial" w:hAnsi="Arial" w:cs="Arial"/>
        </w:rPr>
      </w:pPr>
    </w:p>
    <w:p w14:paraId="1E459F2B" w14:textId="77777777" w:rsidR="00000EFB" w:rsidRDefault="009B5BF2" w:rsidP="009B5BF2">
      <w:pPr>
        <w:spacing w:after="0"/>
        <w:jc w:val="both"/>
        <w:rPr>
          <w:rFonts w:ascii="Arial" w:hAnsi="Arial" w:cs="Arial"/>
        </w:rPr>
      </w:pPr>
      <w:r w:rsidRPr="009B5BF2">
        <w:rPr>
          <w:rFonts w:ascii="Arial" w:hAnsi="Arial" w:cs="Arial"/>
        </w:rPr>
        <w:t xml:space="preserve">The completed Close-out Report should be emailed to </w:t>
      </w:r>
      <w:hyperlink r:id="rId20" w:history="1">
        <w:r w:rsidRPr="009B5BF2">
          <w:rPr>
            <w:rFonts w:ascii="Arial" w:hAnsi="Arial" w:cs="Arial"/>
            <w:color w:val="0563C1" w:themeColor="hyperlink"/>
            <w:u w:val="single"/>
          </w:rPr>
          <w:t>CSBG@ihcda.in.gov</w:t>
        </w:r>
      </w:hyperlink>
      <w:r w:rsidRPr="009B5BF2">
        <w:rPr>
          <w:rFonts w:ascii="Arial" w:hAnsi="Arial" w:cs="Arial"/>
        </w:rPr>
        <w:t>.  Once the Close-out Report is received</w:t>
      </w:r>
      <w:r w:rsidR="001A5966">
        <w:rPr>
          <w:rFonts w:ascii="Arial" w:hAnsi="Arial" w:cs="Arial"/>
        </w:rPr>
        <w:t>,</w:t>
      </w:r>
      <w:r w:rsidRPr="009B5BF2">
        <w:rPr>
          <w:rFonts w:ascii="Arial" w:hAnsi="Arial" w:cs="Arial"/>
        </w:rPr>
        <w:t xml:space="preserve"> IHCDA will approve and email a copy of the Approved Close-out Report back to the CAA.  </w:t>
      </w:r>
    </w:p>
    <w:p w14:paraId="17E2B27A" w14:textId="77777777" w:rsidR="00000EFB" w:rsidRDefault="00000EFB" w:rsidP="009B5BF2">
      <w:pPr>
        <w:spacing w:after="0"/>
        <w:jc w:val="both"/>
        <w:rPr>
          <w:rFonts w:ascii="Arial" w:hAnsi="Arial" w:cs="Arial"/>
        </w:rPr>
      </w:pPr>
    </w:p>
    <w:p w14:paraId="7C35C7D8" w14:textId="0FAC0C8B" w:rsidR="00000EFB" w:rsidRDefault="00000EFB" w:rsidP="009B5BF2">
      <w:pPr>
        <w:spacing w:after="0"/>
        <w:jc w:val="both"/>
        <w:rPr>
          <w:rFonts w:ascii="Arial" w:hAnsi="Arial" w:cs="Arial"/>
        </w:rPr>
      </w:pPr>
      <w:r>
        <w:rPr>
          <w:rFonts w:ascii="Arial" w:hAnsi="Arial" w:cs="Arial"/>
        </w:rPr>
        <w:t xml:space="preserve">IHCDA </w:t>
      </w:r>
      <w:r w:rsidR="006557D3">
        <w:rPr>
          <w:rFonts w:ascii="Arial" w:hAnsi="Arial" w:cs="Arial"/>
        </w:rPr>
        <w:t>requires</w:t>
      </w:r>
      <w:r>
        <w:rPr>
          <w:rFonts w:ascii="Arial" w:hAnsi="Arial" w:cs="Arial"/>
        </w:rPr>
        <w:t xml:space="preserve"> the following items in addition to confirmation of what a CAA spent on Admin and Direct Program expenses: </w:t>
      </w:r>
    </w:p>
    <w:p w14:paraId="5328F022" w14:textId="7E9CFC21" w:rsidR="00000EFB" w:rsidRDefault="00000EFB" w:rsidP="00000EFB">
      <w:pPr>
        <w:pStyle w:val="ListParagraph"/>
        <w:numPr>
          <w:ilvl w:val="0"/>
          <w:numId w:val="3"/>
        </w:numPr>
        <w:spacing w:after="0"/>
        <w:jc w:val="both"/>
        <w:rPr>
          <w:rFonts w:ascii="Arial" w:hAnsi="Arial" w:cs="Arial"/>
        </w:rPr>
      </w:pPr>
      <w:r>
        <w:rPr>
          <w:rFonts w:ascii="Arial" w:hAnsi="Arial" w:cs="Arial"/>
        </w:rPr>
        <w:t>The total direct program expenses must be broken down by the programs that were supported by CSBG funds. When a CAA provides the list of programs and the amount that went to each program, the total should match the Direct Program amount provided in the table above.</w:t>
      </w:r>
    </w:p>
    <w:p w14:paraId="67816FE1" w14:textId="4374C234" w:rsidR="005D1B15" w:rsidRDefault="005D1B15" w:rsidP="005D1B15">
      <w:pPr>
        <w:pStyle w:val="ListParagraph"/>
        <w:numPr>
          <w:ilvl w:val="1"/>
          <w:numId w:val="3"/>
        </w:numPr>
        <w:spacing w:after="0"/>
        <w:jc w:val="both"/>
        <w:rPr>
          <w:rFonts w:ascii="Arial" w:hAnsi="Arial" w:cs="Arial"/>
        </w:rPr>
      </w:pPr>
      <w:r>
        <w:rPr>
          <w:rFonts w:ascii="Arial" w:hAnsi="Arial" w:cs="Arial"/>
        </w:rPr>
        <w:t xml:space="preserve">TIP 1: please include the name of the state or federal program somewhere in the program title you list in this table. Ex: If your “Housing” program is actually your agency’s HCV program, please put “HCV,” “HCV Supplement,” or “Housing (HCV).” </w:t>
      </w:r>
    </w:p>
    <w:p w14:paraId="0BFEE627" w14:textId="01CFFBF4" w:rsidR="005D1B15" w:rsidRDefault="005D1B15" w:rsidP="005D1B15">
      <w:pPr>
        <w:pStyle w:val="ListParagraph"/>
        <w:numPr>
          <w:ilvl w:val="1"/>
          <w:numId w:val="3"/>
        </w:numPr>
        <w:spacing w:after="0"/>
        <w:jc w:val="both"/>
        <w:rPr>
          <w:rFonts w:ascii="Arial" w:hAnsi="Arial" w:cs="Arial"/>
        </w:rPr>
      </w:pPr>
      <w:r>
        <w:rPr>
          <w:rFonts w:ascii="Arial" w:hAnsi="Arial" w:cs="Arial"/>
        </w:rPr>
        <w:t>TIP 2: if your agency normally combines two federal or state programs under one title, please separate them for this report. Ex: if your agency’s “Housing” program includes HCV and Weatherization, please list those separately on this report.</w:t>
      </w:r>
    </w:p>
    <w:p w14:paraId="2052A839" w14:textId="054A1102" w:rsidR="00000EFB" w:rsidRDefault="00000EFB" w:rsidP="00000EFB">
      <w:pPr>
        <w:pStyle w:val="ListParagraph"/>
        <w:numPr>
          <w:ilvl w:val="0"/>
          <w:numId w:val="3"/>
        </w:numPr>
        <w:spacing w:after="0"/>
        <w:jc w:val="both"/>
        <w:rPr>
          <w:rFonts w:ascii="Arial" w:hAnsi="Arial" w:cs="Arial"/>
        </w:rPr>
      </w:pPr>
      <w:r>
        <w:rPr>
          <w:rFonts w:ascii="Arial" w:hAnsi="Arial" w:cs="Arial"/>
        </w:rPr>
        <w:t>Agencies must identify any program income that was earned during the period that the CAA was claiming against the relevant award.</w:t>
      </w:r>
    </w:p>
    <w:p w14:paraId="057B37D9" w14:textId="57A81C30" w:rsidR="005F0DFA" w:rsidRDefault="005F0DFA" w:rsidP="005F0DFA">
      <w:pPr>
        <w:spacing w:after="0"/>
        <w:jc w:val="both"/>
        <w:rPr>
          <w:rFonts w:ascii="Arial" w:hAnsi="Arial" w:cs="Arial"/>
        </w:rPr>
      </w:pPr>
    </w:p>
    <w:p w14:paraId="674E39F9" w14:textId="01A7F293" w:rsidR="005F0DFA" w:rsidRPr="005F0DFA" w:rsidRDefault="005F0DFA" w:rsidP="005F0DFA">
      <w:pPr>
        <w:spacing w:after="0"/>
        <w:jc w:val="both"/>
        <w:rPr>
          <w:rFonts w:ascii="Arial" w:hAnsi="Arial" w:cs="Arial"/>
        </w:rPr>
      </w:pPr>
      <w:r w:rsidRPr="005F0DFA">
        <w:rPr>
          <w:rFonts w:ascii="Arial" w:hAnsi="Arial" w:cs="Arial"/>
          <w:b/>
          <w:bCs/>
        </w:rPr>
        <w:t>New for the 2021 program year</w:t>
      </w:r>
      <w:r>
        <w:rPr>
          <w:rFonts w:ascii="Arial" w:hAnsi="Arial" w:cs="Arial"/>
        </w:rPr>
        <w:t xml:space="preserve">, IHCDA requires that for each program that receives CSBG funds, that the most recent annual budget for that program </w:t>
      </w:r>
      <w:r w:rsidR="00E36947">
        <w:rPr>
          <w:rFonts w:ascii="Arial" w:hAnsi="Arial" w:cs="Arial"/>
        </w:rPr>
        <w:t xml:space="preserve">must </w:t>
      </w:r>
      <w:r>
        <w:rPr>
          <w:rFonts w:ascii="Arial" w:hAnsi="Arial" w:cs="Arial"/>
        </w:rPr>
        <w:t>also be provided. This way IHCDA can see the proportion of the program’s budget that CSBG supports. The entire program operating budget should be reported, not just administration or program costs, since all costs associated with a particular program are considered Direct Program Costs under CSBG rules.</w:t>
      </w:r>
    </w:p>
    <w:p w14:paraId="6B29ECAD" w14:textId="77777777" w:rsidR="00000EFB" w:rsidRDefault="00000EFB" w:rsidP="009B5BF2">
      <w:pPr>
        <w:spacing w:after="0"/>
        <w:jc w:val="both"/>
        <w:rPr>
          <w:rFonts w:ascii="Arial" w:hAnsi="Arial" w:cs="Arial"/>
        </w:rPr>
      </w:pPr>
    </w:p>
    <w:p w14:paraId="7C623B2D" w14:textId="3640B343" w:rsidR="009B5BF2" w:rsidRPr="009B5BF2" w:rsidRDefault="009B5BF2" w:rsidP="009B5BF2">
      <w:pPr>
        <w:spacing w:after="0"/>
        <w:jc w:val="both"/>
        <w:rPr>
          <w:rFonts w:ascii="Arial" w:hAnsi="Arial" w:cs="Arial"/>
        </w:rPr>
      </w:pPr>
      <w:r w:rsidRPr="009B5BF2">
        <w:rPr>
          <w:rFonts w:ascii="Arial" w:hAnsi="Arial" w:cs="Arial"/>
        </w:rPr>
        <w:t>Below is a sample Close-out Report showing that all funds have been expended and claimed.</w:t>
      </w:r>
    </w:p>
    <w:p w14:paraId="5F8537F7" w14:textId="77777777" w:rsidR="009B5BF2" w:rsidRPr="009B5BF2" w:rsidRDefault="009B5BF2" w:rsidP="009B5BF2">
      <w:pPr>
        <w:spacing w:after="0"/>
        <w:jc w:val="both"/>
        <w:rPr>
          <w:rFonts w:ascii="Arial" w:hAnsi="Arial" w:cs="Arial"/>
        </w:rPr>
      </w:pPr>
    </w:p>
    <w:p w14:paraId="710341DA" w14:textId="0A1FE734" w:rsidR="001A5966" w:rsidRPr="00000EFB" w:rsidRDefault="00811E86" w:rsidP="009B5BF2">
      <w:pPr>
        <w:spacing w:after="0"/>
        <w:jc w:val="both"/>
        <w:rPr>
          <w:rFonts w:ascii="Arial" w:hAnsi="Arial" w:cs="Arial"/>
        </w:rPr>
      </w:pPr>
      <w:r>
        <w:rPr>
          <w:noProof/>
        </w:rPr>
        <w:drawing>
          <wp:inline distT="0" distB="0" distL="0" distR="0" wp14:anchorId="04F56CF8" wp14:editId="55EE489F">
            <wp:extent cx="5533197" cy="1828312"/>
            <wp:effectExtent l="19050" t="19050" r="1079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46" t="30208" r="46854" b="39424"/>
                    <a:stretch/>
                  </pic:blipFill>
                  <pic:spPr bwMode="auto">
                    <a:xfrm>
                      <a:off x="0" y="0"/>
                      <a:ext cx="5548249" cy="18332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D90A753" w14:textId="72878CE2" w:rsidR="009B5BF2" w:rsidRPr="009B5BF2" w:rsidRDefault="00811E86" w:rsidP="009B5BF2">
      <w:pPr>
        <w:spacing w:after="0"/>
        <w:jc w:val="both"/>
        <w:rPr>
          <w:rFonts w:ascii="Arial" w:hAnsi="Arial" w:cs="Arial"/>
        </w:rPr>
      </w:pPr>
      <w:r>
        <w:rPr>
          <w:noProof/>
        </w:rPr>
        <w:lastRenderedPageBreak/>
        <mc:AlternateContent>
          <mc:Choice Requires="wps">
            <w:drawing>
              <wp:anchor distT="0" distB="0" distL="114300" distR="114300" simplePos="0" relativeHeight="251666432" behindDoc="0" locked="0" layoutInCell="1" allowOverlap="1" wp14:anchorId="5534A912" wp14:editId="090E7202">
                <wp:simplePos x="0" y="0"/>
                <wp:positionH relativeFrom="column">
                  <wp:posOffset>4332263</wp:posOffset>
                </wp:positionH>
                <wp:positionV relativeFrom="paragraph">
                  <wp:posOffset>963295</wp:posOffset>
                </wp:positionV>
                <wp:extent cx="836491" cy="246185"/>
                <wp:effectExtent l="0" t="0" r="20955" b="20955"/>
                <wp:wrapNone/>
                <wp:docPr id="10" name="Oval 10"/>
                <wp:cNvGraphicFramePr/>
                <a:graphic xmlns:a="http://schemas.openxmlformats.org/drawingml/2006/main">
                  <a:graphicData uri="http://schemas.microsoft.com/office/word/2010/wordprocessingShape">
                    <wps:wsp>
                      <wps:cNvSpPr/>
                      <wps:spPr>
                        <a:xfrm>
                          <a:off x="0" y="0"/>
                          <a:ext cx="836491" cy="24618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8BB5E" id="Oval 10" o:spid="_x0000_s1026" style="position:absolute;margin-left:341.1pt;margin-top:75.85pt;width:65.85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" filled="f" strokecolor="red" strokeweight="1pt">
                <v:stroke joinstyle="miter"/>
              </v:oval>
            </w:pict>
          </mc:Fallback>
        </mc:AlternateContent>
      </w:r>
      <w:r>
        <w:rPr>
          <w:noProof/>
        </w:rPr>
        <w:drawing>
          <wp:inline distT="0" distB="0" distL="0" distR="0" wp14:anchorId="4AB674D6" wp14:editId="2CA121CE">
            <wp:extent cx="6042660" cy="1471326"/>
            <wp:effectExtent l="19050" t="19050" r="1524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39" t="42288" r="35266" b="30357"/>
                    <a:stretch/>
                  </pic:blipFill>
                  <pic:spPr bwMode="auto">
                    <a:xfrm>
                      <a:off x="0" y="0"/>
                      <a:ext cx="6093817" cy="14837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16FCA83" w14:textId="071DC732" w:rsidR="009B5BF2" w:rsidRDefault="00811E86" w:rsidP="009B5BF2">
      <w:pPr>
        <w:spacing w:after="0"/>
        <w:jc w:val="both"/>
        <w:rPr>
          <w:rFonts w:ascii="Arial" w:hAnsi="Arial" w:cs="Arial"/>
        </w:rPr>
      </w:pPr>
      <w:r>
        <w:rPr>
          <w:noProof/>
        </w:rPr>
        <mc:AlternateContent>
          <mc:Choice Requires="wps">
            <w:drawing>
              <wp:anchor distT="0" distB="0" distL="114300" distR="114300" simplePos="0" relativeHeight="251664384" behindDoc="0" locked="0" layoutInCell="1" allowOverlap="1" wp14:anchorId="1C6F7839" wp14:editId="1B8356D4">
                <wp:simplePos x="0" y="0"/>
                <wp:positionH relativeFrom="column">
                  <wp:posOffset>2032782</wp:posOffset>
                </wp:positionH>
                <wp:positionV relativeFrom="paragraph">
                  <wp:posOffset>2427703</wp:posOffset>
                </wp:positionV>
                <wp:extent cx="858129" cy="272268"/>
                <wp:effectExtent l="0" t="0" r="18415" b="13970"/>
                <wp:wrapNone/>
                <wp:docPr id="9" name="Oval 9"/>
                <wp:cNvGraphicFramePr/>
                <a:graphic xmlns:a="http://schemas.openxmlformats.org/drawingml/2006/main">
                  <a:graphicData uri="http://schemas.microsoft.com/office/word/2010/wordprocessingShape">
                    <wps:wsp>
                      <wps:cNvSpPr/>
                      <wps:spPr>
                        <a:xfrm>
                          <a:off x="0" y="0"/>
                          <a:ext cx="858129" cy="272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4EAD0D" id="Oval 9" o:spid="_x0000_s1026" style="position:absolute;margin-left:160.05pt;margin-top:191.15pt;width:67.55pt;height:2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" filled="f" strokecolor="red" strokeweight="1pt">
                <v:stroke joinstyle="miter"/>
              </v:oval>
            </w:pict>
          </mc:Fallback>
        </mc:AlternateContent>
      </w:r>
      <w:r w:rsidR="005F0DFA">
        <w:rPr>
          <w:noProof/>
        </w:rPr>
        <w:drawing>
          <wp:inline distT="0" distB="0" distL="0" distR="0" wp14:anchorId="06ED0DA7" wp14:editId="1A9A42DE">
            <wp:extent cx="6023610" cy="2620604"/>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65" t="30296" r="35266" b="20461"/>
                    <a:stretch/>
                  </pic:blipFill>
                  <pic:spPr bwMode="auto">
                    <a:xfrm>
                      <a:off x="0" y="0"/>
                      <a:ext cx="6051348" cy="26326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ACBBF19" w14:textId="25523275" w:rsidR="00000EFB" w:rsidRPr="009B5BF2" w:rsidRDefault="00811E86" w:rsidP="009B5BF2">
      <w:pPr>
        <w:spacing w:after="0"/>
        <w:jc w:val="both"/>
        <w:rPr>
          <w:rFonts w:ascii="Arial" w:hAnsi="Arial" w:cs="Arial"/>
        </w:rPr>
      </w:pPr>
      <w:r>
        <w:rPr>
          <w:noProof/>
        </w:rPr>
        <w:drawing>
          <wp:inline distT="0" distB="0" distL="0" distR="0" wp14:anchorId="5D668526" wp14:editId="62531491">
            <wp:extent cx="5648178" cy="3954825"/>
            <wp:effectExtent l="19050" t="19050" r="101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02" t="34925" r="63195" b="20882"/>
                    <a:stretch/>
                  </pic:blipFill>
                  <pic:spPr bwMode="auto">
                    <a:xfrm>
                      <a:off x="0" y="0"/>
                      <a:ext cx="5650866" cy="39567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B8AF46" w14:textId="7BFA77FE" w:rsidR="009B5BF2" w:rsidRPr="009B5BF2" w:rsidRDefault="009B5BF2" w:rsidP="009B5BF2">
      <w:pPr>
        <w:spacing w:after="0"/>
        <w:rPr>
          <w:rFonts w:ascii="Arial" w:hAnsi="Arial" w:cs="Arial"/>
        </w:rPr>
      </w:pPr>
      <w:r w:rsidRPr="009B5BF2">
        <w:rPr>
          <w:rFonts w:ascii="Arial" w:hAnsi="Arial" w:cs="Arial"/>
        </w:rPr>
        <w:lastRenderedPageBreak/>
        <w:t xml:space="preserve">The next award will not be opened for claims until IHCDA staff receive the Closeout Report, so it is important that the report is sent to </w:t>
      </w:r>
      <w:hyperlink r:id="rId25" w:history="1">
        <w:r w:rsidRPr="009B5BF2">
          <w:rPr>
            <w:rFonts w:ascii="Arial" w:hAnsi="Arial" w:cs="Arial"/>
            <w:color w:val="0563C1" w:themeColor="hyperlink"/>
            <w:u w:val="single"/>
          </w:rPr>
          <w:t>csbg@ihcda.in.gov</w:t>
        </w:r>
      </w:hyperlink>
      <w:r w:rsidRPr="009B5BF2">
        <w:rPr>
          <w:rFonts w:ascii="Arial" w:hAnsi="Arial" w:cs="Arial"/>
        </w:rPr>
        <w:t xml:space="preserve"> as soon as possible after the final claim is submitted</w:t>
      </w:r>
      <w:r w:rsidR="00617367">
        <w:rPr>
          <w:rFonts w:ascii="Arial" w:hAnsi="Arial" w:cs="Arial"/>
        </w:rPr>
        <w:t xml:space="preserve"> in order for a CAA to have consistent access to CSBG funds</w:t>
      </w:r>
      <w:r w:rsidRPr="009B5BF2">
        <w:rPr>
          <w:rFonts w:ascii="Arial" w:hAnsi="Arial" w:cs="Arial"/>
        </w:rPr>
        <w:t xml:space="preserve">. </w:t>
      </w:r>
    </w:p>
    <w:p w14:paraId="2028E64D" w14:textId="77777777" w:rsidR="009B5BF2" w:rsidRPr="009B5BF2" w:rsidRDefault="009B5BF2" w:rsidP="009B5BF2"/>
    <w:p w14:paraId="5C17DD0E" w14:textId="77777777" w:rsidR="00F363FF" w:rsidRDefault="006557D3"/>
    <w:sectPr w:rsidR="00F363F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88969" w14:textId="77777777" w:rsidR="00912F2F" w:rsidRDefault="00912F2F" w:rsidP="00912F2F">
      <w:pPr>
        <w:spacing w:after="0" w:line="240" w:lineRule="auto"/>
      </w:pPr>
      <w:r>
        <w:separator/>
      </w:r>
    </w:p>
  </w:endnote>
  <w:endnote w:type="continuationSeparator" w:id="0">
    <w:p w14:paraId="4383D28F" w14:textId="77777777" w:rsidR="00912F2F" w:rsidRDefault="00912F2F" w:rsidP="00912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01CB" w14:textId="77777777" w:rsidR="00912F2F" w:rsidRDefault="00912F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622C" w14:textId="77777777" w:rsidR="00912F2F" w:rsidRDefault="00912F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5D49" w14:textId="77777777" w:rsidR="00912F2F" w:rsidRDefault="00912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0BED" w14:textId="77777777" w:rsidR="00912F2F" w:rsidRDefault="00912F2F" w:rsidP="00912F2F">
      <w:pPr>
        <w:spacing w:after="0" w:line="240" w:lineRule="auto"/>
      </w:pPr>
      <w:r>
        <w:separator/>
      </w:r>
    </w:p>
  </w:footnote>
  <w:footnote w:type="continuationSeparator" w:id="0">
    <w:p w14:paraId="586E2B1B" w14:textId="77777777" w:rsidR="00912F2F" w:rsidRDefault="00912F2F" w:rsidP="00912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CD6D" w14:textId="77777777" w:rsidR="00912F2F" w:rsidRDefault="00912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807" w14:textId="1A0A8C63" w:rsidR="00912F2F" w:rsidRDefault="00912F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3A72" w14:textId="77777777" w:rsidR="00912F2F" w:rsidRDefault="00912F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7E0"/>
    <w:multiLevelType w:val="hybridMultilevel"/>
    <w:tmpl w:val="B65423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B3F8A"/>
    <w:multiLevelType w:val="hybridMultilevel"/>
    <w:tmpl w:val="C9B47C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90319F"/>
    <w:multiLevelType w:val="hybridMultilevel"/>
    <w:tmpl w:val="9F0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F2"/>
    <w:rsid w:val="00000EFB"/>
    <w:rsid w:val="001712B9"/>
    <w:rsid w:val="001A5966"/>
    <w:rsid w:val="001C73B7"/>
    <w:rsid w:val="00321421"/>
    <w:rsid w:val="004D0B65"/>
    <w:rsid w:val="005D1B15"/>
    <w:rsid w:val="005F0DFA"/>
    <w:rsid w:val="00617367"/>
    <w:rsid w:val="006557D3"/>
    <w:rsid w:val="007262CD"/>
    <w:rsid w:val="007E1243"/>
    <w:rsid w:val="00811E86"/>
    <w:rsid w:val="00821956"/>
    <w:rsid w:val="008D7865"/>
    <w:rsid w:val="00912F2F"/>
    <w:rsid w:val="009534A9"/>
    <w:rsid w:val="009757C4"/>
    <w:rsid w:val="009B5BF2"/>
    <w:rsid w:val="00E05BC4"/>
    <w:rsid w:val="00E36947"/>
    <w:rsid w:val="00FF1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590CB6"/>
  <w15:chartTrackingRefBased/>
  <w15:docId w15:val="{61E8E4A5-D94C-48A6-B3B0-0D58B763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421"/>
    <w:pPr>
      <w:keepNext/>
      <w:keepLines/>
      <w:spacing w:before="240" w:after="0"/>
      <w:outlineLvl w:val="0"/>
    </w:pPr>
    <w:rPr>
      <w:rFonts w:ascii="Arial" w:eastAsiaTheme="majorEastAsia" w:hAnsi="Arial"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2CD"/>
    <w:rPr>
      <w:rFonts w:ascii="Segoe UI" w:hAnsi="Segoe UI" w:cs="Segoe UI"/>
      <w:sz w:val="18"/>
      <w:szCs w:val="18"/>
    </w:rPr>
  </w:style>
  <w:style w:type="paragraph" w:styleId="ListParagraph">
    <w:name w:val="List Paragraph"/>
    <w:basedOn w:val="Normal"/>
    <w:uiPriority w:val="34"/>
    <w:qFormat/>
    <w:rsid w:val="00000EFB"/>
    <w:pPr>
      <w:ind w:left="720"/>
      <w:contextualSpacing/>
    </w:pPr>
  </w:style>
  <w:style w:type="paragraph" w:styleId="Header">
    <w:name w:val="header"/>
    <w:basedOn w:val="Normal"/>
    <w:link w:val="HeaderChar"/>
    <w:uiPriority w:val="99"/>
    <w:unhideWhenUsed/>
    <w:rsid w:val="00912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F2F"/>
  </w:style>
  <w:style w:type="paragraph" w:styleId="Footer">
    <w:name w:val="footer"/>
    <w:basedOn w:val="Normal"/>
    <w:link w:val="FooterChar"/>
    <w:uiPriority w:val="99"/>
    <w:unhideWhenUsed/>
    <w:rsid w:val="00912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F2F"/>
  </w:style>
  <w:style w:type="paragraph" w:styleId="Title">
    <w:name w:val="Title"/>
    <w:basedOn w:val="Normal"/>
    <w:next w:val="Normal"/>
    <w:link w:val="TitleChar"/>
    <w:uiPriority w:val="10"/>
    <w:qFormat/>
    <w:rsid w:val="00FF1934"/>
    <w:pPr>
      <w:spacing w:after="0" w:line="240" w:lineRule="auto"/>
      <w:contextualSpacing/>
    </w:pPr>
    <w:rPr>
      <w:rFonts w:ascii="Arial" w:eastAsiaTheme="majorEastAsia" w:hAnsi="Arial" w:cstheme="majorBidi"/>
      <w:spacing w:val="-10"/>
      <w:kern w:val="28"/>
      <w:sz w:val="48"/>
      <w:szCs w:val="56"/>
    </w:rPr>
  </w:style>
  <w:style w:type="character" w:customStyle="1" w:styleId="TitleChar">
    <w:name w:val="Title Char"/>
    <w:basedOn w:val="DefaultParagraphFont"/>
    <w:link w:val="Title"/>
    <w:uiPriority w:val="10"/>
    <w:rsid w:val="00FF1934"/>
    <w:rPr>
      <w:rFonts w:ascii="Arial" w:eastAsiaTheme="majorEastAsia" w:hAnsi="Arial" w:cstheme="majorBidi"/>
      <w:spacing w:val="-10"/>
      <w:kern w:val="28"/>
      <w:sz w:val="48"/>
      <w:szCs w:val="56"/>
    </w:rPr>
  </w:style>
  <w:style w:type="character" w:customStyle="1" w:styleId="Heading1Char">
    <w:name w:val="Heading 1 Char"/>
    <w:basedOn w:val="DefaultParagraphFont"/>
    <w:link w:val="Heading1"/>
    <w:uiPriority w:val="9"/>
    <w:rsid w:val="00321421"/>
    <w:rPr>
      <w:rFonts w:ascii="Arial" w:eastAsiaTheme="majorEastAsia" w:hAnsi="Arial"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csbg@ihcda.in.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CSBG@ihcda.in.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csbg@ihcda.in.gov"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5T19:53:13.57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1,'739'0,"-607"9,4 1,164-11,-285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5T19:53:12.21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92,'15'-2,"-1"0,0 0,0-1,0-1,15-6,17-4,-14 7,-1 2,57-3,66 10,-53 0,-40-1,1-3,-1-2,94-19,-131 19,1 1,0 1,0 1,29 2,-3 1,-36-2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5T19:53:10.76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54,'260'-18,"13"0,306 19,-560-2,-1-1,19-4,30-3,-52 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5T19:53:09.04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1,'455'0,"-433"1,39 7,-40-4,39 1,-46-4,1 1,18 4,27 2,27-9,39 2,-79 8,-35-6,1-1,20 2,90-4,-108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44E8E-BF02-485B-92B4-EEFCA9D9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Veronica</dc:creator>
  <cp:keywords/>
  <dc:description/>
  <cp:lastModifiedBy>Trentadue, Joseph (IHCDA)</cp:lastModifiedBy>
  <cp:revision>13</cp:revision>
  <dcterms:created xsi:type="dcterms:W3CDTF">2020-12-15T19:02:00Z</dcterms:created>
  <dcterms:modified xsi:type="dcterms:W3CDTF">2021-10-25T16:13:00Z</dcterms:modified>
</cp:coreProperties>
</file>