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EB98" w14:textId="3FD019BF" w:rsidR="00BB44E0" w:rsidRPr="00D77CC3" w:rsidRDefault="00D77CC3">
      <w:pPr>
        <w:rPr>
          <w:rFonts w:ascii="Arial" w:hAnsi="Arial" w:cs="Arial"/>
          <w:b/>
          <w:bCs/>
          <w:sz w:val="27"/>
          <w:szCs w:val="27"/>
        </w:rPr>
      </w:pPr>
      <w:r w:rsidRPr="00D77CC3">
        <w:rPr>
          <w:rFonts w:ascii="Arial" w:hAnsi="Arial" w:cs="Arial"/>
          <w:b/>
          <w:bCs/>
          <w:sz w:val="27"/>
          <w:szCs w:val="27"/>
        </w:rPr>
        <w:t xml:space="preserve">APPENDIX B: ALLOWABILITY AND REASONABLE COSTS </w:t>
      </w:r>
    </w:p>
    <w:p w14:paraId="74B73510" w14:textId="4B73C290" w:rsidR="00D77CC3" w:rsidRDefault="00D77CC3" w:rsidP="00D77C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200.403 Factors affecting allowability of costs.</w:t>
      </w:r>
    </w:p>
    <w:p w14:paraId="32FBE801" w14:textId="77777777" w:rsidR="000B11C6" w:rsidRPr="00D77CC3" w:rsidRDefault="000B11C6" w:rsidP="00D77C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337BAECF" w14:textId="77777777" w:rsidR="00D77CC3" w:rsidRPr="00D77CC3" w:rsidRDefault="00D77CC3" w:rsidP="00D77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color w:val="333333"/>
        </w:rPr>
        <w:t xml:space="preserve">Except where otherwise authorized by statute, costs must meet the following general criteria </w:t>
      </w:r>
      <w:proofErr w:type="gramStart"/>
      <w:r w:rsidRPr="00D77CC3">
        <w:rPr>
          <w:rFonts w:ascii="Arial" w:eastAsia="Times New Roman" w:hAnsi="Arial" w:cs="Arial"/>
          <w:color w:val="333333"/>
        </w:rPr>
        <w:t>in order to</w:t>
      </w:r>
      <w:proofErr w:type="gramEnd"/>
      <w:r w:rsidRPr="00D77CC3">
        <w:rPr>
          <w:rFonts w:ascii="Arial" w:eastAsia="Times New Roman" w:hAnsi="Arial" w:cs="Arial"/>
          <w:color w:val="333333"/>
        </w:rPr>
        <w:t xml:space="preserve"> be allowable under Federal awards:</w:t>
      </w:r>
    </w:p>
    <w:p w14:paraId="2AEE08C0" w14:textId="77777777" w:rsidR="00D77CC3" w:rsidRPr="00D77CC3" w:rsidRDefault="00D77CC3" w:rsidP="00D77C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(a)</w:t>
      </w:r>
      <w:r w:rsidRPr="00D77CC3">
        <w:rPr>
          <w:rFonts w:ascii="Arial" w:eastAsia="Times New Roman" w:hAnsi="Arial" w:cs="Arial"/>
          <w:color w:val="333333"/>
        </w:rPr>
        <w:t> Be necessary and reasonable for the performance of the </w:t>
      </w:r>
      <w:hyperlink r:id="rId4" w:history="1">
        <w:r w:rsidRPr="00D77CC3">
          <w:rPr>
            <w:rFonts w:ascii="Arial" w:eastAsia="Times New Roman" w:hAnsi="Arial" w:cs="Arial"/>
            <w:color w:val="0068AC"/>
            <w:u w:val="single"/>
          </w:rPr>
          <w:t>Federal award</w:t>
        </w:r>
      </w:hyperlink>
      <w:r w:rsidRPr="00D77CC3">
        <w:rPr>
          <w:rFonts w:ascii="Arial" w:eastAsia="Times New Roman" w:hAnsi="Arial" w:cs="Arial"/>
          <w:color w:val="333333"/>
        </w:rPr>
        <w:t> and be allocable thereto under these principles.</w:t>
      </w:r>
    </w:p>
    <w:p w14:paraId="08D28785" w14:textId="77777777" w:rsidR="00D77CC3" w:rsidRPr="00D77CC3" w:rsidRDefault="00D77CC3" w:rsidP="00D77C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(b)</w:t>
      </w:r>
      <w:r w:rsidRPr="00D77CC3">
        <w:rPr>
          <w:rFonts w:ascii="Arial" w:eastAsia="Times New Roman" w:hAnsi="Arial" w:cs="Arial"/>
          <w:color w:val="333333"/>
        </w:rPr>
        <w:t> Conform to any limitations or exclusions set forth in these principles or in the </w:t>
      </w:r>
      <w:hyperlink r:id="rId5" w:history="1">
        <w:r w:rsidRPr="00D77CC3">
          <w:rPr>
            <w:rFonts w:ascii="Arial" w:eastAsia="Times New Roman" w:hAnsi="Arial" w:cs="Arial"/>
            <w:color w:val="0068AC"/>
            <w:u w:val="single"/>
          </w:rPr>
          <w:t>Federal award</w:t>
        </w:r>
      </w:hyperlink>
      <w:r w:rsidRPr="00D77CC3">
        <w:rPr>
          <w:rFonts w:ascii="Arial" w:eastAsia="Times New Roman" w:hAnsi="Arial" w:cs="Arial"/>
          <w:color w:val="333333"/>
        </w:rPr>
        <w:t> as to types or amount of cost items.</w:t>
      </w:r>
    </w:p>
    <w:p w14:paraId="0FA59DA9" w14:textId="77777777" w:rsidR="00D77CC3" w:rsidRPr="00D77CC3" w:rsidRDefault="00D77CC3" w:rsidP="00D77C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(c)</w:t>
      </w:r>
      <w:r w:rsidRPr="00D77CC3">
        <w:rPr>
          <w:rFonts w:ascii="Arial" w:eastAsia="Times New Roman" w:hAnsi="Arial" w:cs="Arial"/>
          <w:color w:val="333333"/>
        </w:rPr>
        <w:t> Be consistent with policies and procedures that apply uniformly to both federally-financed and other activities of the </w:t>
      </w:r>
      <w:hyperlink r:id="rId6" w:history="1">
        <w:r w:rsidRPr="00D77CC3">
          <w:rPr>
            <w:rFonts w:ascii="Arial" w:eastAsia="Times New Roman" w:hAnsi="Arial" w:cs="Arial"/>
            <w:color w:val="0068AC"/>
            <w:u w:val="single"/>
          </w:rPr>
          <w:t>non-Federal entity</w:t>
        </w:r>
      </w:hyperlink>
      <w:r w:rsidRPr="00D77CC3">
        <w:rPr>
          <w:rFonts w:ascii="Arial" w:eastAsia="Times New Roman" w:hAnsi="Arial" w:cs="Arial"/>
          <w:color w:val="333333"/>
        </w:rPr>
        <w:t>.</w:t>
      </w:r>
    </w:p>
    <w:p w14:paraId="5F9E138A" w14:textId="77777777" w:rsidR="00D77CC3" w:rsidRPr="00D77CC3" w:rsidRDefault="00D77CC3" w:rsidP="00D77C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(d)</w:t>
      </w:r>
      <w:r w:rsidRPr="00D77CC3">
        <w:rPr>
          <w:rFonts w:ascii="Arial" w:eastAsia="Times New Roman" w:hAnsi="Arial" w:cs="Arial"/>
          <w:color w:val="333333"/>
        </w:rPr>
        <w:t> Be accorded consistent treatment. A cost may not be assigned to a </w:t>
      </w:r>
      <w:hyperlink r:id="rId7" w:history="1">
        <w:r w:rsidRPr="00D77CC3">
          <w:rPr>
            <w:rFonts w:ascii="Arial" w:eastAsia="Times New Roman" w:hAnsi="Arial" w:cs="Arial"/>
            <w:color w:val="0068AC"/>
            <w:u w:val="single"/>
          </w:rPr>
          <w:t>Federal award</w:t>
        </w:r>
      </w:hyperlink>
      <w:r w:rsidRPr="00D77CC3">
        <w:rPr>
          <w:rFonts w:ascii="Arial" w:eastAsia="Times New Roman" w:hAnsi="Arial" w:cs="Arial"/>
          <w:color w:val="333333"/>
        </w:rPr>
        <w:t> as a direct cost if any other cost incurred for the same purpose in like circumstances has been allocated to the </w:t>
      </w:r>
      <w:hyperlink r:id="rId8" w:history="1">
        <w:r w:rsidRPr="00D77CC3">
          <w:rPr>
            <w:rFonts w:ascii="Arial" w:eastAsia="Times New Roman" w:hAnsi="Arial" w:cs="Arial"/>
            <w:color w:val="0068AC"/>
            <w:u w:val="single"/>
          </w:rPr>
          <w:t>Federal award</w:t>
        </w:r>
      </w:hyperlink>
      <w:r w:rsidRPr="00D77CC3">
        <w:rPr>
          <w:rFonts w:ascii="Arial" w:eastAsia="Times New Roman" w:hAnsi="Arial" w:cs="Arial"/>
          <w:color w:val="333333"/>
        </w:rPr>
        <w:t> as an indirect cost.</w:t>
      </w:r>
    </w:p>
    <w:p w14:paraId="4E608959" w14:textId="77777777" w:rsidR="00D77CC3" w:rsidRPr="00D77CC3" w:rsidRDefault="00D77CC3" w:rsidP="00D77C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(e)</w:t>
      </w:r>
      <w:r w:rsidRPr="00D77CC3">
        <w:rPr>
          <w:rFonts w:ascii="Arial" w:eastAsia="Times New Roman" w:hAnsi="Arial" w:cs="Arial"/>
          <w:color w:val="333333"/>
        </w:rPr>
        <w:t> Be determined in accordance with generally accepted accounting principles (GAAP), except, for </w:t>
      </w:r>
      <w:hyperlink r:id="rId9" w:history="1">
        <w:r w:rsidRPr="00D77CC3">
          <w:rPr>
            <w:rFonts w:ascii="Arial" w:eastAsia="Times New Roman" w:hAnsi="Arial" w:cs="Arial"/>
            <w:color w:val="0068AC"/>
            <w:u w:val="single"/>
          </w:rPr>
          <w:t>state</w:t>
        </w:r>
      </w:hyperlink>
      <w:r w:rsidRPr="00D77CC3">
        <w:rPr>
          <w:rFonts w:ascii="Arial" w:eastAsia="Times New Roman" w:hAnsi="Arial" w:cs="Arial"/>
          <w:color w:val="333333"/>
        </w:rPr>
        <w:t> and </w:t>
      </w:r>
      <w:hyperlink r:id="rId10" w:history="1">
        <w:r w:rsidRPr="00D77CC3">
          <w:rPr>
            <w:rFonts w:ascii="Arial" w:eastAsia="Times New Roman" w:hAnsi="Arial" w:cs="Arial"/>
            <w:color w:val="0068AC"/>
            <w:u w:val="single"/>
          </w:rPr>
          <w:t>local governments</w:t>
        </w:r>
      </w:hyperlink>
      <w:r w:rsidRPr="00D77CC3">
        <w:rPr>
          <w:rFonts w:ascii="Arial" w:eastAsia="Times New Roman" w:hAnsi="Arial" w:cs="Arial"/>
          <w:color w:val="333333"/>
        </w:rPr>
        <w:t> and </w:t>
      </w:r>
      <w:hyperlink r:id="rId11" w:history="1">
        <w:r w:rsidRPr="00D77CC3">
          <w:rPr>
            <w:rFonts w:ascii="Arial" w:eastAsia="Times New Roman" w:hAnsi="Arial" w:cs="Arial"/>
            <w:color w:val="0068AC"/>
            <w:u w:val="single"/>
          </w:rPr>
          <w:t>Indian tribes</w:t>
        </w:r>
      </w:hyperlink>
      <w:r w:rsidRPr="00D77CC3">
        <w:rPr>
          <w:rFonts w:ascii="Arial" w:eastAsia="Times New Roman" w:hAnsi="Arial" w:cs="Arial"/>
          <w:color w:val="333333"/>
        </w:rPr>
        <w:t> only, as otherwise provided for in this part.</w:t>
      </w:r>
    </w:p>
    <w:p w14:paraId="6881EA9B" w14:textId="77777777" w:rsidR="00D77CC3" w:rsidRPr="00D77CC3" w:rsidRDefault="00D77CC3" w:rsidP="00D77C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(f)</w:t>
      </w:r>
      <w:r w:rsidRPr="00D77CC3">
        <w:rPr>
          <w:rFonts w:ascii="Arial" w:eastAsia="Times New Roman" w:hAnsi="Arial" w:cs="Arial"/>
          <w:color w:val="333333"/>
        </w:rPr>
        <w:t> Not be included as a cost or used to meet </w:t>
      </w:r>
      <w:hyperlink r:id="rId12" w:history="1">
        <w:r w:rsidRPr="00D77CC3">
          <w:rPr>
            <w:rFonts w:ascii="Arial" w:eastAsia="Times New Roman" w:hAnsi="Arial" w:cs="Arial"/>
            <w:color w:val="0068AC"/>
            <w:u w:val="single"/>
          </w:rPr>
          <w:t>cost sharing or matching</w:t>
        </w:r>
      </w:hyperlink>
      <w:r w:rsidRPr="00D77CC3">
        <w:rPr>
          <w:rFonts w:ascii="Arial" w:eastAsia="Times New Roman" w:hAnsi="Arial" w:cs="Arial"/>
          <w:color w:val="333333"/>
        </w:rPr>
        <w:t> requirements of any other federally-financed program in either the current or a prior period. See also </w:t>
      </w:r>
      <w:hyperlink r:id="rId13" w:anchor="b" w:history="1">
        <w:r w:rsidRPr="00D77CC3">
          <w:rPr>
            <w:rFonts w:ascii="Arial" w:eastAsia="Times New Roman" w:hAnsi="Arial" w:cs="Arial"/>
            <w:color w:val="0068AC"/>
            <w:u w:val="single"/>
          </w:rPr>
          <w:t>§ 200.306(b)</w:t>
        </w:r>
      </w:hyperlink>
      <w:r w:rsidRPr="00D77CC3">
        <w:rPr>
          <w:rFonts w:ascii="Arial" w:eastAsia="Times New Roman" w:hAnsi="Arial" w:cs="Arial"/>
          <w:color w:val="333333"/>
        </w:rPr>
        <w:t>.</w:t>
      </w:r>
    </w:p>
    <w:p w14:paraId="5B121CE4" w14:textId="77777777" w:rsidR="00D77CC3" w:rsidRPr="00D77CC3" w:rsidRDefault="00D77CC3" w:rsidP="00D77C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(g)</w:t>
      </w:r>
      <w:r w:rsidRPr="00D77CC3">
        <w:rPr>
          <w:rFonts w:ascii="Arial" w:eastAsia="Times New Roman" w:hAnsi="Arial" w:cs="Arial"/>
          <w:color w:val="333333"/>
        </w:rPr>
        <w:t> Be adequately documented. See also §§ </w:t>
      </w:r>
      <w:hyperlink r:id="rId14" w:history="1">
        <w:r w:rsidRPr="00D77CC3">
          <w:rPr>
            <w:rFonts w:ascii="Arial" w:eastAsia="Times New Roman" w:hAnsi="Arial" w:cs="Arial"/>
            <w:color w:val="8B0000"/>
            <w:u w:val="single"/>
          </w:rPr>
          <w:t>200.300</w:t>
        </w:r>
      </w:hyperlink>
      <w:r w:rsidRPr="00D77CC3">
        <w:rPr>
          <w:rFonts w:ascii="Arial" w:eastAsia="Times New Roman" w:hAnsi="Arial" w:cs="Arial"/>
          <w:color w:val="333333"/>
        </w:rPr>
        <w:t> through </w:t>
      </w:r>
      <w:hyperlink r:id="rId15" w:history="1">
        <w:r w:rsidRPr="00D77CC3">
          <w:rPr>
            <w:rFonts w:ascii="Arial" w:eastAsia="Times New Roman" w:hAnsi="Arial" w:cs="Arial"/>
            <w:color w:val="0068AC"/>
            <w:u w:val="single"/>
          </w:rPr>
          <w:t>200.309</w:t>
        </w:r>
      </w:hyperlink>
      <w:r w:rsidRPr="00D77CC3">
        <w:rPr>
          <w:rFonts w:ascii="Arial" w:eastAsia="Times New Roman" w:hAnsi="Arial" w:cs="Arial"/>
          <w:color w:val="333333"/>
        </w:rPr>
        <w:t> of this part.</w:t>
      </w:r>
    </w:p>
    <w:p w14:paraId="60EB35D6" w14:textId="77777777" w:rsidR="00D77CC3" w:rsidRPr="00D77CC3" w:rsidRDefault="00D77CC3" w:rsidP="00D77C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(h)</w:t>
      </w:r>
      <w:r w:rsidRPr="00D77CC3">
        <w:rPr>
          <w:rFonts w:ascii="Arial" w:eastAsia="Times New Roman" w:hAnsi="Arial" w:cs="Arial"/>
          <w:color w:val="333333"/>
        </w:rPr>
        <w:t> Cost must be incurred during the approved </w:t>
      </w:r>
      <w:hyperlink r:id="rId16" w:history="1">
        <w:r w:rsidRPr="00D77CC3">
          <w:rPr>
            <w:rFonts w:ascii="Arial" w:eastAsia="Times New Roman" w:hAnsi="Arial" w:cs="Arial"/>
            <w:color w:val="0068AC"/>
            <w:u w:val="single"/>
          </w:rPr>
          <w:t>budget period</w:t>
        </w:r>
      </w:hyperlink>
      <w:r w:rsidRPr="00D77CC3">
        <w:rPr>
          <w:rFonts w:ascii="Arial" w:eastAsia="Times New Roman" w:hAnsi="Arial" w:cs="Arial"/>
          <w:color w:val="333333"/>
        </w:rPr>
        <w:t>. The </w:t>
      </w:r>
      <w:hyperlink r:id="rId17" w:history="1">
        <w:r w:rsidRPr="00D77CC3">
          <w:rPr>
            <w:rFonts w:ascii="Arial" w:eastAsia="Times New Roman" w:hAnsi="Arial" w:cs="Arial"/>
            <w:color w:val="0068AC"/>
            <w:u w:val="single"/>
          </w:rPr>
          <w:t>Federal awarding agency</w:t>
        </w:r>
      </w:hyperlink>
      <w:r w:rsidRPr="00D77CC3">
        <w:rPr>
          <w:rFonts w:ascii="Arial" w:eastAsia="Times New Roman" w:hAnsi="Arial" w:cs="Arial"/>
          <w:color w:val="333333"/>
        </w:rPr>
        <w:t> is authorized, at its discretion, to waive prior written approvals to carry forward </w:t>
      </w:r>
      <w:hyperlink r:id="rId18" w:history="1">
        <w:r w:rsidRPr="00D77CC3">
          <w:rPr>
            <w:rFonts w:ascii="Arial" w:eastAsia="Times New Roman" w:hAnsi="Arial" w:cs="Arial"/>
            <w:color w:val="0068AC"/>
            <w:u w:val="single"/>
          </w:rPr>
          <w:t>unobligated balances</w:t>
        </w:r>
      </w:hyperlink>
      <w:r w:rsidRPr="00D77CC3">
        <w:rPr>
          <w:rFonts w:ascii="Arial" w:eastAsia="Times New Roman" w:hAnsi="Arial" w:cs="Arial"/>
          <w:color w:val="333333"/>
        </w:rPr>
        <w:t> to subsequent </w:t>
      </w:r>
      <w:hyperlink r:id="rId19" w:history="1">
        <w:r w:rsidRPr="00D77CC3">
          <w:rPr>
            <w:rFonts w:ascii="Arial" w:eastAsia="Times New Roman" w:hAnsi="Arial" w:cs="Arial"/>
            <w:color w:val="0068AC"/>
            <w:u w:val="single"/>
          </w:rPr>
          <w:t>budget periods</w:t>
        </w:r>
      </w:hyperlink>
      <w:r w:rsidRPr="00D77CC3">
        <w:rPr>
          <w:rFonts w:ascii="Arial" w:eastAsia="Times New Roman" w:hAnsi="Arial" w:cs="Arial"/>
          <w:color w:val="333333"/>
        </w:rPr>
        <w:t> pursuant to </w:t>
      </w:r>
      <w:hyperlink r:id="rId20" w:anchor="e_3" w:history="1">
        <w:r w:rsidRPr="00D77CC3">
          <w:rPr>
            <w:rFonts w:ascii="Arial" w:eastAsia="Times New Roman" w:hAnsi="Arial" w:cs="Arial"/>
            <w:color w:val="0068AC"/>
            <w:u w:val="single"/>
          </w:rPr>
          <w:t>§ 200.308(e)(3)</w:t>
        </w:r>
      </w:hyperlink>
      <w:r w:rsidRPr="00D77CC3">
        <w:rPr>
          <w:rFonts w:ascii="Arial" w:eastAsia="Times New Roman" w:hAnsi="Arial" w:cs="Arial"/>
          <w:color w:val="333333"/>
        </w:rPr>
        <w:t>.</w:t>
      </w:r>
    </w:p>
    <w:p w14:paraId="363BB424" w14:textId="618521EF" w:rsidR="00D77CC3" w:rsidRPr="000B11C6" w:rsidRDefault="00D77CC3" w:rsidP="000B1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color w:val="333333"/>
        </w:rPr>
        <w:t>[</w:t>
      </w:r>
      <w:hyperlink r:id="rId21" w:history="1">
        <w:r w:rsidRPr="00D77CC3">
          <w:rPr>
            <w:rFonts w:ascii="Arial" w:eastAsia="Times New Roman" w:hAnsi="Arial" w:cs="Arial"/>
            <w:color w:val="0068AC"/>
            <w:u w:val="single"/>
          </w:rPr>
          <w:t>78 FR 78608</w:t>
        </w:r>
      </w:hyperlink>
      <w:r w:rsidRPr="00D77CC3">
        <w:rPr>
          <w:rFonts w:ascii="Arial" w:eastAsia="Times New Roman" w:hAnsi="Arial" w:cs="Arial"/>
          <w:color w:val="333333"/>
        </w:rPr>
        <w:t>, Dec. 26, 2013, as amended at </w:t>
      </w:r>
      <w:hyperlink r:id="rId22" w:history="1">
        <w:r w:rsidRPr="00D77CC3">
          <w:rPr>
            <w:rFonts w:ascii="Arial" w:eastAsia="Times New Roman" w:hAnsi="Arial" w:cs="Arial"/>
            <w:color w:val="0068AC"/>
            <w:u w:val="single"/>
          </w:rPr>
          <w:t>85 FR 49562</w:t>
        </w:r>
      </w:hyperlink>
      <w:r w:rsidRPr="00D77CC3">
        <w:rPr>
          <w:rFonts w:ascii="Arial" w:eastAsia="Times New Roman" w:hAnsi="Arial" w:cs="Arial"/>
          <w:color w:val="333333"/>
        </w:rPr>
        <w:t>, Aug. 13, 2020]</w:t>
      </w:r>
    </w:p>
    <w:p w14:paraId="4973C014" w14:textId="77777777" w:rsidR="00D77CC3" w:rsidRPr="00D77CC3" w:rsidRDefault="00D77CC3" w:rsidP="00D77CC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200.404 Reasonable costs.</w:t>
      </w:r>
    </w:p>
    <w:p w14:paraId="789C9235" w14:textId="0500321A" w:rsidR="00D77CC3" w:rsidRDefault="00D77CC3" w:rsidP="00D77CC3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D77CC3">
        <w:rPr>
          <w:rFonts w:ascii="Arial" w:eastAsia="Times New Roman" w:hAnsi="Arial" w:cs="Arial"/>
          <w:color w:val="333333"/>
          <w:shd w:val="clear" w:color="auto" w:fill="FFFFFF"/>
        </w:rPr>
        <w:t>§ 200.404 Reasonable costs.</w:t>
      </w:r>
    </w:p>
    <w:p w14:paraId="738ECAB6" w14:textId="77777777" w:rsidR="000B11C6" w:rsidRPr="00D77CC3" w:rsidRDefault="000B11C6" w:rsidP="00D77CC3">
      <w:pPr>
        <w:spacing w:after="0" w:line="240" w:lineRule="auto"/>
        <w:rPr>
          <w:rFonts w:ascii="Arial" w:eastAsia="Times New Roman" w:hAnsi="Arial" w:cs="Arial"/>
        </w:rPr>
      </w:pPr>
    </w:p>
    <w:p w14:paraId="29A1FE61" w14:textId="77777777" w:rsidR="00D77CC3" w:rsidRPr="00D77CC3" w:rsidRDefault="00D77CC3" w:rsidP="00D77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color w:val="333333"/>
        </w:rPr>
        <w:t xml:space="preserve">A cost is reasonable if, in its nature and amount, it does not exceed that which would be incurred by a prudent person under the circumstances prevailing at the time the decision was made to incur the cost. The question of reasonableness is particularly important when the non-Federal entity is predominantly </w:t>
      </w:r>
      <w:proofErr w:type="gramStart"/>
      <w:r w:rsidRPr="00D77CC3">
        <w:rPr>
          <w:rFonts w:ascii="Arial" w:eastAsia="Times New Roman" w:hAnsi="Arial" w:cs="Arial"/>
          <w:color w:val="333333"/>
        </w:rPr>
        <w:t>federally-funded</w:t>
      </w:r>
      <w:proofErr w:type="gramEnd"/>
      <w:r w:rsidRPr="00D77CC3">
        <w:rPr>
          <w:rFonts w:ascii="Arial" w:eastAsia="Times New Roman" w:hAnsi="Arial" w:cs="Arial"/>
          <w:color w:val="333333"/>
        </w:rPr>
        <w:t>. In determining reasonableness of a given cost, consideration must be given to:</w:t>
      </w:r>
    </w:p>
    <w:p w14:paraId="46A8A448" w14:textId="77777777" w:rsidR="00D77CC3" w:rsidRPr="00D77CC3" w:rsidRDefault="00D77CC3" w:rsidP="00D77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(a)</w:t>
      </w:r>
      <w:r w:rsidRPr="00D77CC3">
        <w:rPr>
          <w:rFonts w:ascii="Arial" w:eastAsia="Times New Roman" w:hAnsi="Arial" w:cs="Arial"/>
          <w:color w:val="333333"/>
        </w:rPr>
        <w:t xml:space="preserve"> Whether the cost is of a type generally recognized as ordinary and necessary for the operation of the non-Federal entity or the proper and efficient performance of the Federal award.</w:t>
      </w:r>
    </w:p>
    <w:p w14:paraId="4EB33E37" w14:textId="77777777" w:rsidR="00D77CC3" w:rsidRPr="00D77CC3" w:rsidRDefault="00D77CC3" w:rsidP="00D77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(b)</w:t>
      </w:r>
      <w:r w:rsidRPr="00D77CC3">
        <w:rPr>
          <w:rFonts w:ascii="Arial" w:eastAsia="Times New Roman" w:hAnsi="Arial" w:cs="Arial"/>
          <w:color w:val="333333"/>
        </w:rPr>
        <w:t xml:space="preserve"> The restraints or requirements imposed by such factors as: sound business practices; arm's-length bargaining; Federal, state, local, tribal, and other </w:t>
      </w:r>
      <w:proofErr w:type="gramStart"/>
      <w:r w:rsidRPr="00D77CC3">
        <w:rPr>
          <w:rFonts w:ascii="Arial" w:eastAsia="Times New Roman" w:hAnsi="Arial" w:cs="Arial"/>
          <w:color w:val="333333"/>
        </w:rPr>
        <w:t>laws</w:t>
      </w:r>
      <w:proofErr w:type="gramEnd"/>
      <w:r w:rsidRPr="00D77CC3">
        <w:rPr>
          <w:rFonts w:ascii="Arial" w:eastAsia="Times New Roman" w:hAnsi="Arial" w:cs="Arial"/>
          <w:color w:val="333333"/>
        </w:rPr>
        <w:t xml:space="preserve"> and regulations; and terms and conditions of the Federal award.</w:t>
      </w:r>
    </w:p>
    <w:p w14:paraId="4D669893" w14:textId="77777777" w:rsidR="00D77CC3" w:rsidRPr="00D77CC3" w:rsidRDefault="00D77CC3" w:rsidP="00D77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(c)</w:t>
      </w:r>
      <w:r w:rsidRPr="00D77CC3">
        <w:rPr>
          <w:rFonts w:ascii="Arial" w:eastAsia="Times New Roman" w:hAnsi="Arial" w:cs="Arial"/>
          <w:color w:val="333333"/>
        </w:rPr>
        <w:t xml:space="preserve"> Market prices for comparable goods or services for the geographic area.</w:t>
      </w:r>
    </w:p>
    <w:p w14:paraId="73F81C03" w14:textId="77777777" w:rsidR="00D77CC3" w:rsidRPr="00D77CC3" w:rsidRDefault="00D77CC3" w:rsidP="00D77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t>(d)</w:t>
      </w:r>
      <w:r w:rsidRPr="00D77CC3">
        <w:rPr>
          <w:rFonts w:ascii="Arial" w:eastAsia="Times New Roman" w:hAnsi="Arial" w:cs="Arial"/>
          <w:color w:val="333333"/>
        </w:rPr>
        <w:t xml:space="preserve"> Whether the individuals concerned acted with prudence in the circumstances considering their responsibilities to the non-Federal entity, its employees, where applicable its students or membership, the public at large, and the Federal Government.</w:t>
      </w:r>
    </w:p>
    <w:p w14:paraId="10578C6A" w14:textId="77777777" w:rsidR="00D77CC3" w:rsidRPr="00D77CC3" w:rsidRDefault="00D77CC3" w:rsidP="00D77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D77CC3">
        <w:rPr>
          <w:rFonts w:ascii="Arial" w:eastAsia="Times New Roman" w:hAnsi="Arial" w:cs="Arial"/>
          <w:b/>
          <w:bCs/>
          <w:color w:val="333333"/>
        </w:rPr>
        <w:lastRenderedPageBreak/>
        <w:t>(e)</w:t>
      </w:r>
      <w:r w:rsidRPr="00D77CC3">
        <w:rPr>
          <w:rFonts w:ascii="Arial" w:eastAsia="Times New Roman" w:hAnsi="Arial" w:cs="Arial"/>
          <w:color w:val="333333"/>
        </w:rPr>
        <w:t xml:space="preserve"> Whether the non-Federal entity significantly deviates from its established practices and policies regarding the incurrence of costs, which may unjustifiably increase the Federal award's cost.</w:t>
      </w:r>
    </w:p>
    <w:p w14:paraId="7D4D64ED" w14:textId="09B27296" w:rsidR="00D77CC3" w:rsidRPr="00D77CC3" w:rsidRDefault="00D77CC3" w:rsidP="00D77CC3">
      <w:pPr>
        <w:rPr>
          <w:rFonts w:ascii="Arial" w:hAnsi="Arial" w:cs="Arial"/>
        </w:rPr>
      </w:pPr>
      <w:r w:rsidRPr="00D77CC3">
        <w:rPr>
          <w:rFonts w:ascii="Arial" w:eastAsia="Times New Roman" w:hAnsi="Arial" w:cs="Arial"/>
          <w:color w:val="333333"/>
          <w:shd w:val="clear" w:color="auto" w:fill="FFFFFF"/>
        </w:rPr>
        <w:t>[78 FR 78608, Dec. 26, 2013, as amended at 79 FR 75885, Dec. 19, 2014]</w:t>
      </w:r>
    </w:p>
    <w:sectPr w:rsidR="00D77CC3" w:rsidRPr="00D7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C3"/>
    <w:rsid w:val="000B11C6"/>
    <w:rsid w:val="00BB44E0"/>
    <w:rsid w:val="00D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B1B6"/>
  <w15:chartTrackingRefBased/>
  <w15:docId w15:val="{2ABD3FF3-8113-4A94-BB93-8B435A31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081a194046528468942c369470c2966a&amp;term_occur=999&amp;term_src=Title:2:Subtitle:A:Chapter:II:Part:200:Subpart:E:Subjgrp:37:200.403" TargetMode="External"/><Relationship Id="rId13" Type="http://schemas.openxmlformats.org/officeDocument/2006/relationships/hyperlink" Target="https://www.law.cornell.edu/cfr/text/2/200.306" TargetMode="External"/><Relationship Id="rId18" Type="http://schemas.openxmlformats.org/officeDocument/2006/relationships/hyperlink" Target="https://www.law.cornell.edu/definitions/index.php?width=840&amp;height=800&amp;iframe=true&amp;def_id=948911b73593913d49fe62c6ead6dfbd&amp;term_occur=999&amp;term_src=Title:2:Subtitle:A:Chapter:II:Part:200:Subpart:E:Subjgrp:37:200.4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.cornell.edu/rio/citation/78_FR_78608" TargetMode="External"/><Relationship Id="rId7" Type="http://schemas.openxmlformats.org/officeDocument/2006/relationships/hyperlink" Target="https://www.law.cornell.edu/definitions/index.php?width=840&amp;height=800&amp;iframe=true&amp;def_id=081a194046528468942c369470c2966a&amp;term_occur=999&amp;term_src=Title:2:Subtitle:A:Chapter:II:Part:200:Subpart:E:Subjgrp:37:200.403" TargetMode="External"/><Relationship Id="rId12" Type="http://schemas.openxmlformats.org/officeDocument/2006/relationships/hyperlink" Target="https://www.law.cornell.edu/definitions/index.php?width=840&amp;height=800&amp;iframe=true&amp;def_id=3c8614fb099609b7b9859701c6f6808a&amp;term_occur=999&amp;term_src=Title:2:Subtitle:A:Chapter:II:Part:200:Subpart:E:Subjgrp:37:200.403" TargetMode="External"/><Relationship Id="rId17" Type="http://schemas.openxmlformats.org/officeDocument/2006/relationships/hyperlink" Target="https://www.law.cornell.edu/definitions/index.php?width=840&amp;height=800&amp;iframe=true&amp;def_id=3164f893d6d82447c92d899285ce22b2&amp;term_occur=999&amp;term_src=Title:2:Subtitle:A:Chapter:II:Part:200:Subpart:E:Subjgrp:37:200.4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cornell.edu/definitions/index.php?width=840&amp;height=800&amp;iframe=true&amp;def_id=4ba7da17e42f14b22d66996bbceff073&amp;term_occur=999&amp;term_src=Title:2:Subtitle:A:Chapter:II:Part:200:Subpart:E:Subjgrp:37:200.403" TargetMode="External"/><Relationship Id="rId20" Type="http://schemas.openxmlformats.org/officeDocument/2006/relationships/hyperlink" Target="https://www.law.cornell.edu/cfr/text/2/200.3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height=800&amp;iframe=true&amp;def_id=de00dfd10f09071c905d0928428a197d&amp;term_occur=999&amp;term_src=Title:2:Subtitle:A:Chapter:II:Part:200:Subpart:E:Subjgrp:37:200.403" TargetMode="External"/><Relationship Id="rId11" Type="http://schemas.openxmlformats.org/officeDocument/2006/relationships/hyperlink" Target="https://www.law.cornell.edu/definitions/index.php?width=840&amp;height=800&amp;iframe=true&amp;def_id=2f3422fdfc29b5b6e44d5a6de124a7d8&amp;term_occur=999&amp;term_src=Title:2:Subtitle:A:Chapter:II:Part:200:Subpart:E:Subjgrp:37:200.40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aw.cornell.edu/definitions/index.php?width=840&amp;height=800&amp;iframe=true&amp;def_id=081a194046528468942c369470c2966a&amp;term_occur=999&amp;term_src=Title:2:Subtitle:A:Chapter:II:Part:200:Subpart:E:Subjgrp:37:200.403" TargetMode="External"/><Relationship Id="rId15" Type="http://schemas.openxmlformats.org/officeDocument/2006/relationships/hyperlink" Target="https://www.law.cornell.edu/cfr/text/2/200.3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w.cornell.edu/definitions/index.php?width=840&amp;height=800&amp;iframe=true&amp;def_id=2351077af91a56a86cf7de12032e8194&amp;term_occur=999&amp;term_src=Title:2:Subtitle:A:Chapter:II:Part:200:Subpart:E:Subjgrp:37:200.403" TargetMode="External"/><Relationship Id="rId19" Type="http://schemas.openxmlformats.org/officeDocument/2006/relationships/hyperlink" Target="https://www.law.cornell.edu/definitions/index.php?width=840&amp;height=800&amp;iframe=true&amp;def_id=4ba7da17e42f14b22d66996bbceff073&amp;term_occur=999&amp;term_src=Title:2:Subtitle:A:Chapter:II:Part:200:Subpart:E:Subjgrp:37:200.403" TargetMode="External"/><Relationship Id="rId4" Type="http://schemas.openxmlformats.org/officeDocument/2006/relationships/hyperlink" Target="https://www.law.cornell.edu/definitions/index.php?width=840&amp;height=800&amp;iframe=true&amp;def_id=081a194046528468942c369470c2966a&amp;term_occur=999&amp;term_src=Title:2:Subtitle:A:Chapter:II:Part:200:Subpart:E:Subjgrp:37:200.403" TargetMode="External"/><Relationship Id="rId9" Type="http://schemas.openxmlformats.org/officeDocument/2006/relationships/hyperlink" Target="https://www.law.cornell.edu/definitions/index.php?width=840&amp;height=800&amp;iframe=true&amp;def_id=3d66cac5fd675bfc76ede4888b240176&amp;term_occur=999&amp;term_src=Title:2:Subtitle:A:Chapter:II:Part:200:Subpart:E:Subjgrp:37:200.403" TargetMode="External"/><Relationship Id="rId14" Type="http://schemas.openxmlformats.org/officeDocument/2006/relationships/hyperlink" Target="https://www.law.cornell.edu/cfr/text/2/200.300" TargetMode="External"/><Relationship Id="rId22" Type="http://schemas.openxmlformats.org/officeDocument/2006/relationships/hyperlink" Target="https://www.law.cornell.edu/rio/citation/85_FR_49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Trentadue, Joseph (IHCDA)</dc:creator>
  <cp:keywords/>
  <dc:description/>
  <cp:lastModifiedBy>Trentadue, Joseph (IHCDA)</cp:lastModifiedBy>
  <cp:revision>2</cp:revision>
  <dcterms:created xsi:type="dcterms:W3CDTF">2022-02-07T19:05:00Z</dcterms:created>
  <dcterms:modified xsi:type="dcterms:W3CDTF">2022-02-07T19:18:00Z</dcterms:modified>
</cp:coreProperties>
</file>