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65" w:type="dxa"/>
        <w:tblLook w:val="04A0" w:firstRow="1" w:lastRow="0" w:firstColumn="1" w:lastColumn="0" w:noHBand="0" w:noVBand="1"/>
      </w:tblPr>
      <w:tblGrid>
        <w:gridCol w:w="8095"/>
        <w:gridCol w:w="1170"/>
      </w:tblGrid>
      <w:tr w:rsidR="000E3F40" w:rsidRPr="000E3F40" w14:paraId="77EEBFCF" w14:textId="77777777" w:rsidTr="000E3F40">
        <w:trPr>
          <w:trHeight w:val="620"/>
        </w:trPr>
        <w:tc>
          <w:tcPr>
            <w:tcW w:w="8095" w:type="dxa"/>
            <w:tcBorders>
              <w:top w:val="single" w:sz="4" w:space="0" w:color="auto"/>
              <w:left w:val="single" w:sz="4" w:space="0" w:color="auto"/>
              <w:bottom w:val="single" w:sz="4" w:space="0" w:color="auto"/>
              <w:right w:val="single" w:sz="4" w:space="0" w:color="auto"/>
            </w:tcBorders>
            <w:shd w:val="clear" w:color="000000" w:fill="003359"/>
            <w:vAlign w:val="bottom"/>
            <w:hideMark/>
          </w:tcPr>
          <w:p w14:paraId="2F9579FD" w14:textId="164DA57D" w:rsidR="000E3F40" w:rsidRPr="000E3F40" w:rsidRDefault="00364874" w:rsidP="000E3F40">
            <w:pPr>
              <w:spacing w:after="0"/>
              <w:rPr>
                <w:rFonts w:eastAsia="Times New Roman" w:cs="Arial"/>
                <w:b/>
                <w:bCs/>
                <w:color w:val="FFFFFF" w:themeColor="background1"/>
                <w:szCs w:val="24"/>
              </w:rPr>
            </w:pPr>
            <w:r>
              <w:rPr>
                <w:rFonts w:eastAsia="Times New Roman" w:cs="Arial"/>
                <w:b/>
                <w:bCs/>
                <w:color w:val="FFFFFF" w:themeColor="background1"/>
                <w:szCs w:val="24"/>
              </w:rPr>
              <w:t xml:space="preserve">Federal or State </w:t>
            </w:r>
            <w:r w:rsidR="000E3F40" w:rsidRPr="000E3F40">
              <w:rPr>
                <w:rFonts w:eastAsia="Times New Roman" w:cs="Arial"/>
                <w:b/>
                <w:bCs/>
                <w:color w:val="FFFFFF" w:themeColor="background1"/>
                <w:szCs w:val="24"/>
              </w:rPr>
              <w:t>Standard</w:t>
            </w:r>
          </w:p>
        </w:tc>
        <w:tc>
          <w:tcPr>
            <w:tcW w:w="1170" w:type="dxa"/>
            <w:tcBorders>
              <w:top w:val="single" w:sz="4" w:space="0" w:color="auto"/>
              <w:left w:val="single" w:sz="4" w:space="0" w:color="auto"/>
              <w:bottom w:val="single" w:sz="4" w:space="0" w:color="auto"/>
              <w:right w:val="single" w:sz="4" w:space="0" w:color="auto"/>
            </w:tcBorders>
            <w:shd w:val="clear" w:color="000000" w:fill="003359"/>
            <w:vAlign w:val="bottom"/>
          </w:tcPr>
          <w:p w14:paraId="6745B2F1" w14:textId="4035FC08" w:rsidR="000E3F40" w:rsidRPr="000E3F40" w:rsidRDefault="000E3F40" w:rsidP="000E3F40">
            <w:pPr>
              <w:spacing w:after="0"/>
              <w:rPr>
                <w:rFonts w:eastAsia="Times New Roman" w:cs="Arial"/>
                <w:b/>
                <w:bCs/>
                <w:color w:val="FFFFFF" w:themeColor="background1"/>
                <w:szCs w:val="24"/>
              </w:rPr>
            </w:pPr>
            <w:r w:rsidRPr="000E3F40">
              <w:rPr>
                <w:rFonts w:eastAsia="Times New Roman" w:cs="Arial"/>
                <w:b/>
                <w:bCs/>
                <w:color w:val="FFFFFF" w:themeColor="background1"/>
                <w:szCs w:val="24"/>
              </w:rPr>
              <w:t>Points</w:t>
            </w:r>
            <w:r>
              <w:rPr>
                <w:rFonts w:eastAsia="Times New Roman" w:cs="Arial"/>
                <w:b/>
                <w:bCs/>
                <w:color w:val="FFFFFF" w:themeColor="background1"/>
                <w:szCs w:val="24"/>
              </w:rPr>
              <w:t xml:space="preserve"> Value</w:t>
            </w:r>
          </w:p>
        </w:tc>
      </w:tr>
      <w:tr w:rsidR="000E3F40" w:rsidRPr="000E3F40" w14:paraId="6B8EA6E1"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D4161F6"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1.1 The organization demonstrates low-income individuals’ participation in its activities.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69227FD3"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53030B55"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205DC4"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1.2 The organization analyzes information collected directly from low-income individuals as part of the community assessment.</w:t>
            </w:r>
          </w:p>
        </w:tc>
        <w:tc>
          <w:tcPr>
            <w:tcW w:w="1170" w:type="dxa"/>
            <w:tcBorders>
              <w:top w:val="single" w:sz="4" w:space="0" w:color="auto"/>
              <w:left w:val="single" w:sz="4" w:space="0" w:color="auto"/>
              <w:bottom w:val="single" w:sz="4" w:space="0" w:color="auto"/>
              <w:right w:val="single" w:sz="4" w:space="0" w:color="auto"/>
            </w:tcBorders>
          </w:tcPr>
          <w:p w14:paraId="72416D17"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3</w:t>
            </w:r>
          </w:p>
        </w:tc>
      </w:tr>
      <w:tr w:rsidR="000E3F40" w:rsidRPr="000E3F40" w14:paraId="26C1D5E0" w14:textId="77777777" w:rsidTr="000E3F40">
        <w:trPr>
          <w:trHeight w:val="629"/>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2E56791"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1.3 The organization has a systematic approach for collecting, analyzing, and reporting customer satisfaction data to the governing board.</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7E9EA235"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3</w:t>
            </w:r>
          </w:p>
        </w:tc>
      </w:tr>
      <w:tr w:rsidR="000E3F40" w:rsidRPr="000E3F40" w14:paraId="07E68075" w14:textId="77777777" w:rsidTr="000E3F40">
        <w:trPr>
          <w:trHeight w:val="85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36A759"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2.1 The organization has documented or demonstrated partnerships across the community, for specifically identified purposes; partnerships include other antipoverty organizations in the area.</w:t>
            </w:r>
          </w:p>
        </w:tc>
        <w:tc>
          <w:tcPr>
            <w:tcW w:w="1170" w:type="dxa"/>
            <w:tcBorders>
              <w:top w:val="single" w:sz="4" w:space="0" w:color="auto"/>
              <w:left w:val="single" w:sz="4" w:space="0" w:color="auto"/>
              <w:bottom w:val="single" w:sz="4" w:space="0" w:color="auto"/>
              <w:right w:val="single" w:sz="4" w:space="0" w:color="auto"/>
            </w:tcBorders>
          </w:tcPr>
          <w:p w14:paraId="120FEC3C"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266459B2" w14:textId="77777777" w:rsidTr="000E3F40">
        <w:trPr>
          <w:trHeight w:val="85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0DAC6FF"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2.1.1 The organization can demonstrate that it regularly assesses its current partnerships to ensure they are meeting program and customer needs.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043CAA77"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1.5</w:t>
            </w:r>
          </w:p>
        </w:tc>
      </w:tr>
      <w:tr w:rsidR="000E3F40" w:rsidRPr="000E3F40" w14:paraId="78E46971" w14:textId="77777777" w:rsidTr="000E3F40">
        <w:trPr>
          <w:trHeight w:val="141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D1B98F"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2.2 The organization utilizes information gathered from key sectors of the community in assessing needs and resources during the community assessment process or other times. These sectors would include at minimum: community-based organizations, faith-based organizations, private sector, public sector, and educational institutions</w:t>
            </w:r>
          </w:p>
        </w:tc>
        <w:tc>
          <w:tcPr>
            <w:tcW w:w="1170" w:type="dxa"/>
            <w:tcBorders>
              <w:top w:val="single" w:sz="4" w:space="0" w:color="auto"/>
              <w:left w:val="single" w:sz="4" w:space="0" w:color="auto"/>
              <w:bottom w:val="single" w:sz="4" w:space="0" w:color="auto"/>
              <w:right w:val="single" w:sz="4" w:space="0" w:color="auto"/>
            </w:tcBorders>
          </w:tcPr>
          <w:p w14:paraId="0E233CE9"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73667910"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DAE1A18"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2.3 The organization communicates its activities and its results to the community.</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1CA7FB75"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1.5</w:t>
            </w:r>
          </w:p>
        </w:tc>
      </w:tr>
      <w:tr w:rsidR="000E3F40" w:rsidRPr="000E3F40" w14:paraId="30A81668"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3F588B"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2.4 The organization documents the number of volunteers and hours mobilized in support of its activities.</w:t>
            </w:r>
          </w:p>
        </w:tc>
        <w:tc>
          <w:tcPr>
            <w:tcW w:w="1170" w:type="dxa"/>
            <w:tcBorders>
              <w:top w:val="single" w:sz="4" w:space="0" w:color="auto"/>
              <w:left w:val="single" w:sz="4" w:space="0" w:color="auto"/>
              <w:bottom w:val="single" w:sz="4" w:space="0" w:color="auto"/>
              <w:right w:val="single" w:sz="4" w:space="0" w:color="auto"/>
            </w:tcBorders>
          </w:tcPr>
          <w:p w14:paraId="0D091645"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3</w:t>
            </w:r>
          </w:p>
        </w:tc>
      </w:tr>
      <w:tr w:rsidR="000E3F40" w:rsidRPr="000E3F40" w14:paraId="1962B5E6" w14:textId="77777777" w:rsidTr="000E3F40">
        <w:trPr>
          <w:trHeight w:val="85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B70563E"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2.5 The organization’s publications clearly state that all services are provided without regard to race, age, color, religion, sex, disability, national origin, ancestry, or status as a veteran.</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3A924B62"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71A16D0C" w14:textId="77777777" w:rsidTr="000E3F40">
        <w:trPr>
          <w:trHeight w:val="683"/>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E8F8B1"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2.6 The organization encourages local agencies to be engaged in activities related to the community action program. (Effective January 1, 2021)</w:t>
            </w:r>
          </w:p>
        </w:tc>
        <w:tc>
          <w:tcPr>
            <w:tcW w:w="1170" w:type="dxa"/>
            <w:tcBorders>
              <w:top w:val="single" w:sz="4" w:space="0" w:color="auto"/>
              <w:left w:val="single" w:sz="4" w:space="0" w:color="auto"/>
              <w:bottom w:val="single" w:sz="4" w:space="0" w:color="auto"/>
              <w:right w:val="single" w:sz="4" w:space="0" w:color="auto"/>
            </w:tcBorders>
          </w:tcPr>
          <w:p w14:paraId="33D44680"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2</w:t>
            </w:r>
          </w:p>
        </w:tc>
      </w:tr>
      <w:tr w:rsidR="000E3F40" w:rsidRPr="000E3F40" w14:paraId="4F687EE4"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8E14950"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3.1 The organization conducted a community assessment and issued a report to the community within the past three (3) years.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3325E254"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2</w:t>
            </w:r>
          </w:p>
        </w:tc>
      </w:tr>
      <w:tr w:rsidR="000E3F40" w:rsidRPr="000E3F40" w14:paraId="21990D65" w14:textId="77777777" w:rsidTr="000E3F40">
        <w:trPr>
          <w:trHeight w:val="85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D8CA84"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3.2 As part of the community assessment, the organization collects and includes current data specific to poverty and its prevalence related to gender, age, and race/ethnicity for their service area(s).</w:t>
            </w:r>
          </w:p>
        </w:tc>
        <w:tc>
          <w:tcPr>
            <w:tcW w:w="1170" w:type="dxa"/>
            <w:tcBorders>
              <w:top w:val="single" w:sz="4" w:space="0" w:color="auto"/>
              <w:left w:val="single" w:sz="4" w:space="0" w:color="auto"/>
              <w:bottom w:val="single" w:sz="4" w:space="0" w:color="auto"/>
              <w:right w:val="single" w:sz="4" w:space="0" w:color="auto"/>
            </w:tcBorders>
          </w:tcPr>
          <w:p w14:paraId="067DC271"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2</w:t>
            </w:r>
          </w:p>
        </w:tc>
      </w:tr>
      <w:tr w:rsidR="000E3F40" w:rsidRPr="000E3F40" w14:paraId="4A0C2A09" w14:textId="77777777" w:rsidTr="000E3F40">
        <w:trPr>
          <w:trHeight w:val="85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7A392D8"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3.3 The organization collects and analyzes both qualitative and quantitative data on its geographic service area(s) in the community assessment.</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036EBB18"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1.5</w:t>
            </w:r>
          </w:p>
        </w:tc>
      </w:tr>
      <w:tr w:rsidR="000E3F40" w:rsidRPr="000E3F40" w14:paraId="58409AF0" w14:textId="77777777" w:rsidTr="000E3F40">
        <w:trPr>
          <w:trHeight w:val="665"/>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B57C73"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3.4 The community assessment includes key findings on the causes and conditions of poverty and the needs of the communities assessed.</w:t>
            </w:r>
          </w:p>
        </w:tc>
        <w:tc>
          <w:tcPr>
            <w:tcW w:w="1170" w:type="dxa"/>
            <w:tcBorders>
              <w:top w:val="single" w:sz="4" w:space="0" w:color="auto"/>
              <w:left w:val="single" w:sz="4" w:space="0" w:color="auto"/>
              <w:bottom w:val="single" w:sz="4" w:space="0" w:color="auto"/>
              <w:right w:val="single" w:sz="4" w:space="0" w:color="auto"/>
            </w:tcBorders>
          </w:tcPr>
          <w:p w14:paraId="10A9AC38"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4</w:t>
            </w:r>
          </w:p>
        </w:tc>
      </w:tr>
      <w:tr w:rsidR="000E3F40" w:rsidRPr="000E3F40" w14:paraId="6CC893D7"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309666E"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3.5 The governing board formally accepts the completed community assessment.</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4A2E498D"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36DE783B" w14:textId="77777777" w:rsidTr="000E3F40">
        <w:trPr>
          <w:trHeight w:val="113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DC9557"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lastRenderedPageBreak/>
              <w:t>Federal Standard 4.1 The governing board has reviewed the organization’s mission statement within the past five (5) years and assured that: 1. The mission addresses poverty; and 2. The organization’s programs and services are in alignment with the mission.</w:t>
            </w:r>
          </w:p>
        </w:tc>
        <w:tc>
          <w:tcPr>
            <w:tcW w:w="1170" w:type="dxa"/>
            <w:tcBorders>
              <w:top w:val="single" w:sz="4" w:space="0" w:color="auto"/>
              <w:left w:val="single" w:sz="4" w:space="0" w:color="auto"/>
              <w:bottom w:val="single" w:sz="4" w:space="0" w:color="auto"/>
              <w:right w:val="single" w:sz="4" w:space="0" w:color="auto"/>
            </w:tcBorders>
          </w:tcPr>
          <w:p w14:paraId="766C6152"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2</w:t>
            </w:r>
          </w:p>
        </w:tc>
      </w:tr>
      <w:tr w:rsidR="000E3F40" w:rsidRPr="000E3F40" w14:paraId="39073E70" w14:textId="77777777" w:rsidTr="000E3F40">
        <w:trPr>
          <w:trHeight w:val="85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FB74993"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4.2 The organization’s Community Action Plan (CAP) is outcome based, anti-poverty focused, and ties directly to the community assessment.</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29B5A853"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3</w:t>
            </w:r>
          </w:p>
        </w:tc>
      </w:tr>
      <w:tr w:rsidR="000E3F40" w:rsidRPr="000E3F40" w14:paraId="6FDEDC41" w14:textId="77777777" w:rsidTr="000E3F40">
        <w:trPr>
          <w:trHeight w:val="169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F310B3"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4.3 The organization’s community action plan and strategic plan document the continuous use of the full Results Orientated Management and Accountability (ROMA) cycle or comparable system (assessment, planning, implementation, achievement of results, and evaluation). In addition, the organization documents having used the services of a ROMA-certified trainer (or equivalent) to assist in implementation.</w:t>
            </w:r>
          </w:p>
        </w:tc>
        <w:tc>
          <w:tcPr>
            <w:tcW w:w="1170" w:type="dxa"/>
            <w:tcBorders>
              <w:top w:val="single" w:sz="4" w:space="0" w:color="auto"/>
              <w:left w:val="single" w:sz="4" w:space="0" w:color="auto"/>
              <w:bottom w:val="single" w:sz="4" w:space="0" w:color="auto"/>
              <w:right w:val="single" w:sz="4" w:space="0" w:color="auto"/>
            </w:tcBorders>
          </w:tcPr>
          <w:p w14:paraId="34F681D0"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2</w:t>
            </w:r>
          </w:p>
        </w:tc>
      </w:tr>
      <w:tr w:rsidR="000E3F40" w:rsidRPr="000E3F40" w14:paraId="0CEED3D3"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3B4A5B2"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4.4 The governing board receives an annual update on the success of specific strategies included in the Community Action Plan (CAP).</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394E53BA"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1.5</w:t>
            </w:r>
          </w:p>
        </w:tc>
      </w:tr>
      <w:tr w:rsidR="000E3F40" w:rsidRPr="000E3F40" w14:paraId="5245EBFA" w14:textId="77777777" w:rsidTr="000E3F40">
        <w:trPr>
          <w:trHeight w:val="141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41038B"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4.5 The organization has a written succession plan in place for its CEO/Executive Director, approved by the governing board, which contains 1) procedures for covering an emergency/unplanned, short-term absence of 3 months or less, as well as 2) outlines the process for filling a permanent vacancy.</w:t>
            </w:r>
          </w:p>
        </w:tc>
        <w:tc>
          <w:tcPr>
            <w:tcW w:w="1170" w:type="dxa"/>
            <w:tcBorders>
              <w:top w:val="single" w:sz="4" w:space="0" w:color="auto"/>
              <w:left w:val="single" w:sz="4" w:space="0" w:color="auto"/>
              <w:bottom w:val="single" w:sz="4" w:space="0" w:color="auto"/>
              <w:right w:val="single" w:sz="4" w:space="0" w:color="auto"/>
            </w:tcBorders>
          </w:tcPr>
          <w:p w14:paraId="026E086D"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2</w:t>
            </w:r>
          </w:p>
        </w:tc>
      </w:tr>
      <w:tr w:rsidR="000E3F40" w:rsidRPr="000E3F40" w14:paraId="647B1AE7" w14:textId="77777777" w:rsidTr="000E3F40">
        <w:trPr>
          <w:trHeight w:val="85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F7AC05E"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4.6 An organization-wide comprehensive risk assessment has been completed within the past two (2) years and reported to the governing board</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3037B72E" w14:textId="47B4B2CB"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 xml:space="preserve">2 </w:t>
            </w:r>
          </w:p>
        </w:tc>
      </w:tr>
      <w:tr w:rsidR="000E3F40" w:rsidRPr="000E3F40" w14:paraId="0E43236D"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C3FCC9"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4.7 The organization has implemented the required action plan items from the previous CSBG CAR Monitoring.</w:t>
            </w:r>
          </w:p>
        </w:tc>
        <w:tc>
          <w:tcPr>
            <w:tcW w:w="1170" w:type="dxa"/>
            <w:tcBorders>
              <w:top w:val="single" w:sz="4" w:space="0" w:color="auto"/>
              <w:left w:val="single" w:sz="4" w:space="0" w:color="auto"/>
              <w:bottom w:val="single" w:sz="4" w:space="0" w:color="auto"/>
              <w:right w:val="single" w:sz="4" w:space="0" w:color="auto"/>
            </w:tcBorders>
          </w:tcPr>
          <w:p w14:paraId="38B837D8"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3</w:t>
            </w:r>
          </w:p>
        </w:tc>
      </w:tr>
      <w:tr w:rsidR="000E3F40" w:rsidRPr="000E3F40" w14:paraId="58EF1A37"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0B2CACA"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4.8 The organization submitted IHCDA requested CSBG documents, during the monitoring period, within the established timelines.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654310F9"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3</w:t>
            </w:r>
          </w:p>
        </w:tc>
      </w:tr>
      <w:tr w:rsidR="000E3F40" w:rsidRPr="000E3F40" w14:paraId="1EDDEAE2" w14:textId="77777777" w:rsidTr="000E3F40">
        <w:trPr>
          <w:trHeight w:val="141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CD9030"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5.1 The organization’s governing board is structured in compliance with the CSBG Act: 1. At least one third democratically selected representative of the low-income community; 2. One-third local elected (public) officials (or their representatives); and 3. The remaining membership from major groups and interests in the community (private).</w:t>
            </w:r>
          </w:p>
        </w:tc>
        <w:tc>
          <w:tcPr>
            <w:tcW w:w="1170" w:type="dxa"/>
            <w:tcBorders>
              <w:top w:val="single" w:sz="4" w:space="0" w:color="auto"/>
              <w:left w:val="single" w:sz="4" w:space="0" w:color="auto"/>
              <w:bottom w:val="single" w:sz="4" w:space="0" w:color="auto"/>
              <w:right w:val="single" w:sz="4" w:space="0" w:color="auto"/>
            </w:tcBorders>
          </w:tcPr>
          <w:p w14:paraId="708AFB77"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15</w:t>
            </w:r>
          </w:p>
        </w:tc>
      </w:tr>
      <w:tr w:rsidR="000E3F40" w:rsidRPr="000E3F40" w14:paraId="19A07B73" w14:textId="77777777" w:rsidTr="000E3F40">
        <w:trPr>
          <w:trHeight w:val="935"/>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FDD6363"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5.2 The organization’s governing board has written procedures that document its democratic selection process for low-income board members adequate to assure that they are representative of the low-income community.</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43BBE081"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4C178CB3"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25021"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5.3 The organization’s bylaws have been reviewed by an attorney within the past five (5) years.</w:t>
            </w:r>
          </w:p>
        </w:tc>
        <w:tc>
          <w:tcPr>
            <w:tcW w:w="1170" w:type="dxa"/>
            <w:tcBorders>
              <w:top w:val="single" w:sz="4" w:space="0" w:color="auto"/>
              <w:left w:val="single" w:sz="4" w:space="0" w:color="auto"/>
              <w:bottom w:val="single" w:sz="4" w:space="0" w:color="auto"/>
              <w:right w:val="single" w:sz="4" w:space="0" w:color="auto"/>
            </w:tcBorders>
          </w:tcPr>
          <w:p w14:paraId="53465429"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31687736"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014AAFC"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5.4 The organization documents that each governing board member has received a copy of the bylaws within the past two (2) years.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61CDDB71"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203718F8" w14:textId="77777777" w:rsidTr="000E3F40">
        <w:trPr>
          <w:trHeight w:val="85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B22172"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5.5 The organization’s governing board meets in accordance with the frequency and quorum requirements and fills board vacancies as set out in the bylaws.</w:t>
            </w:r>
          </w:p>
        </w:tc>
        <w:tc>
          <w:tcPr>
            <w:tcW w:w="1170" w:type="dxa"/>
            <w:tcBorders>
              <w:top w:val="single" w:sz="4" w:space="0" w:color="auto"/>
              <w:left w:val="single" w:sz="4" w:space="0" w:color="auto"/>
              <w:bottom w:val="single" w:sz="4" w:space="0" w:color="auto"/>
              <w:right w:val="single" w:sz="4" w:space="0" w:color="auto"/>
            </w:tcBorders>
          </w:tcPr>
          <w:p w14:paraId="17C29E14"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6</w:t>
            </w:r>
          </w:p>
        </w:tc>
      </w:tr>
      <w:tr w:rsidR="000E3F40" w:rsidRPr="000E3F40" w14:paraId="67D8CB8A"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3D6A349"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5.6 Each governing board member has signed a conflict of interest form within the past two (2) years.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193A2CE3" w14:textId="725D9AD9"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 xml:space="preserve">2 </w:t>
            </w:r>
          </w:p>
        </w:tc>
      </w:tr>
      <w:tr w:rsidR="000E3F40" w:rsidRPr="000E3F40" w14:paraId="23AA4B56" w14:textId="77777777" w:rsidTr="000E3F40">
        <w:trPr>
          <w:trHeight w:val="71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056D7D"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lastRenderedPageBreak/>
              <w:t>Federal Standard 5.7 The organization has a process to provide a structured orientation for governing board members within six (6) months of being seated.</w:t>
            </w:r>
          </w:p>
        </w:tc>
        <w:tc>
          <w:tcPr>
            <w:tcW w:w="1170" w:type="dxa"/>
            <w:tcBorders>
              <w:top w:val="single" w:sz="4" w:space="0" w:color="auto"/>
              <w:left w:val="single" w:sz="4" w:space="0" w:color="auto"/>
              <w:bottom w:val="single" w:sz="4" w:space="0" w:color="auto"/>
              <w:right w:val="single" w:sz="4" w:space="0" w:color="auto"/>
            </w:tcBorders>
          </w:tcPr>
          <w:p w14:paraId="1479E747" w14:textId="4D207CB9"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 xml:space="preserve">3 </w:t>
            </w:r>
          </w:p>
        </w:tc>
      </w:tr>
      <w:tr w:rsidR="000E3F40" w:rsidRPr="000E3F40" w14:paraId="6CD65DDA"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718F317"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5.8 Governing board members have been provided with training on their duties and responsibilities within the past two (2) years.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023CAD70"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2</w:t>
            </w:r>
          </w:p>
        </w:tc>
      </w:tr>
      <w:tr w:rsidR="000E3F40" w:rsidRPr="000E3F40" w14:paraId="5F90D17B"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DB6EED"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5.9 The organization’s governing board receives programmatic reports at each regular board meeting.</w:t>
            </w:r>
          </w:p>
        </w:tc>
        <w:tc>
          <w:tcPr>
            <w:tcW w:w="1170" w:type="dxa"/>
            <w:tcBorders>
              <w:top w:val="single" w:sz="4" w:space="0" w:color="auto"/>
              <w:left w:val="single" w:sz="4" w:space="0" w:color="auto"/>
              <w:bottom w:val="single" w:sz="4" w:space="0" w:color="auto"/>
              <w:right w:val="single" w:sz="4" w:space="0" w:color="auto"/>
            </w:tcBorders>
          </w:tcPr>
          <w:p w14:paraId="6AFBF91E"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7B7D468B" w14:textId="77777777" w:rsidTr="000E3F40">
        <w:trPr>
          <w:trHeight w:val="2159"/>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1C156F1"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5.10 The organization’s bylaws establish, at a minimum, basic policies that govern aspects of board operations and the governing board enforces these policies: 1. Tri-partite requirements 2. Board membership levels (i.e. 18 members) 3. Voting Rights of Members (i.e. each member gets one vote) 4. Petition for Adequate Representation 5. Conflict of Interest 6. Quorum 7. Attendance 8. Supervision &amp; Evaluation Responsibilities over the CEO/ED 9. Governing Board Terms and Term Limits 10.Time Limit to Fill Board Vacancies 11.Removal for Cause (termination) 12.New Board Representative Approvals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2B912D22"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 xml:space="preserve">9 </w:t>
            </w:r>
          </w:p>
        </w:tc>
      </w:tr>
      <w:tr w:rsidR="000E3F40" w:rsidRPr="000E3F40" w14:paraId="5595A674"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08307E"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5.11 The tripartite governing board is “fully engaged” in the development, planning, implementation, and evaluation of the organization.</w:t>
            </w:r>
          </w:p>
        </w:tc>
        <w:tc>
          <w:tcPr>
            <w:tcW w:w="1170" w:type="dxa"/>
            <w:tcBorders>
              <w:top w:val="single" w:sz="4" w:space="0" w:color="auto"/>
              <w:left w:val="single" w:sz="4" w:space="0" w:color="auto"/>
              <w:bottom w:val="single" w:sz="4" w:space="0" w:color="auto"/>
              <w:right w:val="single" w:sz="4" w:space="0" w:color="auto"/>
            </w:tcBorders>
          </w:tcPr>
          <w:p w14:paraId="371C592B"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3</w:t>
            </w:r>
          </w:p>
        </w:tc>
      </w:tr>
      <w:tr w:rsidR="000E3F40" w:rsidRPr="000E3F40" w14:paraId="7599A01F" w14:textId="77777777" w:rsidTr="000E3F40">
        <w:trPr>
          <w:trHeight w:val="85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91F9631"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5.12 The full governing board reviewed and discussed the most recent IHCDA issued CSBG CAR finalized monitoring report within ninety (90) days of receiving the report.</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20E112C4"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3A45CFCA" w14:textId="77777777" w:rsidTr="000E3F40">
        <w:trPr>
          <w:trHeight w:val="62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tcPr>
          <w:p w14:paraId="21A0CAF0"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5.13 Governing board members participate in the CSBG CAR on-site monitoring visit by meeting with the IHCDA monitor(s).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5E6DEDBA"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2</w:t>
            </w:r>
          </w:p>
        </w:tc>
      </w:tr>
      <w:tr w:rsidR="000E3F40" w:rsidRPr="000E3F40" w14:paraId="6FF432B5" w14:textId="77777777" w:rsidTr="000E3F40">
        <w:trPr>
          <w:trHeight w:val="85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413C58"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6.1 The organization has an agency-wide strategic plan in place that has been approved by the governing board within the past five (5) years.</w:t>
            </w:r>
          </w:p>
        </w:tc>
        <w:tc>
          <w:tcPr>
            <w:tcW w:w="1170" w:type="dxa"/>
            <w:tcBorders>
              <w:top w:val="single" w:sz="4" w:space="0" w:color="auto"/>
              <w:left w:val="single" w:sz="4" w:space="0" w:color="auto"/>
              <w:bottom w:val="single" w:sz="4" w:space="0" w:color="auto"/>
              <w:right w:val="single" w:sz="4" w:space="0" w:color="auto"/>
            </w:tcBorders>
          </w:tcPr>
          <w:p w14:paraId="40509F18"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4</w:t>
            </w:r>
          </w:p>
        </w:tc>
      </w:tr>
      <w:tr w:rsidR="000E3F40" w:rsidRPr="000E3F40" w14:paraId="0866ED58" w14:textId="77777777" w:rsidTr="000E3F40">
        <w:trPr>
          <w:trHeight w:val="85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64A458A"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6.2 The approved strategic plan addresses reduction of poverty, revitalization of low-income communities, and/or empowerment of people with low incomes to become more self-sufficient.</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50CA9FF2"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3</w:t>
            </w:r>
          </w:p>
        </w:tc>
      </w:tr>
      <w:tr w:rsidR="000E3F40" w:rsidRPr="000E3F40" w14:paraId="7F3345D8"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AB353E"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6.3 The approved strategic plan contains family, agency and/or community goals</w:t>
            </w:r>
          </w:p>
        </w:tc>
        <w:tc>
          <w:tcPr>
            <w:tcW w:w="1170" w:type="dxa"/>
            <w:tcBorders>
              <w:top w:val="single" w:sz="4" w:space="0" w:color="auto"/>
              <w:left w:val="single" w:sz="4" w:space="0" w:color="auto"/>
              <w:bottom w:val="single" w:sz="4" w:space="0" w:color="auto"/>
              <w:right w:val="single" w:sz="4" w:space="0" w:color="auto"/>
            </w:tcBorders>
          </w:tcPr>
          <w:p w14:paraId="243E258D"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2</w:t>
            </w:r>
          </w:p>
        </w:tc>
      </w:tr>
      <w:tr w:rsidR="000E3F40" w:rsidRPr="000E3F40" w14:paraId="5CFE39FF" w14:textId="77777777" w:rsidTr="000E3F40">
        <w:trPr>
          <w:trHeight w:val="85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09316C5"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6.4 Customer satisfaction data and customer input, collected as part of the community needs assessment, is included in the strategic planning process.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6B6A02E7"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1AF90DE4" w14:textId="77777777" w:rsidTr="000E3F40">
        <w:trPr>
          <w:trHeight w:val="85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03E300"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6.5 The governing board has received update(s) on progress towards meeting the goals in the strategic plan within the past twelve (12) months.</w:t>
            </w:r>
          </w:p>
        </w:tc>
        <w:tc>
          <w:tcPr>
            <w:tcW w:w="1170" w:type="dxa"/>
            <w:tcBorders>
              <w:top w:val="single" w:sz="4" w:space="0" w:color="auto"/>
              <w:left w:val="single" w:sz="4" w:space="0" w:color="auto"/>
              <w:bottom w:val="single" w:sz="4" w:space="0" w:color="auto"/>
              <w:right w:val="single" w:sz="4" w:space="0" w:color="auto"/>
            </w:tcBorders>
          </w:tcPr>
          <w:p w14:paraId="662E5829"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3</w:t>
            </w:r>
          </w:p>
        </w:tc>
      </w:tr>
      <w:tr w:rsidR="000E3F40" w:rsidRPr="000E3F40" w14:paraId="3653E1EA" w14:textId="77777777" w:rsidTr="000E3F40">
        <w:trPr>
          <w:trHeight w:val="85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653D056"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7.1 The organization has written personnel policies that have been reviewed by an attorney and approved by the governing board within the past five (5) years.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7D90C7F4"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2</w:t>
            </w:r>
          </w:p>
        </w:tc>
      </w:tr>
      <w:tr w:rsidR="000E3F40" w:rsidRPr="000E3F40" w14:paraId="73A174D7" w14:textId="77777777" w:rsidTr="000E3F40">
        <w:trPr>
          <w:trHeight w:val="85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E94AA"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7.2 The organization makes available the employee handbook (or personnel policies in cases without a handbook) to all staff and notifies staff of any changes.</w:t>
            </w:r>
          </w:p>
        </w:tc>
        <w:tc>
          <w:tcPr>
            <w:tcW w:w="1170" w:type="dxa"/>
            <w:tcBorders>
              <w:top w:val="single" w:sz="4" w:space="0" w:color="auto"/>
              <w:left w:val="single" w:sz="4" w:space="0" w:color="auto"/>
              <w:bottom w:val="single" w:sz="4" w:space="0" w:color="auto"/>
              <w:right w:val="single" w:sz="4" w:space="0" w:color="auto"/>
            </w:tcBorders>
          </w:tcPr>
          <w:p w14:paraId="656BCCEC"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2B8CBD18" w14:textId="77777777" w:rsidTr="000E3F40">
        <w:trPr>
          <w:trHeight w:val="2951"/>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F1994EC"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lastRenderedPageBreak/>
              <w:t>State Standard 7.2.1 The organizations Employee Handbook is approved by the governing Board and establishes, at a minimum, basic staff personnel policies: 1. Leave of Absence policy 2. Disciplinary and Termination policy 3. Non-Discrimination (equal opportunity employer) policy 4. Conflict of Interest policy 5. Code of Conduct/Code of Ethics policy 6. Nepotism policy 7. Workday (hours) and Week descriptions 8. Overtime policy 9. Classifications of Employees (exempt, non-exempt, etc.) 10.Vehicle policy/Valid Drivers’ License policy while operating agency owned vehicle 11.Drug-free workplace statement 12.Smoke-free workplace statement 13.Information protection &amp; confidentiality policy 14.Social Media Policy (Effective January 1, 2021) 15.Political Activity Policy (Effective January 1, 2021)</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1FFC426B"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8.5</w:t>
            </w:r>
          </w:p>
        </w:tc>
      </w:tr>
      <w:tr w:rsidR="000E3F40" w:rsidRPr="000E3F40" w14:paraId="31CCEDB7"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3EFA5D"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7.3 The organization has written job descriptions for all positions, which have been updated in within the past five (5) years.</w:t>
            </w:r>
          </w:p>
        </w:tc>
        <w:tc>
          <w:tcPr>
            <w:tcW w:w="1170" w:type="dxa"/>
            <w:tcBorders>
              <w:top w:val="single" w:sz="4" w:space="0" w:color="auto"/>
              <w:left w:val="single" w:sz="4" w:space="0" w:color="auto"/>
              <w:bottom w:val="single" w:sz="4" w:space="0" w:color="auto"/>
              <w:right w:val="single" w:sz="4" w:space="0" w:color="auto"/>
            </w:tcBorders>
          </w:tcPr>
          <w:p w14:paraId="3061C4F0"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7CC5BF4E" w14:textId="77777777" w:rsidTr="000E3F40">
        <w:trPr>
          <w:trHeight w:val="85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DC85B77"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7.4 The governing board conducts a performance appraisal of the CEO/Executive Director within each calendar year and establishes annual written goals and/or expectations.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2105F647"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3</w:t>
            </w:r>
          </w:p>
        </w:tc>
      </w:tr>
      <w:tr w:rsidR="000E3F40" w:rsidRPr="000E3F40" w14:paraId="141F60AF"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491869"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7.5 The governing board reviews and approves the CEO/Executive Director compensation within every calendar year.</w:t>
            </w:r>
          </w:p>
        </w:tc>
        <w:tc>
          <w:tcPr>
            <w:tcW w:w="1170" w:type="dxa"/>
            <w:tcBorders>
              <w:top w:val="single" w:sz="4" w:space="0" w:color="auto"/>
              <w:left w:val="single" w:sz="4" w:space="0" w:color="auto"/>
              <w:bottom w:val="single" w:sz="4" w:space="0" w:color="auto"/>
              <w:right w:val="single" w:sz="4" w:space="0" w:color="auto"/>
            </w:tcBorders>
          </w:tcPr>
          <w:p w14:paraId="30F07759"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1.5</w:t>
            </w:r>
          </w:p>
        </w:tc>
      </w:tr>
      <w:tr w:rsidR="000E3F40" w:rsidRPr="000E3F40" w14:paraId="4803FADB"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2CCDAC4"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7.6 The organization has a policy in place for regular written evaluation of employees by their supervisors.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187B29EC"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2</w:t>
            </w:r>
          </w:p>
        </w:tc>
      </w:tr>
      <w:tr w:rsidR="000E3F40" w:rsidRPr="000E3F40" w14:paraId="5A9B562C"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567D19"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7.7 The organization has a whistleblower policy that has been approved by the governing board.</w:t>
            </w:r>
          </w:p>
        </w:tc>
        <w:tc>
          <w:tcPr>
            <w:tcW w:w="1170" w:type="dxa"/>
            <w:tcBorders>
              <w:top w:val="single" w:sz="4" w:space="0" w:color="auto"/>
              <w:left w:val="single" w:sz="4" w:space="0" w:color="auto"/>
              <w:bottom w:val="single" w:sz="4" w:space="0" w:color="auto"/>
              <w:right w:val="single" w:sz="4" w:space="0" w:color="auto"/>
            </w:tcBorders>
          </w:tcPr>
          <w:p w14:paraId="27253CD4"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2</w:t>
            </w:r>
          </w:p>
        </w:tc>
      </w:tr>
      <w:tr w:rsidR="000E3F40" w:rsidRPr="000E3F40" w14:paraId="73D0B2E9"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13A3D01"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7.8 All staff participates in a new employee orientation within sixty (60) calendar days of hire.</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599CEA2D"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7C28C9E7"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6C8A6F"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7.9 The organization conducts or makes available staff development/training (including ROMA) on an ongoing basis.</w:t>
            </w:r>
          </w:p>
        </w:tc>
        <w:tc>
          <w:tcPr>
            <w:tcW w:w="1170" w:type="dxa"/>
            <w:tcBorders>
              <w:top w:val="single" w:sz="4" w:space="0" w:color="auto"/>
              <w:left w:val="single" w:sz="4" w:space="0" w:color="auto"/>
              <w:bottom w:val="single" w:sz="4" w:space="0" w:color="auto"/>
              <w:right w:val="single" w:sz="4" w:space="0" w:color="auto"/>
            </w:tcBorders>
          </w:tcPr>
          <w:p w14:paraId="17283292"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32C0A95A"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3D68BF8"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7.10 Potential employees are subject to the organization’s contingent assessment methods (accountability standards) prior to hiring.</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40059F65"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5</w:t>
            </w:r>
          </w:p>
        </w:tc>
      </w:tr>
      <w:tr w:rsidR="000E3F40" w:rsidRPr="000E3F40" w14:paraId="4DEE0ECF"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DBC5C"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7.11 The organization provides non-discrimination provisions training to all staff to prevent discriminatory practices.</w:t>
            </w:r>
          </w:p>
        </w:tc>
        <w:tc>
          <w:tcPr>
            <w:tcW w:w="1170" w:type="dxa"/>
            <w:tcBorders>
              <w:top w:val="single" w:sz="4" w:space="0" w:color="auto"/>
              <w:left w:val="single" w:sz="4" w:space="0" w:color="auto"/>
              <w:bottom w:val="single" w:sz="4" w:space="0" w:color="auto"/>
              <w:right w:val="single" w:sz="4" w:space="0" w:color="auto"/>
            </w:tcBorders>
          </w:tcPr>
          <w:p w14:paraId="66A7C99A"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2CF4F2B3" w14:textId="77777777" w:rsidTr="000E3F40">
        <w:trPr>
          <w:trHeight w:val="141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0BAEA53"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8.1 The organization’s annual audit (or audited financial statements) is completed by a Certified Public Accountant, on time, in accordance with Title 2 of the Code of Federal Regulations, Uniform Administrative Requirements, Cost Principles and Audit Requirements and/or State audit threshold requirements.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0C22C53A"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6</w:t>
            </w:r>
          </w:p>
        </w:tc>
      </w:tr>
      <w:tr w:rsidR="000E3F40" w:rsidRPr="000E3F40" w14:paraId="2D0D6C75" w14:textId="77777777" w:rsidTr="000E3F40">
        <w:trPr>
          <w:trHeight w:val="85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E83D0C"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8.2 All findings from the prior year’s annual audit have been assessed by the organization and addressed where the governing board has deemed it appropriate.</w:t>
            </w:r>
          </w:p>
        </w:tc>
        <w:tc>
          <w:tcPr>
            <w:tcW w:w="1170" w:type="dxa"/>
            <w:tcBorders>
              <w:top w:val="single" w:sz="4" w:space="0" w:color="auto"/>
              <w:left w:val="single" w:sz="4" w:space="0" w:color="auto"/>
              <w:bottom w:val="single" w:sz="4" w:space="0" w:color="auto"/>
              <w:right w:val="single" w:sz="4" w:space="0" w:color="auto"/>
            </w:tcBorders>
          </w:tcPr>
          <w:p w14:paraId="1ED002F0"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3</w:t>
            </w:r>
          </w:p>
        </w:tc>
      </w:tr>
      <w:tr w:rsidR="000E3F40" w:rsidRPr="000E3F40" w14:paraId="372C4CB7"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BF85D1D"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8.3 The organization’s auditor presents the audit to the governing board.</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108AC821"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 xml:space="preserve">1.5 </w:t>
            </w:r>
          </w:p>
        </w:tc>
      </w:tr>
      <w:tr w:rsidR="000E3F40" w:rsidRPr="000E3F40" w14:paraId="521AC752"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87E132"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8.4 The governing board formally receives and accepts the audit</w:t>
            </w:r>
          </w:p>
        </w:tc>
        <w:tc>
          <w:tcPr>
            <w:tcW w:w="1170" w:type="dxa"/>
            <w:tcBorders>
              <w:top w:val="single" w:sz="4" w:space="0" w:color="auto"/>
              <w:left w:val="single" w:sz="4" w:space="0" w:color="auto"/>
              <w:bottom w:val="single" w:sz="4" w:space="0" w:color="auto"/>
              <w:right w:val="single" w:sz="4" w:space="0" w:color="auto"/>
            </w:tcBorders>
          </w:tcPr>
          <w:p w14:paraId="0426731D"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3</w:t>
            </w:r>
          </w:p>
        </w:tc>
      </w:tr>
      <w:tr w:rsidR="000E3F40" w:rsidRPr="000E3F40" w14:paraId="5D954237"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85D7FEF"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8.5 The organization has solicited bids for its audit within the past five (5) years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16AF4921"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4F7CD2FE"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1A1FE8"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lastRenderedPageBreak/>
              <w:t>Federal Standard 8.6 The IRS Form 990 is completed annually and made available to the governing board for review.</w:t>
            </w:r>
          </w:p>
        </w:tc>
        <w:tc>
          <w:tcPr>
            <w:tcW w:w="1170" w:type="dxa"/>
            <w:tcBorders>
              <w:top w:val="single" w:sz="4" w:space="0" w:color="auto"/>
              <w:left w:val="single" w:sz="4" w:space="0" w:color="auto"/>
              <w:bottom w:val="single" w:sz="4" w:space="0" w:color="auto"/>
              <w:right w:val="single" w:sz="4" w:space="0" w:color="auto"/>
            </w:tcBorders>
          </w:tcPr>
          <w:p w14:paraId="3CB038B9"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3</w:t>
            </w:r>
          </w:p>
        </w:tc>
      </w:tr>
      <w:tr w:rsidR="000E3F40" w:rsidRPr="000E3F40" w14:paraId="33948353" w14:textId="77777777" w:rsidTr="000E3F40">
        <w:trPr>
          <w:trHeight w:val="113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2B7468D"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8.7 The governing board receives financial reports at each regular meeting that include the following: 1. Organization-wide report on revenue and expenditures that compares budget to actual, categorized by program; and 2. Balance sheet/statement of financial position</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04A7C746"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4</w:t>
            </w:r>
          </w:p>
        </w:tc>
      </w:tr>
      <w:tr w:rsidR="000E3F40" w:rsidRPr="000E3F40" w14:paraId="4E28A806"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ED826"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8.8 All required filings and payments related to payroll withholdings are completed on time</w:t>
            </w:r>
          </w:p>
        </w:tc>
        <w:tc>
          <w:tcPr>
            <w:tcW w:w="1170" w:type="dxa"/>
            <w:tcBorders>
              <w:top w:val="single" w:sz="4" w:space="0" w:color="auto"/>
              <w:left w:val="single" w:sz="4" w:space="0" w:color="auto"/>
              <w:bottom w:val="single" w:sz="4" w:space="0" w:color="auto"/>
              <w:right w:val="single" w:sz="4" w:space="0" w:color="auto"/>
            </w:tcBorders>
          </w:tcPr>
          <w:p w14:paraId="3E8D4F51"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1.5</w:t>
            </w:r>
          </w:p>
        </w:tc>
      </w:tr>
      <w:tr w:rsidR="000E3F40" w:rsidRPr="000E3F40" w14:paraId="16EF5172"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8C2C09B"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8.9 The governing board annually approves an organization-wide budget.</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3D6CEDE5"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6</w:t>
            </w:r>
          </w:p>
        </w:tc>
      </w:tr>
      <w:tr w:rsidR="000E3F40" w:rsidRPr="000E3F40" w14:paraId="1B96E0D8" w14:textId="77777777" w:rsidTr="000E3F40">
        <w:trPr>
          <w:trHeight w:val="85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14416D"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8.10 The fiscal policies have been reviewed by staff within the past two (2) years, updated as necessary, with changes approved by the governing board.</w:t>
            </w:r>
          </w:p>
        </w:tc>
        <w:tc>
          <w:tcPr>
            <w:tcW w:w="1170" w:type="dxa"/>
            <w:tcBorders>
              <w:top w:val="single" w:sz="4" w:space="0" w:color="auto"/>
              <w:left w:val="single" w:sz="4" w:space="0" w:color="auto"/>
              <w:bottom w:val="single" w:sz="4" w:space="0" w:color="auto"/>
              <w:right w:val="single" w:sz="4" w:space="0" w:color="auto"/>
            </w:tcBorders>
          </w:tcPr>
          <w:p w14:paraId="33C4AFBE"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5CA610B0"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63C89A0"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8.11 A written procurement policy is in place and has been reviewed by the governing board within the past five (5) years.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49B5C07B"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2</w:t>
            </w:r>
          </w:p>
        </w:tc>
      </w:tr>
      <w:tr w:rsidR="000E3F40" w:rsidRPr="000E3F40" w14:paraId="3C6A8E2B"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B2041"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8.12 The organization documents how it allocates shared costs through an indirect cost rate or through a written cost allocation plan.</w:t>
            </w:r>
          </w:p>
        </w:tc>
        <w:tc>
          <w:tcPr>
            <w:tcW w:w="1170" w:type="dxa"/>
            <w:tcBorders>
              <w:top w:val="single" w:sz="4" w:space="0" w:color="auto"/>
              <w:left w:val="single" w:sz="4" w:space="0" w:color="auto"/>
              <w:bottom w:val="single" w:sz="4" w:space="0" w:color="auto"/>
              <w:right w:val="single" w:sz="4" w:space="0" w:color="auto"/>
            </w:tcBorders>
          </w:tcPr>
          <w:p w14:paraId="35F2BDDD"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2</w:t>
            </w:r>
          </w:p>
        </w:tc>
      </w:tr>
      <w:tr w:rsidR="000E3F40" w:rsidRPr="000E3F40" w14:paraId="4744DD4B"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EDCDB04"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8.12.1 The Indirect Cost Rate or written Cost Allocation Plan is governing board approved</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3116804D"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2</w:t>
            </w:r>
          </w:p>
        </w:tc>
      </w:tr>
      <w:tr w:rsidR="000E3F40" w:rsidRPr="000E3F40" w14:paraId="4E4A83F1"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EA6AFD"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8.13 The organization has written policy in place for record retention and destruction.</w:t>
            </w:r>
          </w:p>
        </w:tc>
        <w:tc>
          <w:tcPr>
            <w:tcW w:w="1170" w:type="dxa"/>
            <w:tcBorders>
              <w:top w:val="single" w:sz="4" w:space="0" w:color="auto"/>
              <w:left w:val="single" w:sz="4" w:space="0" w:color="auto"/>
              <w:bottom w:val="single" w:sz="4" w:space="0" w:color="auto"/>
              <w:right w:val="single" w:sz="4" w:space="0" w:color="auto"/>
            </w:tcBorders>
          </w:tcPr>
          <w:p w14:paraId="37262AF3"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2AA4C669" w14:textId="77777777" w:rsidTr="000E3F40">
        <w:trPr>
          <w:trHeight w:val="19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0952696"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8.14 The organizations Fiscal Policy and Procedures Manual establish, at a minimum, basic guidelines for fiscal operations: 1. Disposition for items $5,000 or greater 2. Separation of Duties/Internal Controls- Fiscal 3. Separation of Duties/Internal Controls- Inventory 4. Travel Requirements &amp; Reimbursements 5. Fraud Prevention, Deterrent &amp; Investigation 6. Allowable Costs 7. Payment 8. Payroll 9. Match and in-kind accounting 10. Staff Receiving Benefits of agency provided programs/services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5496721E"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5</w:t>
            </w:r>
          </w:p>
        </w:tc>
      </w:tr>
      <w:tr w:rsidR="000E3F40" w:rsidRPr="000E3F40" w14:paraId="0B4D6459"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5C7800"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8.15 The organization has registered in the System for Award Management (SAM) with information updated annually</w:t>
            </w:r>
          </w:p>
        </w:tc>
        <w:tc>
          <w:tcPr>
            <w:tcW w:w="1170" w:type="dxa"/>
            <w:tcBorders>
              <w:top w:val="single" w:sz="4" w:space="0" w:color="auto"/>
              <w:left w:val="single" w:sz="4" w:space="0" w:color="auto"/>
              <w:bottom w:val="single" w:sz="4" w:space="0" w:color="auto"/>
              <w:right w:val="single" w:sz="4" w:space="0" w:color="auto"/>
            </w:tcBorders>
          </w:tcPr>
          <w:p w14:paraId="0BEFD865"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1.5</w:t>
            </w:r>
          </w:p>
        </w:tc>
      </w:tr>
      <w:tr w:rsidR="000E3F40" w:rsidRPr="000E3F40" w14:paraId="5CF570D3"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30F7303"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9.1 The organization has a system or systems in place to track and report client demographics and services customers receive.</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546C61EC"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2</w:t>
            </w:r>
          </w:p>
        </w:tc>
      </w:tr>
      <w:tr w:rsidR="000E3F40" w:rsidRPr="000E3F40" w14:paraId="647C544F"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F6438A"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9.2 The organization has a system or systems in place to track family, agency, and/or community outcomes.</w:t>
            </w:r>
          </w:p>
        </w:tc>
        <w:tc>
          <w:tcPr>
            <w:tcW w:w="1170" w:type="dxa"/>
            <w:tcBorders>
              <w:top w:val="single" w:sz="4" w:space="0" w:color="auto"/>
              <w:left w:val="single" w:sz="4" w:space="0" w:color="auto"/>
              <w:bottom w:val="single" w:sz="4" w:space="0" w:color="auto"/>
              <w:right w:val="single" w:sz="4" w:space="0" w:color="auto"/>
            </w:tcBorders>
          </w:tcPr>
          <w:p w14:paraId="58D452E1"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2</w:t>
            </w:r>
          </w:p>
        </w:tc>
      </w:tr>
      <w:tr w:rsidR="000E3F40" w:rsidRPr="000E3F40" w14:paraId="08C22736" w14:textId="77777777" w:rsidTr="000E3F40">
        <w:trPr>
          <w:trHeight w:val="113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0BB3AFC"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9.3 The organization has presented to the governing board for review or action, at least within the past twelve (12) months, an analysis of the agency’s outcomes and any operational or strategic program adjustments and improvements identified as necessary.</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55ADD49B"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1.5</w:t>
            </w:r>
          </w:p>
        </w:tc>
      </w:tr>
      <w:tr w:rsidR="000E3F40" w:rsidRPr="000E3F40" w14:paraId="316F2301" w14:textId="77777777" w:rsidTr="000E3F40">
        <w:trPr>
          <w:trHeight w:val="85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67017C"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Federal Standard 9.4 The organization submits its annual CSBG Information Survey data report and it reflects client demographics and organization-wide outcomes</w:t>
            </w:r>
          </w:p>
        </w:tc>
        <w:tc>
          <w:tcPr>
            <w:tcW w:w="1170" w:type="dxa"/>
            <w:tcBorders>
              <w:top w:val="single" w:sz="4" w:space="0" w:color="auto"/>
              <w:left w:val="single" w:sz="4" w:space="0" w:color="auto"/>
              <w:bottom w:val="single" w:sz="4" w:space="0" w:color="auto"/>
              <w:right w:val="single" w:sz="4" w:space="0" w:color="auto"/>
            </w:tcBorders>
          </w:tcPr>
          <w:p w14:paraId="6AE6C060"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1.5</w:t>
            </w:r>
          </w:p>
        </w:tc>
      </w:tr>
      <w:tr w:rsidR="000E3F40" w:rsidRPr="000E3F40" w14:paraId="0B497AF0"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F9EA838"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9.5 The organization has an accurate and unduplicated count method or system for individuals served for all programs.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6F758A59"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4886FB14" w14:textId="77777777" w:rsidTr="000E3F40">
        <w:trPr>
          <w:trHeight w:val="85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DED61"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lastRenderedPageBreak/>
              <w:t>State Standard 10.1 The organization complies with its policy for governing board members, employees or relatives of employee’s receiving benefits from agency programs during the monitoring period.</w:t>
            </w:r>
          </w:p>
        </w:tc>
        <w:tc>
          <w:tcPr>
            <w:tcW w:w="1170" w:type="dxa"/>
            <w:tcBorders>
              <w:top w:val="single" w:sz="4" w:space="0" w:color="auto"/>
              <w:left w:val="single" w:sz="4" w:space="0" w:color="auto"/>
              <w:bottom w:val="single" w:sz="4" w:space="0" w:color="auto"/>
              <w:right w:val="single" w:sz="4" w:space="0" w:color="auto"/>
            </w:tcBorders>
          </w:tcPr>
          <w:p w14:paraId="05B69536"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3</w:t>
            </w:r>
          </w:p>
        </w:tc>
      </w:tr>
      <w:tr w:rsidR="000E3F40" w:rsidRPr="000E3F40" w14:paraId="7EBCE35C"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D5B0C86"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10.2 Any relatives of current governing board members or leadership staff employed by the organization are documented.</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54CE05AF"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6DCDD461" w14:textId="77777777" w:rsidTr="000E3F40">
        <w:trPr>
          <w:trHeight w:val="141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6B49FE"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 xml:space="preserve">State Standard 10.3 Organization provides a bond or insurance coverage for all persons who will be handling funds or property received or disbursed in the amount equal to </w:t>
            </w:r>
            <w:proofErr w:type="spellStart"/>
            <w:r w:rsidRPr="000E3F40">
              <w:rPr>
                <w:rFonts w:eastAsia="Times New Roman" w:cs="Arial"/>
                <w:color w:val="000000" w:themeColor="text1"/>
                <w:sz w:val="22"/>
              </w:rPr>
              <w:t>onehalf</w:t>
            </w:r>
            <w:proofErr w:type="spellEnd"/>
            <w:r w:rsidRPr="000E3F40">
              <w:rPr>
                <w:rFonts w:eastAsia="Times New Roman" w:cs="Arial"/>
                <w:color w:val="000000" w:themeColor="text1"/>
                <w:sz w:val="22"/>
              </w:rPr>
              <w:t xml:space="preserve"> of the total funds provided or $250,000, whichever is less. In addition, has a minimum of $500,000 general liability insurance coverage for bodily injury and property damage.</w:t>
            </w:r>
          </w:p>
        </w:tc>
        <w:tc>
          <w:tcPr>
            <w:tcW w:w="1170" w:type="dxa"/>
            <w:tcBorders>
              <w:top w:val="single" w:sz="4" w:space="0" w:color="auto"/>
              <w:left w:val="single" w:sz="4" w:space="0" w:color="auto"/>
              <w:bottom w:val="single" w:sz="4" w:space="0" w:color="auto"/>
              <w:right w:val="single" w:sz="4" w:space="0" w:color="auto"/>
            </w:tcBorders>
          </w:tcPr>
          <w:p w14:paraId="1E6D9A86"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3</w:t>
            </w:r>
          </w:p>
        </w:tc>
      </w:tr>
      <w:tr w:rsidR="000E3F40" w:rsidRPr="000E3F40" w14:paraId="73B135C5"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C5974F1"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10.4 The organization reconciles employee payroll records and process employee payroll accurately.</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69516C36"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3.5</w:t>
            </w:r>
          </w:p>
        </w:tc>
      </w:tr>
      <w:tr w:rsidR="000E3F40" w:rsidRPr="000E3F40" w14:paraId="01E39100"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68C4D1"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10.5 The organization complies with its written fraud investigating procedures.</w:t>
            </w:r>
          </w:p>
        </w:tc>
        <w:tc>
          <w:tcPr>
            <w:tcW w:w="1170" w:type="dxa"/>
            <w:tcBorders>
              <w:top w:val="single" w:sz="4" w:space="0" w:color="auto"/>
              <w:left w:val="single" w:sz="4" w:space="0" w:color="auto"/>
              <w:bottom w:val="single" w:sz="4" w:space="0" w:color="auto"/>
              <w:right w:val="single" w:sz="4" w:space="0" w:color="auto"/>
            </w:tcBorders>
          </w:tcPr>
          <w:p w14:paraId="5A1F67F2"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54CD6F36"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23E5790"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10.6 The organization has a comprehensive Information Resource/Security Policy approved by the governing board.</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3938D844"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5</w:t>
            </w:r>
          </w:p>
        </w:tc>
      </w:tr>
      <w:tr w:rsidR="000E3F40" w:rsidRPr="000E3F40" w14:paraId="1CC881A6"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304188"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11.1 Organization can document how its equipment with a current per unit fair market value of $5,000 or greater is dispositioned.</w:t>
            </w:r>
          </w:p>
        </w:tc>
        <w:tc>
          <w:tcPr>
            <w:tcW w:w="1170" w:type="dxa"/>
            <w:tcBorders>
              <w:top w:val="single" w:sz="4" w:space="0" w:color="auto"/>
              <w:left w:val="single" w:sz="4" w:space="0" w:color="auto"/>
              <w:bottom w:val="single" w:sz="4" w:space="0" w:color="auto"/>
              <w:right w:val="single" w:sz="4" w:space="0" w:color="auto"/>
            </w:tcBorders>
          </w:tcPr>
          <w:p w14:paraId="79430FF7"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59E0FB3F" w14:textId="77777777" w:rsidTr="00364874">
        <w:trPr>
          <w:trHeight w:val="2636"/>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3228E27"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11.2 The organization utilizes an agency-wide Schedule of Inventory, which is compiled on an annual basis and includes at least the following categories: 1. Brief description of the property or equipment 2. Manufacturer’s serial number or other identification number (i.e. model number, VIN, etc.) 3. Source of funding (program: CSBG, WAP, LIHEAP, etc.) 4. Award number (grant number and year) 5. Title holder name 6. Acquisition date (purchase date) 7. Federal Percentage or portion of the cost 8. Location and condition 9. Unit acquisition cost 10.Disposal date, if applicable 11.Sales price or fair market value determination, if applicable 12.Accumulated depreciation and balance</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3E1F8292"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7.5</w:t>
            </w:r>
          </w:p>
        </w:tc>
      </w:tr>
      <w:tr w:rsidR="000E3F40" w:rsidRPr="000E3F40" w14:paraId="1C8A8F59"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13826B"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11.3 The organization’s Schedule of Inventory is appropriately reported</w:t>
            </w:r>
          </w:p>
        </w:tc>
        <w:tc>
          <w:tcPr>
            <w:tcW w:w="1170" w:type="dxa"/>
            <w:tcBorders>
              <w:top w:val="single" w:sz="4" w:space="0" w:color="auto"/>
              <w:left w:val="single" w:sz="4" w:space="0" w:color="auto"/>
              <w:bottom w:val="single" w:sz="4" w:space="0" w:color="auto"/>
              <w:right w:val="single" w:sz="4" w:space="0" w:color="auto"/>
            </w:tcBorders>
          </w:tcPr>
          <w:p w14:paraId="62561C5A"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016B6C50"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AAA1D55"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11.4 The organization conducts a physical inspection of all inventory at least once every two years.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488DC27F"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04EB4355"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26FB4D"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12.1 The organization follows all established written procurement procedures in the acquisition of material or services.</w:t>
            </w:r>
          </w:p>
        </w:tc>
        <w:tc>
          <w:tcPr>
            <w:tcW w:w="1170" w:type="dxa"/>
            <w:tcBorders>
              <w:top w:val="single" w:sz="4" w:space="0" w:color="auto"/>
              <w:left w:val="single" w:sz="4" w:space="0" w:color="auto"/>
              <w:bottom w:val="single" w:sz="4" w:space="0" w:color="auto"/>
              <w:right w:val="single" w:sz="4" w:space="0" w:color="auto"/>
            </w:tcBorders>
          </w:tcPr>
          <w:p w14:paraId="14D9DC75"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6</w:t>
            </w:r>
          </w:p>
        </w:tc>
      </w:tr>
      <w:tr w:rsidR="000E3F40" w:rsidRPr="000E3F40" w14:paraId="7D42D821"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082CAA7" w14:textId="50A4F98A"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12.2 Purchase Orders or a similar system is used and follow criteria</w:t>
            </w:r>
            <w:r w:rsidR="00364874">
              <w:rPr>
                <w:rFonts w:eastAsia="Times New Roman" w:cs="Arial"/>
                <w:color w:val="000000" w:themeColor="text1"/>
                <w:sz w:val="22"/>
              </w:rPr>
              <w:t xml:space="preserve"> outlined in the CAR Tool.</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3DD3B13A"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1E687E17"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6A76EF"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12.3 The organization obtains all correct and necessary approvals prior to completing procurement.</w:t>
            </w:r>
          </w:p>
        </w:tc>
        <w:tc>
          <w:tcPr>
            <w:tcW w:w="1170" w:type="dxa"/>
            <w:tcBorders>
              <w:top w:val="single" w:sz="4" w:space="0" w:color="auto"/>
              <w:left w:val="single" w:sz="4" w:space="0" w:color="auto"/>
              <w:bottom w:val="single" w:sz="4" w:space="0" w:color="auto"/>
              <w:right w:val="single" w:sz="4" w:space="0" w:color="auto"/>
            </w:tcBorders>
          </w:tcPr>
          <w:p w14:paraId="06B665B5"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2</w:t>
            </w:r>
          </w:p>
        </w:tc>
      </w:tr>
      <w:tr w:rsidR="000E3F40" w:rsidRPr="000E3F40" w14:paraId="1ECBD7A1"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9B9E7B6"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12.4 The organization retains and maintains all documentation supporting the procurement process for each purchase made.</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59795557"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4CF36512"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1BF9FB"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13.1 The organization follows established IHCDA claim procedures.</w:t>
            </w:r>
          </w:p>
        </w:tc>
        <w:tc>
          <w:tcPr>
            <w:tcW w:w="1170" w:type="dxa"/>
            <w:tcBorders>
              <w:top w:val="single" w:sz="4" w:space="0" w:color="auto"/>
              <w:left w:val="single" w:sz="4" w:space="0" w:color="auto"/>
              <w:bottom w:val="single" w:sz="4" w:space="0" w:color="auto"/>
              <w:right w:val="single" w:sz="4" w:space="0" w:color="auto"/>
            </w:tcBorders>
          </w:tcPr>
          <w:p w14:paraId="394FFEEC"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3</w:t>
            </w:r>
          </w:p>
        </w:tc>
      </w:tr>
      <w:tr w:rsidR="000E3F40" w:rsidRPr="000E3F40" w14:paraId="2F7F4918"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0794C5D"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13.2 All expenses included within the reimbursement claims are allowable costs.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1D49B3B1"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3</w:t>
            </w:r>
          </w:p>
        </w:tc>
      </w:tr>
      <w:tr w:rsidR="000E3F40" w:rsidRPr="000E3F40" w14:paraId="4D445CD3"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23F59C"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lastRenderedPageBreak/>
              <w:t>State Standard 13.3 CSBG reimbursement claims are submitted on a monthly basis.</w:t>
            </w:r>
          </w:p>
        </w:tc>
        <w:tc>
          <w:tcPr>
            <w:tcW w:w="1170" w:type="dxa"/>
            <w:tcBorders>
              <w:top w:val="single" w:sz="4" w:space="0" w:color="auto"/>
              <w:left w:val="single" w:sz="4" w:space="0" w:color="auto"/>
              <w:bottom w:val="single" w:sz="4" w:space="0" w:color="auto"/>
              <w:right w:val="single" w:sz="4" w:space="0" w:color="auto"/>
            </w:tcBorders>
          </w:tcPr>
          <w:p w14:paraId="3C5613DA"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3</w:t>
            </w:r>
          </w:p>
        </w:tc>
      </w:tr>
      <w:tr w:rsidR="000E3F40" w:rsidRPr="000E3F40" w14:paraId="028185C6"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2A9E132"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13.4 CSBG eligible invoices are paid within forty-five (45) calendar days of receipt.</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73118754"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1.5</w:t>
            </w:r>
          </w:p>
        </w:tc>
      </w:tr>
      <w:tr w:rsidR="000E3F40" w:rsidRPr="000E3F40" w14:paraId="128E0DAB"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F5B1E8"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13.5 CSBG expenses are submitted for reimbursement claims within forty-five (45) calendar days after the costs are incurred</w:t>
            </w:r>
          </w:p>
        </w:tc>
        <w:tc>
          <w:tcPr>
            <w:tcW w:w="1170" w:type="dxa"/>
            <w:tcBorders>
              <w:top w:val="single" w:sz="4" w:space="0" w:color="auto"/>
              <w:left w:val="single" w:sz="4" w:space="0" w:color="auto"/>
              <w:bottom w:val="single" w:sz="4" w:space="0" w:color="auto"/>
              <w:right w:val="single" w:sz="4" w:space="0" w:color="auto"/>
            </w:tcBorders>
          </w:tcPr>
          <w:p w14:paraId="53E4FB6B"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1.5</w:t>
            </w:r>
          </w:p>
        </w:tc>
      </w:tr>
      <w:tr w:rsidR="000E3F40" w:rsidRPr="000E3F40" w14:paraId="696128DB"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EAF0BC5"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13.6 Credit Card Statements are supplemented by source documents.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32906AE2"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616C335D"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6941B5"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14.1 Organization’s financial statements are reconciled and are current.</w:t>
            </w:r>
          </w:p>
        </w:tc>
        <w:tc>
          <w:tcPr>
            <w:tcW w:w="1170" w:type="dxa"/>
            <w:tcBorders>
              <w:top w:val="single" w:sz="4" w:space="0" w:color="auto"/>
              <w:left w:val="single" w:sz="4" w:space="0" w:color="auto"/>
              <w:bottom w:val="single" w:sz="4" w:space="0" w:color="auto"/>
              <w:right w:val="single" w:sz="4" w:space="0" w:color="auto"/>
            </w:tcBorders>
          </w:tcPr>
          <w:p w14:paraId="259BB49A"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6</w:t>
            </w:r>
          </w:p>
        </w:tc>
      </w:tr>
      <w:tr w:rsidR="000E3F40" w:rsidRPr="000E3F40" w14:paraId="3DFA1501"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EFB5233"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14.2 Third-party in-kind contributions are listed as revenue on the income statements.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2861760A"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355DF0F0"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04AA1F"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14.3 The organization’s Aging Reports reconcile to the Balance Sheets</w:t>
            </w:r>
          </w:p>
        </w:tc>
        <w:tc>
          <w:tcPr>
            <w:tcW w:w="1170" w:type="dxa"/>
            <w:tcBorders>
              <w:top w:val="single" w:sz="4" w:space="0" w:color="auto"/>
              <w:left w:val="single" w:sz="4" w:space="0" w:color="auto"/>
              <w:bottom w:val="single" w:sz="4" w:space="0" w:color="auto"/>
              <w:right w:val="single" w:sz="4" w:space="0" w:color="auto"/>
            </w:tcBorders>
          </w:tcPr>
          <w:p w14:paraId="5230CE0F"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2</w:t>
            </w:r>
          </w:p>
        </w:tc>
      </w:tr>
      <w:tr w:rsidR="000E3F40" w:rsidRPr="000E3F40" w14:paraId="4720B46C" w14:textId="77777777" w:rsidTr="000E3F40">
        <w:trPr>
          <w:trHeight w:val="57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FF0F8B5"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14.4 The organization’s financials are structured, operated and reported by program.</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30765828"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1.5</w:t>
            </w:r>
          </w:p>
        </w:tc>
      </w:tr>
      <w:tr w:rsidR="000E3F40" w:rsidRPr="000E3F40" w14:paraId="5897A1E1" w14:textId="77777777" w:rsidTr="000E3F40">
        <w:trPr>
          <w:trHeight w:val="85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B66E6C"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14.5 Account balances do not exceed the Federal Deposit Insurance Corporation (FDIC) insured limit ($250,000) at a single bank or a Collateral Security Agreement is in place to cover any access amounts.</w:t>
            </w:r>
          </w:p>
        </w:tc>
        <w:tc>
          <w:tcPr>
            <w:tcW w:w="1170" w:type="dxa"/>
            <w:tcBorders>
              <w:top w:val="single" w:sz="4" w:space="0" w:color="auto"/>
              <w:left w:val="single" w:sz="4" w:space="0" w:color="auto"/>
              <w:bottom w:val="single" w:sz="4" w:space="0" w:color="auto"/>
              <w:right w:val="single" w:sz="4" w:space="0" w:color="auto"/>
            </w:tcBorders>
          </w:tcPr>
          <w:p w14:paraId="677397E9"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w:t>
            </w:r>
          </w:p>
        </w:tc>
      </w:tr>
      <w:tr w:rsidR="000E3F40" w:rsidRPr="000E3F40" w14:paraId="05A66371" w14:textId="77777777" w:rsidTr="000E3F40">
        <w:trPr>
          <w:trHeight w:val="29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C2A2594"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15.1 Liquidity ratios are within the established guidelines.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15AF6AF1"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6</w:t>
            </w:r>
          </w:p>
        </w:tc>
      </w:tr>
      <w:tr w:rsidR="000E3F40" w:rsidRPr="000E3F40" w14:paraId="133D0D7D" w14:textId="77777777" w:rsidTr="000E3F40">
        <w:trPr>
          <w:trHeight w:val="290"/>
        </w:trPr>
        <w:tc>
          <w:tcPr>
            <w:tcW w:w="80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4188E4"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15.2 Efficiency ratios are within the established guidelines.</w:t>
            </w:r>
          </w:p>
        </w:tc>
        <w:tc>
          <w:tcPr>
            <w:tcW w:w="1170" w:type="dxa"/>
            <w:tcBorders>
              <w:top w:val="single" w:sz="4" w:space="0" w:color="auto"/>
              <w:left w:val="single" w:sz="4" w:space="0" w:color="auto"/>
              <w:bottom w:val="single" w:sz="4" w:space="0" w:color="auto"/>
              <w:right w:val="single" w:sz="4" w:space="0" w:color="auto"/>
            </w:tcBorders>
          </w:tcPr>
          <w:p w14:paraId="6987A11F"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1.5</w:t>
            </w:r>
          </w:p>
        </w:tc>
      </w:tr>
      <w:tr w:rsidR="000E3F40" w:rsidRPr="000E3F40" w14:paraId="30BD48D3" w14:textId="77777777" w:rsidTr="000E3F40">
        <w:trPr>
          <w:trHeight w:val="290"/>
        </w:trPr>
        <w:tc>
          <w:tcPr>
            <w:tcW w:w="80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83B251E"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State Standard 15.3 Leverage ratios are within the established guidelines</w:t>
            </w:r>
          </w:p>
        </w:tc>
        <w:tc>
          <w:tcPr>
            <w:tcW w:w="1170" w:type="dxa"/>
            <w:tcBorders>
              <w:top w:val="single" w:sz="4" w:space="0" w:color="auto"/>
              <w:left w:val="single" w:sz="4" w:space="0" w:color="auto"/>
              <w:bottom w:val="single" w:sz="4" w:space="0" w:color="auto"/>
              <w:right w:val="single" w:sz="4" w:space="0" w:color="auto"/>
            </w:tcBorders>
            <w:shd w:val="clear" w:color="D9E1F2" w:fill="D9E1F2"/>
          </w:tcPr>
          <w:p w14:paraId="339686C7" w14:textId="77777777" w:rsidR="000E3F40" w:rsidRPr="000E3F40" w:rsidRDefault="000E3F40" w:rsidP="000E3F40">
            <w:pPr>
              <w:spacing w:after="0"/>
              <w:rPr>
                <w:rFonts w:eastAsia="Times New Roman" w:cs="Arial"/>
                <w:color w:val="000000" w:themeColor="text1"/>
                <w:sz w:val="22"/>
              </w:rPr>
            </w:pPr>
            <w:r w:rsidRPr="000E3F40">
              <w:rPr>
                <w:rFonts w:eastAsia="Times New Roman" w:cs="Arial"/>
                <w:color w:val="000000" w:themeColor="text1"/>
                <w:sz w:val="22"/>
              </w:rPr>
              <w:t>3</w:t>
            </w:r>
          </w:p>
        </w:tc>
      </w:tr>
    </w:tbl>
    <w:p w14:paraId="76FA2633" w14:textId="77777777" w:rsidR="00F363FF" w:rsidRDefault="00CD09F0"/>
    <w:sectPr w:rsidR="00F36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F1A95"/>
    <w:multiLevelType w:val="hybridMultilevel"/>
    <w:tmpl w:val="6F126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BA26CF"/>
    <w:multiLevelType w:val="hybridMultilevel"/>
    <w:tmpl w:val="1952D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77629A"/>
    <w:multiLevelType w:val="hybridMultilevel"/>
    <w:tmpl w:val="F5C05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A86305"/>
    <w:multiLevelType w:val="hybridMultilevel"/>
    <w:tmpl w:val="E3723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844B4E"/>
    <w:multiLevelType w:val="hybridMultilevel"/>
    <w:tmpl w:val="6A1E5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175D7A"/>
    <w:multiLevelType w:val="hybridMultilevel"/>
    <w:tmpl w:val="D57C6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40"/>
    <w:rsid w:val="000E3F40"/>
    <w:rsid w:val="00364874"/>
    <w:rsid w:val="007E1243"/>
    <w:rsid w:val="00821956"/>
    <w:rsid w:val="008D7865"/>
    <w:rsid w:val="00935D2F"/>
    <w:rsid w:val="009757C4"/>
    <w:rsid w:val="00C005A3"/>
    <w:rsid w:val="00CD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B1A4"/>
  <w15:chartTrackingRefBased/>
  <w15:docId w15:val="{6E3B481F-3DDF-4C6E-AF3A-D9E88748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D2F"/>
    <w:pPr>
      <w:spacing w:after="40" w:line="240" w:lineRule="auto"/>
    </w:pPr>
    <w:rPr>
      <w:rFonts w:ascii="Arial" w:hAnsi="Arial"/>
      <w:sz w:val="24"/>
    </w:rPr>
  </w:style>
  <w:style w:type="paragraph" w:styleId="Heading1">
    <w:name w:val="heading 1"/>
    <w:basedOn w:val="Normal"/>
    <w:next w:val="Normal"/>
    <w:link w:val="Heading1Char"/>
    <w:uiPriority w:val="9"/>
    <w:qFormat/>
    <w:rsid w:val="00C005A3"/>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005A3"/>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005A3"/>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005A3"/>
    <w:rPr>
      <w:rFonts w:ascii="Arial" w:eastAsiaTheme="majorEastAsia" w:hAnsi="Arial" w:cstheme="majorBidi"/>
      <w:color w:val="2F5496" w:themeColor="accent1" w:themeShade="BF"/>
      <w:sz w:val="26"/>
      <w:szCs w:val="26"/>
    </w:rPr>
  </w:style>
  <w:style w:type="character" w:customStyle="1" w:styleId="Heading1Char">
    <w:name w:val="Heading 1 Char"/>
    <w:basedOn w:val="DefaultParagraphFont"/>
    <w:link w:val="Heading1"/>
    <w:uiPriority w:val="9"/>
    <w:rsid w:val="00C005A3"/>
    <w:rPr>
      <w:rFonts w:ascii="Arial" w:eastAsiaTheme="majorEastAsia" w:hAnsi="Arial" w:cstheme="majorBidi"/>
      <w:color w:val="2F5496" w:themeColor="accent1" w:themeShade="BF"/>
      <w:sz w:val="32"/>
      <w:szCs w:val="32"/>
    </w:rPr>
  </w:style>
  <w:style w:type="paragraph" w:styleId="Subtitle">
    <w:name w:val="Subtitle"/>
    <w:basedOn w:val="Normal"/>
    <w:next w:val="Normal"/>
    <w:link w:val="SubtitleChar"/>
    <w:uiPriority w:val="11"/>
    <w:qFormat/>
    <w:rsid w:val="00C005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5A3"/>
    <w:rPr>
      <w:rFonts w:ascii="Arial" w:eastAsiaTheme="minorEastAsia" w:hAnsi="Arial"/>
      <w:color w:val="5A5A5A" w:themeColor="text1" w:themeTint="A5"/>
      <w:spacing w:val="15"/>
    </w:rPr>
  </w:style>
  <w:style w:type="character" w:customStyle="1" w:styleId="Heading3Char">
    <w:name w:val="Heading 3 Char"/>
    <w:basedOn w:val="DefaultParagraphFont"/>
    <w:link w:val="Heading3"/>
    <w:uiPriority w:val="9"/>
    <w:semiHidden/>
    <w:rsid w:val="00C005A3"/>
    <w:rPr>
      <w:rFonts w:ascii="Arial" w:eastAsiaTheme="majorEastAsia" w:hAnsi="Arial" w:cstheme="majorBidi"/>
      <w:color w:val="1F3763" w:themeColor="accent1" w:themeShade="7F"/>
      <w:sz w:val="24"/>
      <w:szCs w:val="24"/>
    </w:rPr>
  </w:style>
  <w:style w:type="paragraph" w:styleId="Title">
    <w:name w:val="Title"/>
    <w:basedOn w:val="Normal"/>
    <w:next w:val="Normal"/>
    <w:link w:val="TitleChar"/>
    <w:uiPriority w:val="10"/>
    <w:qFormat/>
    <w:rsid w:val="00C005A3"/>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005A3"/>
    <w:rPr>
      <w:rFonts w:ascii="Arial" w:eastAsiaTheme="majorEastAsia" w:hAnsi="Arial" w:cstheme="majorBidi"/>
      <w:spacing w:val="-10"/>
      <w:kern w:val="28"/>
      <w:sz w:val="56"/>
      <w:szCs w:val="56"/>
    </w:rPr>
  </w:style>
  <w:style w:type="numbering" w:customStyle="1" w:styleId="NoList1">
    <w:name w:val="No List1"/>
    <w:next w:val="NoList"/>
    <w:uiPriority w:val="99"/>
    <w:semiHidden/>
    <w:unhideWhenUsed/>
    <w:rsid w:val="000E3F40"/>
  </w:style>
  <w:style w:type="paragraph" w:styleId="ListParagraph">
    <w:name w:val="List Paragraph"/>
    <w:basedOn w:val="Normal"/>
    <w:uiPriority w:val="34"/>
    <w:qFormat/>
    <w:rsid w:val="000E3F40"/>
    <w:pPr>
      <w:spacing w:after="160" w:line="259"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0E3F40"/>
    <w:rPr>
      <w:sz w:val="16"/>
      <w:szCs w:val="16"/>
    </w:rPr>
  </w:style>
  <w:style w:type="paragraph" w:styleId="CommentText">
    <w:name w:val="annotation text"/>
    <w:basedOn w:val="Normal"/>
    <w:link w:val="CommentTextChar"/>
    <w:uiPriority w:val="99"/>
    <w:semiHidden/>
    <w:unhideWhenUsed/>
    <w:rsid w:val="000E3F40"/>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0E3F40"/>
    <w:rPr>
      <w:sz w:val="20"/>
      <w:szCs w:val="20"/>
    </w:rPr>
  </w:style>
  <w:style w:type="paragraph" w:styleId="CommentSubject">
    <w:name w:val="annotation subject"/>
    <w:basedOn w:val="CommentText"/>
    <w:next w:val="CommentText"/>
    <w:link w:val="CommentSubjectChar"/>
    <w:uiPriority w:val="99"/>
    <w:semiHidden/>
    <w:unhideWhenUsed/>
    <w:rsid w:val="000E3F40"/>
    <w:rPr>
      <w:b/>
      <w:bCs/>
    </w:rPr>
  </w:style>
  <w:style w:type="character" w:customStyle="1" w:styleId="CommentSubjectChar">
    <w:name w:val="Comment Subject Char"/>
    <w:basedOn w:val="CommentTextChar"/>
    <w:link w:val="CommentSubject"/>
    <w:uiPriority w:val="99"/>
    <w:semiHidden/>
    <w:rsid w:val="000E3F40"/>
    <w:rPr>
      <w:b/>
      <w:bCs/>
      <w:sz w:val="20"/>
      <w:szCs w:val="20"/>
    </w:rPr>
  </w:style>
  <w:style w:type="paragraph" w:styleId="BalloonText">
    <w:name w:val="Balloon Text"/>
    <w:basedOn w:val="Normal"/>
    <w:link w:val="BalloonTextChar"/>
    <w:uiPriority w:val="99"/>
    <w:semiHidden/>
    <w:unhideWhenUsed/>
    <w:rsid w:val="000E3F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2667</Words>
  <Characters>15203</Characters>
  <Application>Microsoft Office Word</Application>
  <DocSecurity>0</DocSecurity>
  <Lines>126</Lines>
  <Paragraphs>35</Paragraphs>
  <ScaleCrop>false</ScaleCrop>
  <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Veronica</dc:creator>
  <cp:keywords/>
  <dc:description/>
  <cp:lastModifiedBy>Watson, Veronica</cp:lastModifiedBy>
  <cp:revision>3</cp:revision>
  <dcterms:created xsi:type="dcterms:W3CDTF">2021-01-27T15:27:00Z</dcterms:created>
  <dcterms:modified xsi:type="dcterms:W3CDTF">2021-02-15T14:59:00Z</dcterms:modified>
</cp:coreProperties>
</file>