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5B" w:rsidRPr="00032DF8" w:rsidRDefault="00032DF8" w:rsidP="00032DF8">
      <w:pPr>
        <w:ind w:right="-612"/>
        <w:jc w:val="center"/>
        <w:rPr>
          <w:b/>
          <w:sz w:val="24"/>
          <w:szCs w:val="24"/>
        </w:rPr>
      </w:pPr>
      <w:r w:rsidRPr="00032DF8">
        <w:rPr>
          <w:b/>
          <w:sz w:val="24"/>
          <w:szCs w:val="24"/>
        </w:rPr>
        <w:t>MEMORANDUM</w:t>
      </w:r>
    </w:p>
    <w:p w:rsidR="00032DF8" w:rsidRDefault="00032DF8" w:rsidP="00032DF8">
      <w:pPr>
        <w:ind w:right="-612"/>
        <w:jc w:val="center"/>
        <w:rPr>
          <w:b/>
          <w:sz w:val="24"/>
          <w:szCs w:val="24"/>
        </w:rPr>
      </w:pPr>
    </w:p>
    <w:p w:rsidR="004419EB" w:rsidRPr="00032DF8" w:rsidRDefault="004419EB" w:rsidP="00032DF8">
      <w:pPr>
        <w:ind w:right="-612"/>
        <w:jc w:val="center"/>
        <w:rPr>
          <w:b/>
          <w:sz w:val="24"/>
          <w:szCs w:val="24"/>
        </w:rPr>
      </w:pPr>
    </w:p>
    <w:p w:rsidR="00032DF8" w:rsidRDefault="00032DF8" w:rsidP="00032DF8">
      <w:pPr>
        <w:ind w:right="-612"/>
        <w:rPr>
          <w:sz w:val="24"/>
          <w:szCs w:val="24"/>
        </w:rPr>
      </w:pPr>
      <w:r>
        <w:rPr>
          <w:sz w:val="24"/>
          <w:szCs w:val="24"/>
        </w:rPr>
        <w:t>TO:</w:t>
      </w:r>
      <w:r w:rsidR="0064049D">
        <w:rPr>
          <w:sz w:val="24"/>
          <w:szCs w:val="24"/>
        </w:rPr>
        <w:t xml:space="preserve"> </w:t>
      </w:r>
      <w:r w:rsidR="005A6C0C">
        <w:rPr>
          <w:sz w:val="24"/>
          <w:szCs w:val="24"/>
        </w:rPr>
        <w:tab/>
      </w:r>
      <w:r w:rsidR="00E646F0">
        <w:rPr>
          <w:sz w:val="24"/>
          <w:szCs w:val="24"/>
        </w:rPr>
        <w:t>Project File, Town of Plainfield, DOC Sewer Improvements, SRF Project # WW0943202</w:t>
      </w:r>
      <w:r w:rsidR="005A6C0C">
        <w:rPr>
          <w:sz w:val="24"/>
          <w:szCs w:val="24"/>
        </w:rPr>
        <w:tab/>
      </w:r>
    </w:p>
    <w:p w:rsidR="00032DF8" w:rsidRDefault="00032DF8" w:rsidP="00032DF8">
      <w:pPr>
        <w:ind w:right="-612"/>
        <w:rPr>
          <w:sz w:val="24"/>
          <w:szCs w:val="24"/>
        </w:rPr>
      </w:pPr>
    </w:p>
    <w:p w:rsidR="00032DF8" w:rsidRDefault="00032DF8" w:rsidP="00032DF8">
      <w:pPr>
        <w:ind w:right="-612"/>
        <w:rPr>
          <w:sz w:val="24"/>
          <w:szCs w:val="24"/>
        </w:rPr>
      </w:pPr>
      <w:r>
        <w:rPr>
          <w:sz w:val="24"/>
          <w:szCs w:val="24"/>
        </w:rPr>
        <w:t>FROM:</w:t>
      </w:r>
      <w:r w:rsidR="0064049D">
        <w:rPr>
          <w:sz w:val="24"/>
          <w:szCs w:val="24"/>
        </w:rPr>
        <w:t xml:space="preserve"> </w:t>
      </w:r>
      <w:r w:rsidR="00E646F0">
        <w:rPr>
          <w:sz w:val="24"/>
          <w:szCs w:val="24"/>
        </w:rPr>
        <w:t xml:space="preserve"> Richard J. Ziemba</w:t>
      </w:r>
      <w:r w:rsidR="005A6C0C">
        <w:rPr>
          <w:sz w:val="24"/>
          <w:szCs w:val="24"/>
        </w:rPr>
        <w:tab/>
      </w:r>
    </w:p>
    <w:p w:rsidR="00F0489A" w:rsidRDefault="00F0489A" w:rsidP="00032DF8">
      <w:pPr>
        <w:ind w:right="-612"/>
        <w:rPr>
          <w:sz w:val="24"/>
          <w:szCs w:val="24"/>
        </w:rPr>
      </w:pPr>
    </w:p>
    <w:p w:rsidR="00F0489A" w:rsidRDefault="00F0489A" w:rsidP="00032DF8">
      <w:pPr>
        <w:ind w:right="-612"/>
        <w:rPr>
          <w:sz w:val="24"/>
          <w:szCs w:val="24"/>
        </w:rPr>
      </w:pPr>
      <w:r>
        <w:rPr>
          <w:sz w:val="24"/>
          <w:szCs w:val="24"/>
        </w:rPr>
        <w:t>DATE:</w:t>
      </w:r>
      <w:r w:rsidR="0064049D">
        <w:rPr>
          <w:sz w:val="24"/>
          <w:szCs w:val="24"/>
        </w:rPr>
        <w:t xml:space="preserve"> </w:t>
      </w:r>
      <w:r w:rsidR="00E646F0">
        <w:rPr>
          <w:sz w:val="24"/>
          <w:szCs w:val="24"/>
        </w:rPr>
        <w:t>September 20, 2011</w:t>
      </w:r>
      <w:r w:rsidR="005A6C0C">
        <w:rPr>
          <w:sz w:val="24"/>
          <w:szCs w:val="24"/>
        </w:rPr>
        <w:tab/>
      </w:r>
    </w:p>
    <w:p w:rsidR="00032DF8" w:rsidRDefault="00032DF8" w:rsidP="00032DF8">
      <w:pPr>
        <w:ind w:right="-612"/>
        <w:rPr>
          <w:sz w:val="24"/>
          <w:szCs w:val="24"/>
        </w:rPr>
      </w:pPr>
    </w:p>
    <w:p w:rsidR="00032DF8" w:rsidRDefault="00032DF8" w:rsidP="00032DF8">
      <w:pPr>
        <w:ind w:right="-612"/>
        <w:rPr>
          <w:sz w:val="24"/>
          <w:szCs w:val="24"/>
        </w:rPr>
      </w:pPr>
      <w:r>
        <w:rPr>
          <w:sz w:val="24"/>
          <w:szCs w:val="24"/>
        </w:rPr>
        <w:t>RE:</w:t>
      </w:r>
      <w:r w:rsidR="0064049D">
        <w:rPr>
          <w:sz w:val="24"/>
          <w:szCs w:val="24"/>
        </w:rPr>
        <w:t xml:space="preserve"> </w:t>
      </w:r>
      <w:r w:rsidR="005A6C0C">
        <w:rPr>
          <w:sz w:val="24"/>
          <w:szCs w:val="24"/>
        </w:rPr>
        <w:tab/>
      </w:r>
      <w:r w:rsidR="00E646F0">
        <w:rPr>
          <w:sz w:val="24"/>
          <w:szCs w:val="24"/>
        </w:rPr>
        <w:t>Green Project Reserve, Business Case</w:t>
      </w:r>
      <w:r w:rsidR="005A6C0C">
        <w:rPr>
          <w:sz w:val="24"/>
          <w:szCs w:val="24"/>
        </w:rPr>
        <w:tab/>
      </w:r>
    </w:p>
    <w:p w:rsidR="0064049D" w:rsidRDefault="0064049D" w:rsidP="00032DF8">
      <w:pPr>
        <w:ind w:right="-612"/>
        <w:rPr>
          <w:sz w:val="24"/>
          <w:szCs w:val="24"/>
        </w:rPr>
      </w:pPr>
    </w:p>
    <w:p w:rsidR="0064049D" w:rsidRDefault="0064049D" w:rsidP="00032DF8">
      <w:pPr>
        <w:ind w:right="-612"/>
        <w:rPr>
          <w:sz w:val="24"/>
          <w:szCs w:val="24"/>
        </w:rPr>
      </w:pPr>
    </w:p>
    <w:p w:rsidR="00E646F0" w:rsidRDefault="00E646F0" w:rsidP="00E646F0">
      <w:pPr>
        <w:rPr>
          <w:b/>
          <w:sz w:val="24"/>
          <w:szCs w:val="24"/>
        </w:rPr>
      </w:pPr>
      <w:r w:rsidRPr="004419EB">
        <w:rPr>
          <w:b/>
          <w:sz w:val="24"/>
          <w:szCs w:val="24"/>
        </w:rPr>
        <w:t>Summary</w:t>
      </w:r>
    </w:p>
    <w:p w:rsidR="004419EB" w:rsidRPr="004419EB" w:rsidRDefault="004419EB" w:rsidP="00E646F0">
      <w:pPr>
        <w:rPr>
          <w:b/>
          <w:sz w:val="24"/>
          <w:szCs w:val="24"/>
        </w:rPr>
      </w:pPr>
    </w:p>
    <w:p w:rsidR="00E646F0" w:rsidRPr="006F1531" w:rsidRDefault="00E646F0" w:rsidP="00E646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t xml:space="preserve"> </w:t>
      </w:r>
      <w:r w:rsidRPr="006F1531">
        <w:rPr>
          <w:rFonts w:ascii="Times New Roman" w:hAnsi="Times New Roman"/>
          <w:sz w:val="24"/>
          <w:szCs w:val="24"/>
        </w:rPr>
        <w:t>The Plainfield DOC Sewer Improvements project is based on a Guaranteed Energy Savings Performance Contract.  The project includes the replacement and CIPP lining of the existing sanitary sewers in a Department of Corrections Facility in Plainfield.  A majority of the sanitary sewers in this area are over 100 years old and have severe infiltration/inflow (I/I) into the existing sewer system.     The estimated I/I removal is considered to be approximately 400,000 gallons per day (GPD) or approximately a 45% reduction in flow once the improvements have been conducted.</w:t>
      </w:r>
    </w:p>
    <w:p w:rsidR="00E646F0" w:rsidRPr="006F1531" w:rsidRDefault="00E646F0" w:rsidP="00E646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sz w:val="24"/>
          <w:szCs w:val="24"/>
        </w:rPr>
        <w:t xml:space="preserve">The Guaranteed Energy Savings Performance Contract Price = $4,260,000.  Deducting the construction contingency and other fees totaling $967,500, the total construction cost is $3,292,500.  The total planning and engineering costs (based on engineering contracts) is a total of $385,000.  This brings the total project costs of construction and engineering to be a total of $3,677,500. </w:t>
      </w:r>
    </w:p>
    <w:p w:rsidR="00E646F0" w:rsidRPr="006F1531" w:rsidRDefault="00E646F0" w:rsidP="00E646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sz w:val="24"/>
          <w:szCs w:val="24"/>
        </w:rPr>
        <w:t xml:space="preserve">Based on the Guaranteed Energy Savings Performance Contract, the annual O&amp;M savings per year for the I/I removal is $529,542. </w:t>
      </w:r>
    </w:p>
    <w:p w:rsidR="00E646F0" w:rsidRPr="006F1531" w:rsidRDefault="00E646F0" w:rsidP="00E646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sz w:val="24"/>
          <w:szCs w:val="24"/>
        </w:rPr>
        <w:t>The payback period is calculated as $3,677,500/$529,542 which equates to a payback period of 7 years which is far less than the useful life of the proposed improvements.  Therefore, the project is cost effective.</w:t>
      </w:r>
    </w:p>
    <w:p w:rsidR="00E646F0" w:rsidRPr="006F1531" w:rsidRDefault="00E646F0" w:rsidP="00E646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sz w:val="24"/>
          <w:szCs w:val="24"/>
        </w:rPr>
        <w:t>A loan was closed on 6-30-11 in the amount of $6,966,000.</w:t>
      </w:r>
    </w:p>
    <w:p w:rsidR="00E646F0" w:rsidRDefault="00E646F0" w:rsidP="00E646F0">
      <w:pPr>
        <w:rPr>
          <w:b/>
          <w:sz w:val="24"/>
          <w:szCs w:val="24"/>
        </w:rPr>
      </w:pPr>
      <w:r w:rsidRPr="004419EB">
        <w:rPr>
          <w:b/>
          <w:sz w:val="24"/>
          <w:szCs w:val="24"/>
        </w:rPr>
        <w:t>Conclusions</w:t>
      </w:r>
    </w:p>
    <w:p w:rsidR="004419EB" w:rsidRPr="004419EB" w:rsidRDefault="004419EB" w:rsidP="00E646F0">
      <w:pPr>
        <w:rPr>
          <w:b/>
          <w:sz w:val="24"/>
          <w:szCs w:val="24"/>
        </w:rPr>
      </w:pPr>
    </w:p>
    <w:p w:rsidR="00E646F0" w:rsidRPr="006F1531" w:rsidRDefault="00E646F0" w:rsidP="00E646F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F1531">
        <w:rPr>
          <w:rFonts w:ascii="Times New Roman" w:hAnsi="Times New Roman"/>
          <w:sz w:val="24"/>
          <w:szCs w:val="24"/>
        </w:rPr>
        <w:t xml:space="preserve"> The business case was reviewed and found to be in conformance with meeting the GPR requirements for the energy efficiency category.</w:t>
      </w:r>
    </w:p>
    <w:p w:rsidR="0064049D" w:rsidRDefault="0064049D" w:rsidP="00032DF8">
      <w:pPr>
        <w:ind w:right="-612"/>
        <w:rPr>
          <w:sz w:val="24"/>
          <w:szCs w:val="24"/>
        </w:rPr>
      </w:pPr>
    </w:p>
    <w:p w:rsidR="0064049D" w:rsidRPr="00032DF8" w:rsidRDefault="0064049D" w:rsidP="001F563C">
      <w:pPr>
        <w:ind w:right="-612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4049D" w:rsidRPr="00032DF8" w:rsidSect="007F3CF6">
      <w:headerReference w:type="first" r:id="rId7"/>
      <w:footerReference w:type="first" r:id="rId8"/>
      <w:pgSz w:w="12240" w:h="15840" w:code="1"/>
      <w:pgMar w:top="1570" w:right="1800" w:bottom="1440" w:left="1152" w:header="720" w:footer="1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EC" w:rsidRDefault="007A5CEC">
      <w:r>
        <w:separator/>
      </w:r>
    </w:p>
  </w:endnote>
  <w:endnote w:type="continuationSeparator" w:id="0">
    <w:p w:rsidR="007A5CEC" w:rsidRDefault="007A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10" w:type="dxa"/>
      <w:tblInd w:w="-342" w:type="dxa"/>
      <w:tblLayout w:type="fixed"/>
      <w:tblLook w:val="0000"/>
    </w:tblPr>
    <w:tblGrid>
      <w:gridCol w:w="2700"/>
      <w:gridCol w:w="6030"/>
      <w:gridCol w:w="2880"/>
    </w:tblGrid>
    <w:tr w:rsidR="00E646F0">
      <w:tblPrEx>
        <w:tblCellMar>
          <w:top w:w="0" w:type="dxa"/>
          <w:bottom w:w="0" w:type="dxa"/>
        </w:tblCellMar>
      </w:tblPrEx>
      <w:trPr>
        <w:cantSplit/>
        <w:trHeight w:val="386"/>
      </w:trPr>
      <w:tc>
        <w:tcPr>
          <w:tcW w:w="2700" w:type="dxa"/>
          <w:vAlign w:val="bottom"/>
        </w:tcPr>
        <w:p w:rsidR="00E646F0" w:rsidRDefault="00445ADD">
          <w:pPr>
            <w:pStyle w:val="Footer"/>
            <w:rPr>
              <w:i/>
              <w:color w:val="00000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ge">
                  <wp:posOffset>9692640</wp:posOffset>
                </wp:positionV>
                <wp:extent cx="146050" cy="142240"/>
                <wp:effectExtent l="19050" t="0" r="6350" b="0"/>
                <wp:wrapNone/>
                <wp:docPr id="2" name="Picture 1" descr="Made from recyc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de from recyc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" cy="14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E646F0">
            <w:rPr>
              <w:i/>
              <w:color w:val="000000"/>
              <w:sz w:val="16"/>
            </w:rPr>
            <w:t xml:space="preserve">  Recycled Paper</w:t>
          </w:r>
        </w:p>
      </w:tc>
      <w:tc>
        <w:tcPr>
          <w:tcW w:w="6030" w:type="dxa"/>
          <w:vAlign w:val="bottom"/>
        </w:tcPr>
        <w:p w:rsidR="00E646F0" w:rsidRDefault="00E646F0">
          <w:pPr>
            <w:pStyle w:val="Footer"/>
            <w:jc w:val="center"/>
            <w:rPr>
              <w:rFonts w:ascii="Arial" w:hAns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Phone:  (888) 290-0016   Fax:  (317) 234-1338</w:t>
          </w:r>
        </w:p>
      </w:tc>
      <w:tc>
        <w:tcPr>
          <w:tcW w:w="2880" w:type="dxa"/>
          <w:vAlign w:val="bottom"/>
        </w:tcPr>
        <w:p w:rsidR="00E646F0" w:rsidRDefault="00E646F0">
          <w:pPr>
            <w:pStyle w:val="Footer"/>
            <w:jc w:val="center"/>
            <w:rPr>
              <w:i/>
              <w:color w:val="000000"/>
              <w:sz w:val="16"/>
            </w:rPr>
          </w:pPr>
          <w:r>
            <w:rPr>
              <w:i/>
              <w:color w:val="000000"/>
              <w:sz w:val="16"/>
            </w:rPr>
            <w:t xml:space="preserve">Please Recycle </w:t>
          </w:r>
        </w:p>
      </w:tc>
    </w:tr>
  </w:tbl>
  <w:p w:rsidR="00E646F0" w:rsidRDefault="00E646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EC" w:rsidRDefault="007A5CEC">
      <w:r>
        <w:separator/>
      </w:r>
    </w:p>
  </w:footnote>
  <w:footnote w:type="continuationSeparator" w:id="0">
    <w:p w:rsidR="007A5CEC" w:rsidRDefault="007A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Ind w:w="108" w:type="dxa"/>
      <w:tblLayout w:type="fixed"/>
      <w:tblLook w:val="0000"/>
    </w:tblPr>
    <w:tblGrid>
      <w:gridCol w:w="2970"/>
      <w:gridCol w:w="7020"/>
    </w:tblGrid>
    <w:tr w:rsidR="00E646F0" w:rsidTr="00D63432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2970" w:type="dxa"/>
          <w:vMerge w:val="restart"/>
        </w:tcPr>
        <w:p w:rsidR="00E646F0" w:rsidRPr="002153DA" w:rsidRDefault="00445ADD" w:rsidP="002153DA">
          <w:pPr>
            <w:pStyle w:val="Head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81075" cy="1057275"/>
                <wp:effectExtent l="19050" t="0" r="9525" b="0"/>
                <wp:docPr id="1" name="Picture 1" descr="IFA_Env_Prog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_Env_Prog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E646F0" w:rsidRPr="00003D9D" w:rsidRDefault="00E646F0" w:rsidP="00494951">
          <w:pPr>
            <w:pStyle w:val="Header"/>
            <w:ind w:left="-108"/>
            <w:jc w:val="right"/>
            <w:rPr>
              <w:rFonts w:ascii="AvantGarde" w:hAnsi="AvantGarde"/>
              <w:color w:val="000000"/>
              <w:sz w:val="30"/>
              <w:szCs w:val="30"/>
              <w:u w:val="single"/>
            </w:rPr>
          </w:pPr>
          <w:r w:rsidRPr="00003D9D">
            <w:rPr>
              <w:rFonts w:ascii="AvantGarde" w:hAnsi="AvantGarde"/>
              <w:color w:val="000000"/>
              <w:spacing w:val="13"/>
              <w:sz w:val="30"/>
              <w:szCs w:val="30"/>
              <w:u w:val="single"/>
            </w:rPr>
            <w:t>State Revolving Fund Loan Program</w:t>
          </w:r>
        </w:p>
      </w:tc>
    </w:tr>
    <w:tr w:rsidR="00E646F0" w:rsidRPr="00D63432" w:rsidTr="002153DA">
      <w:tblPrEx>
        <w:tblCellMar>
          <w:top w:w="0" w:type="dxa"/>
          <w:bottom w:w="0" w:type="dxa"/>
        </w:tblCellMar>
      </w:tblPrEx>
      <w:trPr>
        <w:cantSplit/>
        <w:trHeight w:val="267"/>
      </w:trPr>
      <w:tc>
        <w:tcPr>
          <w:tcW w:w="2970" w:type="dxa"/>
          <w:vMerge/>
        </w:tcPr>
        <w:p w:rsidR="00E646F0" w:rsidRDefault="00E646F0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E646F0" w:rsidRPr="00177653" w:rsidRDefault="00E646F0" w:rsidP="00177653">
          <w:pPr>
            <w:pStyle w:val="Header"/>
            <w:jc w:val="center"/>
            <w:rPr>
              <w:rFonts w:ascii="AvantGarde" w:hAnsi="AvantGarde"/>
              <w:b/>
              <w:color w:val="000000"/>
              <w:sz w:val="16"/>
              <w:szCs w:val="16"/>
            </w:rPr>
          </w:pPr>
          <w:r w:rsidRPr="00177653">
            <w:rPr>
              <w:rFonts w:ascii="AvantGarde" w:hAnsi="AvantGarde"/>
              <w:b/>
              <w:color w:val="000000"/>
              <w:sz w:val="16"/>
              <w:szCs w:val="24"/>
            </w:rPr>
            <w:t xml:space="preserve">                                                           </w:t>
          </w:r>
          <w:r w:rsidRPr="00177653">
            <w:rPr>
              <w:rFonts w:ascii="AvantGarde" w:hAnsi="AvantGarde"/>
              <w:b/>
              <w:color w:val="000000"/>
              <w:sz w:val="16"/>
              <w:szCs w:val="16"/>
            </w:rPr>
            <w:t xml:space="preserve">an </w:t>
          </w:r>
          <w:smartTag w:uri="urn:schemas-microsoft-com:office:smarttags" w:element="State">
            <w:smartTag w:uri="urn:schemas-microsoft-com:office:smarttags" w:element="place">
              <w:r w:rsidRPr="00177653">
                <w:rPr>
                  <w:rFonts w:ascii="AvantGarde" w:hAnsi="AvantGarde"/>
                  <w:b/>
                  <w:color w:val="000000"/>
                  <w:sz w:val="16"/>
                  <w:szCs w:val="16"/>
                </w:rPr>
                <w:t>Indiana</w:t>
              </w:r>
            </w:smartTag>
          </w:smartTag>
          <w:r w:rsidRPr="00177653">
            <w:rPr>
              <w:rFonts w:ascii="AvantGarde" w:hAnsi="AvantGarde"/>
              <w:b/>
              <w:color w:val="000000"/>
              <w:sz w:val="16"/>
              <w:szCs w:val="16"/>
            </w:rPr>
            <w:t xml:space="preserve"> Finance Authority Environmental Program</w:t>
          </w:r>
        </w:p>
      </w:tc>
    </w:tr>
    <w:tr w:rsidR="00E646F0" w:rsidTr="001023D1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970" w:type="dxa"/>
          <w:vMerge/>
        </w:tcPr>
        <w:p w:rsidR="00E646F0" w:rsidRDefault="00E646F0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E646F0" w:rsidRDefault="00E646F0">
          <w:pPr>
            <w:jc w:val="right"/>
            <w:rPr>
              <w:rFonts w:ascii="Arial" w:hAnsi="Arial"/>
              <w:color w:val="000000"/>
              <w:sz w:val="14"/>
            </w:rPr>
          </w:pPr>
        </w:p>
      </w:tc>
    </w:tr>
    <w:tr w:rsidR="00E646F0" w:rsidTr="00C42739">
      <w:tblPrEx>
        <w:tblCellMar>
          <w:top w:w="0" w:type="dxa"/>
          <w:bottom w:w="0" w:type="dxa"/>
        </w:tblCellMar>
      </w:tblPrEx>
      <w:trPr>
        <w:cantSplit/>
        <w:trHeight w:val="216"/>
      </w:trPr>
      <w:tc>
        <w:tcPr>
          <w:tcW w:w="2970" w:type="dxa"/>
          <w:vMerge/>
        </w:tcPr>
        <w:p w:rsidR="00E646F0" w:rsidRDefault="00E646F0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  <w:vAlign w:val="center"/>
        </w:tcPr>
        <w:p w:rsidR="00E646F0" w:rsidRPr="00253C03" w:rsidRDefault="00E646F0" w:rsidP="002153DA">
          <w:pPr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100 North Senate Avenue</w:t>
              </w:r>
            </w:smartTag>
          </w:smartTag>
          <w:r w:rsidRPr="00253C03">
            <w:rPr>
              <w:rFonts w:ascii="AvantGarde" w:hAnsi="AvantGarde" w:cs="Arial"/>
              <w:color w:val="000000"/>
              <w:sz w:val="16"/>
              <w:szCs w:val="16"/>
            </w:rPr>
            <w:t>, Room 1275</w:t>
          </w:r>
        </w:p>
      </w:tc>
    </w:tr>
    <w:tr w:rsidR="00E646F0" w:rsidTr="00C42739">
      <w:tblPrEx>
        <w:tblCellMar>
          <w:top w:w="0" w:type="dxa"/>
          <w:bottom w:w="0" w:type="dxa"/>
        </w:tblCellMar>
      </w:tblPrEx>
      <w:trPr>
        <w:cantSplit/>
        <w:trHeight w:val="216"/>
      </w:trPr>
      <w:tc>
        <w:tcPr>
          <w:tcW w:w="2970" w:type="dxa"/>
          <w:vMerge/>
        </w:tcPr>
        <w:p w:rsidR="00E646F0" w:rsidRDefault="00E646F0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  <w:vAlign w:val="center"/>
        </w:tcPr>
        <w:p w:rsidR="00E646F0" w:rsidRPr="00253C03" w:rsidRDefault="00E646F0" w:rsidP="002153DA">
          <w:pPr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Indianapolis</w:t>
              </w:r>
            </w:smartTag>
            <w:r w:rsidRPr="00253C03">
              <w:rPr>
                <w:rFonts w:ascii="AvantGarde" w:hAnsi="AvantGarde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Indiana</w:t>
              </w:r>
            </w:smartTag>
            <w:r w:rsidRPr="00253C03">
              <w:rPr>
                <w:rFonts w:ascii="AvantGarde" w:hAnsi="AvantGarde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253C03">
                <w:rPr>
                  <w:rFonts w:ascii="AvantGarde" w:hAnsi="AvantGarde" w:cs="Arial"/>
                  <w:color w:val="000000"/>
                  <w:sz w:val="16"/>
                  <w:szCs w:val="16"/>
                </w:rPr>
                <w:t>46204</w:t>
              </w:r>
            </w:smartTag>
          </w:smartTag>
          <w:r w:rsidRPr="00253C03">
            <w:rPr>
              <w:rFonts w:ascii="AvantGarde" w:hAnsi="AvantGarde" w:cs="Arial"/>
              <w:color w:val="000000"/>
              <w:sz w:val="16"/>
              <w:szCs w:val="16"/>
            </w:rPr>
            <w:t xml:space="preserve"> </w:t>
          </w:r>
        </w:p>
      </w:tc>
    </w:tr>
    <w:tr w:rsidR="00E646F0" w:rsidTr="00706A69">
      <w:tblPrEx>
        <w:tblCellMar>
          <w:top w:w="0" w:type="dxa"/>
          <w:bottom w:w="0" w:type="dxa"/>
        </w:tblCellMar>
      </w:tblPrEx>
      <w:trPr>
        <w:cantSplit/>
        <w:trHeight w:val="181"/>
      </w:trPr>
      <w:tc>
        <w:tcPr>
          <w:tcW w:w="2970" w:type="dxa"/>
          <w:vMerge/>
        </w:tcPr>
        <w:p w:rsidR="00E646F0" w:rsidRDefault="00E646F0" w:rsidP="002153DA">
          <w:pPr>
            <w:pStyle w:val="Header"/>
            <w:rPr>
              <w:color w:val="000000"/>
            </w:rPr>
          </w:pPr>
        </w:p>
      </w:tc>
      <w:tc>
        <w:tcPr>
          <w:tcW w:w="7020" w:type="dxa"/>
        </w:tcPr>
        <w:p w:rsidR="00E646F0" w:rsidRPr="00253C03" w:rsidRDefault="00E646F0" w:rsidP="00706A69">
          <w:pPr>
            <w:pStyle w:val="Header"/>
            <w:jc w:val="right"/>
            <w:rPr>
              <w:rFonts w:ascii="AvantGarde" w:hAnsi="AvantGarde" w:cs="Arial"/>
              <w:color w:val="000000"/>
              <w:sz w:val="16"/>
              <w:szCs w:val="16"/>
            </w:rPr>
          </w:pPr>
          <w:r>
            <w:rPr>
              <w:rFonts w:ascii="AvantGarde" w:hAnsi="AvantGarde" w:cs="Arial"/>
              <w:sz w:val="16"/>
              <w:szCs w:val="16"/>
            </w:rPr>
            <w:t>www.srf.in.gov</w:t>
          </w:r>
        </w:p>
      </w:tc>
    </w:tr>
  </w:tbl>
  <w:p w:rsidR="00E646F0" w:rsidRDefault="00E646F0" w:rsidP="003A2A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0CA0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C00AD"/>
    <w:multiLevelType w:val="hybridMultilevel"/>
    <w:tmpl w:val="F10E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AA7"/>
    <w:multiLevelType w:val="hybridMultilevel"/>
    <w:tmpl w:val="80E0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59D2"/>
    <w:rsid w:val="00003D9D"/>
    <w:rsid w:val="00010BA1"/>
    <w:rsid w:val="0002123B"/>
    <w:rsid w:val="0003195A"/>
    <w:rsid w:val="00032DF8"/>
    <w:rsid w:val="000420AC"/>
    <w:rsid w:val="000616A3"/>
    <w:rsid w:val="000A3D86"/>
    <w:rsid w:val="000D3B63"/>
    <w:rsid w:val="000F3225"/>
    <w:rsid w:val="001023D1"/>
    <w:rsid w:val="0013234B"/>
    <w:rsid w:val="00134AB1"/>
    <w:rsid w:val="0016721E"/>
    <w:rsid w:val="00177653"/>
    <w:rsid w:val="00195C20"/>
    <w:rsid w:val="001B6606"/>
    <w:rsid w:val="001E3D37"/>
    <w:rsid w:val="001F33C2"/>
    <w:rsid w:val="001F563C"/>
    <w:rsid w:val="002153DA"/>
    <w:rsid w:val="00231F04"/>
    <w:rsid w:val="002367AD"/>
    <w:rsid w:val="00247D01"/>
    <w:rsid w:val="00253C03"/>
    <w:rsid w:val="00287E9B"/>
    <w:rsid w:val="00300948"/>
    <w:rsid w:val="003048D6"/>
    <w:rsid w:val="00327D48"/>
    <w:rsid w:val="003503B7"/>
    <w:rsid w:val="003601CF"/>
    <w:rsid w:val="003802E7"/>
    <w:rsid w:val="003A2ABA"/>
    <w:rsid w:val="0042148F"/>
    <w:rsid w:val="00432CDE"/>
    <w:rsid w:val="004419EB"/>
    <w:rsid w:val="00443325"/>
    <w:rsid w:val="00445ADD"/>
    <w:rsid w:val="00472550"/>
    <w:rsid w:val="00492353"/>
    <w:rsid w:val="00492FF7"/>
    <w:rsid w:val="004943CC"/>
    <w:rsid w:val="00494951"/>
    <w:rsid w:val="004B2D72"/>
    <w:rsid w:val="004D7CA6"/>
    <w:rsid w:val="00505B4F"/>
    <w:rsid w:val="00515762"/>
    <w:rsid w:val="005212BF"/>
    <w:rsid w:val="005248E9"/>
    <w:rsid w:val="00525F71"/>
    <w:rsid w:val="00540B79"/>
    <w:rsid w:val="005A6C0C"/>
    <w:rsid w:val="005C2DD1"/>
    <w:rsid w:val="005D3564"/>
    <w:rsid w:val="005E0528"/>
    <w:rsid w:val="00616613"/>
    <w:rsid w:val="006369D7"/>
    <w:rsid w:val="0064049D"/>
    <w:rsid w:val="00675F1F"/>
    <w:rsid w:val="006A35EB"/>
    <w:rsid w:val="006C5FEE"/>
    <w:rsid w:val="006D65AA"/>
    <w:rsid w:val="006E5CA6"/>
    <w:rsid w:val="006F1531"/>
    <w:rsid w:val="007023E7"/>
    <w:rsid w:val="00706A69"/>
    <w:rsid w:val="00724FC6"/>
    <w:rsid w:val="00784C3E"/>
    <w:rsid w:val="007A29B9"/>
    <w:rsid w:val="007A5CEC"/>
    <w:rsid w:val="007F3CF6"/>
    <w:rsid w:val="00853672"/>
    <w:rsid w:val="00884CA9"/>
    <w:rsid w:val="00891D1F"/>
    <w:rsid w:val="008B2403"/>
    <w:rsid w:val="008D3409"/>
    <w:rsid w:val="008E359A"/>
    <w:rsid w:val="009307FC"/>
    <w:rsid w:val="00934A4D"/>
    <w:rsid w:val="0093786C"/>
    <w:rsid w:val="00943AAC"/>
    <w:rsid w:val="00955B10"/>
    <w:rsid w:val="00957BCD"/>
    <w:rsid w:val="00964392"/>
    <w:rsid w:val="00976F13"/>
    <w:rsid w:val="009966B2"/>
    <w:rsid w:val="00997ACC"/>
    <w:rsid w:val="009F3432"/>
    <w:rsid w:val="00A2118A"/>
    <w:rsid w:val="00A21CFA"/>
    <w:rsid w:val="00A36648"/>
    <w:rsid w:val="00A37B43"/>
    <w:rsid w:val="00A759D2"/>
    <w:rsid w:val="00AA2CD4"/>
    <w:rsid w:val="00AC0D0F"/>
    <w:rsid w:val="00AC63B4"/>
    <w:rsid w:val="00AD726D"/>
    <w:rsid w:val="00AF715F"/>
    <w:rsid w:val="00B10D02"/>
    <w:rsid w:val="00B75DCD"/>
    <w:rsid w:val="00B77E3F"/>
    <w:rsid w:val="00BA25C5"/>
    <w:rsid w:val="00BE798F"/>
    <w:rsid w:val="00C15DE2"/>
    <w:rsid w:val="00C278AF"/>
    <w:rsid w:val="00C33C1C"/>
    <w:rsid w:val="00C42739"/>
    <w:rsid w:val="00C6333B"/>
    <w:rsid w:val="00C646EB"/>
    <w:rsid w:val="00C94E92"/>
    <w:rsid w:val="00CA32DA"/>
    <w:rsid w:val="00D129A0"/>
    <w:rsid w:val="00D17148"/>
    <w:rsid w:val="00D27AB2"/>
    <w:rsid w:val="00D32560"/>
    <w:rsid w:val="00D63432"/>
    <w:rsid w:val="00DB33AF"/>
    <w:rsid w:val="00DE44F3"/>
    <w:rsid w:val="00DF0D3A"/>
    <w:rsid w:val="00E144B6"/>
    <w:rsid w:val="00E646F0"/>
    <w:rsid w:val="00EC6908"/>
    <w:rsid w:val="00F0125B"/>
    <w:rsid w:val="00F0489A"/>
    <w:rsid w:val="00F14367"/>
    <w:rsid w:val="00F31F9E"/>
    <w:rsid w:val="00F83F4A"/>
    <w:rsid w:val="00F862B5"/>
    <w:rsid w:val="00F97C81"/>
    <w:rsid w:val="00FA24C9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">
    <w:name w:val="Body Text"/>
    <w:basedOn w:val="Normal"/>
    <w:link w:val="BodyTextChar"/>
    <w:rPr>
      <w:rFonts w:ascii="AvantGarde" w:hAnsi="AvantGarde"/>
      <w:color w:val="000000"/>
      <w:sz w:val="24"/>
    </w:rPr>
  </w:style>
  <w:style w:type="character" w:styleId="Hyperlink">
    <w:name w:val="Hyperlink"/>
    <w:basedOn w:val="DefaultParagraphFont"/>
    <w:rsid w:val="005E05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14367"/>
  </w:style>
  <w:style w:type="character" w:customStyle="1" w:styleId="BodyTextChar">
    <w:name w:val="Body Text Char"/>
    <w:basedOn w:val="DefaultParagraphFont"/>
    <w:link w:val="BodyText"/>
    <w:rsid w:val="00F14367"/>
    <w:rPr>
      <w:rFonts w:ascii="AvantGarde" w:hAnsi="AvantGar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646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4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RF%20Forms\SRF%20Letterhead\Jack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Jack's letterhead.dot</Template>
  <TotalTime>110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12, 2004</vt:lpstr>
    </vt:vector>
  </TitlesOfParts>
  <Company>IDEM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12, 2004</dc:title>
  <dc:subject/>
  <dc:creator>USER</dc:creator>
  <cp:keywords/>
  <cp:lastModifiedBy>ekottlowski</cp:lastModifiedBy>
  <cp:revision>2</cp:revision>
  <cp:lastPrinted>2010-07-16T17:27:00Z</cp:lastPrinted>
  <dcterms:created xsi:type="dcterms:W3CDTF">2011-09-21T16:17:00Z</dcterms:created>
  <dcterms:modified xsi:type="dcterms:W3CDTF">2011-09-21T16:17:00Z</dcterms:modified>
</cp:coreProperties>
</file>