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25B" w:rsidRPr="00E07893" w:rsidRDefault="00032DF8" w:rsidP="00032DF8">
      <w:pPr>
        <w:ind w:right="-612"/>
        <w:jc w:val="center"/>
        <w:rPr>
          <w:b/>
          <w:sz w:val="22"/>
          <w:szCs w:val="22"/>
        </w:rPr>
      </w:pPr>
      <w:r w:rsidRPr="00E07893">
        <w:rPr>
          <w:b/>
          <w:sz w:val="22"/>
          <w:szCs w:val="22"/>
        </w:rPr>
        <w:t>MEMORANDUM</w:t>
      </w:r>
    </w:p>
    <w:p w:rsidR="00032DF8" w:rsidRPr="00E07893" w:rsidRDefault="00032DF8" w:rsidP="00032DF8">
      <w:pPr>
        <w:ind w:right="-612"/>
        <w:jc w:val="center"/>
        <w:rPr>
          <w:b/>
          <w:sz w:val="22"/>
          <w:szCs w:val="22"/>
        </w:rPr>
      </w:pPr>
    </w:p>
    <w:p w:rsidR="004419EB" w:rsidRPr="00E07893" w:rsidRDefault="004419EB" w:rsidP="00032DF8">
      <w:pPr>
        <w:ind w:right="-612"/>
        <w:jc w:val="center"/>
        <w:rPr>
          <w:b/>
          <w:sz w:val="22"/>
          <w:szCs w:val="22"/>
        </w:rPr>
      </w:pPr>
    </w:p>
    <w:p w:rsidR="00032DF8" w:rsidRPr="00E07893" w:rsidRDefault="00032DF8" w:rsidP="000317F3">
      <w:pPr>
        <w:ind w:left="1080" w:right="-612" w:hanging="1080"/>
        <w:rPr>
          <w:sz w:val="22"/>
          <w:szCs w:val="22"/>
        </w:rPr>
      </w:pPr>
      <w:r w:rsidRPr="00E07893">
        <w:rPr>
          <w:sz w:val="22"/>
          <w:szCs w:val="22"/>
        </w:rPr>
        <w:t>TO:</w:t>
      </w:r>
      <w:r w:rsidR="0064049D" w:rsidRPr="00E07893">
        <w:rPr>
          <w:sz w:val="22"/>
          <w:szCs w:val="22"/>
        </w:rPr>
        <w:t xml:space="preserve"> </w:t>
      </w:r>
      <w:r w:rsidR="005A6C0C" w:rsidRPr="00E07893">
        <w:rPr>
          <w:sz w:val="22"/>
          <w:szCs w:val="22"/>
        </w:rPr>
        <w:tab/>
      </w:r>
      <w:r w:rsidR="00E646F0" w:rsidRPr="00E07893">
        <w:rPr>
          <w:sz w:val="22"/>
          <w:szCs w:val="22"/>
        </w:rPr>
        <w:t xml:space="preserve">Project File, </w:t>
      </w:r>
      <w:r w:rsidR="000317F3" w:rsidRPr="00E07893">
        <w:rPr>
          <w:sz w:val="22"/>
          <w:szCs w:val="22"/>
        </w:rPr>
        <w:t xml:space="preserve">City of </w:t>
      </w:r>
      <w:r w:rsidR="00A27866">
        <w:rPr>
          <w:sz w:val="22"/>
          <w:szCs w:val="22"/>
        </w:rPr>
        <w:t>Huntington</w:t>
      </w:r>
      <w:r w:rsidR="00E646F0" w:rsidRPr="00E07893">
        <w:rPr>
          <w:sz w:val="22"/>
          <w:szCs w:val="22"/>
        </w:rPr>
        <w:t xml:space="preserve">, </w:t>
      </w:r>
      <w:r w:rsidR="00A27866">
        <w:rPr>
          <w:sz w:val="22"/>
          <w:szCs w:val="22"/>
        </w:rPr>
        <w:t>WWTP Improvements</w:t>
      </w:r>
      <w:r w:rsidR="00E646F0" w:rsidRPr="00E07893">
        <w:rPr>
          <w:sz w:val="22"/>
          <w:szCs w:val="22"/>
        </w:rPr>
        <w:t xml:space="preserve">, SRF Project # </w:t>
      </w:r>
      <w:r w:rsidR="0040449C" w:rsidRPr="00E07893">
        <w:rPr>
          <w:sz w:val="22"/>
          <w:szCs w:val="22"/>
        </w:rPr>
        <w:t>W</w:t>
      </w:r>
      <w:r w:rsidR="00E646F0" w:rsidRPr="00E07893">
        <w:rPr>
          <w:sz w:val="22"/>
          <w:szCs w:val="22"/>
        </w:rPr>
        <w:t>W</w:t>
      </w:r>
      <w:r w:rsidR="0040449C" w:rsidRPr="00E07893">
        <w:rPr>
          <w:sz w:val="22"/>
          <w:szCs w:val="22"/>
        </w:rPr>
        <w:t>1</w:t>
      </w:r>
      <w:r w:rsidR="00A27866">
        <w:rPr>
          <w:sz w:val="22"/>
          <w:szCs w:val="22"/>
        </w:rPr>
        <w:t>0 01 35 03</w:t>
      </w:r>
      <w:r w:rsidR="005A6C0C" w:rsidRPr="00E07893">
        <w:rPr>
          <w:sz w:val="22"/>
          <w:szCs w:val="22"/>
        </w:rPr>
        <w:tab/>
      </w:r>
    </w:p>
    <w:p w:rsidR="00032DF8" w:rsidRPr="00E07893" w:rsidRDefault="00032DF8" w:rsidP="00032DF8">
      <w:pPr>
        <w:ind w:right="-612"/>
        <w:rPr>
          <w:sz w:val="22"/>
          <w:szCs w:val="22"/>
        </w:rPr>
      </w:pPr>
    </w:p>
    <w:p w:rsidR="00032DF8" w:rsidRPr="00E07893" w:rsidRDefault="00032DF8" w:rsidP="000317F3">
      <w:pPr>
        <w:ind w:left="1080" w:right="-612" w:hanging="1080"/>
        <w:rPr>
          <w:sz w:val="22"/>
          <w:szCs w:val="22"/>
        </w:rPr>
      </w:pPr>
      <w:r w:rsidRPr="00E07893">
        <w:rPr>
          <w:sz w:val="22"/>
          <w:szCs w:val="22"/>
        </w:rPr>
        <w:t>FROM:</w:t>
      </w:r>
      <w:r w:rsidR="0064049D" w:rsidRPr="00E07893">
        <w:rPr>
          <w:sz w:val="22"/>
          <w:szCs w:val="22"/>
        </w:rPr>
        <w:t xml:space="preserve"> </w:t>
      </w:r>
      <w:r w:rsidR="00E646F0" w:rsidRPr="00E07893">
        <w:rPr>
          <w:sz w:val="22"/>
          <w:szCs w:val="22"/>
        </w:rPr>
        <w:t xml:space="preserve"> </w:t>
      </w:r>
      <w:r w:rsidR="000317F3" w:rsidRPr="00E07893">
        <w:rPr>
          <w:sz w:val="22"/>
          <w:szCs w:val="22"/>
        </w:rPr>
        <w:tab/>
      </w:r>
      <w:r w:rsidR="0040449C" w:rsidRPr="00E07893">
        <w:rPr>
          <w:sz w:val="22"/>
          <w:szCs w:val="22"/>
        </w:rPr>
        <w:t>Jack Fisher</w:t>
      </w:r>
      <w:r w:rsidR="005A6C0C" w:rsidRPr="00E07893">
        <w:rPr>
          <w:sz w:val="22"/>
          <w:szCs w:val="22"/>
        </w:rPr>
        <w:tab/>
      </w:r>
    </w:p>
    <w:p w:rsidR="00F0489A" w:rsidRPr="00E07893" w:rsidRDefault="00F0489A" w:rsidP="00032DF8">
      <w:pPr>
        <w:ind w:right="-612"/>
        <w:rPr>
          <w:sz w:val="22"/>
          <w:szCs w:val="22"/>
        </w:rPr>
      </w:pPr>
    </w:p>
    <w:p w:rsidR="00F0489A" w:rsidRPr="00E07893" w:rsidRDefault="00F0489A" w:rsidP="000317F3">
      <w:pPr>
        <w:ind w:left="1080" w:right="-612" w:hanging="1080"/>
        <w:rPr>
          <w:sz w:val="22"/>
          <w:szCs w:val="22"/>
        </w:rPr>
      </w:pPr>
      <w:r w:rsidRPr="00E07893">
        <w:rPr>
          <w:sz w:val="22"/>
          <w:szCs w:val="22"/>
        </w:rPr>
        <w:t>DATE:</w:t>
      </w:r>
      <w:r w:rsidR="0064049D" w:rsidRPr="00E07893">
        <w:rPr>
          <w:sz w:val="22"/>
          <w:szCs w:val="22"/>
        </w:rPr>
        <w:t xml:space="preserve"> </w:t>
      </w:r>
      <w:r w:rsidR="000317F3" w:rsidRPr="00E07893">
        <w:rPr>
          <w:sz w:val="22"/>
          <w:szCs w:val="22"/>
        </w:rPr>
        <w:tab/>
      </w:r>
      <w:r w:rsidR="00AA228E" w:rsidRPr="00AA228E">
        <w:rPr>
          <w:sz w:val="22"/>
          <w:szCs w:val="22"/>
        </w:rPr>
        <w:t>December 6</w:t>
      </w:r>
      <w:r w:rsidR="00E646F0" w:rsidRPr="00AA228E">
        <w:rPr>
          <w:sz w:val="22"/>
          <w:szCs w:val="22"/>
        </w:rPr>
        <w:t>, 2011</w:t>
      </w:r>
      <w:r w:rsidR="005A6C0C" w:rsidRPr="00E07893">
        <w:rPr>
          <w:sz w:val="22"/>
          <w:szCs w:val="22"/>
        </w:rPr>
        <w:tab/>
      </w:r>
    </w:p>
    <w:p w:rsidR="00032DF8" w:rsidRPr="00E07893" w:rsidRDefault="00032DF8" w:rsidP="00032DF8">
      <w:pPr>
        <w:ind w:right="-612"/>
        <w:rPr>
          <w:sz w:val="22"/>
          <w:szCs w:val="22"/>
        </w:rPr>
      </w:pPr>
    </w:p>
    <w:p w:rsidR="00032DF8" w:rsidRPr="00E07893" w:rsidRDefault="00032DF8" w:rsidP="000317F3">
      <w:pPr>
        <w:ind w:left="1080" w:right="-612" w:hanging="1080"/>
        <w:rPr>
          <w:sz w:val="22"/>
          <w:szCs w:val="22"/>
        </w:rPr>
      </w:pPr>
      <w:r w:rsidRPr="00E07893">
        <w:rPr>
          <w:sz w:val="22"/>
          <w:szCs w:val="22"/>
        </w:rPr>
        <w:t>RE:</w:t>
      </w:r>
      <w:r w:rsidR="0064049D" w:rsidRPr="00E07893">
        <w:rPr>
          <w:sz w:val="22"/>
          <w:szCs w:val="22"/>
        </w:rPr>
        <w:t xml:space="preserve"> </w:t>
      </w:r>
      <w:r w:rsidR="005A6C0C" w:rsidRPr="00E07893">
        <w:rPr>
          <w:sz w:val="22"/>
          <w:szCs w:val="22"/>
        </w:rPr>
        <w:tab/>
      </w:r>
      <w:r w:rsidR="00E646F0" w:rsidRPr="00E07893">
        <w:rPr>
          <w:sz w:val="22"/>
          <w:szCs w:val="22"/>
        </w:rPr>
        <w:t>Green Project Reserve</w:t>
      </w:r>
      <w:r w:rsidR="00E07893" w:rsidRPr="00E07893">
        <w:rPr>
          <w:sz w:val="22"/>
          <w:szCs w:val="22"/>
        </w:rPr>
        <w:t xml:space="preserve"> (GPR)</w:t>
      </w:r>
      <w:r w:rsidR="00E646F0" w:rsidRPr="00E07893">
        <w:rPr>
          <w:sz w:val="22"/>
          <w:szCs w:val="22"/>
        </w:rPr>
        <w:t>, Business Case</w:t>
      </w:r>
      <w:r w:rsidR="005A6C0C" w:rsidRPr="00E07893">
        <w:rPr>
          <w:sz w:val="22"/>
          <w:szCs w:val="22"/>
        </w:rPr>
        <w:tab/>
      </w:r>
    </w:p>
    <w:p w:rsidR="0064049D" w:rsidRPr="00E07893" w:rsidRDefault="0064049D" w:rsidP="00032DF8">
      <w:pPr>
        <w:ind w:right="-612"/>
        <w:rPr>
          <w:sz w:val="22"/>
          <w:szCs w:val="22"/>
        </w:rPr>
      </w:pPr>
    </w:p>
    <w:p w:rsidR="00E646F0" w:rsidRPr="00E07893" w:rsidRDefault="00E646F0" w:rsidP="00E646F0">
      <w:pPr>
        <w:rPr>
          <w:b/>
          <w:sz w:val="22"/>
          <w:szCs w:val="22"/>
        </w:rPr>
      </w:pPr>
      <w:r w:rsidRPr="00E07893">
        <w:rPr>
          <w:b/>
          <w:sz w:val="22"/>
          <w:szCs w:val="22"/>
        </w:rPr>
        <w:t>Summary</w:t>
      </w:r>
      <w:r w:rsidR="001F09FC" w:rsidRPr="00E07893">
        <w:rPr>
          <w:b/>
          <w:sz w:val="22"/>
          <w:szCs w:val="22"/>
        </w:rPr>
        <w:t>:</w:t>
      </w:r>
    </w:p>
    <w:p w:rsidR="004419EB" w:rsidRPr="00E07893" w:rsidRDefault="004419EB" w:rsidP="00E646F0">
      <w:pPr>
        <w:rPr>
          <w:b/>
          <w:sz w:val="22"/>
          <w:szCs w:val="22"/>
        </w:rPr>
      </w:pPr>
    </w:p>
    <w:p w:rsidR="000D7B4F" w:rsidRDefault="000D7B4F" w:rsidP="00004718">
      <w:pPr>
        <w:pStyle w:val="ListParagraph"/>
        <w:ind w:hanging="360"/>
        <w:rPr>
          <w:rFonts w:ascii="Times New Roman" w:hAnsi="Times New Roman"/>
        </w:rPr>
      </w:pPr>
      <w:r w:rsidRPr="00E07893">
        <w:rPr>
          <w:rFonts w:ascii="Times New Roman" w:hAnsi="Times New Roman"/>
        </w:rPr>
        <w:sym w:font="Symbol" w:char="F0B7"/>
      </w:r>
      <w:r w:rsidRPr="00E07893">
        <w:rPr>
          <w:rFonts w:ascii="Times New Roman" w:hAnsi="Times New Roman"/>
        </w:rPr>
        <w:tab/>
      </w:r>
      <w:r w:rsidR="0040449C" w:rsidRPr="00E07893">
        <w:rPr>
          <w:rFonts w:ascii="Times New Roman" w:hAnsi="Times New Roman"/>
        </w:rPr>
        <w:t>Th</w:t>
      </w:r>
      <w:r w:rsidR="00A27866">
        <w:rPr>
          <w:rFonts w:ascii="Times New Roman" w:hAnsi="Times New Roman"/>
        </w:rPr>
        <w:t xml:space="preserve">e Wastewater Treatment Plant (WWTP) Improvements Project includes improvements to restore the WWTP’s capacity during wet weather per the city’s Long Term Control Plan and to eliminate ongoing violations as required by the city’s Agreed Order.  This </w:t>
      </w:r>
      <w:r w:rsidR="00004718">
        <w:rPr>
          <w:rFonts w:ascii="Times New Roman" w:hAnsi="Times New Roman"/>
        </w:rPr>
        <w:t>business case addresses project components which are considered to meet the requirements of the Green Project Reserve</w:t>
      </w:r>
      <w:r w:rsidRPr="00E07893">
        <w:rPr>
          <w:rFonts w:ascii="Times New Roman" w:hAnsi="Times New Roman"/>
        </w:rPr>
        <w:t>.</w:t>
      </w:r>
      <w:r w:rsidR="00004718">
        <w:rPr>
          <w:rFonts w:ascii="Times New Roman" w:hAnsi="Times New Roman"/>
        </w:rPr>
        <w:t xml:space="preserve">  The components being considered are the digester cover and mixer, grit pumps, sludge thickener feed pumps and thickened sludge pumps, blower replacement</w:t>
      </w:r>
      <w:r w:rsidR="005E253E">
        <w:rPr>
          <w:rFonts w:ascii="Times New Roman" w:hAnsi="Times New Roman"/>
        </w:rPr>
        <w:t xml:space="preserve"> with variable frequency drives (VFDs)</w:t>
      </w:r>
      <w:r w:rsidR="00004718">
        <w:rPr>
          <w:rFonts w:ascii="Times New Roman" w:hAnsi="Times New Roman"/>
        </w:rPr>
        <w:t>, and the integrated fixed film activated sludge (IFAS) system.</w:t>
      </w:r>
      <w:r w:rsidRPr="00E07893">
        <w:rPr>
          <w:rFonts w:ascii="Times New Roman" w:hAnsi="Times New Roman"/>
        </w:rPr>
        <w:t xml:space="preserve">  </w:t>
      </w:r>
    </w:p>
    <w:p w:rsidR="00004718" w:rsidRPr="00004718" w:rsidRDefault="00004718" w:rsidP="00004718">
      <w:pPr>
        <w:pStyle w:val="ListParagraph"/>
        <w:ind w:hanging="360"/>
        <w:rPr>
          <w:rFonts w:ascii="Times New Roman" w:hAnsi="Times New Roman"/>
        </w:rPr>
      </w:pPr>
    </w:p>
    <w:p w:rsidR="000D7B4F" w:rsidRPr="00E07893" w:rsidRDefault="000D7B4F" w:rsidP="000D7B4F">
      <w:pPr>
        <w:pStyle w:val="ListParagraph"/>
        <w:ind w:hanging="360"/>
        <w:rPr>
          <w:rFonts w:ascii="Times New Roman" w:hAnsi="Times New Roman"/>
        </w:rPr>
      </w:pPr>
      <w:r w:rsidRPr="00E07893">
        <w:rPr>
          <w:rFonts w:ascii="Times New Roman" w:hAnsi="Times New Roman"/>
        </w:rPr>
        <w:sym w:font="Symbol" w:char="F0B7"/>
      </w:r>
      <w:r w:rsidRPr="00E07893">
        <w:rPr>
          <w:rFonts w:ascii="Times New Roman" w:hAnsi="Times New Roman"/>
        </w:rPr>
        <w:tab/>
        <w:t xml:space="preserve">Estimated State Revolving Fund Loan Amount </w:t>
      </w:r>
      <w:r w:rsidR="00D475EA">
        <w:rPr>
          <w:rFonts w:ascii="Times New Roman" w:hAnsi="Times New Roman"/>
        </w:rPr>
        <w:t>is</w:t>
      </w:r>
      <w:r w:rsidRPr="00E07893">
        <w:rPr>
          <w:rFonts w:ascii="Times New Roman" w:hAnsi="Times New Roman"/>
        </w:rPr>
        <w:t xml:space="preserve"> $</w:t>
      </w:r>
      <w:r w:rsidR="00834EB9">
        <w:rPr>
          <w:rFonts w:ascii="Times New Roman" w:hAnsi="Times New Roman"/>
        </w:rPr>
        <w:t>12</w:t>
      </w:r>
      <w:r w:rsidR="00D475EA">
        <w:rPr>
          <w:rFonts w:ascii="Times New Roman" w:hAnsi="Times New Roman"/>
        </w:rPr>
        <w:t>,</w:t>
      </w:r>
      <w:r w:rsidR="00834EB9">
        <w:rPr>
          <w:rFonts w:ascii="Times New Roman" w:hAnsi="Times New Roman"/>
        </w:rPr>
        <w:t>052</w:t>
      </w:r>
      <w:r w:rsidR="00D475EA">
        <w:rPr>
          <w:rFonts w:ascii="Times New Roman" w:hAnsi="Times New Roman"/>
        </w:rPr>
        <w:t>,</w:t>
      </w:r>
      <w:r w:rsidR="00834EB9">
        <w:rPr>
          <w:rFonts w:ascii="Times New Roman" w:hAnsi="Times New Roman"/>
        </w:rPr>
        <w:t>0</w:t>
      </w:r>
      <w:r w:rsidR="00D475EA">
        <w:rPr>
          <w:rFonts w:ascii="Times New Roman" w:hAnsi="Times New Roman"/>
        </w:rPr>
        <w:t>00</w:t>
      </w:r>
      <w:r w:rsidRPr="00E07893">
        <w:rPr>
          <w:rFonts w:ascii="Times New Roman" w:hAnsi="Times New Roman"/>
        </w:rPr>
        <w:t>.</w:t>
      </w:r>
    </w:p>
    <w:p w:rsidR="000D7B4F" w:rsidRPr="00E07893" w:rsidRDefault="000D7B4F" w:rsidP="000D7B4F">
      <w:pPr>
        <w:pStyle w:val="ListParagraph"/>
        <w:ind w:hanging="360"/>
        <w:rPr>
          <w:rFonts w:ascii="Times New Roman" w:hAnsi="Times New Roman"/>
        </w:rPr>
      </w:pPr>
    </w:p>
    <w:p w:rsidR="00C87569" w:rsidRPr="00E07893" w:rsidRDefault="000D7B4F" w:rsidP="00BD02C3">
      <w:pPr>
        <w:pStyle w:val="ListParagraph"/>
        <w:ind w:hanging="360"/>
        <w:rPr>
          <w:rFonts w:ascii="Times New Roman" w:hAnsi="Times New Roman"/>
        </w:rPr>
      </w:pPr>
      <w:r w:rsidRPr="00E07893">
        <w:rPr>
          <w:rFonts w:ascii="Times New Roman" w:hAnsi="Times New Roman"/>
        </w:rPr>
        <w:sym w:font="Symbol" w:char="F0B7"/>
      </w:r>
      <w:r w:rsidRPr="00E07893">
        <w:rPr>
          <w:rFonts w:ascii="Times New Roman" w:hAnsi="Times New Roman"/>
        </w:rPr>
        <w:tab/>
      </w:r>
      <w:r w:rsidR="001F09FC" w:rsidRPr="00E07893">
        <w:rPr>
          <w:rFonts w:ascii="Times New Roman" w:hAnsi="Times New Roman"/>
        </w:rPr>
        <w:t xml:space="preserve">Estimated </w:t>
      </w:r>
      <w:r w:rsidR="00C87569" w:rsidRPr="00E07893">
        <w:rPr>
          <w:rFonts w:ascii="Times New Roman" w:hAnsi="Times New Roman"/>
        </w:rPr>
        <w:t xml:space="preserve">GPR </w:t>
      </w:r>
      <w:r w:rsidR="00D475EA">
        <w:rPr>
          <w:rFonts w:ascii="Times New Roman" w:hAnsi="Times New Roman"/>
        </w:rPr>
        <w:t xml:space="preserve">portion </w:t>
      </w:r>
      <w:r w:rsidR="00C87569" w:rsidRPr="00E07893">
        <w:rPr>
          <w:rFonts w:ascii="Times New Roman" w:hAnsi="Times New Roman"/>
        </w:rPr>
        <w:t xml:space="preserve">cost of </w:t>
      </w:r>
      <w:r w:rsidR="00D475EA">
        <w:rPr>
          <w:rFonts w:ascii="Times New Roman" w:hAnsi="Times New Roman"/>
        </w:rPr>
        <w:t xml:space="preserve">loan associated with the WWTP improvements is </w:t>
      </w:r>
      <w:r w:rsidR="00C87569" w:rsidRPr="00351B18">
        <w:rPr>
          <w:rFonts w:ascii="Times New Roman" w:hAnsi="Times New Roman"/>
          <w:b/>
        </w:rPr>
        <w:t>$</w:t>
      </w:r>
      <w:r w:rsidR="00834EB9">
        <w:rPr>
          <w:rFonts w:ascii="Times New Roman" w:hAnsi="Times New Roman"/>
          <w:b/>
        </w:rPr>
        <w:t>4</w:t>
      </w:r>
      <w:r w:rsidR="00C87569" w:rsidRPr="00351B18">
        <w:rPr>
          <w:rFonts w:ascii="Times New Roman" w:hAnsi="Times New Roman"/>
          <w:b/>
        </w:rPr>
        <w:t>,</w:t>
      </w:r>
      <w:r w:rsidR="00834EB9">
        <w:rPr>
          <w:rFonts w:ascii="Times New Roman" w:hAnsi="Times New Roman"/>
          <w:b/>
        </w:rPr>
        <w:t>118</w:t>
      </w:r>
      <w:r w:rsidR="00D475EA" w:rsidRPr="00351B18">
        <w:rPr>
          <w:rFonts w:ascii="Times New Roman" w:hAnsi="Times New Roman"/>
          <w:b/>
        </w:rPr>
        <w:t>,</w:t>
      </w:r>
      <w:r w:rsidR="00834EB9">
        <w:rPr>
          <w:rFonts w:ascii="Times New Roman" w:hAnsi="Times New Roman"/>
          <w:b/>
        </w:rPr>
        <w:t>992</w:t>
      </w:r>
      <w:r w:rsidR="00D0665C">
        <w:rPr>
          <w:rFonts w:ascii="Times New Roman" w:hAnsi="Times New Roman"/>
        </w:rPr>
        <w:t xml:space="preserve"> and </w:t>
      </w:r>
      <w:r w:rsidR="00D0665C" w:rsidRPr="00351B18">
        <w:rPr>
          <w:rFonts w:ascii="Times New Roman" w:hAnsi="Times New Roman"/>
          <w:b/>
        </w:rPr>
        <w:t>$</w:t>
      </w:r>
      <w:r w:rsidR="00FA3260" w:rsidRPr="00351B18">
        <w:rPr>
          <w:rFonts w:ascii="Times New Roman" w:hAnsi="Times New Roman"/>
          <w:b/>
        </w:rPr>
        <w:t>2</w:t>
      </w:r>
      <w:r w:rsidR="00834EB9">
        <w:rPr>
          <w:rFonts w:ascii="Times New Roman" w:hAnsi="Times New Roman"/>
          <w:b/>
        </w:rPr>
        <w:t>24</w:t>
      </w:r>
      <w:r w:rsidR="00FA3260" w:rsidRPr="00351B18">
        <w:rPr>
          <w:rFonts w:ascii="Times New Roman" w:hAnsi="Times New Roman"/>
          <w:b/>
        </w:rPr>
        <w:t>,000</w:t>
      </w:r>
      <w:r w:rsidR="00D0665C">
        <w:rPr>
          <w:rFonts w:ascii="Times New Roman" w:hAnsi="Times New Roman"/>
        </w:rPr>
        <w:t xml:space="preserve"> for planning and design costs for a total of </w:t>
      </w:r>
      <w:r w:rsidR="00D0665C" w:rsidRPr="00351B18">
        <w:rPr>
          <w:rFonts w:ascii="Times New Roman" w:hAnsi="Times New Roman"/>
          <w:b/>
        </w:rPr>
        <w:t>$</w:t>
      </w:r>
      <w:r w:rsidR="00834EB9">
        <w:rPr>
          <w:rFonts w:ascii="Times New Roman" w:hAnsi="Times New Roman"/>
          <w:b/>
        </w:rPr>
        <w:t>4</w:t>
      </w:r>
      <w:r w:rsidR="00FA3260" w:rsidRPr="00351B18">
        <w:rPr>
          <w:rFonts w:ascii="Times New Roman" w:hAnsi="Times New Roman"/>
          <w:b/>
        </w:rPr>
        <w:t>,</w:t>
      </w:r>
      <w:r w:rsidR="00834EB9">
        <w:rPr>
          <w:rFonts w:ascii="Times New Roman" w:hAnsi="Times New Roman"/>
          <w:b/>
        </w:rPr>
        <w:t>342</w:t>
      </w:r>
      <w:r w:rsidR="00FA3260" w:rsidRPr="00351B18">
        <w:rPr>
          <w:rFonts w:ascii="Times New Roman" w:hAnsi="Times New Roman"/>
          <w:b/>
        </w:rPr>
        <w:t>,</w:t>
      </w:r>
      <w:r w:rsidR="00834EB9">
        <w:rPr>
          <w:rFonts w:ascii="Times New Roman" w:hAnsi="Times New Roman"/>
          <w:b/>
        </w:rPr>
        <w:t>992</w:t>
      </w:r>
      <w:r w:rsidR="00D475EA">
        <w:rPr>
          <w:rFonts w:ascii="Times New Roman" w:hAnsi="Times New Roman"/>
        </w:rPr>
        <w:t xml:space="preserve">.  This represents </w:t>
      </w:r>
      <w:r w:rsidR="00834EB9">
        <w:rPr>
          <w:rFonts w:ascii="Times New Roman" w:hAnsi="Times New Roman"/>
        </w:rPr>
        <w:t>3</w:t>
      </w:r>
      <w:r w:rsidR="00FA3260">
        <w:rPr>
          <w:rFonts w:ascii="Times New Roman" w:hAnsi="Times New Roman"/>
        </w:rPr>
        <w:t>6</w:t>
      </w:r>
      <w:r w:rsidR="00D475EA">
        <w:rPr>
          <w:rFonts w:ascii="Times New Roman" w:hAnsi="Times New Roman"/>
        </w:rPr>
        <w:t xml:space="preserve"> </w:t>
      </w:r>
      <w:r w:rsidR="00C87569" w:rsidRPr="00E07893">
        <w:rPr>
          <w:rFonts w:ascii="Times New Roman" w:hAnsi="Times New Roman"/>
        </w:rPr>
        <w:t xml:space="preserve">% of the </w:t>
      </w:r>
      <w:r w:rsidR="00D475EA">
        <w:rPr>
          <w:rFonts w:ascii="Times New Roman" w:hAnsi="Times New Roman"/>
        </w:rPr>
        <w:t>estimated loan amount</w:t>
      </w:r>
      <w:r w:rsidR="00C87569" w:rsidRPr="00E07893">
        <w:rPr>
          <w:rFonts w:ascii="Times New Roman" w:hAnsi="Times New Roman"/>
        </w:rPr>
        <w:t>.</w:t>
      </w:r>
      <w:r w:rsidR="00BD02C3" w:rsidRPr="00E07893">
        <w:rPr>
          <w:rFonts w:ascii="Times New Roman" w:hAnsi="Times New Roman"/>
        </w:rPr>
        <w:t xml:space="preserve"> </w:t>
      </w:r>
      <w:r w:rsidR="00E07893">
        <w:rPr>
          <w:rFonts w:ascii="Times New Roman" w:hAnsi="Times New Roman"/>
        </w:rPr>
        <w:t xml:space="preserve"> </w:t>
      </w:r>
    </w:p>
    <w:p w:rsidR="00C87569" w:rsidRPr="00E07893" w:rsidRDefault="00C87569" w:rsidP="00C87569">
      <w:pPr>
        <w:rPr>
          <w:b/>
          <w:sz w:val="22"/>
          <w:szCs w:val="22"/>
        </w:rPr>
      </w:pPr>
      <w:r w:rsidRPr="00E07893">
        <w:rPr>
          <w:b/>
          <w:sz w:val="22"/>
          <w:szCs w:val="22"/>
        </w:rPr>
        <w:t>Conclusions</w:t>
      </w:r>
    </w:p>
    <w:p w:rsidR="00C87569" w:rsidRPr="00E07893" w:rsidRDefault="00C87569" w:rsidP="000D7B4F">
      <w:pPr>
        <w:pStyle w:val="ListParagraph"/>
        <w:ind w:hanging="360"/>
        <w:rPr>
          <w:rFonts w:ascii="Times New Roman" w:hAnsi="Times New Roman"/>
        </w:rPr>
      </w:pPr>
    </w:p>
    <w:p w:rsidR="000D7B4F" w:rsidRPr="00E07893" w:rsidRDefault="00C87569" w:rsidP="000D7B4F">
      <w:pPr>
        <w:pStyle w:val="ListParagraph"/>
        <w:ind w:hanging="360"/>
        <w:rPr>
          <w:rFonts w:ascii="Times New Roman" w:hAnsi="Times New Roman"/>
        </w:rPr>
      </w:pPr>
      <w:r w:rsidRPr="00E07893">
        <w:rPr>
          <w:rFonts w:ascii="Times New Roman" w:hAnsi="Times New Roman"/>
        </w:rPr>
        <w:sym w:font="Symbol" w:char="F0B7"/>
      </w:r>
      <w:r w:rsidRPr="00E07893">
        <w:rPr>
          <w:rFonts w:ascii="Times New Roman" w:hAnsi="Times New Roman"/>
        </w:rPr>
        <w:tab/>
        <w:t xml:space="preserve">The </w:t>
      </w:r>
      <w:r w:rsidR="00A86926">
        <w:rPr>
          <w:rFonts w:ascii="Times New Roman" w:hAnsi="Times New Roman"/>
        </w:rPr>
        <w:t xml:space="preserve">proposed </w:t>
      </w:r>
      <w:r w:rsidR="00D0665C">
        <w:rPr>
          <w:rFonts w:ascii="Times New Roman" w:hAnsi="Times New Roman"/>
        </w:rPr>
        <w:t>grit removal system will use approximately 25 % less energy, which puts this component under Energy Efficiency and is categorical due to a better than 20% savings in energy</w:t>
      </w:r>
      <w:r w:rsidRPr="00E07893">
        <w:rPr>
          <w:rFonts w:ascii="Times New Roman" w:hAnsi="Times New Roman"/>
        </w:rPr>
        <w:t xml:space="preserve">.  </w:t>
      </w:r>
    </w:p>
    <w:p w:rsidR="00C87569" w:rsidRPr="00E07893" w:rsidRDefault="00C87569" w:rsidP="000D7B4F">
      <w:pPr>
        <w:pStyle w:val="ListParagraph"/>
        <w:ind w:hanging="360"/>
        <w:rPr>
          <w:rFonts w:ascii="Times New Roman" w:hAnsi="Times New Roman"/>
        </w:rPr>
      </w:pPr>
    </w:p>
    <w:p w:rsidR="00C87569" w:rsidRDefault="00C87569" w:rsidP="000D7B4F">
      <w:pPr>
        <w:pStyle w:val="ListParagraph"/>
        <w:ind w:hanging="360"/>
        <w:rPr>
          <w:rFonts w:ascii="Times New Roman" w:hAnsi="Times New Roman"/>
        </w:rPr>
      </w:pPr>
      <w:r w:rsidRPr="00E07893">
        <w:rPr>
          <w:rFonts w:ascii="Times New Roman" w:hAnsi="Times New Roman"/>
        </w:rPr>
        <w:sym w:font="Symbol" w:char="F0B7"/>
      </w:r>
      <w:r w:rsidRPr="00E07893">
        <w:rPr>
          <w:rFonts w:ascii="Times New Roman" w:hAnsi="Times New Roman"/>
        </w:rPr>
        <w:tab/>
        <w:t xml:space="preserve">The </w:t>
      </w:r>
      <w:r w:rsidR="00A86926">
        <w:rPr>
          <w:rFonts w:ascii="Times New Roman" w:hAnsi="Times New Roman"/>
        </w:rPr>
        <w:t xml:space="preserve">proposed </w:t>
      </w:r>
      <w:r w:rsidR="00D0665C">
        <w:rPr>
          <w:rFonts w:ascii="Times New Roman" w:hAnsi="Times New Roman"/>
        </w:rPr>
        <w:t xml:space="preserve">sludge thickener feed pumps and sludge thickened pumps </w:t>
      </w:r>
      <w:r w:rsidR="00A86926">
        <w:rPr>
          <w:rFonts w:ascii="Times New Roman" w:hAnsi="Times New Roman"/>
        </w:rPr>
        <w:t xml:space="preserve">will </w:t>
      </w:r>
      <w:r w:rsidR="00D0665C">
        <w:rPr>
          <w:rFonts w:ascii="Times New Roman" w:hAnsi="Times New Roman"/>
        </w:rPr>
        <w:t>use approximately 30% and 50% , respectively, which puts them both under Energy Efficiency and is categorical due to better than 20% saving</w:t>
      </w:r>
      <w:r w:rsidR="00A86926">
        <w:rPr>
          <w:rFonts w:ascii="Times New Roman" w:hAnsi="Times New Roman"/>
        </w:rPr>
        <w:t>s</w:t>
      </w:r>
      <w:r w:rsidR="00D0665C">
        <w:rPr>
          <w:rFonts w:ascii="Times New Roman" w:hAnsi="Times New Roman"/>
        </w:rPr>
        <w:t xml:space="preserve"> in energy.</w:t>
      </w:r>
    </w:p>
    <w:p w:rsidR="00D0665C" w:rsidRDefault="00D0665C" w:rsidP="000D7B4F">
      <w:pPr>
        <w:pStyle w:val="ListParagraph"/>
        <w:ind w:hanging="360"/>
        <w:rPr>
          <w:rFonts w:ascii="Times New Roman" w:hAnsi="Times New Roman"/>
        </w:rPr>
      </w:pPr>
    </w:p>
    <w:p w:rsidR="00D0665C" w:rsidRDefault="00D0665C" w:rsidP="000D7B4F">
      <w:pPr>
        <w:pStyle w:val="ListParagraph"/>
        <w:ind w:hanging="360"/>
        <w:rPr>
          <w:rFonts w:ascii="Times New Roman" w:hAnsi="Times New Roman"/>
        </w:rPr>
      </w:pPr>
      <w:r>
        <w:rPr>
          <w:rFonts w:ascii="Times New Roman" w:hAnsi="Times New Roman"/>
        </w:rPr>
        <w:sym w:font="Symbol" w:char="F0B7"/>
      </w:r>
      <w:r>
        <w:rPr>
          <w:rFonts w:ascii="Times New Roman" w:hAnsi="Times New Roman"/>
        </w:rPr>
        <w:tab/>
      </w:r>
      <w:r w:rsidR="00A86926">
        <w:rPr>
          <w:rFonts w:ascii="Times New Roman" w:hAnsi="Times New Roman"/>
        </w:rPr>
        <w:t xml:space="preserve">The anaerobic digester with the proposed external draft tubes mixers will use approximately 50% less energy, which puts this component under Energy Efficiency and is categorical due to better than 20% savings in energy.  In conjunction with the digester, the proposed gasholder cover will use </w:t>
      </w:r>
      <w:r w:rsidR="005E253E">
        <w:rPr>
          <w:rFonts w:ascii="Times New Roman" w:hAnsi="Times New Roman"/>
        </w:rPr>
        <w:t>approximately 50% less energy which puts the cover under Energy Efficiency and is categorical due to better than 20% savings.</w:t>
      </w:r>
    </w:p>
    <w:p w:rsidR="005E253E" w:rsidRDefault="005E253E" w:rsidP="000D7B4F">
      <w:pPr>
        <w:pStyle w:val="ListParagraph"/>
        <w:ind w:hanging="360"/>
        <w:rPr>
          <w:rFonts w:ascii="Times New Roman" w:hAnsi="Times New Roman"/>
        </w:rPr>
      </w:pPr>
      <w:r>
        <w:rPr>
          <w:rFonts w:ascii="Times New Roman" w:hAnsi="Times New Roman"/>
        </w:rPr>
        <w:lastRenderedPageBreak/>
        <w:sym w:font="Symbol" w:char="F0B7"/>
      </w:r>
      <w:r>
        <w:rPr>
          <w:rFonts w:ascii="Times New Roman" w:hAnsi="Times New Roman"/>
        </w:rPr>
        <w:tab/>
        <w:t>The proposed blowers</w:t>
      </w:r>
      <w:r w:rsidR="00FA3260">
        <w:rPr>
          <w:rFonts w:ascii="Times New Roman" w:hAnsi="Times New Roman"/>
        </w:rPr>
        <w:t>,</w:t>
      </w:r>
      <w:r>
        <w:rPr>
          <w:rFonts w:ascii="Times New Roman" w:hAnsi="Times New Roman"/>
        </w:rPr>
        <w:t xml:space="preserve"> VFDs</w:t>
      </w:r>
      <w:r w:rsidR="00FA3260">
        <w:rPr>
          <w:rFonts w:ascii="Times New Roman" w:hAnsi="Times New Roman"/>
        </w:rPr>
        <w:t>, and Dissolved Oxygen monitoring system</w:t>
      </w:r>
      <w:r>
        <w:rPr>
          <w:rFonts w:ascii="Times New Roman" w:hAnsi="Times New Roman"/>
        </w:rPr>
        <w:t xml:space="preserve"> will use approximately </w:t>
      </w:r>
      <w:r w:rsidR="00FA3260">
        <w:rPr>
          <w:rFonts w:ascii="Times New Roman" w:hAnsi="Times New Roman"/>
        </w:rPr>
        <w:t>30%</w:t>
      </w:r>
      <w:r>
        <w:rPr>
          <w:rFonts w:ascii="Times New Roman" w:hAnsi="Times New Roman"/>
        </w:rPr>
        <w:t xml:space="preserve"> less energy which </w:t>
      </w:r>
      <w:r w:rsidR="00FA3260">
        <w:rPr>
          <w:rFonts w:ascii="Times New Roman" w:hAnsi="Times New Roman"/>
        </w:rPr>
        <w:t>puts these components under Energy Efficiency and is categorical due to better than 20% savings</w:t>
      </w:r>
      <w:r>
        <w:rPr>
          <w:rFonts w:ascii="Times New Roman" w:hAnsi="Times New Roman"/>
        </w:rPr>
        <w:t>.</w:t>
      </w:r>
    </w:p>
    <w:p w:rsidR="005E253E" w:rsidRDefault="005E253E" w:rsidP="000D7B4F">
      <w:pPr>
        <w:pStyle w:val="ListParagraph"/>
        <w:ind w:hanging="360"/>
        <w:rPr>
          <w:rFonts w:ascii="Times New Roman" w:hAnsi="Times New Roman"/>
        </w:rPr>
      </w:pPr>
    </w:p>
    <w:p w:rsidR="005E253E" w:rsidRPr="00E07893" w:rsidRDefault="005E253E" w:rsidP="000D7B4F">
      <w:pPr>
        <w:pStyle w:val="ListParagraph"/>
        <w:ind w:hanging="360"/>
        <w:rPr>
          <w:rFonts w:ascii="Times New Roman" w:hAnsi="Times New Roman"/>
        </w:rPr>
      </w:pPr>
      <w:r>
        <w:rPr>
          <w:rFonts w:ascii="Times New Roman" w:hAnsi="Times New Roman"/>
        </w:rPr>
        <w:sym w:font="Symbol" w:char="F0B7"/>
      </w:r>
      <w:r>
        <w:rPr>
          <w:rFonts w:ascii="Times New Roman" w:hAnsi="Times New Roman"/>
        </w:rPr>
        <w:tab/>
        <w:t xml:space="preserve">The proposed IFAS </w:t>
      </w:r>
      <w:r w:rsidR="00DA6A33">
        <w:rPr>
          <w:rFonts w:ascii="Times New Roman" w:hAnsi="Times New Roman"/>
        </w:rPr>
        <w:t>technology reuses existing tank infrastructure, which eliminates the need for additional tanks due to site constraints</w:t>
      </w:r>
      <w:r w:rsidR="001B6D89">
        <w:rPr>
          <w:rFonts w:ascii="Times New Roman" w:hAnsi="Times New Roman"/>
        </w:rPr>
        <w:t xml:space="preserve">.  In addition, this technology allows the city’s WWTP to meet </w:t>
      </w:r>
      <w:r w:rsidR="00FA3260">
        <w:rPr>
          <w:rFonts w:ascii="Times New Roman" w:hAnsi="Times New Roman"/>
        </w:rPr>
        <w:t xml:space="preserve">stringent </w:t>
      </w:r>
      <w:r w:rsidR="00DA6A33">
        <w:rPr>
          <w:rFonts w:ascii="Times New Roman" w:hAnsi="Times New Roman"/>
        </w:rPr>
        <w:t>ammonia limits</w:t>
      </w:r>
      <w:r w:rsidR="00FA3260">
        <w:rPr>
          <w:rFonts w:ascii="Times New Roman" w:hAnsi="Times New Roman"/>
        </w:rPr>
        <w:t xml:space="preserve"> and future phosphorus limits</w:t>
      </w:r>
      <w:r w:rsidR="00DA6A33">
        <w:rPr>
          <w:rFonts w:ascii="Times New Roman" w:hAnsi="Times New Roman"/>
        </w:rPr>
        <w:t xml:space="preserve">.  Due to lower construction costs and </w:t>
      </w:r>
      <w:r w:rsidR="00FA3260">
        <w:rPr>
          <w:rFonts w:ascii="Times New Roman" w:hAnsi="Times New Roman"/>
        </w:rPr>
        <w:t xml:space="preserve">a </w:t>
      </w:r>
      <w:r w:rsidR="00DA6A33">
        <w:rPr>
          <w:rFonts w:ascii="Times New Roman" w:hAnsi="Times New Roman"/>
        </w:rPr>
        <w:t>smaller footprint th</w:t>
      </w:r>
      <w:r w:rsidR="001B6D89">
        <w:rPr>
          <w:rFonts w:ascii="Times New Roman" w:hAnsi="Times New Roman"/>
        </w:rPr>
        <w:t>is project falls under the category of Environmentally Innovative section 4.4-1b “Technology or approach that is not widely used in the State, but does perform as well or better than conventional technology/approaches at lower cost.”</w:t>
      </w:r>
      <w:r w:rsidR="00DA6A33">
        <w:rPr>
          <w:rFonts w:ascii="Times New Roman" w:hAnsi="Times New Roman"/>
        </w:rPr>
        <w:t xml:space="preserve"> </w:t>
      </w:r>
    </w:p>
    <w:sectPr w:rsidR="005E253E" w:rsidRPr="00E07893" w:rsidSect="007F3CF6">
      <w:headerReference w:type="first" r:id="rId7"/>
      <w:footerReference w:type="first" r:id="rId8"/>
      <w:pgSz w:w="12240" w:h="15840" w:code="1"/>
      <w:pgMar w:top="1570" w:right="1800" w:bottom="1440" w:left="1152" w:header="720" w:footer="14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B82" w:rsidRDefault="00483B82">
      <w:r>
        <w:separator/>
      </w:r>
    </w:p>
  </w:endnote>
  <w:endnote w:type="continuationSeparator" w:id="0">
    <w:p w:rsidR="00483B82" w:rsidRDefault="00483B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10" w:type="dxa"/>
      <w:tblInd w:w="-342" w:type="dxa"/>
      <w:tblLayout w:type="fixed"/>
      <w:tblLook w:val="0000"/>
    </w:tblPr>
    <w:tblGrid>
      <w:gridCol w:w="2700"/>
      <w:gridCol w:w="6030"/>
      <w:gridCol w:w="2880"/>
    </w:tblGrid>
    <w:tr w:rsidR="00DA6A33">
      <w:trPr>
        <w:cantSplit/>
        <w:trHeight w:val="386"/>
      </w:trPr>
      <w:tc>
        <w:tcPr>
          <w:tcW w:w="2700" w:type="dxa"/>
          <w:vAlign w:val="bottom"/>
        </w:tcPr>
        <w:p w:rsidR="00DA6A33" w:rsidRDefault="00DA6A33">
          <w:pPr>
            <w:pStyle w:val="Footer"/>
            <w:rPr>
              <w:i/>
              <w:color w:val="000000"/>
              <w:sz w:val="16"/>
            </w:rPr>
          </w:pPr>
          <w:r>
            <w:rPr>
              <w:noProof/>
            </w:rPr>
            <w:drawing>
              <wp:anchor distT="0" distB="0" distL="114300" distR="114300" simplePos="0" relativeHeight="251657728" behindDoc="0" locked="0" layoutInCell="0" allowOverlap="1">
                <wp:simplePos x="0" y="0"/>
                <wp:positionH relativeFrom="column">
                  <wp:posOffset>914400</wp:posOffset>
                </wp:positionH>
                <wp:positionV relativeFrom="page">
                  <wp:posOffset>9692640</wp:posOffset>
                </wp:positionV>
                <wp:extent cx="146050" cy="142240"/>
                <wp:effectExtent l="19050" t="0" r="6350" b="0"/>
                <wp:wrapNone/>
                <wp:docPr id="2" name="Picture 1" descr="Made from recy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 from recycled"/>
                        <pic:cNvPicPr>
                          <a:picLocks noChangeAspect="1" noChangeArrowheads="1"/>
                        </pic:cNvPicPr>
                      </pic:nvPicPr>
                      <pic:blipFill>
                        <a:blip r:embed="rId1"/>
                        <a:srcRect/>
                        <a:stretch>
                          <a:fillRect/>
                        </a:stretch>
                      </pic:blipFill>
                      <pic:spPr bwMode="auto">
                        <a:xfrm>
                          <a:off x="0" y="0"/>
                          <a:ext cx="146050" cy="142240"/>
                        </a:xfrm>
                        <a:prstGeom prst="rect">
                          <a:avLst/>
                        </a:prstGeom>
                        <a:noFill/>
                        <a:ln w="9525">
                          <a:noFill/>
                          <a:miter lim="800000"/>
                          <a:headEnd/>
                          <a:tailEnd/>
                        </a:ln>
                      </pic:spPr>
                    </pic:pic>
                  </a:graphicData>
                </a:graphic>
              </wp:anchor>
            </w:drawing>
          </w:r>
          <w:r>
            <w:rPr>
              <w:i/>
              <w:color w:val="000000"/>
              <w:sz w:val="16"/>
            </w:rPr>
            <w:t xml:space="preserve">  Recycled Paper</w:t>
          </w:r>
        </w:p>
      </w:tc>
      <w:tc>
        <w:tcPr>
          <w:tcW w:w="6030" w:type="dxa"/>
          <w:vAlign w:val="bottom"/>
        </w:tcPr>
        <w:p w:rsidR="00DA6A33" w:rsidRDefault="00DA6A33">
          <w:pPr>
            <w:pStyle w:val="Footer"/>
            <w:jc w:val="center"/>
            <w:rPr>
              <w:rFonts w:ascii="Arial" w:hAnsi="Arial"/>
              <w:color w:val="000000"/>
              <w:sz w:val="18"/>
            </w:rPr>
          </w:pPr>
          <w:r>
            <w:rPr>
              <w:rFonts w:ascii="Arial" w:hAnsi="Arial"/>
              <w:color w:val="000000"/>
              <w:sz w:val="18"/>
            </w:rPr>
            <w:t>Phone:  (888) 290-0016   Fax:  (317) 234-1338</w:t>
          </w:r>
        </w:p>
      </w:tc>
      <w:tc>
        <w:tcPr>
          <w:tcW w:w="2880" w:type="dxa"/>
          <w:vAlign w:val="bottom"/>
        </w:tcPr>
        <w:p w:rsidR="00DA6A33" w:rsidRDefault="00DA6A33">
          <w:pPr>
            <w:pStyle w:val="Footer"/>
            <w:jc w:val="center"/>
            <w:rPr>
              <w:i/>
              <w:color w:val="000000"/>
              <w:sz w:val="16"/>
            </w:rPr>
          </w:pPr>
          <w:r>
            <w:rPr>
              <w:i/>
              <w:color w:val="000000"/>
              <w:sz w:val="16"/>
            </w:rPr>
            <w:t xml:space="preserve">Please Recycle </w:t>
          </w:r>
        </w:p>
      </w:tc>
    </w:tr>
  </w:tbl>
  <w:p w:rsidR="00DA6A33" w:rsidRDefault="00DA6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B82" w:rsidRDefault="00483B82">
      <w:r>
        <w:separator/>
      </w:r>
    </w:p>
  </w:footnote>
  <w:footnote w:type="continuationSeparator" w:id="0">
    <w:p w:rsidR="00483B82" w:rsidRDefault="00483B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990" w:type="dxa"/>
      <w:tblInd w:w="108" w:type="dxa"/>
      <w:tblLayout w:type="fixed"/>
      <w:tblLook w:val="0000"/>
    </w:tblPr>
    <w:tblGrid>
      <w:gridCol w:w="2970"/>
      <w:gridCol w:w="7020"/>
    </w:tblGrid>
    <w:tr w:rsidR="00DA6A33" w:rsidTr="00D63432">
      <w:trPr>
        <w:cantSplit/>
        <w:trHeight w:val="360"/>
      </w:trPr>
      <w:tc>
        <w:tcPr>
          <w:tcW w:w="2970" w:type="dxa"/>
          <w:vMerge w:val="restart"/>
        </w:tcPr>
        <w:p w:rsidR="00DA6A33" w:rsidRPr="002153DA" w:rsidRDefault="00DA6A33" w:rsidP="002153DA">
          <w:pPr>
            <w:pStyle w:val="Header"/>
            <w:rPr>
              <w:color w:val="000000"/>
            </w:rPr>
          </w:pPr>
          <w:r>
            <w:rPr>
              <w:noProof/>
            </w:rPr>
            <w:drawing>
              <wp:inline distT="0" distB="0" distL="0" distR="0">
                <wp:extent cx="981075" cy="1057275"/>
                <wp:effectExtent l="19050" t="0" r="9525" b="0"/>
                <wp:docPr id="1" name="Picture 1" descr="IFA_Env_Pro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_Env_Progs_Logo"/>
                        <pic:cNvPicPr>
                          <a:picLocks noChangeAspect="1" noChangeArrowheads="1"/>
                        </pic:cNvPicPr>
                      </pic:nvPicPr>
                      <pic:blipFill>
                        <a:blip r:embed="rId1"/>
                        <a:srcRect/>
                        <a:stretch>
                          <a:fillRect/>
                        </a:stretch>
                      </pic:blipFill>
                      <pic:spPr bwMode="auto">
                        <a:xfrm>
                          <a:off x="0" y="0"/>
                          <a:ext cx="981075" cy="1057275"/>
                        </a:xfrm>
                        <a:prstGeom prst="rect">
                          <a:avLst/>
                        </a:prstGeom>
                        <a:noFill/>
                        <a:ln w="9525">
                          <a:noFill/>
                          <a:miter lim="800000"/>
                          <a:headEnd/>
                          <a:tailEnd/>
                        </a:ln>
                      </pic:spPr>
                    </pic:pic>
                  </a:graphicData>
                </a:graphic>
              </wp:inline>
            </w:drawing>
          </w:r>
        </w:p>
      </w:tc>
      <w:tc>
        <w:tcPr>
          <w:tcW w:w="7020" w:type="dxa"/>
        </w:tcPr>
        <w:p w:rsidR="00DA6A33" w:rsidRPr="00003D9D" w:rsidRDefault="00DA6A33" w:rsidP="00494951">
          <w:pPr>
            <w:pStyle w:val="Header"/>
            <w:ind w:left="-108"/>
            <w:jc w:val="right"/>
            <w:rPr>
              <w:rFonts w:ascii="AvantGarde" w:hAnsi="AvantGarde"/>
              <w:color w:val="000000"/>
              <w:sz w:val="30"/>
              <w:szCs w:val="30"/>
              <w:u w:val="single"/>
            </w:rPr>
          </w:pPr>
          <w:r w:rsidRPr="00003D9D">
            <w:rPr>
              <w:rFonts w:ascii="AvantGarde" w:hAnsi="AvantGarde"/>
              <w:color w:val="000000"/>
              <w:spacing w:val="13"/>
              <w:sz w:val="30"/>
              <w:szCs w:val="30"/>
              <w:u w:val="single"/>
            </w:rPr>
            <w:t>State Revolving Fund Loan Program</w:t>
          </w:r>
        </w:p>
      </w:tc>
    </w:tr>
    <w:tr w:rsidR="00DA6A33" w:rsidRPr="00D63432" w:rsidTr="002153DA">
      <w:trPr>
        <w:cantSplit/>
        <w:trHeight w:val="267"/>
      </w:trPr>
      <w:tc>
        <w:tcPr>
          <w:tcW w:w="2970" w:type="dxa"/>
          <w:vMerge/>
        </w:tcPr>
        <w:p w:rsidR="00DA6A33" w:rsidRDefault="00DA6A33" w:rsidP="002153DA">
          <w:pPr>
            <w:pStyle w:val="Header"/>
            <w:rPr>
              <w:color w:val="000000"/>
            </w:rPr>
          </w:pPr>
        </w:p>
      </w:tc>
      <w:tc>
        <w:tcPr>
          <w:tcW w:w="7020" w:type="dxa"/>
        </w:tcPr>
        <w:p w:rsidR="00DA6A33" w:rsidRPr="00177653" w:rsidRDefault="00DA6A33" w:rsidP="00177653">
          <w:pPr>
            <w:pStyle w:val="Header"/>
            <w:jc w:val="center"/>
            <w:rPr>
              <w:rFonts w:ascii="AvantGarde" w:hAnsi="AvantGarde"/>
              <w:b/>
              <w:color w:val="000000"/>
              <w:sz w:val="16"/>
              <w:szCs w:val="16"/>
            </w:rPr>
          </w:pPr>
          <w:r w:rsidRPr="00177653">
            <w:rPr>
              <w:rFonts w:ascii="AvantGarde" w:hAnsi="AvantGarde"/>
              <w:b/>
              <w:color w:val="000000"/>
              <w:sz w:val="16"/>
              <w:szCs w:val="24"/>
            </w:rPr>
            <w:t xml:space="preserve">                                                           </w:t>
          </w:r>
          <w:r w:rsidRPr="00177653">
            <w:rPr>
              <w:rFonts w:ascii="AvantGarde" w:hAnsi="AvantGarde"/>
              <w:b/>
              <w:color w:val="000000"/>
              <w:sz w:val="16"/>
              <w:szCs w:val="16"/>
            </w:rPr>
            <w:t xml:space="preserve">an </w:t>
          </w:r>
          <w:smartTag w:uri="urn:schemas-microsoft-com:office:smarttags" w:element="State">
            <w:smartTag w:uri="urn:schemas-microsoft-com:office:smarttags" w:element="place">
              <w:r w:rsidRPr="00177653">
                <w:rPr>
                  <w:rFonts w:ascii="AvantGarde" w:hAnsi="AvantGarde"/>
                  <w:b/>
                  <w:color w:val="000000"/>
                  <w:sz w:val="16"/>
                  <w:szCs w:val="16"/>
                </w:rPr>
                <w:t>Indiana</w:t>
              </w:r>
            </w:smartTag>
          </w:smartTag>
          <w:r w:rsidRPr="00177653">
            <w:rPr>
              <w:rFonts w:ascii="AvantGarde" w:hAnsi="AvantGarde"/>
              <w:b/>
              <w:color w:val="000000"/>
              <w:sz w:val="16"/>
              <w:szCs w:val="16"/>
            </w:rPr>
            <w:t xml:space="preserve"> Finance Authority Environmental Program</w:t>
          </w:r>
        </w:p>
      </w:tc>
    </w:tr>
    <w:tr w:rsidR="00DA6A33" w:rsidTr="001023D1">
      <w:trPr>
        <w:cantSplit/>
        <w:trHeight w:val="144"/>
      </w:trPr>
      <w:tc>
        <w:tcPr>
          <w:tcW w:w="2970" w:type="dxa"/>
          <w:vMerge/>
        </w:tcPr>
        <w:p w:rsidR="00DA6A33" w:rsidRDefault="00DA6A33" w:rsidP="002153DA">
          <w:pPr>
            <w:pStyle w:val="Header"/>
            <w:rPr>
              <w:color w:val="000000"/>
            </w:rPr>
          </w:pPr>
        </w:p>
      </w:tc>
      <w:tc>
        <w:tcPr>
          <w:tcW w:w="7020" w:type="dxa"/>
        </w:tcPr>
        <w:p w:rsidR="00DA6A33" w:rsidRDefault="00DA6A33">
          <w:pPr>
            <w:jc w:val="right"/>
            <w:rPr>
              <w:rFonts w:ascii="Arial" w:hAnsi="Arial"/>
              <w:color w:val="000000"/>
              <w:sz w:val="14"/>
            </w:rPr>
          </w:pPr>
        </w:p>
      </w:tc>
    </w:tr>
    <w:tr w:rsidR="00DA6A33" w:rsidTr="00C42739">
      <w:trPr>
        <w:cantSplit/>
        <w:trHeight w:val="216"/>
      </w:trPr>
      <w:tc>
        <w:tcPr>
          <w:tcW w:w="2970" w:type="dxa"/>
          <w:vMerge/>
        </w:tcPr>
        <w:p w:rsidR="00DA6A33" w:rsidRDefault="00DA6A33" w:rsidP="002153DA">
          <w:pPr>
            <w:pStyle w:val="Header"/>
            <w:rPr>
              <w:color w:val="000000"/>
            </w:rPr>
          </w:pPr>
        </w:p>
      </w:tc>
      <w:tc>
        <w:tcPr>
          <w:tcW w:w="7020" w:type="dxa"/>
          <w:vAlign w:val="center"/>
        </w:tcPr>
        <w:p w:rsidR="00DA6A33" w:rsidRPr="00253C03" w:rsidRDefault="00DA6A33" w:rsidP="002153DA">
          <w:pPr>
            <w:jc w:val="right"/>
            <w:rPr>
              <w:rFonts w:ascii="AvantGarde" w:hAnsi="AvantGarde" w:cs="Arial"/>
              <w:color w:val="000000"/>
              <w:sz w:val="16"/>
              <w:szCs w:val="16"/>
            </w:rPr>
          </w:pPr>
          <w:smartTag w:uri="urn:schemas-microsoft-com:office:smarttags" w:element="Street">
            <w:smartTag w:uri="urn:schemas-microsoft-com:office:smarttags" w:element="address">
              <w:r w:rsidRPr="00253C03">
                <w:rPr>
                  <w:rFonts w:ascii="AvantGarde" w:hAnsi="AvantGarde" w:cs="Arial"/>
                  <w:color w:val="000000"/>
                  <w:sz w:val="16"/>
                  <w:szCs w:val="16"/>
                </w:rPr>
                <w:t>100 North Senate Avenue</w:t>
              </w:r>
            </w:smartTag>
          </w:smartTag>
          <w:r w:rsidRPr="00253C03">
            <w:rPr>
              <w:rFonts w:ascii="AvantGarde" w:hAnsi="AvantGarde" w:cs="Arial"/>
              <w:color w:val="000000"/>
              <w:sz w:val="16"/>
              <w:szCs w:val="16"/>
            </w:rPr>
            <w:t>, Room 1275</w:t>
          </w:r>
        </w:p>
      </w:tc>
    </w:tr>
    <w:tr w:rsidR="00DA6A33" w:rsidTr="00C42739">
      <w:trPr>
        <w:cantSplit/>
        <w:trHeight w:val="216"/>
      </w:trPr>
      <w:tc>
        <w:tcPr>
          <w:tcW w:w="2970" w:type="dxa"/>
          <w:vMerge/>
        </w:tcPr>
        <w:p w:rsidR="00DA6A33" w:rsidRDefault="00DA6A33" w:rsidP="002153DA">
          <w:pPr>
            <w:pStyle w:val="Header"/>
            <w:rPr>
              <w:color w:val="000000"/>
            </w:rPr>
          </w:pPr>
        </w:p>
      </w:tc>
      <w:tc>
        <w:tcPr>
          <w:tcW w:w="7020" w:type="dxa"/>
          <w:vAlign w:val="center"/>
        </w:tcPr>
        <w:p w:rsidR="00DA6A33" w:rsidRPr="00253C03" w:rsidRDefault="00DA6A33" w:rsidP="002153DA">
          <w:pPr>
            <w:jc w:val="right"/>
            <w:rPr>
              <w:rFonts w:ascii="AvantGarde" w:hAnsi="AvantGarde" w:cs="Arial"/>
              <w:color w:val="000000"/>
              <w:sz w:val="16"/>
              <w:szCs w:val="16"/>
            </w:rPr>
          </w:pPr>
          <w:smartTag w:uri="urn:schemas-microsoft-com:office:smarttags" w:element="place">
            <w:smartTag w:uri="urn:schemas-microsoft-com:office:smarttags" w:element="City">
              <w:r w:rsidRPr="00253C03">
                <w:rPr>
                  <w:rFonts w:ascii="AvantGarde" w:hAnsi="AvantGarde" w:cs="Arial"/>
                  <w:color w:val="000000"/>
                  <w:sz w:val="16"/>
                  <w:szCs w:val="16"/>
                </w:rPr>
                <w:t>Indianapolis</w:t>
              </w:r>
            </w:smartTag>
            <w:r w:rsidRPr="00253C03">
              <w:rPr>
                <w:rFonts w:ascii="AvantGarde" w:hAnsi="AvantGarde" w:cs="Arial"/>
                <w:color w:val="000000"/>
                <w:sz w:val="16"/>
                <w:szCs w:val="16"/>
              </w:rPr>
              <w:t xml:space="preserve">, </w:t>
            </w:r>
            <w:smartTag w:uri="urn:schemas-microsoft-com:office:smarttags" w:element="State">
              <w:r w:rsidRPr="00253C03">
                <w:rPr>
                  <w:rFonts w:ascii="AvantGarde" w:hAnsi="AvantGarde" w:cs="Arial"/>
                  <w:color w:val="000000"/>
                  <w:sz w:val="16"/>
                  <w:szCs w:val="16"/>
                </w:rPr>
                <w:t>Indiana</w:t>
              </w:r>
            </w:smartTag>
            <w:r w:rsidRPr="00253C03">
              <w:rPr>
                <w:rFonts w:ascii="AvantGarde" w:hAnsi="AvantGarde" w:cs="Arial"/>
                <w:color w:val="000000"/>
                <w:sz w:val="16"/>
                <w:szCs w:val="16"/>
              </w:rPr>
              <w:t xml:space="preserve"> </w:t>
            </w:r>
            <w:smartTag w:uri="urn:schemas-microsoft-com:office:smarttags" w:element="PostalCode">
              <w:r w:rsidRPr="00253C03">
                <w:rPr>
                  <w:rFonts w:ascii="AvantGarde" w:hAnsi="AvantGarde" w:cs="Arial"/>
                  <w:color w:val="000000"/>
                  <w:sz w:val="16"/>
                  <w:szCs w:val="16"/>
                </w:rPr>
                <w:t>46204</w:t>
              </w:r>
            </w:smartTag>
          </w:smartTag>
          <w:r w:rsidRPr="00253C03">
            <w:rPr>
              <w:rFonts w:ascii="AvantGarde" w:hAnsi="AvantGarde" w:cs="Arial"/>
              <w:color w:val="000000"/>
              <w:sz w:val="16"/>
              <w:szCs w:val="16"/>
            </w:rPr>
            <w:t xml:space="preserve"> </w:t>
          </w:r>
        </w:p>
      </w:tc>
    </w:tr>
    <w:tr w:rsidR="00DA6A33" w:rsidTr="00706A69">
      <w:trPr>
        <w:cantSplit/>
        <w:trHeight w:val="181"/>
      </w:trPr>
      <w:tc>
        <w:tcPr>
          <w:tcW w:w="2970" w:type="dxa"/>
          <w:vMerge/>
        </w:tcPr>
        <w:p w:rsidR="00DA6A33" w:rsidRDefault="00DA6A33" w:rsidP="002153DA">
          <w:pPr>
            <w:pStyle w:val="Header"/>
            <w:rPr>
              <w:color w:val="000000"/>
            </w:rPr>
          </w:pPr>
        </w:p>
      </w:tc>
      <w:tc>
        <w:tcPr>
          <w:tcW w:w="7020" w:type="dxa"/>
        </w:tcPr>
        <w:p w:rsidR="00DA6A33" w:rsidRPr="00253C03" w:rsidRDefault="00DA6A33" w:rsidP="00706A69">
          <w:pPr>
            <w:pStyle w:val="Header"/>
            <w:jc w:val="right"/>
            <w:rPr>
              <w:rFonts w:ascii="AvantGarde" w:hAnsi="AvantGarde" w:cs="Arial"/>
              <w:color w:val="000000"/>
              <w:sz w:val="16"/>
              <w:szCs w:val="16"/>
            </w:rPr>
          </w:pPr>
          <w:r>
            <w:rPr>
              <w:rFonts w:ascii="AvantGarde" w:hAnsi="AvantGarde" w:cs="Arial"/>
              <w:sz w:val="16"/>
              <w:szCs w:val="16"/>
            </w:rPr>
            <w:t>www.srf.in.gov</w:t>
          </w:r>
        </w:p>
      </w:tc>
    </w:tr>
  </w:tbl>
  <w:p w:rsidR="00DA6A33" w:rsidRDefault="00DA6A33" w:rsidP="003A2A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0CA0D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5C00AD"/>
    <w:multiLevelType w:val="hybridMultilevel"/>
    <w:tmpl w:val="F10E5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110AA7"/>
    <w:multiLevelType w:val="hybridMultilevel"/>
    <w:tmpl w:val="80E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A759D2"/>
    <w:rsid w:val="00003D9D"/>
    <w:rsid w:val="00004718"/>
    <w:rsid w:val="00010BA1"/>
    <w:rsid w:val="00014EAC"/>
    <w:rsid w:val="0002123B"/>
    <w:rsid w:val="000317F3"/>
    <w:rsid w:val="0003195A"/>
    <w:rsid w:val="00032DF8"/>
    <w:rsid w:val="000420AC"/>
    <w:rsid w:val="000616A3"/>
    <w:rsid w:val="000A3D86"/>
    <w:rsid w:val="000D3B63"/>
    <w:rsid w:val="000D7B4F"/>
    <w:rsid w:val="000F3225"/>
    <w:rsid w:val="001023D1"/>
    <w:rsid w:val="0013234B"/>
    <w:rsid w:val="00134AB1"/>
    <w:rsid w:val="001622C5"/>
    <w:rsid w:val="0016721E"/>
    <w:rsid w:val="00177653"/>
    <w:rsid w:val="00195C20"/>
    <w:rsid w:val="001B6606"/>
    <w:rsid w:val="001B6D89"/>
    <w:rsid w:val="001E3D37"/>
    <w:rsid w:val="001F09FC"/>
    <w:rsid w:val="001F33C2"/>
    <w:rsid w:val="001F563C"/>
    <w:rsid w:val="002153DA"/>
    <w:rsid w:val="00231F04"/>
    <w:rsid w:val="002367AD"/>
    <w:rsid w:val="0023735C"/>
    <w:rsid w:val="00247D01"/>
    <w:rsid w:val="00247EF8"/>
    <w:rsid w:val="00253C03"/>
    <w:rsid w:val="00287E9B"/>
    <w:rsid w:val="00300948"/>
    <w:rsid w:val="003048D6"/>
    <w:rsid w:val="0030742B"/>
    <w:rsid w:val="00327D48"/>
    <w:rsid w:val="003503B7"/>
    <w:rsid w:val="00351B18"/>
    <w:rsid w:val="003601CF"/>
    <w:rsid w:val="003802E7"/>
    <w:rsid w:val="003A2ABA"/>
    <w:rsid w:val="003D655F"/>
    <w:rsid w:val="0040449C"/>
    <w:rsid w:val="0042148F"/>
    <w:rsid w:val="00432CDE"/>
    <w:rsid w:val="004419EB"/>
    <w:rsid w:val="00443325"/>
    <w:rsid w:val="00445ADD"/>
    <w:rsid w:val="00472550"/>
    <w:rsid w:val="00483B82"/>
    <w:rsid w:val="00492353"/>
    <w:rsid w:val="00492FF7"/>
    <w:rsid w:val="004943CC"/>
    <w:rsid w:val="00494951"/>
    <w:rsid w:val="004B2D72"/>
    <w:rsid w:val="004D7CA6"/>
    <w:rsid w:val="00505B4F"/>
    <w:rsid w:val="00515762"/>
    <w:rsid w:val="005212BF"/>
    <w:rsid w:val="005248E9"/>
    <w:rsid w:val="00525F71"/>
    <w:rsid w:val="00530E36"/>
    <w:rsid w:val="00540B79"/>
    <w:rsid w:val="005A6C0C"/>
    <w:rsid w:val="005C2DD1"/>
    <w:rsid w:val="005D3564"/>
    <w:rsid w:val="005E0528"/>
    <w:rsid w:val="005E253E"/>
    <w:rsid w:val="00616613"/>
    <w:rsid w:val="00633223"/>
    <w:rsid w:val="006369D7"/>
    <w:rsid w:val="0064049D"/>
    <w:rsid w:val="00675F1F"/>
    <w:rsid w:val="006A35EB"/>
    <w:rsid w:val="006C5FEE"/>
    <w:rsid w:val="006D65AA"/>
    <w:rsid w:val="006E5716"/>
    <w:rsid w:val="006E5CA6"/>
    <w:rsid w:val="006F1531"/>
    <w:rsid w:val="007023E7"/>
    <w:rsid w:val="00706A69"/>
    <w:rsid w:val="00724FC6"/>
    <w:rsid w:val="00784C3E"/>
    <w:rsid w:val="007A29B9"/>
    <w:rsid w:val="007A5CEC"/>
    <w:rsid w:val="007F3CF6"/>
    <w:rsid w:val="00834EB9"/>
    <w:rsid w:val="00853672"/>
    <w:rsid w:val="00884CA9"/>
    <w:rsid w:val="00891D1F"/>
    <w:rsid w:val="008A7348"/>
    <w:rsid w:val="008B2403"/>
    <w:rsid w:val="008D3409"/>
    <w:rsid w:val="008E359A"/>
    <w:rsid w:val="009307FC"/>
    <w:rsid w:val="00934A4D"/>
    <w:rsid w:val="0093786C"/>
    <w:rsid w:val="00943AAC"/>
    <w:rsid w:val="00955B10"/>
    <w:rsid w:val="00957BCD"/>
    <w:rsid w:val="00964392"/>
    <w:rsid w:val="00975CDA"/>
    <w:rsid w:val="00976F13"/>
    <w:rsid w:val="009966B2"/>
    <w:rsid w:val="00997ACC"/>
    <w:rsid w:val="009F3432"/>
    <w:rsid w:val="00A2118A"/>
    <w:rsid w:val="00A21CFA"/>
    <w:rsid w:val="00A27866"/>
    <w:rsid w:val="00A36648"/>
    <w:rsid w:val="00A37B43"/>
    <w:rsid w:val="00A759D2"/>
    <w:rsid w:val="00A86926"/>
    <w:rsid w:val="00AA228E"/>
    <w:rsid w:val="00AA2CD4"/>
    <w:rsid w:val="00AA6495"/>
    <w:rsid w:val="00AC0D0F"/>
    <w:rsid w:val="00AC63B4"/>
    <w:rsid w:val="00AD58C4"/>
    <w:rsid w:val="00AD726D"/>
    <w:rsid w:val="00AF715F"/>
    <w:rsid w:val="00B10D02"/>
    <w:rsid w:val="00B75DCD"/>
    <w:rsid w:val="00B77E3F"/>
    <w:rsid w:val="00BA25C5"/>
    <w:rsid w:val="00BD02C3"/>
    <w:rsid w:val="00BE798F"/>
    <w:rsid w:val="00C15DE2"/>
    <w:rsid w:val="00C278AF"/>
    <w:rsid w:val="00C33C1C"/>
    <w:rsid w:val="00C42739"/>
    <w:rsid w:val="00C57CE4"/>
    <w:rsid w:val="00C6333B"/>
    <w:rsid w:val="00C646EB"/>
    <w:rsid w:val="00C87569"/>
    <w:rsid w:val="00C94E92"/>
    <w:rsid w:val="00CA32DA"/>
    <w:rsid w:val="00CB6D0A"/>
    <w:rsid w:val="00D0665C"/>
    <w:rsid w:val="00D129A0"/>
    <w:rsid w:val="00D17148"/>
    <w:rsid w:val="00D27AB2"/>
    <w:rsid w:val="00D32560"/>
    <w:rsid w:val="00D475EA"/>
    <w:rsid w:val="00D63432"/>
    <w:rsid w:val="00D75222"/>
    <w:rsid w:val="00DA6A33"/>
    <w:rsid w:val="00DB33AF"/>
    <w:rsid w:val="00DE44F3"/>
    <w:rsid w:val="00DF0D3A"/>
    <w:rsid w:val="00E07893"/>
    <w:rsid w:val="00E144B6"/>
    <w:rsid w:val="00E646F0"/>
    <w:rsid w:val="00EC6908"/>
    <w:rsid w:val="00F0125B"/>
    <w:rsid w:val="00F0489A"/>
    <w:rsid w:val="00F06517"/>
    <w:rsid w:val="00F14367"/>
    <w:rsid w:val="00F31F9E"/>
    <w:rsid w:val="00F83F4A"/>
    <w:rsid w:val="00F862B5"/>
    <w:rsid w:val="00F97C81"/>
    <w:rsid w:val="00FA24C9"/>
    <w:rsid w:val="00FA3260"/>
    <w:rsid w:val="00FF62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73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7348"/>
    <w:pPr>
      <w:tabs>
        <w:tab w:val="center" w:pos="4320"/>
        <w:tab w:val="right" w:pos="8640"/>
      </w:tabs>
    </w:pPr>
  </w:style>
  <w:style w:type="paragraph" w:styleId="Footer">
    <w:name w:val="footer"/>
    <w:basedOn w:val="Normal"/>
    <w:rsid w:val="008A7348"/>
    <w:pPr>
      <w:tabs>
        <w:tab w:val="center" w:pos="4320"/>
        <w:tab w:val="right" w:pos="8640"/>
      </w:tabs>
    </w:pPr>
  </w:style>
  <w:style w:type="paragraph" w:styleId="ListBullet">
    <w:name w:val="List Bullet"/>
    <w:basedOn w:val="Normal"/>
    <w:autoRedefine/>
    <w:rsid w:val="008A7348"/>
    <w:pPr>
      <w:numPr>
        <w:numId w:val="1"/>
      </w:numPr>
    </w:pPr>
  </w:style>
  <w:style w:type="paragraph" w:styleId="BodyText">
    <w:name w:val="Body Text"/>
    <w:basedOn w:val="Normal"/>
    <w:link w:val="BodyTextChar"/>
    <w:rsid w:val="008A7348"/>
    <w:rPr>
      <w:rFonts w:ascii="AvantGarde" w:hAnsi="AvantGarde"/>
      <w:color w:val="000000"/>
      <w:sz w:val="24"/>
    </w:rPr>
  </w:style>
  <w:style w:type="character" w:styleId="Hyperlink">
    <w:name w:val="Hyperlink"/>
    <w:basedOn w:val="DefaultParagraphFont"/>
    <w:rsid w:val="005E0528"/>
    <w:rPr>
      <w:color w:val="0000FF"/>
      <w:u w:val="single"/>
    </w:rPr>
  </w:style>
  <w:style w:type="character" w:customStyle="1" w:styleId="HeaderChar">
    <w:name w:val="Header Char"/>
    <w:basedOn w:val="DefaultParagraphFont"/>
    <w:link w:val="Header"/>
    <w:rsid w:val="00F14367"/>
  </w:style>
  <w:style w:type="character" w:customStyle="1" w:styleId="BodyTextChar">
    <w:name w:val="Body Text Char"/>
    <w:basedOn w:val="DefaultParagraphFont"/>
    <w:link w:val="BodyText"/>
    <w:rsid w:val="00F14367"/>
    <w:rPr>
      <w:rFonts w:ascii="AvantGarde" w:hAnsi="AvantGarde"/>
      <w:color w:val="000000"/>
      <w:sz w:val="24"/>
    </w:rPr>
  </w:style>
  <w:style w:type="paragraph" w:styleId="ListParagraph">
    <w:name w:val="List Paragraph"/>
    <w:basedOn w:val="Normal"/>
    <w:uiPriority w:val="34"/>
    <w:qFormat/>
    <w:rsid w:val="00E646F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445ADD"/>
    <w:rPr>
      <w:rFonts w:ascii="Tahoma" w:hAnsi="Tahoma" w:cs="Tahoma"/>
      <w:sz w:val="16"/>
      <w:szCs w:val="16"/>
    </w:rPr>
  </w:style>
  <w:style w:type="character" w:customStyle="1" w:styleId="BalloonTextChar">
    <w:name w:val="Balloon Text Char"/>
    <w:basedOn w:val="DefaultParagraphFont"/>
    <w:link w:val="BalloonText"/>
    <w:rsid w:val="00445A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SRF%20Forms\SRF%20Letterhead\Jack'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Jack's letterhead.dot</Template>
  <TotalTime>1</TotalTime>
  <Pages>2</Pages>
  <Words>415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February 12, 2004</vt:lpstr>
    </vt:vector>
  </TitlesOfParts>
  <Company>IDEM</Company>
  <LinksUpToDate>false</LinksUpToDate>
  <CharactersWithSpaces>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2004</dc:title>
  <dc:subject/>
  <dc:creator>USER</dc:creator>
  <cp:keywords/>
  <cp:lastModifiedBy>jafisher</cp:lastModifiedBy>
  <cp:revision>2</cp:revision>
  <cp:lastPrinted>2011-11-02T18:11:00Z</cp:lastPrinted>
  <dcterms:created xsi:type="dcterms:W3CDTF">2011-12-06T21:45:00Z</dcterms:created>
  <dcterms:modified xsi:type="dcterms:W3CDTF">2011-12-06T21:45:00Z</dcterms:modified>
</cp:coreProperties>
</file>