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E67" w:rsidRDefault="00D42E67" w:rsidP="000D0DE5">
      <w:pPr>
        <w:pBdr>
          <w:bottom w:val="single" w:sz="12" w:space="1" w:color="auto"/>
        </w:pBdr>
        <w:jc w:val="center"/>
        <w:rPr>
          <w:b/>
        </w:rPr>
      </w:pPr>
      <w:r w:rsidRPr="00462104">
        <w:rPr>
          <w:b/>
        </w:rPr>
        <w:t>Brownfield Tax Reduction or Waiver</w:t>
      </w:r>
      <w:r w:rsidR="000D0DE5" w:rsidRPr="00462104">
        <w:rPr>
          <w:b/>
        </w:rPr>
        <w:t xml:space="preserve"> - </w:t>
      </w:r>
      <w:r w:rsidR="00F176F1" w:rsidRPr="00462104">
        <w:rPr>
          <w:b/>
        </w:rPr>
        <w:t>IC 6-1.1-45.5</w:t>
      </w:r>
    </w:p>
    <w:p w:rsidR="00D42E67" w:rsidRDefault="00D42E67" w:rsidP="00D42E67"/>
    <w:p w:rsidR="00D42E67" w:rsidRDefault="00D42E67" w:rsidP="00363C47">
      <w:pPr>
        <w:ind w:left="-720" w:right="-720"/>
      </w:pPr>
      <w:r>
        <w:t xml:space="preserve">The role of the Indiana Brownfields Program </w:t>
      </w:r>
      <w:r w:rsidR="008D7AC5">
        <w:t xml:space="preserve">(Program) </w:t>
      </w:r>
      <w:r>
        <w:t xml:space="preserve">in the Brownfield Tax Reduction or Waiver process is to make a determination that the property to which the delinquent tax liability is attached is a brownfield.  Pursuant to statute, brownfield has the meaning set forth in IC 13-11-2-19.3:  </w:t>
      </w:r>
    </w:p>
    <w:p w:rsidR="00D42E67" w:rsidRDefault="00D42E67" w:rsidP="00363C47">
      <w:pPr>
        <w:ind w:left="-720" w:right="-720"/>
      </w:pPr>
    </w:p>
    <w:p w:rsidR="00D42E67" w:rsidRDefault="00D42E67" w:rsidP="00363C47">
      <w:pPr>
        <w:numPr>
          <w:ilvl w:val="0"/>
          <w:numId w:val="2"/>
        </w:numPr>
        <w:tabs>
          <w:tab w:val="clear" w:pos="720"/>
          <w:tab w:val="num" w:pos="0"/>
        </w:tabs>
        <w:ind w:left="0" w:right="-720"/>
      </w:pPr>
      <w:r>
        <w:t>A parcel of real estate that is abandoned or inactive; or may not be operated at its appropriate use; and on which expansion or redevelopment is complicated; because of the presence or potential presence of a hazardous substance, a contaminant, petroleum, or a petroleum product that poses a risk to human health and the environment.</w:t>
      </w:r>
    </w:p>
    <w:p w:rsidR="00D42E67" w:rsidRDefault="00D42E67" w:rsidP="00363C47">
      <w:pPr>
        <w:ind w:left="-720" w:right="-720"/>
      </w:pPr>
    </w:p>
    <w:p w:rsidR="00D42E67" w:rsidRPr="00A91529" w:rsidRDefault="00D42E67" w:rsidP="00363C47">
      <w:pPr>
        <w:ind w:left="-720" w:right="-720"/>
      </w:pPr>
      <w:r>
        <w:t xml:space="preserve">In order to make such a determination, particularly if the property has no prior history with the Program (i.e., has not received financial, technical or legal assistance in the past), the Program will need information about the historic use(s) of the site, known (or suspected) environmental conditions, plans to address the contamination on the property, intended future use of the site and ownership </w:t>
      </w:r>
      <w:r w:rsidR="000B3DEB">
        <w:t>history (including whether the p</w:t>
      </w:r>
      <w:r>
        <w:t>etitioner has had a</w:t>
      </w:r>
      <w:r w:rsidR="008D7AC5">
        <w:t>n</w:t>
      </w:r>
      <w:r>
        <w:t xml:space="preserve"> ownership interest in an entity that contributed to the contamination on the site or contributed itself to the contamination on the site).  While not all of the above-listed information is necessary to make a determination about whether the property is a brownfield, it is information that is required by statute for the petition and that will enable the Program to determine if other opportunities for Program assistance may be available to the </w:t>
      </w:r>
      <w:r w:rsidR="000B3DEB">
        <w:t>p</w:t>
      </w:r>
      <w:r>
        <w:t xml:space="preserve">etitioner (i.e., grants/loans or liability clarification). </w:t>
      </w:r>
      <w:r>
        <w:rPr>
          <w:i/>
        </w:rPr>
        <w:t>See</w:t>
      </w:r>
      <w:r>
        <w:t xml:space="preserve"> IC 6-1.1-45.5-2.</w:t>
      </w:r>
    </w:p>
    <w:p w:rsidR="00D42E67" w:rsidRDefault="00D42E67" w:rsidP="00363C47">
      <w:pPr>
        <w:ind w:left="-720" w:right="-720"/>
      </w:pPr>
    </w:p>
    <w:p w:rsidR="000D0DE5" w:rsidRDefault="00D42E67" w:rsidP="00363C47">
      <w:pPr>
        <w:ind w:left="-720" w:right="-720"/>
      </w:pPr>
      <w:r>
        <w:t xml:space="preserve">Please </w:t>
      </w:r>
      <w:r w:rsidR="005A175B">
        <w:t>answer the questions on</w:t>
      </w:r>
      <w:r>
        <w:t xml:space="preserve"> the attached form and submit </w:t>
      </w:r>
      <w:r w:rsidR="005A175B">
        <w:t>your response</w:t>
      </w:r>
      <w:r>
        <w:t xml:space="preserve"> to the Program in order for the Program to make its determination and provide you with a “Brownfield Tax Reduction or Waiver Certification Letter” (Certification Letter) which you can attach to your petition for tax reduction or waiver, State Form # 52584 (4-06)/County Form 137BR found at:</w:t>
      </w:r>
      <w:r w:rsidR="000D0DE5">
        <w:t xml:space="preserve"> </w:t>
      </w:r>
      <w:hyperlink r:id="rId7" w:history="1">
        <w:r w:rsidR="000D0DE5" w:rsidRPr="001D518B">
          <w:rPr>
            <w:rStyle w:val="Hyperlink"/>
          </w:rPr>
          <w:t>http://www.in.gov/icpr/3030.htm</w:t>
        </w:r>
      </w:hyperlink>
    </w:p>
    <w:p w:rsidR="00D42E67" w:rsidRDefault="000D0DE5" w:rsidP="00363C47">
      <w:pPr>
        <w:ind w:left="-720" w:right="-720"/>
      </w:pPr>
      <w:r>
        <w:t>by searching under “Board of Accounts, State” in the catalog listing and by “Form Number Equals” 52584</w:t>
      </w:r>
      <w:r w:rsidR="00D42E67">
        <w:t xml:space="preserve">.  </w:t>
      </w:r>
      <w:r w:rsidR="00D42E67">
        <w:rPr>
          <w:b/>
        </w:rPr>
        <w:t xml:space="preserve">You may </w:t>
      </w:r>
      <w:r w:rsidR="00D42E67" w:rsidRPr="00DF323D">
        <w:rPr>
          <w:b/>
          <w:u w:val="single"/>
        </w:rPr>
        <w:t>not</w:t>
      </w:r>
      <w:r w:rsidR="00D42E67">
        <w:rPr>
          <w:b/>
        </w:rPr>
        <w:t xml:space="preserve"> submit any prior correspondence from the Program as evidence that the property is a brownfield.  </w:t>
      </w:r>
      <w:r w:rsidR="00D42E67">
        <w:t xml:space="preserve">If a Certification Letter is not provided with your petition, the </w:t>
      </w:r>
      <w:smartTag w:uri="urn:schemas-microsoft-com:office:smarttags" w:element="place">
        <w:smartTag w:uri="urn:schemas-microsoft-com:office:smarttags" w:element="PlaceType">
          <w:r w:rsidR="00D42E67">
            <w:t>County</w:t>
          </w:r>
        </w:smartTag>
        <w:r w:rsidR="00D42E67">
          <w:t xml:space="preserve"> </w:t>
        </w:r>
        <w:smartTag w:uri="urn:schemas-microsoft-com:office:smarttags" w:element="PlaceName">
          <w:r w:rsidR="00D42E67">
            <w:t>Auditor</w:t>
          </w:r>
        </w:smartTag>
      </w:smartTag>
      <w:r w:rsidR="00D42E67">
        <w:t xml:space="preserve"> will deem the petition incomplete. </w:t>
      </w:r>
      <w:r w:rsidR="00D42E67">
        <w:rPr>
          <w:i/>
        </w:rPr>
        <w:t>See</w:t>
      </w:r>
      <w:r w:rsidR="00D42E67">
        <w:t xml:space="preserve"> IC 6-1.1-45.5-3.</w:t>
      </w:r>
    </w:p>
    <w:p w:rsidR="00D42E67" w:rsidRDefault="00D42E67" w:rsidP="00363C47">
      <w:pPr>
        <w:ind w:left="-720" w:right="-720"/>
      </w:pPr>
    </w:p>
    <w:p w:rsidR="000D0DE5" w:rsidRDefault="000D0DE5" w:rsidP="00363C47">
      <w:pPr>
        <w:ind w:left="-720" w:right="-720"/>
      </w:pPr>
      <w:r>
        <w:t>All of the requirements for a petition, including the requirement for a statement from the department of environmental management, are found in IC 6-1.1-45.5-2.  Please keep in mind that as a petitioner, you cannot have contributed or had an ownership interest in an entity that contributed to the contam</w:t>
      </w:r>
      <w:r w:rsidR="000B3DEB">
        <w:t>ination on the brownfield. IC 6-</w:t>
      </w:r>
      <w:r>
        <w:t xml:space="preserve">1.1-45.5-5(a)(4).  In addition, the delinquent tax liability sought to be </w:t>
      </w:r>
      <w:r w:rsidR="000B3DEB">
        <w:t xml:space="preserve">reduced or </w:t>
      </w:r>
      <w:r>
        <w:t xml:space="preserve">waived must have arisen </w:t>
      </w:r>
      <w:r w:rsidR="000B3DEB" w:rsidRPr="000B3DEB">
        <w:rPr>
          <w:i/>
        </w:rPr>
        <w:t>before</w:t>
      </w:r>
      <w:r w:rsidR="000B3DEB">
        <w:t xml:space="preserve"> the petitioner’s acquisition of the brownfield. IC 6-1.1-45.5-5(a)(6).</w:t>
      </w:r>
    </w:p>
    <w:p w:rsidR="000D0DE5" w:rsidRDefault="000D0DE5" w:rsidP="00363C47">
      <w:pPr>
        <w:ind w:left="-720" w:right="-720"/>
      </w:pPr>
    </w:p>
    <w:p w:rsidR="00D42E67" w:rsidRDefault="00D42E67" w:rsidP="00363C47">
      <w:pPr>
        <w:ind w:left="-720" w:right="-720"/>
      </w:pPr>
      <w:r>
        <w:t xml:space="preserve">For additional information regarding the Brownfield Tax Reduction or Waiver, please contact the following individuals involved with the process: </w:t>
      </w:r>
    </w:p>
    <w:p w:rsidR="00D42E67" w:rsidRDefault="00D42E67" w:rsidP="000D0DE5">
      <w:pPr>
        <w:tabs>
          <w:tab w:val="left" w:pos="720"/>
        </w:tabs>
        <w:ind w:right="-720"/>
      </w:pPr>
      <w:r w:rsidRPr="005E4CE5">
        <w:rPr>
          <w:i/>
        </w:rPr>
        <w:t>Department of Local Government Finance</w:t>
      </w:r>
      <w:r>
        <w:t xml:space="preserve">: </w:t>
      </w:r>
      <w:r w:rsidR="00AF0D99">
        <w:t>Barry Wood</w:t>
      </w:r>
      <w:r>
        <w:t xml:space="preserve">, </w:t>
      </w:r>
      <w:r w:rsidR="00AF0D99">
        <w:t xml:space="preserve">(317) 232-3762 or </w:t>
      </w:r>
      <w:r w:rsidR="00A128B4">
        <w:t>Mike Duffy</w:t>
      </w:r>
      <w:r w:rsidR="00AF0D99">
        <w:t>, (317) 233-</w:t>
      </w:r>
      <w:r w:rsidR="00A128B4">
        <w:t>9219</w:t>
      </w:r>
    </w:p>
    <w:p w:rsidR="001B03A1" w:rsidRDefault="00D42E67" w:rsidP="000D0DE5">
      <w:pPr>
        <w:ind w:right="-720"/>
      </w:pPr>
      <w:r w:rsidRPr="005E4CE5">
        <w:rPr>
          <w:i/>
        </w:rPr>
        <w:t>Indiana Brownfields Program</w:t>
      </w:r>
      <w:r>
        <w:t xml:space="preserve">: </w:t>
      </w:r>
      <w:r w:rsidR="002F0847">
        <w:t xml:space="preserve">Cindy </w:t>
      </w:r>
      <w:r w:rsidR="003A32EB">
        <w:t xml:space="preserve">Shively </w:t>
      </w:r>
      <w:bookmarkStart w:id="0" w:name="_GoBack"/>
      <w:bookmarkEnd w:id="0"/>
      <w:r w:rsidR="002F0847">
        <w:t>Klem</w:t>
      </w:r>
      <w:r>
        <w:t>, (317) 234-</w:t>
      </w:r>
      <w:r w:rsidR="002F0847" w:rsidRPr="002F0847">
        <w:t>6018</w:t>
      </w:r>
    </w:p>
    <w:sectPr w:rsidR="001B03A1" w:rsidSect="000D0DE5">
      <w:headerReference w:type="first" r:id="rId8"/>
      <w:footerReference w:type="first" r:id="rId9"/>
      <w:pgSz w:w="12240" w:h="15840" w:code="1"/>
      <w:pgMar w:top="1440" w:right="1800" w:bottom="540" w:left="1800" w:header="360" w:footer="3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B8A" w:rsidRDefault="00F73B8A">
      <w:r>
        <w:separator/>
      </w:r>
    </w:p>
  </w:endnote>
  <w:endnote w:type="continuationSeparator" w:id="0">
    <w:p w:rsidR="00F73B8A" w:rsidRDefault="00F7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3A1" w:rsidRPr="001B03A1" w:rsidRDefault="001B03A1" w:rsidP="001B03A1">
    <w:pPr>
      <w:pStyle w:val="Footer"/>
      <w:ind w:left="-1260"/>
      <w:rPr>
        <w:sz w:val="20"/>
        <w:szCs w:val="20"/>
      </w:rPr>
    </w:pPr>
    <w:r w:rsidRPr="001B03A1">
      <w:rPr>
        <w:sz w:val="20"/>
        <w:szCs w:val="20"/>
      </w:rPr>
      <w:t xml:space="preserve">Updated: </w:t>
    </w:r>
    <w:r w:rsidR="00487281">
      <w:rPr>
        <w:sz w:val="20"/>
        <w:szCs w:val="20"/>
      </w:rPr>
      <w:t>June 2016</w:t>
    </w:r>
  </w:p>
  <w:p w:rsidR="000D0DE5" w:rsidRDefault="000D0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B8A" w:rsidRDefault="00F73B8A">
      <w:r>
        <w:separator/>
      </w:r>
    </w:p>
  </w:footnote>
  <w:footnote w:type="continuationSeparator" w:id="0">
    <w:p w:rsidR="00F73B8A" w:rsidRDefault="00F73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DE5" w:rsidRDefault="00924ED8">
    <w:pPr>
      <w:pStyle w:val="Header"/>
    </w:pPr>
    <w:r>
      <w:rPr>
        <w:noProof/>
      </w:rPr>
      <w:drawing>
        <wp:anchor distT="0" distB="0" distL="114300" distR="114300" simplePos="0" relativeHeight="251657728" behindDoc="0" locked="0" layoutInCell="1" allowOverlap="1">
          <wp:simplePos x="0" y="0"/>
          <wp:positionH relativeFrom="column">
            <wp:posOffset>1828800</wp:posOffset>
          </wp:positionH>
          <wp:positionV relativeFrom="paragraph">
            <wp:posOffset>-28575</wp:posOffset>
          </wp:positionV>
          <wp:extent cx="1851025" cy="84899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51025" cy="848995"/>
                  </a:xfrm>
                  <a:prstGeom prst="rect">
                    <a:avLst/>
                  </a:prstGeom>
                  <a:noFill/>
                  <a:ln w="9525">
                    <a:noFill/>
                    <a:miter lim="800000"/>
                    <a:headEnd/>
                    <a:tailEnd/>
                  </a:ln>
                </pic:spPr>
              </pic:pic>
            </a:graphicData>
          </a:graphic>
        </wp:anchor>
      </w:drawing>
    </w:r>
  </w:p>
  <w:p w:rsidR="000D0DE5" w:rsidRDefault="000D0DE5">
    <w:pPr>
      <w:pStyle w:val="Header"/>
    </w:pPr>
  </w:p>
  <w:p w:rsidR="000D0DE5" w:rsidRDefault="000D0DE5">
    <w:pPr>
      <w:pStyle w:val="Header"/>
    </w:pPr>
  </w:p>
  <w:p w:rsidR="000D0DE5" w:rsidRDefault="000D0DE5">
    <w:pPr>
      <w:pStyle w:val="Header"/>
    </w:pPr>
  </w:p>
  <w:p w:rsidR="000D0DE5" w:rsidRPr="0063344E" w:rsidRDefault="000D0DE5">
    <w:pPr>
      <w:pStyle w:val="Header"/>
      <w:rPr>
        <w:sz w:val="20"/>
        <w:szCs w:val="20"/>
      </w:rPr>
    </w:pPr>
  </w:p>
  <w:p w:rsidR="000D0DE5" w:rsidRPr="0063344E" w:rsidRDefault="000D0DE5" w:rsidP="006C527A">
    <w:pPr>
      <w:pStyle w:val="Footer"/>
      <w:jc w:val="center"/>
      <w:rPr>
        <w:rFonts w:ascii="Arial" w:hAnsi="Arial" w:cs="Arial"/>
        <w:color w:val="663300"/>
        <w:sz w:val="16"/>
        <w:szCs w:val="16"/>
      </w:rPr>
    </w:pPr>
    <w:r w:rsidRPr="0063344E">
      <w:rPr>
        <w:rFonts w:ascii="Arial" w:hAnsi="Arial" w:cs="Arial"/>
        <w:color w:val="663300"/>
        <w:sz w:val="16"/>
        <w:szCs w:val="16"/>
      </w:rPr>
      <w:t>Indiana Brownfields Program</w:t>
    </w:r>
  </w:p>
  <w:p w:rsidR="000D0DE5" w:rsidRPr="0063344E" w:rsidRDefault="000D0DE5" w:rsidP="006C527A">
    <w:pPr>
      <w:pStyle w:val="Footer"/>
      <w:jc w:val="center"/>
      <w:rPr>
        <w:rFonts w:ascii="Arial" w:hAnsi="Arial" w:cs="Arial"/>
        <w:color w:val="663300"/>
        <w:sz w:val="16"/>
        <w:szCs w:val="16"/>
      </w:rPr>
    </w:pPr>
    <w:smartTag w:uri="urn:schemas-microsoft-com:office:smarttags" w:element="Street">
      <w:smartTag w:uri="urn:schemas-microsoft-com:office:smarttags" w:element="address">
        <w:r w:rsidRPr="0063344E">
          <w:rPr>
            <w:rFonts w:ascii="Arial" w:hAnsi="Arial" w:cs="Arial"/>
            <w:color w:val="663300"/>
            <w:sz w:val="16"/>
            <w:szCs w:val="16"/>
          </w:rPr>
          <w:t>100 North Senate Avenue</w:t>
        </w:r>
      </w:smartTag>
    </w:smartTag>
    <w:r w:rsidRPr="0063344E">
      <w:rPr>
        <w:rFonts w:ascii="Arial" w:hAnsi="Arial" w:cs="Arial"/>
        <w:color w:val="663300"/>
        <w:sz w:val="16"/>
        <w:szCs w:val="16"/>
      </w:rPr>
      <w:t xml:space="preserve">, Room 1275  •  </w:t>
    </w:r>
    <w:smartTag w:uri="urn:schemas-microsoft-com:office:smarttags" w:element="place">
      <w:smartTag w:uri="urn:schemas-microsoft-com:office:smarttags" w:element="City">
        <w:r w:rsidRPr="0063344E">
          <w:rPr>
            <w:rFonts w:ascii="Arial" w:hAnsi="Arial" w:cs="Arial"/>
            <w:color w:val="663300"/>
            <w:sz w:val="16"/>
            <w:szCs w:val="16"/>
          </w:rPr>
          <w:t>Indianapolis</w:t>
        </w:r>
      </w:smartTag>
      <w:r w:rsidRPr="0063344E">
        <w:rPr>
          <w:rFonts w:ascii="Arial" w:hAnsi="Arial" w:cs="Arial"/>
          <w:color w:val="663300"/>
          <w:sz w:val="16"/>
          <w:szCs w:val="16"/>
        </w:rPr>
        <w:t xml:space="preserve">, </w:t>
      </w:r>
      <w:smartTag w:uri="urn:schemas-microsoft-com:office:smarttags" w:element="State">
        <w:r w:rsidRPr="0063344E">
          <w:rPr>
            <w:rFonts w:ascii="Arial" w:hAnsi="Arial" w:cs="Arial"/>
            <w:color w:val="663300"/>
            <w:sz w:val="16"/>
            <w:szCs w:val="16"/>
          </w:rPr>
          <w:t>IN</w:t>
        </w:r>
      </w:smartTag>
      <w:r w:rsidRPr="0063344E">
        <w:rPr>
          <w:rFonts w:ascii="Arial" w:hAnsi="Arial" w:cs="Arial"/>
          <w:color w:val="663300"/>
          <w:sz w:val="16"/>
          <w:szCs w:val="16"/>
        </w:rPr>
        <w:t xml:space="preserve"> </w:t>
      </w:r>
      <w:smartTag w:uri="urn:schemas-microsoft-com:office:smarttags" w:element="PostalCode">
        <w:r w:rsidRPr="0063344E">
          <w:rPr>
            <w:rFonts w:ascii="Arial" w:hAnsi="Arial" w:cs="Arial"/>
            <w:color w:val="663300"/>
            <w:sz w:val="16"/>
            <w:szCs w:val="16"/>
          </w:rPr>
          <w:t>46204</w:t>
        </w:r>
      </w:smartTag>
    </w:smartTag>
  </w:p>
  <w:p w:rsidR="000D0DE5" w:rsidRDefault="000D0DE5" w:rsidP="006C527A">
    <w:pPr>
      <w:pStyle w:val="Footer"/>
      <w:jc w:val="center"/>
      <w:rPr>
        <w:rFonts w:ascii="Arial" w:hAnsi="Arial" w:cs="Arial"/>
        <w:color w:val="663300"/>
        <w:sz w:val="16"/>
        <w:szCs w:val="16"/>
      </w:rPr>
    </w:pPr>
    <w:r w:rsidRPr="0063344E">
      <w:rPr>
        <w:rFonts w:ascii="Arial" w:hAnsi="Arial" w:cs="Arial"/>
        <w:color w:val="663300"/>
        <w:sz w:val="16"/>
        <w:szCs w:val="16"/>
      </w:rPr>
      <w:t>www.brownfields.in.gov</w:t>
    </w:r>
  </w:p>
  <w:p w:rsidR="000D0DE5" w:rsidRDefault="000D0DE5" w:rsidP="00F0248F">
    <w:pPr>
      <w:pStyle w:val="Footer"/>
      <w:jc w:val="center"/>
      <w:rPr>
        <w:rFonts w:ascii="Arial" w:hAnsi="Arial" w:cs="Arial"/>
        <w:color w:val="663300"/>
        <w:sz w:val="16"/>
        <w:szCs w:val="16"/>
      </w:rPr>
    </w:pPr>
    <w:r>
      <w:rPr>
        <w:rFonts w:ascii="Arial" w:hAnsi="Arial" w:cs="Arial"/>
        <w:color w:val="663300"/>
        <w:sz w:val="16"/>
        <w:szCs w:val="16"/>
      </w:rPr>
      <w:t>Phone  317.234.4293</w:t>
    </w:r>
  </w:p>
  <w:p w:rsidR="000D0DE5" w:rsidRPr="0063344E" w:rsidRDefault="000D0DE5" w:rsidP="00F0248F">
    <w:pPr>
      <w:pStyle w:val="Footer"/>
      <w:jc w:val="center"/>
      <w:rPr>
        <w:rFonts w:ascii="Arial" w:hAnsi="Arial" w:cs="Arial"/>
        <w:color w:val="663300"/>
        <w:sz w:val="16"/>
        <w:szCs w:val="16"/>
      </w:rPr>
    </w:pPr>
    <w:r>
      <w:rPr>
        <w:rFonts w:ascii="Arial" w:hAnsi="Arial" w:cs="Arial"/>
        <w:color w:val="663300"/>
        <w:sz w:val="16"/>
        <w:szCs w:val="16"/>
      </w:rPr>
      <w:t>Fax   317.234.1338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840B3"/>
    <w:multiLevelType w:val="hybridMultilevel"/>
    <w:tmpl w:val="B2202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DDE4E49"/>
    <w:multiLevelType w:val="hybridMultilevel"/>
    <w:tmpl w:val="1A022DEC"/>
    <w:lvl w:ilvl="0" w:tplc="1108D724">
      <w:start w:val="7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A1"/>
    <w:rsid w:val="00081061"/>
    <w:rsid w:val="000B3DEB"/>
    <w:rsid w:val="000D0DE5"/>
    <w:rsid w:val="001824A6"/>
    <w:rsid w:val="00196C85"/>
    <w:rsid w:val="001B03A1"/>
    <w:rsid w:val="001F337A"/>
    <w:rsid w:val="0023696A"/>
    <w:rsid w:val="002620F3"/>
    <w:rsid w:val="00265403"/>
    <w:rsid w:val="002929CA"/>
    <w:rsid w:val="002F0847"/>
    <w:rsid w:val="00305FE3"/>
    <w:rsid w:val="00363C47"/>
    <w:rsid w:val="00374203"/>
    <w:rsid w:val="003844AD"/>
    <w:rsid w:val="003A32EB"/>
    <w:rsid w:val="003D5B41"/>
    <w:rsid w:val="00406177"/>
    <w:rsid w:val="00454DC4"/>
    <w:rsid w:val="00462104"/>
    <w:rsid w:val="00487281"/>
    <w:rsid w:val="004A7F3A"/>
    <w:rsid w:val="004F70E6"/>
    <w:rsid w:val="00523D09"/>
    <w:rsid w:val="00560716"/>
    <w:rsid w:val="005A175B"/>
    <w:rsid w:val="005C232F"/>
    <w:rsid w:val="005E4CE5"/>
    <w:rsid w:val="005F2263"/>
    <w:rsid w:val="006020A5"/>
    <w:rsid w:val="00605013"/>
    <w:rsid w:val="0063344E"/>
    <w:rsid w:val="0065048C"/>
    <w:rsid w:val="00666576"/>
    <w:rsid w:val="00695507"/>
    <w:rsid w:val="006C527A"/>
    <w:rsid w:val="00760038"/>
    <w:rsid w:val="00882F4F"/>
    <w:rsid w:val="008D7AC5"/>
    <w:rsid w:val="00915B5D"/>
    <w:rsid w:val="00924ED8"/>
    <w:rsid w:val="0095232D"/>
    <w:rsid w:val="00993864"/>
    <w:rsid w:val="00A074BB"/>
    <w:rsid w:val="00A128B4"/>
    <w:rsid w:val="00A167CC"/>
    <w:rsid w:val="00AF0D99"/>
    <w:rsid w:val="00B215DC"/>
    <w:rsid w:val="00B25848"/>
    <w:rsid w:val="00B46FD4"/>
    <w:rsid w:val="00BB3587"/>
    <w:rsid w:val="00BC021A"/>
    <w:rsid w:val="00BE00B7"/>
    <w:rsid w:val="00C615C5"/>
    <w:rsid w:val="00C96B42"/>
    <w:rsid w:val="00CB3513"/>
    <w:rsid w:val="00D27E88"/>
    <w:rsid w:val="00D411FC"/>
    <w:rsid w:val="00D42E67"/>
    <w:rsid w:val="00D4366F"/>
    <w:rsid w:val="00D94386"/>
    <w:rsid w:val="00E05DB0"/>
    <w:rsid w:val="00E377A1"/>
    <w:rsid w:val="00E764B2"/>
    <w:rsid w:val="00E91CBC"/>
    <w:rsid w:val="00EF1C26"/>
    <w:rsid w:val="00F0248F"/>
    <w:rsid w:val="00F176F1"/>
    <w:rsid w:val="00F21C29"/>
    <w:rsid w:val="00F35D43"/>
    <w:rsid w:val="00F73B8A"/>
    <w:rsid w:val="00F957E0"/>
    <w:rsid w:val="00FE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5:docId w15:val="{FB5C412E-F95A-439A-B694-E07D6E31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E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77A1"/>
    <w:pPr>
      <w:tabs>
        <w:tab w:val="center" w:pos="4320"/>
        <w:tab w:val="right" w:pos="8640"/>
      </w:tabs>
    </w:pPr>
  </w:style>
  <w:style w:type="paragraph" w:styleId="Footer">
    <w:name w:val="footer"/>
    <w:basedOn w:val="Normal"/>
    <w:link w:val="FooterChar"/>
    <w:uiPriority w:val="99"/>
    <w:rsid w:val="00E377A1"/>
    <w:pPr>
      <w:tabs>
        <w:tab w:val="center" w:pos="4320"/>
        <w:tab w:val="right" w:pos="8640"/>
      </w:tabs>
    </w:pPr>
  </w:style>
  <w:style w:type="paragraph" w:styleId="BodyText">
    <w:name w:val="Body Text"/>
    <w:basedOn w:val="Normal"/>
    <w:rsid w:val="00E377A1"/>
    <w:rPr>
      <w:sz w:val="22"/>
      <w:szCs w:val="20"/>
    </w:rPr>
  </w:style>
  <w:style w:type="character" w:customStyle="1" w:styleId="EmailStyle18">
    <w:name w:val="EmailStyle18"/>
    <w:basedOn w:val="DefaultParagraphFont"/>
    <w:semiHidden/>
    <w:rsid w:val="00D94386"/>
    <w:rPr>
      <w:rFonts w:ascii="Comic Sans MS" w:hAnsi="Comic Sans MS" w:hint="default"/>
      <w:b w:val="0"/>
      <w:bCs w:val="0"/>
      <w:i w:val="0"/>
      <w:iCs w:val="0"/>
      <w:color w:val="auto"/>
      <w:sz w:val="20"/>
      <w:szCs w:val="20"/>
    </w:rPr>
  </w:style>
  <w:style w:type="table" w:styleId="TableGrid">
    <w:name w:val="Table Grid"/>
    <w:basedOn w:val="TableNormal"/>
    <w:rsid w:val="00633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42E67"/>
    <w:rPr>
      <w:color w:val="0000FF"/>
      <w:u w:val="single"/>
    </w:rPr>
  </w:style>
  <w:style w:type="paragraph" w:styleId="BalloonText">
    <w:name w:val="Balloon Text"/>
    <w:basedOn w:val="Normal"/>
    <w:semiHidden/>
    <w:rsid w:val="005E4CE5"/>
    <w:rPr>
      <w:rFonts w:ascii="Tahoma" w:hAnsi="Tahoma" w:cs="Tahoma"/>
      <w:sz w:val="16"/>
      <w:szCs w:val="16"/>
    </w:rPr>
  </w:style>
  <w:style w:type="character" w:customStyle="1" w:styleId="FooterChar">
    <w:name w:val="Footer Char"/>
    <w:basedOn w:val="DefaultParagraphFont"/>
    <w:link w:val="Footer"/>
    <w:uiPriority w:val="99"/>
    <w:rsid w:val="001B03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51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gov/icpr/30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June 15, 2006</vt:lpstr>
    </vt:vector>
  </TitlesOfParts>
  <Company>IDFA</Company>
  <LinksUpToDate>false</LinksUpToDate>
  <CharactersWithSpaces>3291</CharactersWithSpaces>
  <SharedDoc>false</SharedDoc>
  <HLinks>
    <vt:vector size="6" baseType="variant">
      <vt:variant>
        <vt:i4>6750321</vt:i4>
      </vt:variant>
      <vt:variant>
        <vt:i4>0</vt:i4>
      </vt:variant>
      <vt:variant>
        <vt:i4>0</vt:i4>
      </vt:variant>
      <vt:variant>
        <vt:i4>5</vt:i4>
      </vt:variant>
      <vt:variant>
        <vt:lpwstr>http://www.in.gov/icpr/3030.htm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15, 2006</dc:title>
  <dc:creator>moertel</dc:creator>
  <cp:lastModifiedBy>OERTEL, MICHELE</cp:lastModifiedBy>
  <cp:revision>4</cp:revision>
  <cp:lastPrinted>2007-05-10T17:38:00Z</cp:lastPrinted>
  <dcterms:created xsi:type="dcterms:W3CDTF">2016-06-22T18:54:00Z</dcterms:created>
  <dcterms:modified xsi:type="dcterms:W3CDTF">2016-06-22T19:08:00Z</dcterms:modified>
</cp:coreProperties>
</file>