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EA108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Senate Enrolled Act No. 360</w:t>
        </w:r>
      </w:hyperlink>
      <w:r w:rsidRPr="00F44D30">
        <w:rPr>
          <w:rFonts w:ascii="Times New Roman" w:eastAsia="Times New Roman" w:hAnsi="Times New Roman" w:cs="Times New Roman"/>
          <w:sz w:val="24"/>
          <w:szCs w:val="24"/>
        </w:rPr>
        <w:t>, passed in 1997</w:t>
      </w:r>
    </w:p>
    <w:p w14:paraId="6584A3D1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House Enrolled Act 1909</w:t>
        </w:r>
      </w:hyperlink>
      <w:r w:rsidRPr="00F44D30">
        <w:rPr>
          <w:rFonts w:ascii="Times New Roman" w:eastAsia="Times New Roman" w:hAnsi="Times New Roman" w:cs="Times New Roman"/>
          <w:sz w:val="24"/>
          <w:szCs w:val="24"/>
        </w:rPr>
        <w:t>, passed in 1999</w:t>
      </w:r>
    </w:p>
    <w:p w14:paraId="2C8D890E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House Enrolled Act 1935</w:t>
        </w:r>
      </w:hyperlink>
      <w:r w:rsidRPr="00F44D30">
        <w:rPr>
          <w:rFonts w:ascii="Times New Roman" w:eastAsia="Times New Roman" w:hAnsi="Times New Roman" w:cs="Times New Roman"/>
          <w:sz w:val="24"/>
          <w:szCs w:val="24"/>
        </w:rPr>
        <w:t>, passed in 2001</w:t>
      </w:r>
    </w:p>
    <w:p w14:paraId="4CCFA8CA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Senate Enrolled Act 273</w:t>
        </w:r>
      </w:hyperlink>
      <w:r w:rsidRPr="00F44D30">
        <w:rPr>
          <w:rFonts w:ascii="Times New Roman" w:eastAsia="Times New Roman" w:hAnsi="Times New Roman" w:cs="Times New Roman"/>
          <w:sz w:val="24"/>
          <w:szCs w:val="24"/>
        </w:rPr>
        <w:t>, passed in 2001</w:t>
      </w:r>
    </w:p>
    <w:p w14:paraId="558B2AE4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Senate Bill 339</w:t>
        </w:r>
      </w:hyperlink>
      <w:r w:rsidRPr="00F44D30">
        <w:rPr>
          <w:rFonts w:ascii="Times New Roman" w:eastAsia="Times New Roman" w:hAnsi="Times New Roman" w:cs="Times New Roman"/>
          <w:sz w:val="24"/>
          <w:szCs w:val="24"/>
        </w:rPr>
        <w:t>, passed in 2001</w:t>
      </w:r>
    </w:p>
    <w:p w14:paraId="56F9610A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Senate Enrolled Act 170</w:t>
        </w:r>
      </w:hyperlink>
      <w:r w:rsidRPr="00F44D30">
        <w:rPr>
          <w:rFonts w:ascii="Times New Roman" w:eastAsia="Times New Roman" w:hAnsi="Times New Roman" w:cs="Times New Roman"/>
          <w:sz w:val="24"/>
          <w:szCs w:val="24"/>
        </w:rPr>
        <w:t>, passed in 2001</w:t>
      </w:r>
    </w:p>
    <w:p w14:paraId="380CB245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Senate Enrolled Act 321</w:t>
        </w:r>
      </w:hyperlink>
      <w:r w:rsidRPr="00F44D30">
        <w:rPr>
          <w:rFonts w:ascii="Times New Roman" w:eastAsia="Times New Roman" w:hAnsi="Times New Roman" w:cs="Times New Roman"/>
          <w:sz w:val="24"/>
          <w:szCs w:val="24"/>
        </w:rPr>
        <w:t>, passed in 2001</w:t>
      </w:r>
    </w:p>
    <w:p w14:paraId="5A1FE1A6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Federal Small Business Liability Relief and Brownfields Revitalization Act, passed 2001 </w:t>
        </w:r>
      </w:hyperlink>
    </w:p>
    <w:p w14:paraId="14207C51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House Enrolled Act No. 1714</w:t>
        </w:r>
      </w:hyperlink>
      <w:r w:rsidRPr="00F44D30">
        <w:rPr>
          <w:rFonts w:ascii="Times New Roman" w:eastAsia="Times New Roman" w:hAnsi="Times New Roman" w:cs="Times New Roman"/>
          <w:sz w:val="24"/>
          <w:szCs w:val="24"/>
        </w:rPr>
        <w:t>, passed in 2003</w:t>
      </w:r>
    </w:p>
    <w:p w14:paraId="3D4DEF31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Senate Enrolled Act No. 207</w:t>
        </w:r>
      </w:hyperlink>
      <w:r w:rsidRPr="00F44D30">
        <w:rPr>
          <w:rFonts w:ascii="Times New Roman" w:eastAsia="Times New Roman" w:hAnsi="Times New Roman" w:cs="Times New Roman"/>
          <w:sz w:val="24"/>
          <w:szCs w:val="24"/>
        </w:rPr>
        <w:t>, passed in 2003</w:t>
      </w:r>
    </w:p>
    <w:p w14:paraId="71DDF461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IC13-25-3-1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Indiana Responsible Property Transfer Law</w:t>
        </w:r>
      </w:hyperlink>
    </w:p>
    <w:p w14:paraId="6AF51550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Comprehensive Environmental Response, Compensation, and Liability Act (CERCLA or Superfund) 42 U.S.C. s/s 9601 et seq. (1980) </w:t>
        </w:r>
      </w:hyperlink>
    </w:p>
    <w:p w14:paraId="573F8370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IDEM’s Risk Integrated System of Closure </w:t>
        </w:r>
      </w:hyperlink>
    </w:p>
    <w:p w14:paraId="3AA256C0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Indiana’s Environmental Rules and Statutes </w:t>
        </w:r>
      </w:hyperlink>
    </w:p>
    <w:p w14:paraId="00E6CF48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IC13-11-2-150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Definition of Statutory Owner of an Underground Storage Tank </w:t>
        </w:r>
      </w:hyperlink>
    </w:p>
    <w:p w14:paraId="31AAB43B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House Enrolled Act 1653, passed in 2005 </w:t>
        </w:r>
      </w:hyperlink>
    </w:p>
    <w:p w14:paraId="7CD10250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Senate Enrolled Act 578, passed in 2005 </w:t>
        </w:r>
      </w:hyperlink>
    </w:p>
    <w:p w14:paraId="7952BC52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House Enrolled Act 1033, passed in 2005 </w:t>
        </w:r>
      </w:hyperlink>
    </w:p>
    <w:p w14:paraId="760F84C1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House Enrolled Act 1192, passed in 2007</w:t>
        </w:r>
      </w:hyperlink>
    </w:p>
    <w:p w14:paraId="4C64E0C4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2007 Legislative Summary</w:t>
        </w:r>
      </w:hyperlink>
    </w:p>
    <w:p w14:paraId="550F9465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F44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Brownfields Utilization, Investment and Local Development (BUILD) Act, 2018 (Pub. L. No. 115-141)</w:t>
        </w:r>
      </w:hyperlink>
    </w:p>
    <w:p w14:paraId="51BCD4AF" w14:textId="77777777" w:rsidR="00F44D30" w:rsidRPr="00F44D30" w:rsidRDefault="00F44D30" w:rsidP="00F44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7A357" w14:textId="77777777" w:rsidR="001F628C" w:rsidRDefault="00F44D30"/>
    <w:sectPr w:rsidR="001F6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A6E9E"/>
    <w:multiLevelType w:val="multilevel"/>
    <w:tmpl w:val="E50A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30"/>
    <w:rsid w:val="000E2BCF"/>
    <w:rsid w:val="001D4137"/>
    <w:rsid w:val="00D36793"/>
    <w:rsid w:val="00F4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BA83"/>
  <w15:chartTrackingRefBased/>
  <w15:docId w15:val="{3FB9092B-1965-4907-9F3C-52B89CCB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4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in.us/legislative/bills/2001/SE/SE0273.1.html" TargetMode="External"/><Relationship Id="rId13" Type="http://schemas.openxmlformats.org/officeDocument/2006/relationships/hyperlink" Target="http://www.in.gov/legislative/bills/2003/HE/HE1714.1.html" TargetMode="External"/><Relationship Id="rId18" Type="http://schemas.openxmlformats.org/officeDocument/2006/relationships/hyperlink" Target="http://www.in.gov/idem/4087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n.gov/legislative/bills/2005/SE/SE0578.1.html" TargetMode="External"/><Relationship Id="rId7" Type="http://schemas.openxmlformats.org/officeDocument/2006/relationships/hyperlink" Target="http://www.state.in.us/legislative/bills/2001/HE/HE1935.1.html" TargetMode="External"/><Relationship Id="rId12" Type="http://schemas.openxmlformats.org/officeDocument/2006/relationships/hyperlink" Target="http://www.epa.gov/brownfields/html-doc/hr2869.htm" TargetMode="External"/><Relationship Id="rId17" Type="http://schemas.openxmlformats.org/officeDocument/2006/relationships/hyperlink" Target="http://www.in.gov/idem/4153.htm" TargetMode="External"/><Relationship Id="rId25" Type="http://schemas.openxmlformats.org/officeDocument/2006/relationships/hyperlink" Target="https://www.epa.gov/brownfields/2018-build-act-division-n-consolidated-appropriations-act-20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4.law.cornell.edu/uscode/42/ch103.html" TargetMode="External"/><Relationship Id="rId20" Type="http://schemas.openxmlformats.org/officeDocument/2006/relationships/hyperlink" Target="http://www.in.gov/legislative/bills/2005/HE/HE1653.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i.org/legislative/bills/1999/HE/HE1909.1.html" TargetMode="External"/><Relationship Id="rId11" Type="http://schemas.openxmlformats.org/officeDocument/2006/relationships/hyperlink" Target="http://www.in.gov/legislative/bills/2001/SE/SE0321.1.html" TargetMode="External"/><Relationship Id="rId24" Type="http://schemas.openxmlformats.org/officeDocument/2006/relationships/hyperlink" Target="./?a=149226" TargetMode="External"/><Relationship Id="rId5" Type="http://schemas.openxmlformats.org/officeDocument/2006/relationships/hyperlink" Target="http://www.in.gov/legislative/bills/1997/se/se0360.1.html" TargetMode="External"/><Relationship Id="rId15" Type="http://schemas.openxmlformats.org/officeDocument/2006/relationships/hyperlink" Target="http://www.ai.org/legislative/ic/code/title13/ar25/ch3.html" TargetMode="External"/><Relationship Id="rId23" Type="http://schemas.openxmlformats.org/officeDocument/2006/relationships/hyperlink" Target="http://www.in.gov/legislative/bills/2007/HE/HE1192.1.html" TargetMode="External"/><Relationship Id="rId10" Type="http://schemas.openxmlformats.org/officeDocument/2006/relationships/hyperlink" Target="http://www.in.gov/legislative/bills/2001/SE/SE0170.1.html" TargetMode="External"/><Relationship Id="rId19" Type="http://schemas.openxmlformats.org/officeDocument/2006/relationships/hyperlink" Target="http://www.ai.org/legislative/ic/code/title13/ar11/ch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e.in.us/legislative/bills/2001/SB/SB0339.1.html" TargetMode="External"/><Relationship Id="rId14" Type="http://schemas.openxmlformats.org/officeDocument/2006/relationships/hyperlink" Target="http://www.in.gov/legislative/bills/2003/SE/SE0207.1.html" TargetMode="External"/><Relationship Id="rId22" Type="http://schemas.openxmlformats.org/officeDocument/2006/relationships/hyperlink" Target="http://www.in.gov/legislative/bills/2005/HE/HE1033.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Tonya</dc:creator>
  <cp:keywords/>
  <dc:description/>
  <cp:lastModifiedBy>Keller, Tonya</cp:lastModifiedBy>
  <cp:revision>1</cp:revision>
  <dcterms:created xsi:type="dcterms:W3CDTF">2021-03-08T19:34:00Z</dcterms:created>
  <dcterms:modified xsi:type="dcterms:W3CDTF">2021-03-08T19:36:00Z</dcterms:modified>
</cp:coreProperties>
</file>