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8E" w:rsidRDefault="003A204D" w:rsidP="0043588E">
      <w:pPr>
        <w:pStyle w:val="NoSpacing"/>
        <w:rPr>
          <w:rStyle w:val="Strong"/>
          <w:rFonts w:cs="Calibri"/>
          <w:sz w:val="20"/>
          <w:szCs w:val="20"/>
          <w:lang w:val="en"/>
        </w:rPr>
      </w:pPr>
      <w:r>
        <w:rPr>
          <w:rStyle w:val="Strong"/>
          <w:rFonts w:cs="Calibri"/>
          <w:sz w:val="20"/>
          <w:szCs w:val="20"/>
          <w:lang w:val="en"/>
        </w:rPr>
        <w:t>Attachment I</w:t>
      </w:r>
      <w:bookmarkStart w:id="0" w:name="_GoBack"/>
      <w:bookmarkEnd w:id="0"/>
      <w:r w:rsidR="00593686">
        <w:rPr>
          <w:rStyle w:val="Strong"/>
          <w:rFonts w:cs="Calibri"/>
          <w:sz w:val="20"/>
          <w:szCs w:val="20"/>
          <w:lang w:val="en"/>
        </w:rPr>
        <w:t xml:space="preserve"> – Matching Funds (RFP-20-010</w:t>
      </w:r>
      <w:r w:rsidR="0043588E">
        <w:rPr>
          <w:rStyle w:val="Strong"/>
          <w:rFonts w:cs="Calibri"/>
          <w:sz w:val="20"/>
          <w:szCs w:val="20"/>
          <w:lang w:val="en"/>
        </w:rPr>
        <w:t>)</w:t>
      </w:r>
    </w:p>
    <w:p w:rsidR="0043588E" w:rsidRDefault="0043588E" w:rsidP="0043588E">
      <w:pPr>
        <w:pStyle w:val="NoSpacing"/>
        <w:rPr>
          <w:rStyle w:val="Strong"/>
          <w:rFonts w:cs="Calibri"/>
          <w:sz w:val="20"/>
          <w:szCs w:val="20"/>
          <w:lang w:val="en"/>
        </w:rPr>
      </w:pPr>
    </w:p>
    <w:p w:rsidR="0043588E" w:rsidRDefault="0043588E" w:rsidP="0043588E">
      <w:pPr>
        <w:pStyle w:val="NoSpacing"/>
        <w:rPr>
          <w:rStyle w:val="Strong"/>
          <w:rFonts w:cs="Calibri"/>
          <w:sz w:val="20"/>
          <w:szCs w:val="20"/>
          <w:lang w:val="en"/>
        </w:rPr>
      </w:pPr>
      <w:r w:rsidRPr="002C4E47">
        <w:rPr>
          <w:rStyle w:val="Strong"/>
          <w:rFonts w:cs="Calibri"/>
          <w:sz w:val="20"/>
          <w:szCs w:val="20"/>
          <w:lang w:val="en"/>
        </w:rPr>
        <w:t>Matching</w:t>
      </w:r>
      <w:r w:rsidRPr="002C4E47">
        <w:rPr>
          <w:lang w:val="en"/>
        </w:rPr>
        <w:t xml:space="preserve"> </w:t>
      </w:r>
      <w:r w:rsidRPr="002C4E47">
        <w:rPr>
          <w:rStyle w:val="Strong"/>
          <w:rFonts w:cs="Calibri"/>
          <w:sz w:val="20"/>
          <w:szCs w:val="20"/>
          <w:lang w:val="en"/>
        </w:rPr>
        <w:t>funds</w:t>
      </w:r>
    </w:p>
    <w:p w:rsidR="0043588E" w:rsidRPr="002C4E47" w:rsidRDefault="0043588E" w:rsidP="0043588E">
      <w:pPr>
        <w:pStyle w:val="NoSpacing"/>
        <w:rPr>
          <w:rFonts w:ascii="Arial" w:hAnsi="Arial" w:cs="Arial"/>
          <w:b/>
          <w:bCs/>
          <w:i/>
          <w:iCs/>
          <w:caps/>
          <w:color w:val="000000"/>
          <w:sz w:val="20"/>
          <w:szCs w:val="20"/>
          <w:lang w:val="en"/>
        </w:rPr>
      </w:pPr>
      <w:r w:rsidRPr="002C4E47">
        <w:rPr>
          <w:rStyle w:val="Strong"/>
          <w:rFonts w:cs="Calibri"/>
          <w:i/>
          <w:sz w:val="20"/>
          <w:szCs w:val="20"/>
          <w:lang w:val="en"/>
        </w:rPr>
        <w:t>Matching</w:t>
      </w:r>
      <w:r w:rsidRPr="002C4E47">
        <w:rPr>
          <w:rFonts w:cs="Calibri"/>
          <w:i/>
          <w:sz w:val="20"/>
          <w:szCs w:val="20"/>
          <w:lang w:val="en"/>
        </w:rPr>
        <w:t xml:space="preserve"> </w:t>
      </w:r>
      <w:r w:rsidRPr="002C4E47">
        <w:rPr>
          <w:rStyle w:val="Strong"/>
          <w:rFonts w:cs="Calibri"/>
          <w:i/>
          <w:sz w:val="20"/>
          <w:szCs w:val="20"/>
          <w:lang w:val="en"/>
        </w:rPr>
        <w:t>funds</w:t>
      </w:r>
      <w:r w:rsidRPr="002C4E47">
        <w:rPr>
          <w:rFonts w:cs="Calibri"/>
          <w:i/>
          <w:sz w:val="20"/>
          <w:szCs w:val="20"/>
          <w:lang w:val="en"/>
        </w:rPr>
        <w:t xml:space="preserve"> are </w:t>
      </w:r>
      <w:r w:rsidRPr="002C4E47">
        <w:rPr>
          <w:rStyle w:val="Strong"/>
          <w:rFonts w:cs="Calibri"/>
          <w:i/>
          <w:sz w:val="20"/>
          <w:szCs w:val="20"/>
          <w:lang w:val="en"/>
        </w:rPr>
        <w:t>funds</w:t>
      </w:r>
      <w:r w:rsidRPr="002C4E47">
        <w:rPr>
          <w:rFonts w:cs="Calibri"/>
          <w:i/>
          <w:sz w:val="20"/>
          <w:szCs w:val="20"/>
          <w:lang w:val="en"/>
        </w:rPr>
        <w:t xml:space="preserve"> that are set to be paid in equal amount to </w:t>
      </w:r>
      <w:r w:rsidRPr="002C4E47">
        <w:rPr>
          <w:rStyle w:val="Strong"/>
          <w:rFonts w:cs="Calibri"/>
          <w:i/>
          <w:sz w:val="20"/>
          <w:szCs w:val="20"/>
          <w:lang w:val="en"/>
        </w:rPr>
        <w:t>funds</w:t>
      </w:r>
      <w:r w:rsidRPr="002C4E47">
        <w:rPr>
          <w:rFonts w:cs="Calibri"/>
          <w:i/>
          <w:sz w:val="20"/>
          <w:szCs w:val="20"/>
          <w:lang w:val="en"/>
        </w:rPr>
        <w:t xml:space="preserve"> available from other sources. </w:t>
      </w:r>
      <w:r w:rsidRPr="002C4E47">
        <w:rPr>
          <w:rStyle w:val="Strong"/>
          <w:rFonts w:cs="Calibri"/>
          <w:i/>
          <w:sz w:val="20"/>
          <w:szCs w:val="20"/>
          <w:lang w:val="en"/>
        </w:rPr>
        <w:t>Matching</w:t>
      </w:r>
      <w:r w:rsidRPr="002C4E47">
        <w:rPr>
          <w:rFonts w:cs="Calibri"/>
          <w:i/>
          <w:sz w:val="20"/>
          <w:szCs w:val="20"/>
          <w:lang w:val="en"/>
        </w:rPr>
        <w:t xml:space="preserve"> </w:t>
      </w:r>
      <w:r w:rsidRPr="002C4E47">
        <w:rPr>
          <w:rStyle w:val="Strong"/>
          <w:rFonts w:cs="Calibri"/>
          <w:i/>
          <w:sz w:val="20"/>
          <w:szCs w:val="20"/>
          <w:lang w:val="en"/>
        </w:rPr>
        <w:t>fund</w:t>
      </w:r>
      <w:r w:rsidRPr="002C4E47">
        <w:rPr>
          <w:rFonts w:cs="Calibri"/>
          <w:i/>
          <w:sz w:val="20"/>
          <w:szCs w:val="20"/>
          <w:lang w:val="en"/>
        </w:rPr>
        <w:t xml:space="preserve"> payments usually arise in situations of charity or public good. The terms cost sharing, in-kind, and </w:t>
      </w:r>
      <w:r w:rsidRPr="002C4E47">
        <w:rPr>
          <w:rStyle w:val="Strong"/>
          <w:rFonts w:cs="Calibri"/>
          <w:i/>
          <w:sz w:val="20"/>
          <w:szCs w:val="20"/>
          <w:lang w:val="en"/>
        </w:rPr>
        <w:t>matching</w:t>
      </w:r>
      <w:r w:rsidRPr="002C4E47">
        <w:rPr>
          <w:rFonts w:cs="Calibri"/>
          <w:i/>
          <w:sz w:val="20"/>
          <w:szCs w:val="20"/>
          <w:lang w:val="en"/>
        </w:rPr>
        <w:t xml:space="preserve"> are often used interchangeably.</w:t>
      </w:r>
      <w:r w:rsidRPr="002C4E47">
        <w:rPr>
          <w:rFonts w:ascii="Arial" w:hAnsi="Arial" w:cs="Arial"/>
          <w:b/>
          <w:bCs/>
          <w:i/>
          <w:iCs/>
          <w:caps/>
          <w:color w:val="000000"/>
          <w:sz w:val="20"/>
          <w:szCs w:val="20"/>
          <w:lang w:val="en"/>
        </w:rPr>
        <w:t xml:space="preserve"> </w:t>
      </w:r>
    </w:p>
    <w:p w:rsidR="0043588E" w:rsidRDefault="0043588E" w:rsidP="0043588E">
      <w:pPr>
        <w:pStyle w:val="NoSpacing"/>
        <w:rPr>
          <w:b/>
          <w:sz w:val="20"/>
          <w:szCs w:val="20"/>
          <w:lang w:val="en"/>
        </w:rPr>
      </w:pPr>
    </w:p>
    <w:p w:rsidR="0043588E" w:rsidRPr="002C4E47" w:rsidRDefault="0043588E" w:rsidP="0043588E">
      <w:pPr>
        <w:pStyle w:val="NoSpacing"/>
        <w:rPr>
          <w:b/>
          <w:sz w:val="20"/>
          <w:szCs w:val="20"/>
          <w:lang w:val="en"/>
        </w:rPr>
      </w:pPr>
      <w:r w:rsidRPr="002C4E47">
        <w:rPr>
          <w:b/>
          <w:sz w:val="20"/>
          <w:szCs w:val="20"/>
          <w:lang w:val="en"/>
        </w:rPr>
        <w:t>In-kind contributions (soft cash match)</w:t>
      </w:r>
    </w:p>
    <w:p w:rsidR="0043588E" w:rsidRPr="002C4E47" w:rsidRDefault="0043588E" w:rsidP="0043588E">
      <w:pPr>
        <w:spacing w:after="150" w:line="240" w:lineRule="auto"/>
        <w:rPr>
          <w:rFonts w:eastAsia="Times New Roman" w:cs="Calibri"/>
          <w:color w:val="000000"/>
          <w:sz w:val="20"/>
          <w:szCs w:val="20"/>
          <w:lang w:val="en"/>
        </w:rPr>
      </w:pPr>
      <w:r w:rsidRPr="002C4E47">
        <w:rPr>
          <w:rFonts w:eastAsia="Times New Roman" w:cs="Calibri"/>
          <w:color w:val="000000"/>
          <w:sz w:val="20"/>
          <w:szCs w:val="20"/>
          <w:lang w:val="en"/>
        </w:rPr>
        <w:t>The in-kind part of the budget summary and budget detail narrative is where the agency list the value of human and material resources, the organization will make available to the grant-funded project.</w:t>
      </w:r>
    </w:p>
    <w:p w:rsidR="0043588E" w:rsidRPr="002C4E47" w:rsidRDefault="0043588E" w:rsidP="0043588E">
      <w:pPr>
        <w:spacing w:after="150" w:line="240" w:lineRule="auto"/>
        <w:rPr>
          <w:rFonts w:eastAsia="Times New Roman" w:cs="Calibri"/>
          <w:color w:val="000000"/>
          <w:sz w:val="20"/>
          <w:szCs w:val="20"/>
          <w:lang w:val="en"/>
        </w:rPr>
      </w:pPr>
      <w:r w:rsidRPr="002C4E47">
        <w:rPr>
          <w:rFonts w:eastAsia="Times New Roman" w:cs="Calibri"/>
          <w:color w:val="000000"/>
          <w:sz w:val="20"/>
          <w:szCs w:val="20"/>
          <w:lang w:val="en"/>
        </w:rPr>
        <w:t>When a grant application requires matching funds, every dollar requested from the funding source must be matched with a specified percent of the agency’s own monies. The funder’s guidelines tell you whether the match is 10, 20, 50, or 100 percent or higher. Some funders require a 3:1 or 4:1 match, meaning if you request $100,000, you must come up with matching funds in the amounts of $300,000 and $400,000, respectively.</w:t>
      </w:r>
    </w:p>
    <w:p w:rsidR="0043588E" w:rsidRPr="00E2724E" w:rsidRDefault="0043588E" w:rsidP="0043588E">
      <w:pPr>
        <w:pStyle w:val="NoSpacing"/>
        <w:numPr>
          <w:ilvl w:val="0"/>
          <w:numId w:val="1"/>
        </w:numPr>
        <w:rPr>
          <w:sz w:val="20"/>
          <w:szCs w:val="20"/>
          <w:lang w:val="en"/>
        </w:rPr>
      </w:pPr>
      <w:r w:rsidRPr="00E2724E">
        <w:rPr>
          <w:b/>
          <w:bCs/>
          <w:sz w:val="20"/>
          <w:szCs w:val="20"/>
          <w:lang w:val="en"/>
        </w:rPr>
        <w:t>Equipment:</w:t>
      </w:r>
      <w:r w:rsidRPr="00E2724E">
        <w:rPr>
          <w:sz w:val="20"/>
          <w:szCs w:val="20"/>
          <w:lang w:val="en"/>
        </w:rPr>
        <w:t xml:space="preserve"> Eligible equipment must be existing and you must document fair market value for each item.</w:t>
      </w:r>
    </w:p>
    <w:p w:rsidR="0043588E" w:rsidRPr="00E2724E" w:rsidRDefault="0043588E" w:rsidP="0043588E">
      <w:pPr>
        <w:pStyle w:val="NoSpacing"/>
        <w:numPr>
          <w:ilvl w:val="0"/>
          <w:numId w:val="1"/>
        </w:numPr>
        <w:rPr>
          <w:sz w:val="20"/>
          <w:szCs w:val="20"/>
          <w:lang w:val="en"/>
        </w:rPr>
      </w:pPr>
      <w:r w:rsidRPr="00E2724E">
        <w:rPr>
          <w:b/>
          <w:bCs/>
          <w:sz w:val="20"/>
          <w:szCs w:val="20"/>
          <w:lang w:val="en"/>
        </w:rPr>
        <w:t>Indirect charges:</w:t>
      </w:r>
      <w:r w:rsidRPr="00E2724E">
        <w:rPr>
          <w:sz w:val="20"/>
          <w:szCs w:val="20"/>
          <w:lang w:val="en"/>
        </w:rPr>
        <w:t xml:space="preserve"> Eligible indirect charges can be a line-item request in the grant budget; however, if you’re struggling to identify matching funds, use indirect charges as a matching contribution to be absorbed by your project.</w:t>
      </w:r>
    </w:p>
    <w:p w:rsidR="0043588E" w:rsidRPr="00E2724E" w:rsidRDefault="0043588E" w:rsidP="0043588E">
      <w:pPr>
        <w:spacing w:after="150" w:line="240" w:lineRule="auto"/>
        <w:ind w:left="720"/>
        <w:rPr>
          <w:rFonts w:eastAsia="Times New Roman" w:cs="Calibri"/>
          <w:color w:val="000000"/>
          <w:sz w:val="20"/>
          <w:szCs w:val="20"/>
          <w:lang w:val="en"/>
        </w:rPr>
      </w:pPr>
      <w:r w:rsidRPr="00E2724E">
        <w:rPr>
          <w:rFonts w:eastAsia="Times New Roman" w:cs="Calibri"/>
          <w:color w:val="000000"/>
          <w:sz w:val="20"/>
          <w:szCs w:val="20"/>
          <w:lang w:val="en"/>
        </w:rPr>
        <w:t>Indirect charges range from 5 percent to 66 percent of the budget subtotal and are allowable in federal grant applications only. In some rare instances, foundations permit indirect charges as well, but they usually set a percentage cap, such as 10 percent of the total budget. Make sure you know and follow each specific funder’s directions for how to include and calculate indirect charges.</w:t>
      </w:r>
    </w:p>
    <w:p w:rsidR="0043588E" w:rsidRPr="00E2724E" w:rsidRDefault="0043588E" w:rsidP="0043588E">
      <w:pPr>
        <w:numPr>
          <w:ilvl w:val="0"/>
          <w:numId w:val="2"/>
        </w:numPr>
        <w:spacing w:after="150" w:line="240" w:lineRule="auto"/>
        <w:rPr>
          <w:rFonts w:eastAsia="Times New Roman" w:cs="Calibri"/>
          <w:color w:val="000000"/>
          <w:sz w:val="20"/>
          <w:szCs w:val="20"/>
          <w:lang w:val="en"/>
        </w:rPr>
      </w:pPr>
      <w:r w:rsidRPr="00E2724E">
        <w:rPr>
          <w:rFonts w:eastAsia="Times New Roman" w:cs="Calibri"/>
          <w:b/>
          <w:bCs/>
          <w:color w:val="000000"/>
          <w:sz w:val="20"/>
          <w:szCs w:val="20"/>
          <w:lang w:val="en"/>
        </w:rPr>
        <w:t>Miscellaneous:</w:t>
      </w:r>
      <w:r w:rsidRPr="00E2724E">
        <w:rPr>
          <w:rFonts w:eastAsia="Times New Roman" w:cs="Calibri"/>
          <w:color w:val="000000"/>
          <w:sz w:val="20"/>
          <w:szCs w:val="20"/>
          <w:lang w:val="en"/>
        </w:rPr>
        <w:t xml:space="preserve"> Other eligible sources include utilities and telephone expenses related to implementing the project but that aren’t allowable line items in the funding request; printing, copying, postage, and evaluation expenses not included in contractual or supplies; and any other costs your project will incur that haven’t been requested from the funder.</w:t>
      </w:r>
    </w:p>
    <w:p w:rsidR="0043588E" w:rsidRPr="00E2724E" w:rsidRDefault="0043588E" w:rsidP="0043588E">
      <w:pPr>
        <w:numPr>
          <w:ilvl w:val="0"/>
          <w:numId w:val="2"/>
        </w:numPr>
        <w:spacing w:after="150" w:line="240" w:lineRule="auto"/>
        <w:rPr>
          <w:rFonts w:eastAsia="Times New Roman" w:cs="Calibri"/>
          <w:color w:val="000000"/>
          <w:sz w:val="20"/>
          <w:szCs w:val="20"/>
          <w:lang w:val="en"/>
        </w:rPr>
      </w:pPr>
      <w:r w:rsidRPr="00E2724E">
        <w:rPr>
          <w:rFonts w:eastAsia="Times New Roman" w:cs="Calibri"/>
          <w:b/>
          <w:bCs/>
          <w:color w:val="000000"/>
          <w:sz w:val="20"/>
          <w:szCs w:val="20"/>
          <w:lang w:val="en"/>
        </w:rPr>
        <w:t>Supplies:</w:t>
      </w:r>
      <w:r w:rsidRPr="00E2724E">
        <w:rPr>
          <w:rFonts w:eastAsia="Times New Roman" w:cs="Calibri"/>
          <w:color w:val="000000"/>
          <w:sz w:val="20"/>
          <w:szCs w:val="20"/>
          <w:lang w:val="en"/>
        </w:rPr>
        <w:t xml:space="preserve"> Eligible supplies must be on hand from existing inventory.</w:t>
      </w:r>
    </w:p>
    <w:p w:rsidR="0043588E" w:rsidRPr="00E2724E" w:rsidRDefault="0043588E" w:rsidP="0043588E">
      <w:pPr>
        <w:numPr>
          <w:ilvl w:val="0"/>
          <w:numId w:val="2"/>
        </w:numPr>
        <w:spacing w:after="150" w:line="240" w:lineRule="auto"/>
        <w:rPr>
          <w:rFonts w:eastAsia="Times New Roman" w:cs="Calibri"/>
          <w:color w:val="000000"/>
          <w:sz w:val="20"/>
          <w:szCs w:val="20"/>
          <w:lang w:val="en"/>
        </w:rPr>
      </w:pPr>
      <w:r w:rsidRPr="00E2724E">
        <w:rPr>
          <w:rFonts w:eastAsia="Times New Roman" w:cs="Calibri"/>
          <w:b/>
          <w:bCs/>
          <w:color w:val="000000"/>
          <w:sz w:val="20"/>
          <w:szCs w:val="20"/>
          <w:lang w:val="en"/>
        </w:rPr>
        <w:t>Travel expenses:</w:t>
      </w:r>
      <w:r w:rsidRPr="00E2724E">
        <w:rPr>
          <w:rFonts w:eastAsia="Times New Roman" w:cs="Calibri"/>
          <w:color w:val="000000"/>
          <w:sz w:val="20"/>
          <w:szCs w:val="20"/>
          <w:lang w:val="en"/>
        </w:rPr>
        <w:t xml:space="preserve"> Eligible travel must be grant-related for key or ancillary personnel, and money for the expenses can’t be requested from the grant funder.</w:t>
      </w:r>
    </w:p>
    <w:p w:rsidR="0043588E" w:rsidRPr="002C4E47" w:rsidRDefault="0043588E" w:rsidP="0043588E">
      <w:pPr>
        <w:spacing w:before="300" w:after="150" w:line="240" w:lineRule="auto"/>
        <w:outlineLvl w:val="1"/>
        <w:rPr>
          <w:rFonts w:eastAsia="Times New Roman" w:cs="Calibri"/>
          <w:b/>
          <w:caps/>
          <w:color w:val="000000"/>
          <w:sz w:val="20"/>
          <w:szCs w:val="20"/>
          <w:lang w:val="en"/>
        </w:rPr>
      </w:pPr>
      <w:r w:rsidRPr="002C4E47">
        <w:rPr>
          <w:rFonts w:eastAsia="Times New Roman" w:cs="Calibri"/>
          <w:b/>
          <w:caps/>
          <w:color w:val="000000"/>
          <w:sz w:val="20"/>
          <w:szCs w:val="20"/>
          <w:lang w:val="en"/>
        </w:rPr>
        <w:t>Cash match (money on hand allocated for cash matching funds)</w:t>
      </w:r>
    </w:p>
    <w:p w:rsidR="0043588E" w:rsidRPr="002C4E47" w:rsidRDefault="0043588E" w:rsidP="0043588E">
      <w:pPr>
        <w:spacing w:after="150" w:line="240" w:lineRule="auto"/>
        <w:rPr>
          <w:rFonts w:eastAsia="Times New Roman" w:cs="Calibri"/>
          <w:color w:val="000000"/>
          <w:sz w:val="20"/>
          <w:szCs w:val="20"/>
          <w:lang w:val="en"/>
        </w:rPr>
      </w:pPr>
      <w:r w:rsidRPr="002C4E47">
        <w:rPr>
          <w:rFonts w:eastAsia="Times New Roman" w:cs="Calibri"/>
          <w:color w:val="000000"/>
          <w:sz w:val="20"/>
          <w:szCs w:val="20"/>
          <w:lang w:val="en"/>
        </w:rPr>
        <w:t>Agencies will need to determine the amount of cash on available that can be used as cash match for the project, if funded. Remember that cash match must be connected to grant-funded activities and related expenses:</w:t>
      </w:r>
    </w:p>
    <w:p w:rsidR="0043588E" w:rsidRPr="002C4E47" w:rsidRDefault="0043588E" w:rsidP="0043588E">
      <w:pPr>
        <w:numPr>
          <w:ilvl w:val="0"/>
          <w:numId w:val="3"/>
        </w:numPr>
        <w:spacing w:after="150" w:line="240" w:lineRule="auto"/>
        <w:rPr>
          <w:rFonts w:eastAsia="Times New Roman" w:cs="Calibri"/>
          <w:color w:val="000000"/>
          <w:sz w:val="20"/>
          <w:szCs w:val="20"/>
          <w:lang w:val="en"/>
        </w:rPr>
      </w:pPr>
      <w:r w:rsidRPr="002C4E47">
        <w:rPr>
          <w:rFonts w:eastAsia="Times New Roman" w:cs="Calibri"/>
          <w:b/>
          <w:bCs/>
          <w:color w:val="000000"/>
          <w:sz w:val="20"/>
          <w:szCs w:val="20"/>
          <w:lang w:val="en"/>
        </w:rPr>
        <w:t>Equipment:</w:t>
      </w:r>
      <w:r w:rsidRPr="002C4E47">
        <w:rPr>
          <w:rFonts w:eastAsia="Times New Roman" w:cs="Calibri"/>
          <w:color w:val="000000"/>
          <w:sz w:val="20"/>
          <w:szCs w:val="20"/>
          <w:lang w:val="en"/>
        </w:rPr>
        <w:t xml:space="preserve"> Equipment purchased by your organization with its own money that’s connected to the grant-funded project.</w:t>
      </w:r>
    </w:p>
    <w:p w:rsidR="0043588E" w:rsidRPr="002C4E47" w:rsidRDefault="0043588E" w:rsidP="0043588E">
      <w:pPr>
        <w:numPr>
          <w:ilvl w:val="0"/>
          <w:numId w:val="3"/>
        </w:numPr>
        <w:spacing w:after="150" w:line="240" w:lineRule="auto"/>
        <w:rPr>
          <w:rFonts w:eastAsia="Times New Roman" w:cs="Calibri"/>
          <w:color w:val="000000"/>
          <w:sz w:val="20"/>
          <w:szCs w:val="20"/>
          <w:lang w:val="en"/>
        </w:rPr>
      </w:pPr>
      <w:r w:rsidRPr="002C4E47">
        <w:rPr>
          <w:rFonts w:eastAsia="Times New Roman" w:cs="Calibri"/>
          <w:b/>
          <w:bCs/>
          <w:color w:val="000000"/>
          <w:sz w:val="20"/>
          <w:szCs w:val="20"/>
          <w:lang w:val="en"/>
        </w:rPr>
        <w:t>Fringe benefits:</w:t>
      </w:r>
      <w:r w:rsidRPr="002C4E47">
        <w:rPr>
          <w:rFonts w:eastAsia="Times New Roman" w:cs="Calibri"/>
          <w:color w:val="000000"/>
          <w:sz w:val="20"/>
          <w:szCs w:val="20"/>
          <w:lang w:val="en"/>
        </w:rPr>
        <w:t xml:space="preserve"> Eligible fringe benefits for administrative, clerical, contracted, and facilities personnel are prorated based on the actual amount of time these staff members will contribute to funder-supported activities. Your organization pays these benefits.</w:t>
      </w:r>
    </w:p>
    <w:p w:rsidR="0043588E" w:rsidRPr="002C4E47" w:rsidRDefault="0043588E" w:rsidP="0043588E">
      <w:pPr>
        <w:numPr>
          <w:ilvl w:val="0"/>
          <w:numId w:val="3"/>
        </w:numPr>
        <w:spacing w:after="150" w:line="240" w:lineRule="auto"/>
        <w:rPr>
          <w:rFonts w:eastAsia="Times New Roman" w:cs="Calibri"/>
          <w:color w:val="000000"/>
          <w:sz w:val="20"/>
          <w:szCs w:val="20"/>
          <w:lang w:val="en"/>
        </w:rPr>
      </w:pPr>
      <w:r w:rsidRPr="002C4E47">
        <w:rPr>
          <w:rFonts w:eastAsia="Times New Roman" w:cs="Calibri"/>
          <w:b/>
          <w:bCs/>
          <w:color w:val="000000"/>
          <w:sz w:val="20"/>
          <w:szCs w:val="20"/>
          <w:lang w:val="en"/>
        </w:rPr>
        <w:t>Personnel:</w:t>
      </w:r>
      <w:r w:rsidRPr="002C4E47">
        <w:rPr>
          <w:rFonts w:eastAsia="Times New Roman" w:cs="Calibri"/>
          <w:color w:val="000000"/>
          <w:sz w:val="20"/>
          <w:szCs w:val="20"/>
          <w:lang w:val="en"/>
        </w:rPr>
        <w:t xml:space="preserve"> Personnel who will provide direct or indirect services for the grant-funded activities but who won’t be charged to the project’s budget expenditures as a line-item request to the funder. So, on a prorated basis, administrative, clerical, contracted, and facilities personnel can all be used as cash match line items. Salary for these personal must be paid by your organization in order to count as cash match.</w:t>
      </w:r>
    </w:p>
    <w:p w:rsidR="0043588E" w:rsidRPr="002C4E47" w:rsidRDefault="0043588E" w:rsidP="0043588E">
      <w:pPr>
        <w:numPr>
          <w:ilvl w:val="0"/>
          <w:numId w:val="3"/>
        </w:numPr>
        <w:spacing w:after="150" w:line="240" w:lineRule="auto"/>
        <w:rPr>
          <w:rFonts w:eastAsia="Times New Roman" w:cs="Calibri"/>
          <w:color w:val="000000"/>
          <w:sz w:val="20"/>
          <w:szCs w:val="20"/>
          <w:lang w:val="en"/>
        </w:rPr>
      </w:pPr>
      <w:r w:rsidRPr="002C4E47">
        <w:rPr>
          <w:rFonts w:eastAsia="Times New Roman" w:cs="Calibri"/>
          <w:b/>
          <w:bCs/>
          <w:color w:val="000000"/>
          <w:sz w:val="20"/>
          <w:szCs w:val="20"/>
          <w:lang w:val="en"/>
        </w:rPr>
        <w:t>Supplies:</w:t>
      </w:r>
      <w:r w:rsidRPr="002C4E47">
        <w:rPr>
          <w:rFonts w:eastAsia="Times New Roman" w:cs="Calibri"/>
          <w:color w:val="000000"/>
          <w:sz w:val="20"/>
          <w:szCs w:val="20"/>
          <w:lang w:val="en"/>
        </w:rPr>
        <w:t xml:space="preserve"> Supplies purchased by your organization with its own money and connected to the grant-funded project.</w:t>
      </w:r>
    </w:p>
    <w:p w:rsidR="0043588E" w:rsidRPr="002C4E47" w:rsidRDefault="0043588E" w:rsidP="0043588E">
      <w:pPr>
        <w:numPr>
          <w:ilvl w:val="0"/>
          <w:numId w:val="3"/>
        </w:numPr>
        <w:spacing w:after="150" w:line="240" w:lineRule="auto"/>
        <w:rPr>
          <w:rFonts w:eastAsia="Times New Roman" w:cs="Calibri"/>
          <w:color w:val="000000"/>
          <w:sz w:val="20"/>
          <w:szCs w:val="20"/>
          <w:lang w:val="en"/>
        </w:rPr>
      </w:pPr>
      <w:r w:rsidRPr="002C4E47">
        <w:rPr>
          <w:rFonts w:eastAsia="Times New Roman" w:cs="Calibri"/>
          <w:b/>
          <w:bCs/>
          <w:color w:val="000000"/>
          <w:sz w:val="20"/>
          <w:szCs w:val="20"/>
          <w:lang w:val="en"/>
        </w:rPr>
        <w:lastRenderedPageBreak/>
        <w:t>Travel:</w:t>
      </w:r>
      <w:r w:rsidRPr="002C4E47">
        <w:rPr>
          <w:rFonts w:eastAsia="Times New Roman" w:cs="Calibri"/>
          <w:color w:val="000000"/>
          <w:sz w:val="20"/>
          <w:szCs w:val="20"/>
          <w:lang w:val="en"/>
        </w:rPr>
        <w:t xml:space="preserve"> Travel that your organization will pay for from its own funds connected to the grant-funded project.</w:t>
      </w:r>
    </w:p>
    <w:p w:rsidR="0043588E" w:rsidRPr="002C4E47" w:rsidRDefault="0043588E" w:rsidP="0043588E">
      <w:pPr>
        <w:numPr>
          <w:ilvl w:val="0"/>
          <w:numId w:val="4"/>
        </w:numPr>
        <w:spacing w:after="150" w:line="240" w:lineRule="auto"/>
        <w:rPr>
          <w:rFonts w:eastAsia="Times New Roman" w:cs="Calibri"/>
          <w:color w:val="000000"/>
          <w:sz w:val="20"/>
          <w:szCs w:val="20"/>
          <w:lang w:val="en"/>
        </w:rPr>
      </w:pPr>
      <w:r w:rsidRPr="00E2724E">
        <w:rPr>
          <w:rFonts w:eastAsia="Times New Roman" w:cs="Calibri"/>
          <w:b/>
          <w:color w:val="000000"/>
          <w:sz w:val="20"/>
          <w:szCs w:val="20"/>
          <w:lang w:val="en"/>
        </w:rPr>
        <w:t>Other state or federal grant funds</w:t>
      </w:r>
      <w:r w:rsidRPr="002C4E47">
        <w:rPr>
          <w:rFonts w:eastAsia="Times New Roman" w:cs="Calibri"/>
          <w:color w:val="000000"/>
          <w:sz w:val="20"/>
          <w:szCs w:val="20"/>
          <w:lang w:val="en"/>
        </w:rPr>
        <w:t>. You can’t use existing federal grant funds to match new/incoming federal grant funds; check with the funding agency for specific restrictions on matching funds.</w:t>
      </w:r>
    </w:p>
    <w:p w:rsidR="0043588E" w:rsidRDefault="0043588E" w:rsidP="0043588E">
      <w:pPr>
        <w:numPr>
          <w:ilvl w:val="0"/>
          <w:numId w:val="4"/>
        </w:numPr>
        <w:spacing w:after="150" w:line="240" w:lineRule="auto"/>
        <w:rPr>
          <w:rFonts w:eastAsia="Times New Roman" w:cs="Calibri"/>
          <w:color w:val="000000"/>
          <w:sz w:val="20"/>
          <w:szCs w:val="20"/>
          <w:lang w:val="en"/>
        </w:rPr>
      </w:pPr>
      <w:r w:rsidRPr="002C4E47">
        <w:rPr>
          <w:rFonts w:eastAsia="Times New Roman" w:cs="Calibri"/>
          <w:color w:val="000000"/>
          <w:sz w:val="20"/>
          <w:szCs w:val="20"/>
          <w:lang w:val="en"/>
        </w:rPr>
        <w:t>Private sector grants for portions of the project.</w:t>
      </w:r>
    </w:p>
    <w:p w:rsidR="001D4BC1" w:rsidRPr="0043588E" w:rsidRDefault="0043588E" w:rsidP="0043588E">
      <w:pPr>
        <w:numPr>
          <w:ilvl w:val="0"/>
          <w:numId w:val="4"/>
        </w:numPr>
        <w:spacing w:after="150" w:line="240" w:lineRule="auto"/>
        <w:rPr>
          <w:rFonts w:eastAsia="Times New Roman" w:cs="Calibri"/>
          <w:color w:val="000000"/>
          <w:sz w:val="20"/>
          <w:szCs w:val="20"/>
          <w:lang w:val="en"/>
        </w:rPr>
      </w:pPr>
      <w:r w:rsidRPr="0043588E">
        <w:rPr>
          <w:rFonts w:eastAsia="Times New Roman" w:cs="Calibri"/>
          <w:color w:val="000000"/>
          <w:sz w:val="20"/>
          <w:szCs w:val="20"/>
          <w:lang w:val="en"/>
        </w:rPr>
        <w:t>Your general operating funds (unrestricted monies to pay the day-to-day operating expenses of your organization).</w:t>
      </w:r>
    </w:p>
    <w:sectPr w:rsidR="001D4BC1" w:rsidRPr="00435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C29FA"/>
    <w:multiLevelType w:val="hybridMultilevel"/>
    <w:tmpl w:val="C8DA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36710"/>
    <w:multiLevelType w:val="multilevel"/>
    <w:tmpl w:val="2C20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769B7"/>
    <w:multiLevelType w:val="multilevel"/>
    <w:tmpl w:val="D02A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16E4E"/>
    <w:multiLevelType w:val="multilevel"/>
    <w:tmpl w:val="003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8E"/>
    <w:rsid w:val="00145D17"/>
    <w:rsid w:val="00376C0D"/>
    <w:rsid w:val="003A204D"/>
    <w:rsid w:val="0043588E"/>
    <w:rsid w:val="00593686"/>
    <w:rsid w:val="0077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7E46E-62DB-4C0C-86DC-3C039E1D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8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88E"/>
    <w:pPr>
      <w:spacing w:after="0" w:line="240" w:lineRule="auto"/>
    </w:pPr>
    <w:rPr>
      <w:rFonts w:ascii="Calibri" w:eastAsia="Calibri" w:hAnsi="Calibri" w:cs="Times New Roman"/>
    </w:rPr>
  </w:style>
  <w:style w:type="character" w:styleId="Strong">
    <w:name w:val="Strong"/>
    <w:uiPriority w:val="22"/>
    <w:qFormat/>
    <w:rsid w:val="00435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Ecklor, Bethany D</dc:creator>
  <cp:keywords/>
  <dc:description/>
  <cp:lastModifiedBy>Deaton, Teresa</cp:lastModifiedBy>
  <cp:revision>3</cp:revision>
  <dcterms:created xsi:type="dcterms:W3CDTF">2019-06-06T12:09:00Z</dcterms:created>
  <dcterms:modified xsi:type="dcterms:W3CDTF">2019-06-13T11:52:00Z</dcterms:modified>
</cp:coreProperties>
</file>