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296F9" w14:textId="77777777" w:rsidR="00183198" w:rsidRPr="00B12C59" w:rsidRDefault="00183198" w:rsidP="00183198">
      <w:pPr>
        <w:jc w:val="center"/>
        <w:rPr>
          <w:rFonts w:ascii="Garamond" w:hAnsi="Garamond" w:cs="Calibri"/>
          <w:b/>
          <w:sz w:val="32"/>
          <w:szCs w:val="32"/>
        </w:rPr>
      </w:pPr>
      <w:r w:rsidRPr="00B12C59">
        <w:rPr>
          <w:rFonts w:ascii="Garamond" w:hAnsi="Garamond" w:cs="Calibri"/>
          <w:b/>
          <w:noProof/>
          <w:sz w:val="32"/>
          <w:szCs w:val="32"/>
        </w:rPr>
        <w:drawing>
          <wp:inline distT="0" distB="0" distL="0" distR="0" wp14:anchorId="5CF2D4A8" wp14:editId="6AD50626">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7">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67C6A30D" w14:textId="77777777" w:rsidR="00183198" w:rsidRPr="00B12C59" w:rsidRDefault="00183198" w:rsidP="00183198">
      <w:pPr>
        <w:jc w:val="center"/>
        <w:rPr>
          <w:rFonts w:ascii="Garamond" w:hAnsi="Garamond" w:cs="Calibri"/>
          <w:b/>
          <w:sz w:val="32"/>
          <w:szCs w:val="32"/>
        </w:rPr>
      </w:pPr>
    </w:p>
    <w:p w14:paraId="4A6A0655" w14:textId="77777777" w:rsidR="00183198" w:rsidRPr="00B12C59" w:rsidRDefault="00183198" w:rsidP="00183198">
      <w:pPr>
        <w:jc w:val="center"/>
        <w:rPr>
          <w:rFonts w:ascii="Garamond" w:hAnsi="Garamond" w:cs="Calibri"/>
          <w:b/>
          <w:sz w:val="48"/>
          <w:szCs w:val="40"/>
        </w:rPr>
      </w:pPr>
      <w:r w:rsidRPr="00B12C59">
        <w:rPr>
          <w:rFonts w:ascii="Garamond" w:hAnsi="Garamond" w:cs="Calibri"/>
          <w:b/>
          <w:sz w:val="48"/>
          <w:szCs w:val="40"/>
        </w:rPr>
        <w:t>STATE OF INDIANA</w:t>
      </w:r>
    </w:p>
    <w:p w14:paraId="6081D833" w14:textId="77777777" w:rsidR="00183198" w:rsidRPr="00B12C59" w:rsidRDefault="00183198" w:rsidP="00183198">
      <w:pPr>
        <w:jc w:val="center"/>
        <w:rPr>
          <w:rFonts w:ascii="Garamond" w:hAnsi="Garamond" w:cs="Calibri"/>
          <w:b/>
          <w:sz w:val="32"/>
          <w:szCs w:val="32"/>
        </w:rPr>
      </w:pPr>
    </w:p>
    <w:p w14:paraId="704FF6E3" w14:textId="77777777" w:rsidR="00183198" w:rsidRPr="00B12C59" w:rsidRDefault="00183198" w:rsidP="00183198">
      <w:pPr>
        <w:jc w:val="center"/>
        <w:rPr>
          <w:rFonts w:ascii="Garamond" w:hAnsi="Garamond" w:cs="Calibri"/>
          <w:b/>
          <w:sz w:val="32"/>
          <w:szCs w:val="32"/>
        </w:rPr>
      </w:pPr>
    </w:p>
    <w:p w14:paraId="46BF64EA" w14:textId="223DF7F6" w:rsidR="00183198" w:rsidRPr="00B12C59" w:rsidRDefault="00183198" w:rsidP="00183198">
      <w:pPr>
        <w:jc w:val="center"/>
        <w:rPr>
          <w:rFonts w:ascii="Garamond" w:hAnsi="Garamond" w:cs="Calibri"/>
          <w:b/>
          <w:color w:val="FF0000"/>
          <w:sz w:val="40"/>
          <w:szCs w:val="40"/>
        </w:rPr>
      </w:pPr>
      <w:r w:rsidRPr="00B12C59">
        <w:rPr>
          <w:rFonts w:ascii="Garamond" w:hAnsi="Garamond" w:cs="Calibri"/>
          <w:b/>
          <w:sz w:val="40"/>
          <w:szCs w:val="40"/>
        </w:rPr>
        <w:t xml:space="preserve">Request for Proposal </w:t>
      </w:r>
      <w:r w:rsidR="00335ABB">
        <w:rPr>
          <w:rFonts w:ascii="Garamond" w:hAnsi="Garamond" w:cs="Calibri"/>
          <w:b/>
          <w:sz w:val="40"/>
          <w:szCs w:val="40"/>
        </w:rPr>
        <w:t>20</w:t>
      </w:r>
      <w:r>
        <w:rPr>
          <w:rFonts w:ascii="Garamond" w:hAnsi="Garamond" w:cs="Calibri"/>
          <w:b/>
          <w:sz w:val="40"/>
          <w:szCs w:val="40"/>
        </w:rPr>
        <w:t>-</w:t>
      </w:r>
      <w:r w:rsidRPr="00E813E3">
        <w:rPr>
          <w:rFonts w:ascii="Garamond" w:hAnsi="Garamond" w:cs="Calibri"/>
          <w:b/>
          <w:sz w:val="40"/>
          <w:szCs w:val="40"/>
        </w:rPr>
        <w:t>0</w:t>
      </w:r>
      <w:r w:rsidR="00B717F9">
        <w:rPr>
          <w:rFonts w:ascii="Garamond" w:hAnsi="Garamond" w:cs="Calibri"/>
          <w:b/>
          <w:sz w:val="40"/>
          <w:szCs w:val="40"/>
        </w:rPr>
        <w:t>10</w:t>
      </w:r>
    </w:p>
    <w:p w14:paraId="542DA9ED" w14:textId="77777777" w:rsidR="00183198" w:rsidRDefault="00183198" w:rsidP="00183198">
      <w:pPr>
        <w:jc w:val="center"/>
        <w:rPr>
          <w:rFonts w:ascii="Garamond" w:hAnsi="Garamond" w:cs="Calibri"/>
          <w:b/>
          <w:color w:val="FF0000"/>
          <w:sz w:val="32"/>
          <w:szCs w:val="32"/>
        </w:rPr>
      </w:pPr>
    </w:p>
    <w:p w14:paraId="378F47FD" w14:textId="24EECDDF" w:rsidR="00183198" w:rsidRPr="00183198" w:rsidRDefault="00183198" w:rsidP="00183198">
      <w:pPr>
        <w:jc w:val="center"/>
        <w:rPr>
          <w:rFonts w:ascii="Garamond" w:hAnsi="Garamond" w:cs="Calibri"/>
          <w:b/>
          <w:color w:val="FF0000"/>
          <w:sz w:val="40"/>
          <w:szCs w:val="40"/>
        </w:rPr>
      </w:pPr>
      <w:r w:rsidRPr="00183198">
        <w:rPr>
          <w:rFonts w:ascii="Garamond" w:hAnsi="Garamond" w:cs="Calibri"/>
          <w:b/>
          <w:color w:val="FF0000"/>
          <w:sz w:val="40"/>
          <w:szCs w:val="40"/>
        </w:rPr>
        <w:t>Addendum #</w:t>
      </w:r>
      <w:r w:rsidR="00335ABB">
        <w:rPr>
          <w:rFonts w:ascii="Garamond" w:hAnsi="Garamond" w:cs="Calibri"/>
          <w:b/>
          <w:color w:val="FF0000"/>
          <w:sz w:val="40"/>
          <w:szCs w:val="40"/>
        </w:rPr>
        <w:t>1</w:t>
      </w:r>
    </w:p>
    <w:p w14:paraId="0EC98CBB" w14:textId="77777777" w:rsidR="00183198" w:rsidRPr="00B12C59" w:rsidRDefault="00183198" w:rsidP="00183198">
      <w:pPr>
        <w:jc w:val="center"/>
        <w:rPr>
          <w:rFonts w:ascii="Garamond" w:hAnsi="Garamond" w:cs="Calibri"/>
          <w:b/>
          <w:sz w:val="32"/>
          <w:szCs w:val="32"/>
        </w:rPr>
      </w:pPr>
    </w:p>
    <w:p w14:paraId="652890E9"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INDIANA DEPARTMENT OF ADMINISTRATION</w:t>
      </w:r>
    </w:p>
    <w:p w14:paraId="604C3693" w14:textId="77777777" w:rsidR="00183198" w:rsidRDefault="00183198" w:rsidP="00183198">
      <w:pPr>
        <w:jc w:val="center"/>
        <w:rPr>
          <w:rFonts w:ascii="Garamond" w:hAnsi="Garamond" w:cs="Calibri"/>
          <w:b/>
          <w:sz w:val="32"/>
          <w:szCs w:val="32"/>
        </w:rPr>
      </w:pPr>
    </w:p>
    <w:p w14:paraId="66D68FE0" w14:textId="77777777" w:rsidR="00183198" w:rsidRPr="00B12C59" w:rsidRDefault="00183198" w:rsidP="00183198">
      <w:pPr>
        <w:rPr>
          <w:rFonts w:ascii="Garamond" w:hAnsi="Garamond" w:cs="Calibri"/>
          <w:b/>
          <w:sz w:val="32"/>
          <w:szCs w:val="32"/>
        </w:rPr>
      </w:pPr>
    </w:p>
    <w:p w14:paraId="505A627C"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On Behalf Of</w:t>
      </w:r>
    </w:p>
    <w:p w14:paraId="100DB4D4" w14:textId="71A673DE" w:rsidR="00183198" w:rsidRDefault="00B717F9" w:rsidP="00183198">
      <w:pPr>
        <w:jc w:val="center"/>
        <w:rPr>
          <w:rFonts w:ascii="Garamond" w:hAnsi="Garamond" w:cs="Calibri"/>
          <w:b/>
          <w:sz w:val="32"/>
          <w:szCs w:val="32"/>
        </w:rPr>
      </w:pPr>
      <w:r>
        <w:rPr>
          <w:rFonts w:ascii="Garamond" w:hAnsi="Garamond" w:cs="Calibri"/>
          <w:b/>
          <w:sz w:val="32"/>
          <w:szCs w:val="32"/>
        </w:rPr>
        <w:t>Family and Social Services Administration</w:t>
      </w:r>
    </w:p>
    <w:p w14:paraId="4F7C611D" w14:textId="19B7FFCA" w:rsidR="00B717F9" w:rsidRPr="005E71E2" w:rsidRDefault="00B717F9" w:rsidP="00183198">
      <w:pPr>
        <w:jc w:val="center"/>
        <w:rPr>
          <w:rFonts w:ascii="Garamond" w:hAnsi="Garamond" w:cs="Calibri"/>
          <w:b/>
          <w:sz w:val="32"/>
          <w:szCs w:val="32"/>
        </w:rPr>
      </w:pPr>
      <w:r>
        <w:rPr>
          <w:rFonts w:ascii="Garamond" w:hAnsi="Garamond" w:cs="Calibri"/>
          <w:b/>
          <w:sz w:val="32"/>
          <w:szCs w:val="32"/>
        </w:rPr>
        <w:t>Division of Mental Health and Addiction</w:t>
      </w:r>
    </w:p>
    <w:p w14:paraId="78DEE63B" w14:textId="77777777" w:rsidR="00183198" w:rsidRDefault="00183198" w:rsidP="00183198">
      <w:pPr>
        <w:jc w:val="center"/>
        <w:rPr>
          <w:rFonts w:ascii="Garamond" w:hAnsi="Garamond" w:cs="Calibri"/>
          <w:b/>
          <w:sz w:val="32"/>
          <w:szCs w:val="32"/>
        </w:rPr>
      </w:pPr>
    </w:p>
    <w:p w14:paraId="1A334EA3" w14:textId="77777777" w:rsidR="00183198" w:rsidRPr="00B12C59" w:rsidRDefault="00183198" w:rsidP="00183198">
      <w:pPr>
        <w:jc w:val="center"/>
        <w:rPr>
          <w:rFonts w:ascii="Garamond" w:hAnsi="Garamond" w:cs="Calibri"/>
          <w:b/>
          <w:sz w:val="32"/>
          <w:szCs w:val="32"/>
        </w:rPr>
      </w:pPr>
    </w:p>
    <w:p w14:paraId="3D5C7797"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Solicitation For:</w:t>
      </w:r>
    </w:p>
    <w:p w14:paraId="756A6188" w14:textId="4290A0A0" w:rsidR="00183198" w:rsidRPr="00B12C59" w:rsidRDefault="00B717F9" w:rsidP="00183198">
      <w:pPr>
        <w:jc w:val="center"/>
        <w:rPr>
          <w:rFonts w:ascii="Garamond" w:hAnsi="Garamond" w:cs="Calibri"/>
          <w:b/>
          <w:sz w:val="32"/>
          <w:szCs w:val="32"/>
        </w:rPr>
      </w:pPr>
      <w:r>
        <w:rPr>
          <w:rFonts w:ascii="Garamond" w:hAnsi="Garamond" w:cs="Calibri"/>
          <w:b/>
          <w:sz w:val="32"/>
          <w:szCs w:val="32"/>
        </w:rPr>
        <w:t>Evidence-Based School Social Services Program</w:t>
      </w:r>
    </w:p>
    <w:p w14:paraId="02BC84A2" w14:textId="73384B2F" w:rsidR="00183198" w:rsidRPr="000C7A39" w:rsidRDefault="00183198" w:rsidP="009D737B">
      <w:pPr>
        <w:rPr>
          <w:rFonts w:ascii="Garamond" w:hAnsi="Garamond" w:cs="Calibri"/>
          <w:b/>
          <w:strike/>
          <w:sz w:val="32"/>
          <w:szCs w:val="32"/>
        </w:rPr>
      </w:pPr>
    </w:p>
    <w:p w14:paraId="404195BF" w14:textId="59FF2BFA" w:rsidR="000C7A39" w:rsidRPr="000C7A39" w:rsidRDefault="00B717F9" w:rsidP="00183198">
      <w:pPr>
        <w:jc w:val="center"/>
        <w:rPr>
          <w:rFonts w:ascii="Garamond" w:hAnsi="Garamond" w:cs="Calibri"/>
          <w:b/>
          <w:color w:val="FF0000"/>
          <w:sz w:val="32"/>
          <w:szCs w:val="32"/>
        </w:rPr>
      </w:pPr>
      <w:r>
        <w:rPr>
          <w:rFonts w:ascii="Garamond" w:hAnsi="Garamond" w:cs="Calibri"/>
          <w:b/>
          <w:color w:val="FF0000"/>
          <w:sz w:val="32"/>
          <w:szCs w:val="32"/>
        </w:rPr>
        <w:t>Response Due Date: July 22</w:t>
      </w:r>
      <w:r w:rsidR="000C7A39" w:rsidRPr="000C7A39">
        <w:rPr>
          <w:rFonts w:ascii="Garamond" w:hAnsi="Garamond" w:cs="Calibri"/>
          <w:b/>
          <w:color w:val="FF0000"/>
          <w:sz w:val="32"/>
          <w:szCs w:val="32"/>
        </w:rPr>
        <w:t>, 2019 @ 3:00 PM EST</w:t>
      </w:r>
    </w:p>
    <w:p w14:paraId="2162BB02" w14:textId="51A93299" w:rsidR="00183198" w:rsidRDefault="00183198" w:rsidP="00475EBF">
      <w:pPr>
        <w:rPr>
          <w:rFonts w:ascii="Garamond" w:hAnsi="Garamond" w:cs="Calibri"/>
          <w:b/>
          <w:sz w:val="32"/>
          <w:szCs w:val="32"/>
        </w:rPr>
      </w:pPr>
    </w:p>
    <w:p w14:paraId="63070068" w14:textId="77777777" w:rsidR="009D737B" w:rsidRDefault="009D737B" w:rsidP="00475EBF">
      <w:pPr>
        <w:rPr>
          <w:rFonts w:ascii="Garamond" w:hAnsi="Garamond" w:cs="Calibri"/>
          <w:b/>
          <w:sz w:val="32"/>
          <w:szCs w:val="32"/>
        </w:rPr>
      </w:pPr>
    </w:p>
    <w:p w14:paraId="36B83A81" w14:textId="77777777" w:rsidR="00335ABB" w:rsidRDefault="00335ABB" w:rsidP="00475EBF">
      <w:pPr>
        <w:rPr>
          <w:rFonts w:ascii="Garamond" w:hAnsi="Garamond" w:cs="Calibri"/>
          <w:b/>
          <w:sz w:val="32"/>
          <w:szCs w:val="32"/>
        </w:rPr>
      </w:pPr>
    </w:p>
    <w:p w14:paraId="2F664D47" w14:textId="77777777" w:rsidR="00335ABB" w:rsidRPr="001C3077" w:rsidRDefault="00335ABB" w:rsidP="00475EBF">
      <w:pPr>
        <w:rPr>
          <w:rFonts w:ascii="Garamond" w:hAnsi="Garamond" w:cs="Calibri"/>
          <w:b/>
          <w:sz w:val="32"/>
          <w:szCs w:val="32"/>
        </w:rPr>
      </w:pPr>
    </w:p>
    <w:p w14:paraId="63ACFF9C" w14:textId="43B195C6" w:rsidR="00183198" w:rsidRPr="00925425" w:rsidRDefault="00335ABB" w:rsidP="00183198">
      <w:pPr>
        <w:jc w:val="right"/>
        <w:rPr>
          <w:rFonts w:ascii="Garamond" w:hAnsi="Garamond" w:cs="Calibri"/>
          <w:szCs w:val="24"/>
        </w:rPr>
      </w:pPr>
      <w:r>
        <w:rPr>
          <w:rFonts w:ascii="Garamond" w:hAnsi="Garamond" w:cs="Calibri"/>
          <w:szCs w:val="24"/>
        </w:rPr>
        <w:t>Teresa Deaton-Reese, CPPO</w:t>
      </w:r>
    </w:p>
    <w:p w14:paraId="7ED6F33D" w14:textId="77777777" w:rsidR="00183198" w:rsidRPr="00B12C59" w:rsidRDefault="00183198" w:rsidP="00183198">
      <w:pPr>
        <w:jc w:val="right"/>
        <w:rPr>
          <w:rFonts w:ascii="Garamond" w:hAnsi="Garamond" w:cs="Calibri"/>
          <w:szCs w:val="24"/>
        </w:rPr>
      </w:pPr>
      <w:r w:rsidRPr="00925425">
        <w:rPr>
          <w:rFonts w:ascii="Garamond" w:hAnsi="Garamond" w:cs="Calibri"/>
          <w:szCs w:val="24"/>
        </w:rPr>
        <w:t>Indiana Department of Administratio</w:t>
      </w:r>
      <w:r w:rsidRPr="00B12C59">
        <w:rPr>
          <w:rFonts w:ascii="Garamond" w:hAnsi="Garamond" w:cs="Calibri"/>
          <w:szCs w:val="24"/>
        </w:rPr>
        <w:t>n</w:t>
      </w:r>
    </w:p>
    <w:p w14:paraId="173E56C3" w14:textId="77777777" w:rsidR="00183198" w:rsidRPr="00B12C59" w:rsidRDefault="00183198" w:rsidP="00183198">
      <w:pPr>
        <w:jc w:val="right"/>
        <w:rPr>
          <w:rFonts w:ascii="Garamond" w:hAnsi="Garamond" w:cs="Calibri"/>
          <w:szCs w:val="24"/>
        </w:rPr>
      </w:pPr>
      <w:r w:rsidRPr="00B12C59">
        <w:rPr>
          <w:rFonts w:ascii="Garamond" w:hAnsi="Garamond" w:cs="Calibri"/>
          <w:szCs w:val="24"/>
        </w:rPr>
        <w:t>Procurement Division</w:t>
      </w:r>
    </w:p>
    <w:p w14:paraId="4D932405" w14:textId="77777777" w:rsidR="00183198" w:rsidRPr="00B12C59" w:rsidRDefault="00183198" w:rsidP="00183198">
      <w:pPr>
        <w:jc w:val="right"/>
        <w:rPr>
          <w:rFonts w:ascii="Garamond" w:hAnsi="Garamond" w:cs="Calibri"/>
          <w:szCs w:val="24"/>
        </w:rPr>
      </w:pPr>
      <w:r w:rsidRPr="00B12C59">
        <w:rPr>
          <w:rFonts w:ascii="Garamond" w:hAnsi="Garamond" w:cs="Calibri"/>
          <w:szCs w:val="24"/>
        </w:rPr>
        <w:t>402 W. Washington St., Room W468</w:t>
      </w:r>
    </w:p>
    <w:p w14:paraId="513004F0" w14:textId="2D46FCEC" w:rsidR="00985338" w:rsidRDefault="00183198" w:rsidP="00183198">
      <w:pPr>
        <w:jc w:val="right"/>
        <w:rPr>
          <w:rFonts w:ascii="Garamond" w:hAnsi="Garamond" w:cs="Calibri"/>
          <w:szCs w:val="24"/>
        </w:rPr>
      </w:pPr>
      <w:r w:rsidRPr="00B12C59">
        <w:rPr>
          <w:rFonts w:ascii="Garamond" w:hAnsi="Garamond" w:cs="Calibri"/>
          <w:szCs w:val="24"/>
        </w:rPr>
        <w:t>Indianapolis, Indiana 4620</w:t>
      </w:r>
    </w:p>
    <w:p w14:paraId="6F5FB9BC" w14:textId="109EA92D" w:rsidR="00B717F9" w:rsidRPr="00B717F9" w:rsidRDefault="00B717F9" w:rsidP="00B717F9">
      <w:pPr>
        <w:widowControl/>
        <w:rPr>
          <w:rFonts w:asciiTheme="minorHAnsi" w:hAnsiTheme="minorHAnsi" w:cstheme="minorHAnsi"/>
          <w:sz w:val="22"/>
          <w:szCs w:val="22"/>
        </w:rPr>
      </w:pPr>
      <w:r>
        <w:rPr>
          <w:rFonts w:asciiTheme="minorHAnsi" w:hAnsiTheme="minorHAnsi" w:cstheme="minorHAnsi"/>
          <w:sz w:val="22"/>
          <w:szCs w:val="22"/>
        </w:rPr>
        <w:lastRenderedPageBreak/>
        <w:t xml:space="preserve">The following questions and guidance requested during the pre-proposal are provided below. </w:t>
      </w:r>
    </w:p>
    <w:p w14:paraId="4665506A" w14:textId="77777777" w:rsidR="00B717F9" w:rsidRDefault="00B717F9" w:rsidP="00B717F9">
      <w:pPr>
        <w:pStyle w:val="ListParagraph"/>
        <w:widowControl/>
        <w:contextualSpacing w:val="0"/>
        <w:rPr>
          <w:rFonts w:asciiTheme="minorHAnsi" w:hAnsiTheme="minorHAnsi" w:cstheme="minorHAnsi"/>
          <w:sz w:val="22"/>
          <w:szCs w:val="22"/>
        </w:rPr>
      </w:pPr>
    </w:p>
    <w:p w14:paraId="56BDF14F" w14:textId="4140D608" w:rsidR="00B717F9" w:rsidRPr="00B717F9" w:rsidRDefault="00B717F9" w:rsidP="00B717F9">
      <w:pPr>
        <w:pStyle w:val="ListParagraph"/>
        <w:widowControl/>
        <w:numPr>
          <w:ilvl w:val="0"/>
          <w:numId w:val="17"/>
        </w:numPr>
        <w:contextualSpacing w:val="0"/>
        <w:rPr>
          <w:rFonts w:asciiTheme="minorHAnsi" w:hAnsiTheme="minorHAnsi" w:cstheme="minorHAnsi"/>
          <w:sz w:val="22"/>
          <w:szCs w:val="22"/>
        </w:rPr>
      </w:pPr>
      <w:r w:rsidRPr="00B717F9">
        <w:rPr>
          <w:rFonts w:asciiTheme="minorHAnsi" w:hAnsiTheme="minorHAnsi" w:cstheme="minorHAnsi"/>
          <w:sz w:val="22"/>
          <w:szCs w:val="22"/>
        </w:rPr>
        <w:t>Operational definition of “social services provid</w:t>
      </w:r>
      <w:r>
        <w:rPr>
          <w:rFonts w:asciiTheme="minorHAnsi" w:hAnsiTheme="minorHAnsi" w:cstheme="minorHAnsi"/>
          <w:sz w:val="22"/>
          <w:szCs w:val="22"/>
        </w:rPr>
        <w:t xml:space="preserve">ers”? </w:t>
      </w:r>
    </w:p>
    <w:p w14:paraId="4FDF4E06" w14:textId="77777777" w:rsidR="00B717F9" w:rsidRPr="00B717F9" w:rsidRDefault="00B717F9" w:rsidP="00B717F9">
      <w:pPr>
        <w:rPr>
          <w:rFonts w:asciiTheme="minorHAnsi" w:hAnsiTheme="minorHAnsi" w:cstheme="minorHAnsi"/>
          <w:sz w:val="22"/>
          <w:szCs w:val="22"/>
        </w:rPr>
      </w:pPr>
    </w:p>
    <w:p w14:paraId="44C10C5A" w14:textId="77777777" w:rsidR="00B717F9" w:rsidRPr="00B717F9" w:rsidRDefault="00B717F9" w:rsidP="00B717F9">
      <w:pPr>
        <w:rPr>
          <w:rFonts w:asciiTheme="minorHAnsi" w:hAnsiTheme="minorHAnsi" w:cstheme="minorHAnsi"/>
          <w:sz w:val="22"/>
          <w:szCs w:val="22"/>
        </w:rPr>
      </w:pPr>
      <w:r w:rsidRPr="00B717F9">
        <w:rPr>
          <w:rFonts w:asciiTheme="minorHAnsi" w:hAnsiTheme="minorHAnsi" w:cstheme="minorHAnsi"/>
          <w:b/>
          <w:bCs/>
          <w:sz w:val="22"/>
          <w:szCs w:val="22"/>
          <w:u w:val="single"/>
        </w:rPr>
        <w:t>Definition:</w:t>
      </w:r>
      <w:r w:rsidRPr="00B717F9">
        <w:rPr>
          <w:rFonts w:asciiTheme="minorHAnsi" w:hAnsiTheme="minorHAnsi" w:cstheme="minorHAnsi"/>
          <w:sz w:val="22"/>
          <w:szCs w:val="22"/>
        </w:rPr>
        <w:t xml:space="preserve">          Social Services Provider  </w:t>
      </w:r>
    </w:p>
    <w:p w14:paraId="3D03C02C" w14:textId="77777777" w:rsidR="00B717F9" w:rsidRPr="00B717F9" w:rsidRDefault="00B717F9" w:rsidP="00B717F9">
      <w:pPr>
        <w:rPr>
          <w:rFonts w:asciiTheme="minorHAnsi" w:hAnsiTheme="minorHAnsi" w:cstheme="minorHAnsi"/>
          <w:sz w:val="22"/>
          <w:szCs w:val="22"/>
        </w:rPr>
      </w:pPr>
    </w:p>
    <w:p w14:paraId="53F02BE7" w14:textId="77777777" w:rsidR="00B717F9" w:rsidRPr="00B717F9" w:rsidRDefault="00B717F9" w:rsidP="00B717F9">
      <w:pPr>
        <w:rPr>
          <w:rFonts w:asciiTheme="minorHAnsi" w:hAnsiTheme="minorHAnsi" w:cstheme="minorHAnsi"/>
          <w:sz w:val="22"/>
          <w:szCs w:val="22"/>
        </w:rPr>
      </w:pPr>
      <w:r w:rsidRPr="00B717F9">
        <w:rPr>
          <w:rFonts w:asciiTheme="minorHAnsi" w:hAnsiTheme="minorHAnsi" w:cstheme="minorHAnsi"/>
          <w:sz w:val="22"/>
          <w:szCs w:val="22"/>
        </w:rPr>
        <w:t xml:space="preserve">Social Services Providers aim to help individuals, families, children, and communities to achieve physical, social and emotional wellness. They promote collective well-being, equity, cultural responsiveness and social service opportunities in communities. </w:t>
      </w:r>
      <w:r w:rsidRPr="00B717F9">
        <w:rPr>
          <w:rFonts w:asciiTheme="minorHAnsi" w:hAnsiTheme="minorHAnsi" w:cstheme="minorHAnsi"/>
          <w:sz w:val="22"/>
          <w:szCs w:val="22"/>
          <w:lang w:val="en"/>
        </w:rPr>
        <w:t>They encompass a broad range of services, including but not limited to health care, welfare, social work, counseling, adoption and/or foster services.</w:t>
      </w:r>
    </w:p>
    <w:p w14:paraId="3FD1278B" w14:textId="77777777" w:rsidR="00B717F9" w:rsidRPr="00B717F9" w:rsidRDefault="00B717F9" w:rsidP="00B717F9">
      <w:pPr>
        <w:rPr>
          <w:rFonts w:asciiTheme="minorHAnsi" w:hAnsiTheme="minorHAnsi" w:cstheme="minorHAnsi"/>
          <w:sz w:val="22"/>
          <w:szCs w:val="22"/>
        </w:rPr>
      </w:pPr>
    </w:p>
    <w:p w14:paraId="55E6C52E" w14:textId="77777777" w:rsidR="00B717F9" w:rsidRPr="00B717F9" w:rsidRDefault="00B717F9" w:rsidP="00B717F9">
      <w:pPr>
        <w:pStyle w:val="ListParagraph"/>
        <w:widowControl/>
        <w:numPr>
          <w:ilvl w:val="0"/>
          <w:numId w:val="17"/>
        </w:numPr>
        <w:contextualSpacing w:val="0"/>
        <w:rPr>
          <w:rFonts w:asciiTheme="minorHAnsi" w:hAnsiTheme="minorHAnsi" w:cstheme="minorHAnsi"/>
          <w:sz w:val="22"/>
          <w:szCs w:val="22"/>
        </w:rPr>
      </w:pPr>
      <w:r w:rsidRPr="00B717F9">
        <w:rPr>
          <w:rFonts w:asciiTheme="minorHAnsi" w:hAnsiTheme="minorHAnsi" w:cstheme="minorHAnsi"/>
          <w:sz w:val="22"/>
          <w:szCs w:val="22"/>
        </w:rPr>
        <w:t>Does current programming have to cease? (in order to complete the planning phase)</w:t>
      </w:r>
    </w:p>
    <w:p w14:paraId="11274CB5" w14:textId="77777777" w:rsidR="00B717F9" w:rsidRPr="00B717F9" w:rsidRDefault="00B717F9" w:rsidP="00B717F9">
      <w:pPr>
        <w:rPr>
          <w:rFonts w:asciiTheme="minorHAnsi" w:hAnsiTheme="minorHAnsi" w:cstheme="minorHAnsi"/>
          <w:sz w:val="22"/>
          <w:szCs w:val="22"/>
        </w:rPr>
      </w:pPr>
    </w:p>
    <w:p w14:paraId="2BB66ACF" w14:textId="77777777" w:rsidR="00B717F9" w:rsidRPr="00B717F9" w:rsidRDefault="00B717F9" w:rsidP="00B717F9">
      <w:pPr>
        <w:rPr>
          <w:rFonts w:asciiTheme="minorHAnsi" w:hAnsiTheme="minorHAnsi" w:cstheme="minorHAnsi"/>
          <w:sz w:val="22"/>
          <w:szCs w:val="22"/>
        </w:rPr>
      </w:pPr>
      <w:r w:rsidRPr="00B717F9">
        <w:rPr>
          <w:rFonts w:asciiTheme="minorHAnsi" w:hAnsiTheme="minorHAnsi" w:cstheme="minorHAnsi"/>
          <w:sz w:val="22"/>
          <w:szCs w:val="22"/>
        </w:rPr>
        <w:t xml:space="preserve">Planning phase is only for new schools; readiness assessment must be completed only for new schools; schools that would be continuing current programming do not need to cease for a planning phase. However, respondents should clearly demonstrate in the proposal, the entity and the specific schools’ capacity to start/continue programming without a planning phase. </w:t>
      </w:r>
    </w:p>
    <w:p w14:paraId="102C63BD" w14:textId="77777777" w:rsidR="00B717F9" w:rsidRPr="00B717F9" w:rsidRDefault="00B717F9" w:rsidP="00B717F9">
      <w:pPr>
        <w:rPr>
          <w:rFonts w:asciiTheme="minorHAnsi" w:hAnsiTheme="minorHAnsi" w:cstheme="minorHAnsi"/>
          <w:sz w:val="22"/>
          <w:szCs w:val="22"/>
        </w:rPr>
      </w:pPr>
    </w:p>
    <w:p w14:paraId="11FB09A7" w14:textId="77777777" w:rsidR="00B717F9" w:rsidRPr="00B717F9" w:rsidRDefault="00B717F9" w:rsidP="00B717F9">
      <w:pPr>
        <w:pStyle w:val="ListParagraph"/>
        <w:widowControl/>
        <w:numPr>
          <w:ilvl w:val="0"/>
          <w:numId w:val="17"/>
        </w:numPr>
        <w:contextualSpacing w:val="0"/>
        <w:rPr>
          <w:rFonts w:asciiTheme="minorHAnsi" w:hAnsiTheme="minorHAnsi" w:cstheme="minorHAnsi"/>
          <w:sz w:val="22"/>
          <w:szCs w:val="22"/>
        </w:rPr>
      </w:pPr>
      <w:r w:rsidRPr="00B717F9">
        <w:rPr>
          <w:rFonts w:asciiTheme="minorHAnsi" w:hAnsiTheme="minorHAnsi" w:cstheme="minorHAnsi"/>
          <w:sz w:val="22"/>
          <w:szCs w:val="22"/>
        </w:rPr>
        <w:t xml:space="preserve">Can match be from schools? In-kind specifically – would this be allowable?? </w:t>
      </w:r>
    </w:p>
    <w:p w14:paraId="66AE03CA" w14:textId="77777777" w:rsidR="00B717F9" w:rsidRPr="00B717F9" w:rsidRDefault="00B717F9" w:rsidP="00B717F9">
      <w:pPr>
        <w:rPr>
          <w:rFonts w:asciiTheme="minorHAnsi" w:hAnsiTheme="minorHAnsi" w:cstheme="minorHAnsi"/>
          <w:sz w:val="22"/>
          <w:szCs w:val="22"/>
        </w:rPr>
      </w:pPr>
    </w:p>
    <w:p w14:paraId="3CD43818" w14:textId="77777777" w:rsidR="00B717F9" w:rsidRPr="00B717F9" w:rsidRDefault="00B717F9" w:rsidP="00B717F9">
      <w:pPr>
        <w:rPr>
          <w:rFonts w:asciiTheme="minorHAnsi" w:hAnsiTheme="minorHAnsi" w:cstheme="minorHAnsi"/>
          <w:sz w:val="22"/>
          <w:szCs w:val="22"/>
        </w:rPr>
      </w:pPr>
      <w:r w:rsidRPr="00B717F9">
        <w:rPr>
          <w:rFonts w:asciiTheme="minorHAnsi" w:hAnsiTheme="minorHAnsi" w:cstheme="minorHAnsi"/>
          <w:sz w:val="22"/>
          <w:szCs w:val="22"/>
        </w:rPr>
        <w:t>Matching funds can be secured through schools. However, the purpose of this funding is to assist schools, not to burden them financially or with added duties to current positions.</w:t>
      </w:r>
    </w:p>
    <w:p w14:paraId="3478D726" w14:textId="77777777" w:rsidR="00B717F9" w:rsidRPr="00B717F9" w:rsidRDefault="00B717F9" w:rsidP="00B717F9">
      <w:pPr>
        <w:rPr>
          <w:rFonts w:asciiTheme="minorHAnsi" w:hAnsiTheme="minorHAnsi" w:cstheme="minorHAnsi"/>
          <w:sz w:val="22"/>
          <w:szCs w:val="22"/>
        </w:rPr>
      </w:pPr>
    </w:p>
    <w:p w14:paraId="1AE28BE6" w14:textId="6CD60B6E" w:rsidR="00B717F9" w:rsidRPr="00B717F9" w:rsidRDefault="00B717F9" w:rsidP="00B717F9">
      <w:pPr>
        <w:pStyle w:val="ListParagraph"/>
        <w:widowControl/>
        <w:numPr>
          <w:ilvl w:val="0"/>
          <w:numId w:val="17"/>
        </w:numPr>
        <w:contextualSpacing w:val="0"/>
        <w:rPr>
          <w:rFonts w:asciiTheme="minorHAnsi" w:hAnsiTheme="minorHAnsi" w:cstheme="minorHAnsi"/>
          <w:sz w:val="22"/>
          <w:szCs w:val="22"/>
        </w:rPr>
      </w:pPr>
      <w:r w:rsidRPr="00B717F9">
        <w:rPr>
          <w:rFonts w:asciiTheme="minorHAnsi" w:hAnsiTheme="minorHAnsi" w:cstheme="minorHAnsi"/>
          <w:sz w:val="22"/>
          <w:szCs w:val="22"/>
        </w:rPr>
        <w:t>Need to define more specifically what is al</w:t>
      </w:r>
      <w:r>
        <w:rPr>
          <w:rFonts w:asciiTheme="minorHAnsi" w:hAnsiTheme="minorHAnsi" w:cstheme="minorHAnsi"/>
          <w:sz w:val="22"/>
          <w:szCs w:val="22"/>
        </w:rPr>
        <w:t>lowable match requirements.</w:t>
      </w:r>
      <w:r w:rsidRPr="00B717F9">
        <w:rPr>
          <w:rFonts w:asciiTheme="minorHAnsi" w:hAnsiTheme="minorHAnsi" w:cstheme="minorHAnsi"/>
          <w:sz w:val="22"/>
          <w:szCs w:val="22"/>
        </w:rPr>
        <w:t xml:space="preserve"> </w:t>
      </w:r>
    </w:p>
    <w:p w14:paraId="001DA7C9" w14:textId="77777777" w:rsidR="00B717F9" w:rsidRPr="00B717F9" w:rsidRDefault="00B717F9" w:rsidP="00B717F9">
      <w:pPr>
        <w:rPr>
          <w:rFonts w:asciiTheme="minorHAnsi" w:hAnsiTheme="minorHAnsi" w:cstheme="minorHAnsi"/>
          <w:sz w:val="22"/>
          <w:szCs w:val="22"/>
        </w:rPr>
      </w:pPr>
    </w:p>
    <w:p w14:paraId="0CBA8A76" w14:textId="77777777" w:rsidR="00B717F9" w:rsidRPr="00B717F9" w:rsidRDefault="00B717F9" w:rsidP="00B717F9">
      <w:pPr>
        <w:rPr>
          <w:rFonts w:asciiTheme="minorHAnsi" w:hAnsiTheme="minorHAnsi" w:cstheme="minorHAnsi"/>
          <w:sz w:val="22"/>
          <w:szCs w:val="22"/>
        </w:rPr>
      </w:pPr>
      <w:r w:rsidRPr="00B717F9">
        <w:rPr>
          <w:rFonts w:asciiTheme="minorHAnsi" w:hAnsiTheme="minorHAnsi" w:cstheme="minorHAnsi"/>
          <w:sz w:val="22"/>
          <w:szCs w:val="22"/>
        </w:rPr>
        <w:t>There are no restrictions on matching funds’ originations. However, respondents must review requirements of funding source being used as match. (For example, if using schools’ funds, respondent should review requirements for the source of the schools’ funds, state or federal.)</w:t>
      </w:r>
    </w:p>
    <w:p w14:paraId="6B5E8C6F" w14:textId="77777777" w:rsidR="00B717F9" w:rsidRPr="00B717F9" w:rsidRDefault="00B717F9" w:rsidP="00B717F9">
      <w:pPr>
        <w:rPr>
          <w:rFonts w:asciiTheme="minorHAnsi" w:hAnsiTheme="minorHAnsi" w:cstheme="minorHAnsi"/>
          <w:sz w:val="22"/>
          <w:szCs w:val="22"/>
        </w:rPr>
      </w:pPr>
    </w:p>
    <w:p w14:paraId="253E760D" w14:textId="77777777" w:rsidR="00B717F9" w:rsidRPr="00B717F9" w:rsidRDefault="00B717F9" w:rsidP="00B717F9">
      <w:pPr>
        <w:rPr>
          <w:rFonts w:asciiTheme="minorHAnsi" w:hAnsiTheme="minorHAnsi" w:cstheme="minorHAnsi"/>
          <w:sz w:val="22"/>
          <w:szCs w:val="22"/>
        </w:rPr>
      </w:pPr>
      <w:r w:rsidRPr="00B717F9">
        <w:rPr>
          <w:rFonts w:asciiTheme="minorHAnsi" w:hAnsiTheme="minorHAnsi" w:cstheme="minorHAnsi"/>
          <w:sz w:val="22"/>
          <w:szCs w:val="22"/>
        </w:rPr>
        <w:t>DMHA will fund 65% of the total program cost – for example, if the total program will cost $1,100,000 each year, DMHA will award 65%, which is $715,000. Respondents should determine the total cost to implement its proposed programs and then secure 35% of the cost in matching funds.</w:t>
      </w:r>
    </w:p>
    <w:p w14:paraId="6843A577" w14:textId="77777777" w:rsidR="00B717F9" w:rsidRPr="00B717F9" w:rsidRDefault="00B717F9" w:rsidP="00B717F9">
      <w:pPr>
        <w:rPr>
          <w:rFonts w:asciiTheme="minorHAnsi" w:hAnsiTheme="minorHAnsi" w:cstheme="minorHAnsi"/>
          <w:sz w:val="22"/>
          <w:szCs w:val="22"/>
        </w:rPr>
      </w:pPr>
    </w:p>
    <w:p w14:paraId="062FB0C8" w14:textId="627D9F48" w:rsidR="00B717F9" w:rsidRPr="00B717F9" w:rsidRDefault="00B717F9" w:rsidP="00B717F9">
      <w:pPr>
        <w:rPr>
          <w:rFonts w:asciiTheme="minorHAnsi" w:hAnsiTheme="minorHAnsi" w:cstheme="minorHAnsi"/>
          <w:sz w:val="22"/>
          <w:szCs w:val="22"/>
        </w:rPr>
      </w:pPr>
      <w:r w:rsidRPr="00B717F9">
        <w:rPr>
          <w:rFonts w:asciiTheme="minorHAnsi" w:hAnsiTheme="minorHAnsi" w:cstheme="minorHAnsi"/>
          <w:sz w:val="22"/>
          <w:szCs w:val="22"/>
        </w:rPr>
        <w:t>In order to be awarded $1,100,000 each year, the total program cost would need to be at least $1,692,308. ($1,692,308 x .65 = $1,100,000.20) The respondent would need to secure $592,307 in matching funds.</w:t>
      </w:r>
      <w:r w:rsidR="00720585">
        <w:rPr>
          <w:rFonts w:asciiTheme="minorHAnsi" w:hAnsiTheme="minorHAnsi" w:cstheme="minorHAnsi"/>
          <w:sz w:val="22"/>
          <w:szCs w:val="22"/>
        </w:rPr>
        <w:t xml:space="preserve">  (The example on the cost proposal instructions has been removed)</w:t>
      </w:r>
    </w:p>
    <w:p w14:paraId="6E9DA75E" w14:textId="77777777" w:rsidR="00B717F9" w:rsidRPr="00B717F9" w:rsidRDefault="00B717F9" w:rsidP="00B717F9">
      <w:pPr>
        <w:rPr>
          <w:rFonts w:asciiTheme="minorHAnsi" w:hAnsiTheme="minorHAnsi" w:cstheme="minorHAnsi"/>
          <w:sz w:val="22"/>
          <w:szCs w:val="22"/>
        </w:rPr>
      </w:pPr>
    </w:p>
    <w:p w14:paraId="312AC2A0" w14:textId="77777777" w:rsidR="00B717F9" w:rsidRPr="00B717F9" w:rsidRDefault="00B717F9" w:rsidP="00B717F9">
      <w:pPr>
        <w:pStyle w:val="ListParagraph"/>
        <w:widowControl/>
        <w:numPr>
          <w:ilvl w:val="0"/>
          <w:numId w:val="17"/>
        </w:numPr>
        <w:contextualSpacing w:val="0"/>
        <w:rPr>
          <w:rFonts w:asciiTheme="minorHAnsi" w:hAnsiTheme="minorHAnsi" w:cstheme="minorHAnsi"/>
          <w:sz w:val="22"/>
          <w:szCs w:val="22"/>
        </w:rPr>
      </w:pPr>
      <w:r w:rsidRPr="00B717F9">
        <w:rPr>
          <w:rFonts w:asciiTheme="minorHAnsi" w:hAnsiTheme="minorHAnsi" w:cstheme="minorHAnsi"/>
          <w:sz w:val="22"/>
          <w:szCs w:val="22"/>
        </w:rPr>
        <w:t xml:space="preserve">Can counties along the border be included in a different region? </w:t>
      </w:r>
    </w:p>
    <w:p w14:paraId="5079492B" w14:textId="77777777" w:rsidR="00B717F9" w:rsidRPr="00B717F9" w:rsidRDefault="00B717F9" w:rsidP="00B717F9">
      <w:pPr>
        <w:rPr>
          <w:rFonts w:asciiTheme="minorHAnsi" w:hAnsiTheme="minorHAnsi" w:cstheme="minorHAnsi"/>
          <w:sz w:val="22"/>
          <w:szCs w:val="22"/>
        </w:rPr>
      </w:pPr>
    </w:p>
    <w:p w14:paraId="57F8D6AE" w14:textId="77777777" w:rsidR="00B717F9" w:rsidRDefault="00B717F9" w:rsidP="00B717F9">
      <w:pPr>
        <w:rPr>
          <w:rFonts w:asciiTheme="minorHAnsi" w:hAnsiTheme="minorHAnsi" w:cstheme="minorHAnsi"/>
          <w:sz w:val="22"/>
          <w:szCs w:val="22"/>
        </w:rPr>
      </w:pPr>
      <w:r w:rsidRPr="00B717F9">
        <w:rPr>
          <w:rFonts w:asciiTheme="minorHAnsi" w:hAnsiTheme="minorHAnsi" w:cstheme="minorHAnsi"/>
          <w:sz w:val="22"/>
          <w:szCs w:val="22"/>
        </w:rPr>
        <w:t>Because this program structure is brand new, we will be funding entities to serve counties within the regions as defined. After the initial two-year implementation, DMHA will re-evaluate the regional infrastructure.</w:t>
      </w:r>
    </w:p>
    <w:p w14:paraId="405C6022" w14:textId="77777777" w:rsidR="0050550B" w:rsidRDefault="0050550B" w:rsidP="00B717F9">
      <w:pPr>
        <w:rPr>
          <w:rFonts w:asciiTheme="minorHAnsi" w:hAnsiTheme="minorHAnsi" w:cstheme="minorHAnsi"/>
          <w:sz w:val="22"/>
          <w:szCs w:val="22"/>
        </w:rPr>
      </w:pPr>
    </w:p>
    <w:p w14:paraId="749662DC" w14:textId="3AF127B6" w:rsidR="0050550B" w:rsidRDefault="00720585" w:rsidP="00B717F9">
      <w:pPr>
        <w:rPr>
          <w:rFonts w:asciiTheme="minorHAnsi" w:hAnsiTheme="minorHAnsi" w:cstheme="minorHAnsi"/>
          <w:sz w:val="22"/>
          <w:szCs w:val="22"/>
        </w:rPr>
      </w:pPr>
      <w:r>
        <w:rPr>
          <w:rFonts w:asciiTheme="minorHAnsi" w:hAnsiTheme="minorHAnsi" w:cstheme="minorHAnsi"/>
          <w:sz w:val="22"/>
          <w:szCs w:val="22"/>
        </w:rPr>
        <w:t>COST PROPOSAL</w:t>
      </w:r>
    </w:p>
    <w:p w14:paraId="06490929" w14:textId="77777777" w:rsidR="00720585" w:rsidRDefault="00720585" w:rsidP="00B717F9">
      <w:pPr>
        <w:rPr>
          <w:rFonts w:asciiTheme="minorHAnsi" w:hAnsiTheme="minorHAnsi" w:cstheme="minorHAnsi"/>
          <w:sz w:val="22"/>
          <w:szCs w:val="22"/>
        </w:rPr>
      </w:pPr>
    </w:p>
    <w:p w14:paraId="28DAF9B1" w14:textId="769E27EC" w:rsidR="00720585" w:rsidRDefault="00720585" w:rsidP="00B717F9">
      <w:pPr>
        <w:rPr>
          <w:rFonts w:asciiTheme="minorHAnsi" w:hAnsiTheme="minorHAnsi" w:cstheme="minorHAnsi"/>
          <w:sz w:val="22"/>
          <w:szCs w:val="22"/>
        </w:rPr>
      </w:pPr>
      <w:r>
        <w:rPr>
          <w:rFonts w:asciiTheme="minorHAnsi" w:hAnsiTheme="minorHAnsi" w:cstheme="minorHAnsi"/>
          <w:sz w:val="22"/>
          <w:szCs w:val="22"/>
        </w:rPr>
        <w:t>Section 2.5 – The</w:t>
      </w:r>
      <w:r w:rsidR="00056208">
        <w:rPr>
          <w:rFonts w:asciiTheme="minorHAnsi" w:hAnsiTheme="minorHAnsi" w:cstheme="minorHAnsi"/>
          <w:sz w:val="22"/>
          <w:szCs w:val="22"/>
        </w:rPr>
        <w:t xml:space="preserve"> cost proposal has been updated. </w:t>
      </w:r>
      <w:bookmarkStart w:id="0" w:name="_GoBack"/>
      <w:bookmarkEnd w:id="0"/>
      <w:r>
        <w:rPr>
          <w:rFonts w:asciiTheme="minorHAnsi" w:hAnsiTheme="minorHAnsi" w:cstheme="minorHAnsi"/>
          <w:sz w:val="22"/>
          <w:szCs w:val="22"/>
        </w:rPr>
        <w:t xml:space="preserve">  </w:t>
      </w:r>
    </w:p>
    <w:p w14:paraId="4C454270" w14:textId="77777777" w:rsidR="00720585" w:rsidRDefault="00720585" w:rsidP="00B717F9">
      <w:pPr>
        <w:rPr>
          <w:rFonts w:asciiTheme="minorHAnsi" w:hAnsiTheme="minorHAnsi" w:cstheme="minorHAnsi"/>
          <w:sz w:val="22"/>
          <w:szCs w:val="22"/>
        </w:rPr>
      </w:pPr>
    </w:p>
    <w:p w14:paraId="1CD7FB0C" w14:textId="70872BE6" w:rsidR="00720585" w:rsidRDefault="00720585" w:rsidP="00B717F9">
      <w:pPr>
        <w:rPr>
          <w:rFonts w:asciiTheme="minorHAnsi" w:hAnsiTheme="minorHAnsi" w:cstheme="minorHAnsi"/>
          <w:sz w:val="22"/>
          <w:szCs w:val="22"/>
        </w:rPr>
      </w:pPr>
      <w:r>
        <w:rPr>
          <w:rFonts w:asciiTheme="minorHAnsi" w:hAnsiTheme="minorHAnsi" w:cstheme="minorHAnsi"/>
          <w:sz w:val="22"/>
          <w:szCs w:val="22"/>
        </w:rPr>
        <w:t xml:space="preserve">The automate calculation within the cost proposal is now working between the cost proposal tab and </w:t>
      </w:r>
      <w:r>
        <w:rPr>
          <w:rFonts w:asciiTheme="minorHAnsi" w:hAnsiTheme="minorHAnsi" w:cstheme="minorHAnsi"/>
          <w:sz w:val="22"/>
          <w:szCs w:val="22"/>
        </w:rPr>
        <w:lastRenderedPageBreak/>
        <w:t xml:space="preserve">the matching fund tab.  </w:t>
      </w:r>
    </w:p>
    <w:p w14:paraId="73A9B82D" w14:textId="77777777" w:rsidR="00720585" w:rsidRDefault="00720585" w:rsidP="00B717F9">
      <w:pPr>
        <w:rPr>
          <w:rFonts w:asciiTheme="minorHAnsi" w:hAnsiTheme="minorHAnsi" w:cstheme="minorHAnsi"/>
          <w:sz w:val="22"/>
          <w:szCs w:val="22"/>
        </w:rPr>
      </w:pPr>
    </w:p>
    <w:p w14:paraId="1CF80EAB" w14:textId="77777777" w:rsidR="00720585" w:rsidRDefault="00720585" w:rsidP="00B717F9">
      <w:pPr>
        <w:rPr>
          <w:rFonts w:asciiTheme="minorHAnsi" w:hAnsiTheme="minorHAnsi" w:cstheme="minorHAnsi"/>
          <w:sz w:val="22"/>
          <w:szCs w:val="22"/>
        </w:rPr>
      </w:pPr>
    </w:p>
    <w:p w14:paraId="0037EDAF" w14:textId="77777777" w:rsidR="00720585" w:rsidRDefault="00720585" w:rsidP="00720585">
      <w:pPr>
        <w:rPr>
          <w:rFonts w:asciiTheme="minorHAnsi" w:hAnsiTheme="minorHAnsi" w:cstheme="minorHAnsi"/>
          <w:sz w:val="22"/>
          <w:szCs w:val="22"/>
        </w:rPr>
      </w:pPr>
      <w:r>
        <w:rPr>
          <w:rFonts w:asciiTheme="minorHAnsi" w:hAnsiTheme="minorHAnsi" w:cstheme="minorHAnsi"/>
          <w:sz w:val="22"/>
          <w:szCs w:val="22"/>
        </w:rPr>
        <w:t xml:space="preserve">Summary of Changes in RFP (changes in </w:t>
      </w:r>
      <w:r w:rsidRPr="00D375FF">
        <w:rPr>
          <w:rFonts w:asciiTheme="minorHAnsi" w:hAnsiTheme="minorHAnsi" w:cstheme="minorHAnsi"/>
          <w:color w:val="FF0000"/>
          <w:sz w:val="22"/>
          <w:szCs w:val="22"/>
        </w:rPr>
        <w:t>red</w:t>
      </w:r>
      <w:r>
        <w:rPr>
          <w:rFonts w:asciiTheme="minorHAnsi" w:hAnsiTheme="minorHAnsi" w:cstheme="minorHAnsi"/>
          <w:sz w:val="22"/>
          <w:szCs w:val="22"/>
        </w:rPr>
        <w:t>)</w:t>
      </w:r>
    </w:p>
    <w:p w14:paraId="73578937" w14:textId="77777777" w:rsidR="00720585" w:rsidRDefault="00720585" w:rsidP="00B717F9">
      <w:pPr>
        <w:rPr>
          <w:rFonts w:asciiTheme="minorHAnsi" w:hAnsiTheme="minorHAnsi" w:cstheme="minorHAnsi"/>
          <w:sz w:val="22"/>
          <w:szCs w:val="22"/>
        </w:rPr>
      </w:pPr>
    </w:p>
    <w:p w14:paraId="7AB15693" w14:textId="2A01303B" w:rsidR="0050550B" w:rsidRDefault="00720585" w:rsidP="00B717F9">
      <w:pPr>
        <w:rPr>
          <w:rFonts w:asciiTheme="minorHAnsi" w:hAnsiTheme="minorHAnsi" w:cstheme="minorHAnsi"/>
          <w:sz w:val="22"/>
          <w:szCs w:val="22"/>
        </w:rPr>
      </w:pPr>
      <w:r>
        <w:rPr>
          <w:rFonts w:asciiTheme="minorHAnsi" w:hAnsiTheme="minorHAnsi" w:cstheme="minorHAnsi"/>
          <w:sz w:val="22"/>
          <w:szCs w:val="22"/>
        </w:rPr>
        <w:t>Section 3.2 -</w:t>
      </w:r>
    </w:p>
    <w:p w14:paraId="726EE3E1" w14:textId="77777777" w:rsidR="0050550B" w:rsidRPr="00720585" w:rsidRDefault="0050550B" w:rsidP="0050550B">
      <w:pPr>
        <w:pStyle w:val="Heading2"/>
        <w:spacing w:before="0"/>
        <w:rPr>
          <w:rFonts w:asciiTheme="minorHAnsi" w:hAnsiTheme="minorHAnsi" w:cstheme="minorHAnsi"/>
          <w:color w:val="auto"/>
          <w:sz w:val="22"/>
          <w:szCs w:val="22"/>
        </w:rPr>
      </w:pPr>
      <w:r w:rsidRPr="00720585">
        <w:rPr>
          <w:rFonts w:asciiTheme="minorHAnsi" w:hAnsiTheme="minorHAnsi" w:cstheme="minorHAnsi"/>
          <w:color w:val="auto"/>
          <w:sz w:val="22"/>
          <w:szCs w:val="22"/>
        </w:rPr>
        <w:t>EVALUATION CRITERIA</w:t>
      </w:r>
    </w:p>
    <w:p w14:paraId="23292607" w14:textId="77777777" w:rsidR="0050550B" w:rsidRPr="00720585" w:rsidRDefault="0050550B" w:rsidP="0050550B">
      <w:pPr>
        <w:widowControl/>
        <w:rPr>
          <w:rFonts w:asciiTheme="minorHAnsi" w:hAnsiTheme="minorHAnsi" w:cstheme="minorHAnsi"/>
          <w:sz w:val="22"/>
          <w:szCs w:val="22"/>
        </w:rPr>
      </w:pPr>
    </w:p>
    <w:p w14:paraId="7CA4949C" w14:textId="77777777" w:rsidR="0050550B" w:rsidRDefault="0050550B" w:rsidP="0050550B">
      <w:pPr>
        <w:widowControl/>
        <w:rPr>
          <w:rFonts w:asciiTheme="minorHAnsi" w:hAnsiTheme="minorHAnsi" w:cstheme="minorHAnsi"/>
          <w:color w:val="000000"/>
          <w:sz w:val="22"/>
          <w:szCs w:val="22"/>
        </w:rPr>
      </w:pPr>
      <w:r w:rsidRPr="00720585">
        <w:rPr>
          <w:rFonts w:asciiTheme="minorHAnsi" w:hAnsiTheme="minorHAnsi" w:cstheme="minorHAnsi"/>
          <w:sz w:val="22"/>
          <w:szCs w:val="22"/>
        </w:rPr>
        <w:t xml:space="preserve">Proposals will be evaluated based upon the proven ability of the Respondent to satisfy the requirements of the RFP in a cost-effective manner.  Each of the evaluation criteria categories is described below </w:t>
      </w:r>
      <w:r w:rsidRPr="00720585">
        <w:rPr>
          <w:rFonts w:asciiTheme="minorHAnsi" w:hAnsiTheme="minorHAnsi" w:cstheme="minorHAnsi"/>
          <w:color w:val="000000"/>
          <w:sz w:val="22"/>
          <w:szCs w:val="22"/>
        </w:rPr>
        <w:t xml:space="preserve">with a brief explanation of the basis for evaluation in that </w:t>
      </w:r>
      <w:r w:rsidRPr="00720585">
        <w:rPr>
          <w:rFonts w:asciiTheme="minorHAnsi" w:hAnsiTheme="minorHAnsi" w:cstheme="minorHAnsi"/>
          <w:sz w:val="22"/>
          <w:szCs w:val="22"/>
        </w:rPr>
        <w:t>category. The points associated with each category are indicated following the category name (total maximum points = 10</w:t>
      </w:r>
      <w:r w:rsidRPr="00720585">
        <w:rPr>
          <w:rFonts w:asciiTheme="minorHAnsi" w:hAnsiTheme="minorHAnsi" w:cstheme="minorHAnsi"/>
          <w:color w:val="FF0000"/>
          <w:sz w:val="22"/>
          <w:szCs w:val="22"/>
        </w:rPr>
        <w:t>3</w:t>
      </w:r>
      <w:r w:rsidRPr="00720585">
        <w:rPr>
          <w:rFonts w:asciiTheme="minorHAnsi" w:hAnsiTheme="minorHAnsi" w:cstheme="minorHAnsi"/>
          <w:sz w:val="22"/>
          <w:szCs w:val="22"/>
        </w:rPr>
        <w:t>).  Negative points may be assigned in the cost score. Additionally, there is an opportunity for a bonus of five points if certain criteria are met. For further information, please reference Section 3.2.3 below. If any one or more of the listed criteria on which the responses to this RFP will be evaluated</w:t>
      </w:r>
      <w:r w:rsidRPr="00720585">
        <w:rPr>
          <w:rFonts w:asciiTheme="minorHAnsi" w:hAnsiTheme="minorHAnsi" w:cstheme="minorHAnsi"/>
          <w:color w:val="000000"/>
          <w:sz w:val="22"/>
          <w:szCs w:val="22"/>
        </w:rPr>
        <w:t xml:space="preserve"> are found to be inconsistent or incompatible with applicable federal laws, regulations or policies, the specific criterion or criteria will be disregarded and the responses will be evaluated and scored without taking into account such criterion or criteria.</w:t>
      </w:r>
    </w:p>
    <w:p w14:paraId="00DC5BF9" w14:textId="77777777" w:rsidR="00720585" w:rsidRDefault="00720585" w:rsidP="0050550B">
      <w:pPr>
        <w:widowControl/>
        <w:rPr>
          <w:rFonts w:asciiTheme="minorHAnsi" w:hAnsiTheme="minorHAnsi" w:cstheme="minorHAnsi"/>
          <w:color w:val="000000"/>
          <w:sz w:val="22"/>
          <w:szCs w:val="22"/>
        </w:rPr>
      </w:pPr>
    </w:p>
    <w:p w14:paraId="20C10B4B" w14:textId="77777777" w:rsidR="00720585" w:rsidRPr="00720585" w:rsidRDefault="00720585" w:rsidP="0050550B">
      <w:pPr>
        <w:widowControl/>
        <w:rPr>
          <w:rFonts w:asciiTheme="minorHAnsi" w:hAnsiTheme="minorHAnsi" w:cstheme="minorHAnsi"/>
          <w:color w:val="000000"/>
          <w:sz w:val="22"/>
          <w:szCs w:val="22"/>
        </w:rPr>
      </w:pPr>
    </w:p>
    <w:p w14:paraId="50E61C1B" w14:textId="77777777" w:rsidR="0050550B" w:rsidRPr="00720585" w:rsidRDefault="0050550B" w:rsidP="0050550B">
      <w:pPr>
        <w:widowControl/>
        <w:rPr>
          <w:rFonts w:ascii="Garamond" w:hAnsi="Garamond" w:cs="Calibri"/>
          <w:sz w:val="22"/>
          <w:szCs w:val="22"/>
        </w:rPr>
      </w:pPr>
    </w:p>
    <w:p w14:paraId="7C32EBA2" w14:textId="77777777" w:rsidR="0050550B" w:rsidRDefault="0050550B" w:rsidP="00B717F9">
      <w:pPr>
        <w:rPr>
          <w:rFonts w:asciiTheme="minorHAnsi" w:hAnsiTheme="minorHAnsi" w:cstheme="minorHAnsi"/>
          <w:sz w:val="22"/>
          <w:szCs w:val="22"/>
        </w:rPr>
      </w:pPr>
    </w:p>
    <w:p w14:paraId="4886B231" w14:textId="77777777" w:rsidR="0050550B" w:rsidRPr="00B717F9" w:rsidRDefault="0050550B" w:rsidP="00B717F9">
      <w:pPr>
        <w:rPr>
          <w:rFonts w:asciiTheme="minorHAnsi" w:hAnsiTheme="minorHAnsi" w:cstheme="minorHAnsi"/>
          <w:sz w:val="22"/>
          <w:szCs w:val="22"/>
        </w:rPr>
      </w:pPr>
    </w:p>
    <w:p w14:paraId="1761C12E" w14:textId="77777777" w:rsidR="00B717F9" w:rsidRPr="00B717F9" w:rsidRDefault="00B717F9" w:rsidP="00B717F9">
      <w:pPr>
        <w:rPr>
          <w:rFonts w:asciiTheme="minorHAnsi" w:hAnsiTheme="minorHAnsi" w:cstheme="minorHAnsi"/>
          <w:sz w:val="22"/>
          <w:szCs w:val="22"/>
        </w:rPr>
      </w:pPr>
    </w:p>
    <w:p w14:paraId="1C3CB437" w14:textId="77777777" w:rsidR="00B717F9" w:rsidRPr="00B717F9" w:rsidRDefault="00B717F9" w:rsidP="00183198">
      <w:pPr>
        <w:jc w:val="right"/>
        <w:rPr>
          <w:rFonts w:ascii="Garamond" w:hAnsi="Garamond" w:cs="Calibri"/>
          <w:szCs w:val="24"/>
        </w:rPr>
      </w:pPr>
    </w:p>
    <w:p w14:paraId="5FDA65CA" w14:textId="77777777" w:rsidR="00B717F9" w:rsidRDefault="00B717F9" w:rsidP="00183198">
      <w:pPr>
        <w:jc w:val="right"/>
        <w:rPr>
          <w:rFonts w:ascii="Garamond" w:hAnsi="Garamond" w:cs="Calibri"/>
          <w:szCs w:val="24"/>
        </w:rPr>
      </w:pPr>
    </w:p>
    <w:sectPr w:rsidR="00B717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1685A" w14:textId="77777777" w:rsidR="00316DDF" w:rsidRDefault="00316DDF" w:rsidP="00FF57FB">
      <w:r>
        <w:separator/>
      </w:r>
    </w:p>
  </w:endnote>
  <w:endnote w:type="continuationSeparator" w:id="0">
    <w:p w14:paraId="3043DCDF" w14:textId="77777777" w:rsidR="00316DDF" w:rsidRDefault="00316DDF" w:rsidP="00FF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3BE17" w14:textId="77777777" w:rsidR="00316DDF" w:rsidRDefault="00316DDF" w:rsidP="00FF57FB">
      <w:r>
        <w:separator/>
      </w:r>
    </w:p>
  </w:footnote>
  <w:footnote w:type="continuationSeparator" w:id="0">
    <w:p w14:paraId="6C916FEF" w14:textId="77777777" w:rsidR="00316DDF" w:rsidRDefault="00316DDF" w:rsidP="00FF57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46EB"/>
    <w:multiLevelType w:val="hybridMultilevel"/>
    <w:tmpl w:val="635A0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2371C"/>
    <w:multiLevelType w:val="hybridMultilevel"/>
    <w:tmpl w:val="1E68F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A47C7"/>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51FDA"/>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D517D"/>
    <w:multiLevelType w:val="hybridMultilevel"/>
    <w:tmpl w:val="050E3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A1C05"/>
    <w:multiLevelType w:val="hybridMultilevel"/>
    <w:tmpl w:val="1E68F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8C3EA1"/>
    <w:multiLevelType w:val="hybridMultilevel"/>
    <w:tmpl w:val="BADC1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CC7863"/>
    <w:multiLevelType w:val="hybridMultilevel"/>
    <w:tmpl w:val="4FEEE7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4438D"/>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A7422B"/>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F215B5"/>
    <w:multiLevelType w:val="hybridMultilevel"/>
    <w:tmpl w:val="5CF48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5C4A9E"/>
    <w:multiLevelType w:val="hybridMultilevel"/>
    <w:tmpl w:val="061A9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0B4DFC"/>
    <w:multiLevelType w:val="hybridMultilevel"/>
    <w:tmpl w:val="EF3A3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4364DF"/>
    <w:multiLevelType w:val="hybridMultilevel"/>
    <w:tmpl w:val="F5BE35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16"/>
  </w:num>
  <w:num w:numId="4">
    <w:abstractNumId w:val="6"/>
  </w:num>
  <w:num w:numId="5">
    <w:abstractNumId w:val="1"/>
  </w:num>
  <w:num w:numId="6">
    <w:abstractNumId w:val="4"/>
  </w:num>
  <w:num w:numId="7">
    <w:abstractNumId w:val="11"/>
  </w:num>
  <w:num w:numId="8">
    <w:abstractNumId w:val="10"/>
  </w:num>
  <w:num w:numId="9">
    <w:abstractNumId w:val="0"/>
  </w:num>
  <w:num w:numId="10">
    <w:abstractNumId w:val="8"/>
  </w:num>
  <w:num w:numId="11">
    <w:abstractNumId w:val="2"/>
  </w:num>
  <w:num w:numId="12">
    <w:abstractNumId w:val="9"/>
  </w:num>
  <w:num w:numId="13">
    <w:abstractNumId w:val="13"/>
  </w:num>
  <w:num w:numId="14">
    <w:abstractNumId w:val="7"/>
  </w:num>
  <w:num w:numId="15">
    <w:abstractNumId w:val="3"/>
  </w:num>
  <w:num w:numId="16">
    <w:abstractNumId w:val="1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98"/>
    <w:rsid w:val="00056208"/>
    <w:rsid w:val="000C7A39"/>
    <w:rsid w:val="000D60BA"/>
    <w:rsid w:val="00103580"/>
    <w:rsid w:val="001665E4"/>
    <w:rsid w:val="00183198"/>
    <w:rsid w:val="00185661"/>
    <w:rsid w:val="001D1315"/>
    <w:rsid w:val="001F6629"/>
    <w:rsid w:val="0027478D"/>
    <w:rsid w:val="00282378"/>
    <w:rsid w:val="002B5733"/>
    <w:rsid w:val="00305BBE"/>
    <w:rsid w:val="00313C9B"/>
    <w:rsid w:val="00316DDF"/>
    <w:rsid w:val="00335ABB"/>
    <w:rsid w:val="003C1AA7"/>
    <w:rsid w:val="004712F5"/>
    <w:rsid w:val="00475EBF"/>
    <w:rsid w:val="00497AE0"/>
    <w:rsid w:val="0050550B"/>
    <w:rsid w:val="00543962"/>
    <w:rsid w:val="00544FE8"/>
    <w:rsid w:val="0056597D"/>
    <w:rsid w:val="005E6B48"/>
    <w:rsid w:val="00605B9A"/>
    <w:rsid w:val="00620BE4"/>
    <w:rsid w:val="006318FE"/>
    <w:rsid w:val="00651353"/>
    <w:rsid w:val="006D7AD5"/>
    <w:rsid w:val="00720585"/>
    <w:rsid w:val="007D6674"/>
    <w:rsid w:val="00852CBF"/>
    <w:rsid w:val="008B1D3A"/>
    <w:rsid w:val="00916F02"/>
    <w:rsid w:val="00985338"/>
    <w:rsid w:val="009D737B"/>
    <w:rsid w:val="00A17E6C"/>
    <w:rsid w:val="00A24F01"/>
    <w:rsid w:val="00B717F9"/>
    <w:rsid w:val="00C57432"/>
    <w:rsid w:val="00C91CA0"/>
    <w:rsid w:val="00CA0C1C"/>
    <w:rsid w:val="00CA6994"/>
    <w:rsid w:val="00CE14F1"/>
    <w:rsid w:val="00D375FF"/>
    <w:rsid w:val="00D57AE1"/>
    <w:rsid w:val="00DF0619"/>
    <w:rsid w:val="00E740AC"/>
    <w:rsid w:val="00EA56D0"/>
    <w:rsid w:val="00F91599"/>
    <w:rsid w:val="00FF57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1272"/>
  <w15:chartTrackingRefBased/>
  <w15:docId w15:val="{F57E4F56-344E-4A84-88D7-D1F0CC4F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198"/>
    <w:pPr>
      <w:widowControl w:val="0"/>
      <w:spacing w:after="0" w:line="240" w:lineRule="auto"/>
    </w:pPr>
    <w:rPr>
      <w:rFonts w:ascii="Courier" w:eastAsia="Times New Roman" w:hAnsi="Courier" w:cs="Times New Roman"/>
      <w:sz w:val="24"/>
      <w:szCs w:val="20"/>
    </w:rPr>
  </w:style>
  <w:style w:type="paragraph" w:styleId="Heading2">
    <w:name w:val="heading 2"/>
    <w:basedOn w:val="Normal"/>
    <w:next w:val="Normal"/>
    <w:link w:val="Heading2Char"/>
    <w:uiPriority w:val="9"/>
    <w:unhideWhenUsed/>
    <w:qFormat/>
    <w:rsid w:val="0050550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198"/>
    <w:pPr>
      <w:ind w:left="720"/>
      <w:contextualSpacing/>
    </w:pPr>
  </w:style>
  <w:style w:type="character" w:styleId="Hyperlink">
    <w:name w:val="Hyperlink"/>
    <w:uiPriority w:val="99"/>
    <w:rsid w:val="00E740AC"/>
    <w:rPr>
      <w:rFonts w:cs="Times New Roman"/>
      <w:color w:val="0000FF"/>
      <w:u w:val="single"/>
    </w:rPr>
  </w:style>
  <w:style w:type="table" w:styleId="TableGrid">
    <w:name w:val="Table Grid"/>
    <w:basedOn w:val="TableNormal"/>
    <w:uiPriority w:val="39"/>
    <w:rsid w:val="0054396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6B48"/>
    <w:rPr>
      <w:sz w:val="16"/>
      <w:szCs w:val="16"/>
    </w:rPr>
  </w:style>
  <w:style w:type="paragraph" w:styleId="CommentText">
    <w:name w:val="annotation text"/>
    <w:basedOn w:val="Normal"/>
    <w:link w:val="CommentTextChar"/>
    <w:uiPriority w:val="99"/>
    <w:semiHidden/>
    <w:unhideWhenUsed/>
    <w:rsid w:val="005E6B48"/>
    <w:rPr>
      <w:sz w:val="20"/>
    </w:rPr>
  </w:style>
  <w:style w:type="character" w:customStyle="1" w:styleId="CommentTextChar">
    <w:name w:val="Comment Text Char"/>
    <w:basedOn w:val="DefaultParagraphFont"/>
    <w:link w:val="CommentText"/>
    <w:uiPriority w:val="99"/>
    <w:semiHidden/>
    <w:rsid w:val="005E6B48"/>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E6B48"/>
    <w:rPr>
      <w:b/>
      <w:bCs/>
    </w:rPr>
  </w:style>
  <w:style w:type="character" w:customStyle="1" w:styleId="CommentSubjectChar">
    <w:name w:val="Comment Subject Char"/>
    <w:basedOn w:val="CommentTextChar"/>
    <w:link w:val="CommentSubject"/>
    <w:uiPriority w:val="99"/>
    <w:semiHidden/>
    <w:rsid w:val="005E6B48"/>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5E6B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B48"/>
    <w:rPr>
      <w:rFonts w:ascii="Segoe UI" w:eastAsia="Times New Roman" w:hAnsi="Segoe UI" w:cs="Segoe UI"/>
      <w:sz w:val="18"/>
      <w:szCs w:val="18"/>
    </w:rPr>
  </w:style>
  <w:style w:type="paragraph" w:styleId="Header">
    <w:name w:val="header"/>
    <w:basedOn w:val="Normal"/>
    <w:link w:val="HeaderChar"/>
    <w:uiPriority w:val="99"/>
    <w:unhideWhenUsed/>
    <w:rsid w:val="00FF57FB"/>
    <w:pPr>
      <w:tabs>
        <w:tab w:val="center" w:pos="4680"/>
        <w:tab w:val="right" w:pos="9360"/>
      </w:tabs>
    </w:pPr>
  </w:style>
  <w:style w:type="character" w:customStyle="1" w:styleId="HeaderChar">
    <w:name w:val="Header Char"/>
    <w:basedOn w:val="DefaultParagraphFont"/>
    <w:link w:val="Header"/>
    <w:uiPriority w:val="99"/>
    <w:rsid w:val="00FF57FB"/>
    <w:rPr>
      <w:rFonts w:ascii="Courier" w:eastAsia="Times New Roman" w:hAnsi="Courier" w:cs="Times New Roman"/>
      <w:sz w:val="24"/>
      <w:szCs w:val="20"/>
    </w:rPr>
  </w:style>
  <w:style w:type="paragraph" w:styleId="Footer">
    <w:name w:val="footer"/>
    <w:basedOn w:val="Normal"/>
    <w:link w:val="FooterChar"/>
    <w:uiPriority w:val="99"/>
    <w:unhideWhenUsed/>
    <w:rsid w:val="00FF57FB"/>
    <w:pPr>
      <w:tabs>
        <w:tab w:val="center" w:pos="4680"/>
        <w:tab w:val="right" w:pos="9360"/>
      </w:tabs>
    </w:pPr>
  </w:style>
  <w:style w:type="character" w:customStyle="1" w:styleId="FooterChar">
    <w:name w:val="Footer Char"/>
    <w:basedOn w:val="DefaultParagraphFont"/>
    <w:link w:val="Footer"/>
    <w:uiPriority w:val="99"/>
    <w:rsid w:val="00FF57FB"/>
    <w:rPr>
      <w:rFonts w:ascii="Courier" w:eastAsia="Times New Roman" w:hAnsi="Courier" w:cs="Times New Roman"/>
      <w:sz w:val="24"/>
      <w:szCs w:val="20"/>
    </w:rPr>
  </w:style>
  <w:style w:type="character" w:customStyle="1" w:styleId="Heading2Char">
    <w:name w:val="Heading 2 Char"/>
    <w:basedOn w:val="DefaultParagraphFont"/>
    <w:link w:val="Heading2"/>
    <w:uiPriority w:val="9"/>
    <w:rsid w:val="0050550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4394">
      <w:bodyDiv w:val="1"/>
      <w:marLeft w:val="0"/>
      <w:marRight w:val="0"/>
      <w:marTop w:val="0"/>
      <w:marBottom w:val="0"/>
      <w:divBdr>
        <w:top w:val="none" w:sz="0" w:space="0" w:color="auto"/>
        <w:left w:val="none" w:sz="0" w:space="0" w:color="auto"/>
        <w:bottom w:val="none" w:sz="0" w:space="0" w:color="auto"/>
        <w:right w:val="none" w:sz="0" w:space="0" w:color="auto"/>
      </w:divBdr>
    </w:div>
    <w:div w:id="52587182">
      <w:bodyDiv w:val="1"/>
      <w:marLeft w:val="0"/>
      <w:marRight w:val="0"/>
      <w:marTop w:val="0"/>
      <w:marBottom w:val="0"/>
      <w:divBdr>
        <w:top w:val="none" w:sz="0" w:space="0" w:color="auto"/>
        <w:left w:val="none" w:sz="0" w:space="0" w:color="auto"/>
        <w:bottom w:val="none" w:sz="0" w:space="0" w:color="auto"/>
        <w:right w:val="none" w:sz="0" w:space="0" w:color="auto"/>
      </w:divBdr>
    </w:div>
    <w:div w:id="167142958">
      <w:bodyDiv w:val="1"/>
      <w:marLeft w:val="0"/>
      <w:marRight w:val="0"/>
      <w:marTop w:val="0"/>
      <w:marBottom w:val="0"/>
      <w:divBdr>
        <w:top w:val="none" w:sz="0" w:space="0" w:color="auto"/>
        <w:left w:val="none" w:sz="0" w:space="0" w:color="auto"/>
        <w:bottom w:val="none" w:sz="0" w:space="0" w:color="auto"/>
        <w:right w:val="none" w:sz="0" w:space="0" w:color="auto"/>
      </w:divBdr>
    </w:div>
    <w:div w:id="188032731">
      <w:bodyDiv w:val="1"/>
      <w:marLeft w:val="0"/>
      <w:marRight w:val="0"/>
      <w:marTop w:val="0"/>
      <w:marBottom w:val="0"/>
      <w:divBdr>
        <w:top w:val="none" w:sz="0" w:space="0" w:color="auto"/>
        <w:left w:val="none" w:sz="0" w:space="0" w:color="auto"/>
        <w:bottom w:val="none" w:sz="0" w:space="0" w:color="auto"/>
        <w:right w:val="none" w:sz="0" w:space="0" w:color="auto"/>
      </w:divBdr>
    </w:div>
    <w:div w:id="385107024">
      <w:bodyDiv w:val="1"/>
      <w:marLeft w:val="0"/>
      <w:marRight w:val="0"/>
      <w:marTop w:val="0"/>
      <w:marBottom w:val="0"/>
      <w:divBdr>
        <w:top w:val="none" w:sz="0" w:space="0" w:color="auto"/>
        <w:left w:val="none" w:sz="0" w:space="0" w:color="auto"/>
        <w:bottom w:val="none" w:sz="0" w:space="0" w:color="auto"/>
        <w:right w:val="none" w:sz="0" w:space="0" w:color="auto"/>
      </w:divBdr>
    </w:div>
    <w:div w:id="444428338">
      <w:bodyDiv w:val="1"/>
      <w:marLeft w:val="0"/>
      <w:marRight w:val="0"/>
      <w:marTop w:val="0"/>
      <w:marBottom w:val="0"/>
      <w:divBdr>
        <w:top w:val="none" w:sz="0" w:space="0" w:color="auto"/>
        <w:left w:val="none" w:sz="0" w:space="0" w:color="auto"/>
        <w:bottom w:val="none" w:sz="0" w:space="0" w:color="auto"/>
        <w:right w:val="none" w:sz="0" w:space="0" w:color="auto"/>
      </w:divBdr>
    </w:div>
    <w:div w:id="479467145">
      <w:bodyDiv w:val="1"/>
      <w:marLeft w:val="0"/>
      <w:marRight w:val="0"/>
      <w:marTop w:val="0"/>
      <w:marBottom w:val="0"/>
      <w:divBdr>
        <w:top w:val="none" w:sz="0" w:space="0" w:color="auto"/>
        <w:left w:val="none" w:sz="0" w:space="0" w:color="auto"/>
        <w:bottom w:val="none" w:sz="0" w:space="0" w:color="auto"/>
        <w:right w:val="none" w:sz="0" w:space="0" w:color="auto"/>
      </w:divBdr>
    </w:div>
    <w:div w:id="1255826110">
      <w:bodyDiv w:val="1"/>
      <w:marLeft w:val="0"/>
      <w:marRight w:val="0"/>
      <w:marTop w:val="0"/>
      <w:marBottom w:val="0"/>
      <w:divBdr>
        <w:top w:val="none" w:sz="0" w:space="0" w:color="auto"/>
        <w:left w:val="none" w:sz="0" w:space="0" w:color="auto"/>
        <w:bottom w:val="none" w:sz="0" w:space="0" w:color="auto"/>
        <w:right w:val="none" w:sz="0" w:space="0" w:color="auto"/>
      </w:divBdr>
    </w:div>
    <w:div w:id="1372460330">
      <w:bodyDiv w:val="1"/>
      <w:marLeft w:val="0"/>
      <w:marRight w:val="0"/>
      <w:marTop w:val="0"/>
      <w:marBottom w:val="0"/>
      <w:divBdr>
        <w:top w:val="none" w:sz="0" w:space="0" w:color="auto"/>
        <w:left w:val="none" w:sz="0" w:space="0" w:color="auto"/>
        <w:bottom w:val="none" w:sz="0" w:space="0" w:color="auto"/>
        <w:right w:val="none" w:sz="0" w:space="0" w:color="auto"/>
      </w:divBdr>
    </w:div>
    <w:div w:id="1386830904">
      <w:bodyDiv w:val="1"/>
      <w:marLeft w:val="0"/>
      <w:marRight w:val="0"/>
      <w:marTop w:val="0"/>
      <w:marBottom w:val="0"/>
      <w:divBdr>
        <w:top w:val="none" w:sz="0" w:space="0" w:color="auto"/>
        <w:left w:val="none" w:sz="0" w:space="0" w:color="auto"/>
        <w:bottom w:val="none" w:sz="0" w:space="0" w:color="auto"/>
        <w:right w:val="none" w:sz="0" w:space="0" w:color="auto"/>
      </w:divBdr>
    </w:div>
    <w:div w:id="1546135115">
      <w:bodyDiv w:val="1"/>
      <w:marLeft w:val="0"/>
      <w:marRight w:val="0"/>
      <w:marTop w:val="0"/>
      <w:marBottom w:val="0"/>
      <w:divBdr>
        <w:top w:val="none" w:sz="0" w:space="0" w:color="auto"/>
        <w:left w:val="none" w:sz="0" w:space="0" w:color="auto"/>
        <w:bottom w:val="none" w:sz="0" w:space="0" w:color="auto"/>
        <w:right w:val="none" w:sz="0" w:space="0" w:color="auto"/>
      </w:divBdr>
    </w:div>
    <w:div w:id="1651400369">
      <w:bodyDiv w:val="1"/>
      <w:marLeft w:val="0"/>
      <w:marRight w:val="0"/>
      <w:marTop w:val="0"/>
      <w:marBottom w:val="0"/>
      <w:divBdr>
        <w:top w:val="none" w:sz="0" w:space="0" w:color="auto"/>
        <w:left w:val="none" w:sz="0" w:space="0" w:color="auto"/>
        <w:bottom w:val="none" w:sz="0" w:space="0" w:color="auto"/>
        <w:right w:val="none" w:sz="0" w:space="0" w:color="auto"/>
      </w:divBdr>
    </w:div>
    <w:div w:id="1888176044">
      <w:bodyDiv w:val="1"/>
      <w:marLeft w:val="0"/>
      <w:marRight w:val="0"/>
      <w:marTop w:val="0"/>
      <w:marBottom w:val="0"/>
      <w:divBdr>
        <w:top w:val="none" w:sz="0" w:space="0" w:color="auto"/>
        <w:left w:val="none" w:sz="0" w:space="0" w:color="auto"/>
        <w:bottom w:val="none" w:sz="0" w:space="0" w:color="auto"/>
        <w:right w:val="none" w:sz="0" w:space="0" w:color="auto"/>
      </w:divBdr>
    </w:div>
    <w:div w:id="1983196203">
      <w:bodyDiv w:val="1"/>
      <w:marLeft w:val="0"/>
      <w:marRight w:val="0"/>
      <w:marTop w:val="0"/>
      <w:marBottom w:val="0"/>
      <w:divBdr>
        <w:top w:val="none" w:sz="0" w:space="0" w:color="auto"/>
        <w:left w:val="none" w:sz="0" w:space="0" w:color="auto"/>
        <w:bottom w:val="none" w:sz="0" w:space="0" w:color="auto"/>
        <w:right w:val="none" w:sz="0" w:space="0" w:color="auto"/>
      </w:divBdr>
    </w:div>
    <w:div w:id="206139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c:creator>
  <cp:keywords/>
  <dc:description/>
  <cp:lastModifiedBy>Deaton, Teresa</cp:lastModifiedBy>
  <cp:revision>6</cp:revision>
  <dcterms:created xsi:type="dcterms:W3CDTF">2019-06-24T14:56:00Z</dcterms:created>
  <dcterms:modified xsi:type="dcterms:W3CDTF">2019-07-02T14:02:00Z</dcterms:modified>
</cp:coreProperties>
</file>