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583B" w:rsidRDefault="00C7583B" w:rsidP="00C96E6E">
      <w:pPr>
        <w:jc w:val="center"/>
        <w:rPr>
          <w:b/>
          <w:sz w:val="32"/>
          <w:szCs w:val="32"/>
        </w:rPr>
      </w:pPr>
      <w:r>
        <w:rPr>
          <w:b/>
          <w:sz w:val="32"/>
          <w:szCs w:val="32"/>
        </w:rPr>
        <w:t>RFP-19-109</w:t>
      </w:r>
      <w:bookmarkStart w:id="0" w:name="_GoBack"/>
      <w:bookmarkEnd w:id="0"/>
    </w:p>
    <w:p w:rsidR="005E33C7" w:rsidRDefault="005E33C7" w:rsidP="00C96E6E">
      <w:pPr>
        <w:jc w:val="center"/>
        <w:rPr>
          <w:b/>
          <w:sz w:val="32"/>
          <w:szCs w:val="32"/>
        </w:rPr>
      </w:pPr>
      <w:r>
        <w:rPr>
          <w:b/>
          <w:sz w:val="32"/>
          <w:szCs w:val="32"/>
        </w:rPr>
        <w:t>Attachment G – Scope of Work</w:t>
      </w:r>
    </w:p>
    <w:p w:rsidR="001F4C88" w:rsidRDefault="009E4AE5" w:rsidP="00C96E6E">
      <w:pPr>
        <w:jc w:val="center"/>
        <w:rPr>
          <w:sz w:val="24"/>
          <w:szCs w:val="24"/>
        </w:rPr>
      </w:pPr>
      <w:r w:rsidRPr="009E4AE5">
        <w:rPr>
          <w:noProof/>
          <w:sz w:val="24"/>
          <w:szCs w:val="24"/>
        </w:rPr>
        <mc:AlternateContent>
          <mc:Choice Requires="wps">
            <w:drawing>
              <wp:anchor distT="45720" distB="45720" distL="114300" distR="114300" simplePos="0" relativeHeight="251663360" behindDoc="0" locked="0" layoutInCell="1" allowOverlap="1">
                <wp:simplePos x="0" y="0"/>
                <wp:positionH relativeFrom="margin">
                  <wp:align>left</wp:align>
                </wp:positionH>
                <wp:positionV relativeFrom="paragraph">
                  <wp:posOffset>2828925</wp:posOffset>
                </wp:positionV>
                <wp:extent cx="5924550" cy="1404620"/>
                <wp:effectExtent l="0" t="0" r="19050" b="203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404620"/>
                        </a:xfrm>
                        <a:prstGeom prst="rect">
                          <a:avLst/>
                        </a:prstGeom>
                        <a:solidFill>
                          <a:srgbClr val="FFFFFF"/>
                        </a:solidFill>
                        <a:ln w="9525">
                          <a:solidFill>
                            <a:srgbClr val="000000"/>
                          </a:solidFill>
                          <a:miter lim="800000"/>
                          <a:headEnd/>
                          <a:tailEnd/>
                        </a:ln>
                      </wps:spPr>
                      <wps:txbx>
                        <w:txbxContent>
                          <w:p w:rsidR="009E4AE5" w:rsidRDefault="008D2369" w:rsidP="008D2369">
                            <w:pPr>
                              <w:ind w:left="2880" w:hanging="2880"/>
                            </w:pPr>
                            <w:r>
                              <w:t>General</w:t>
                            </w:r>
                            <w:r>
                              <w:tab/>
                            </w:r>
                            <w:r w:rsidR="004449A3">
                              <w:t>-</w:t>
                            </w:r>
                            <w:r w:rsidR="009E4AE5">
                              <w:t xml:space="preserve"> The </w:t>
                            </w:r>
                            <w:r w:rsidR="00251C7E">
                              <w:t>vendo</w:t>
                            </w:r>
                            <w:r w:rsidR="009E4AE5">
                              <w:t>r shall not subcontract cases/samples under this contract to any other laboratory or laboratory location unless preapproved</w:t>
                            </w:r>
                            <w:r w:rsidR="004449A3">
                              <w:t xml:space="preserve"> by ISP. </w:t>
                            </w:r>
                          </w:p>
                          <w:p w:rsidR="004449A3" w:rsidRDefault="008D2369" w:rsidP="008D2369">
                            <w:pPr>
                              <w:ind w:left="2880" w:hanging="2880"/>
                            </w:pPr>
                            <w:r>
                              <w:tab/>
                            </w:r>
                            <w:r w:rsidR="004449A3">
                              <w:t xml:space="preserve">- Quantities set forth in this solicitation are estimates only, and the Offerors shall provide analyses at proposal prices for actual quantities ordered, regardless of whether total quantities are more or less than those shown. There shall be no minimum order requirement. </w:t>
                            </w:r>
                          </w:p>
                          <w:p w:rsidR="004449A3" w:rsidRDefault="008D2369" w:rsidP="008D2369">
                            <w:pPr>
                              <w:ind w:left="2880" w:hanging="2880"/>
                            </w:pPr>
                            <w:r>
                              <w:tab/>
                            </w:r>
                            <w:r w:rsidR="004449A3">
                              <w:t xml:space="preserve">-The </w:t>
                            </w:r>
                            <w:r w:rsidR="00251C7E">
                              <w:t>vend</w:t>
                            </w:r>
                            <w:r w:rsidR="004449A3">
                              <w:t>or shall assure that any discrepancies detected by ISP are resolved to the satisfaction of ISP at no additional cost.</w:t>
                            </w:r>
                          </w:p>
                          <w:p w:rsidR="004449A3" w:rsidRDefault="008D2369" w:rsidP="008D2369">
                            <w:pPr>
                              <w:ind w:left="2880" w:hanging="2880"/>
                            </w:pPr>
                            <w:r>
                              <w:tab/>
                            </w:r>
                            <w:r w:rsidR="004449A3">
                              <w:t>-</w:t>
                            </w:r>
                            <w:r w:rsidR="006C41A3">
                              <w:t xml:space="preserve">The </w:t>
                            </w:r>
                            <w:r w:rsidR="00251C7E">
                              <w:t>vendor</w:t>
                            </w:r>
                            <w:r w:rsidR="006C41A3">
                              <w:t xml:space="preserve"> shall report to ISP any substantive nonconforming work related to cases submitted by ISP or testing performed by the </w:t>
                            </w:r>
                            <w:r w:rsidR="00251C7E">
                              <w:t>vendor</w:t>
                            </w:r>
                            <w:r w:rsidR="006C41A3">
                              <w:t>’s controlled substances/seized drug section.</w:t>
                            </w:r>
                          </w:p>
                          <w:p w:rsidR="00E052E3" w:rsidRDefault="008D2369" w:rsidP="008D2369">
                            <w:pPr>
                              <w:ind w:left="2880" w:hanging="2880"/>
                            </w:pPr>
                            <w:r>
                              <w:tab/>
                            </w:r>
                            <w:r w:rsidR="00E052E3">
                              <w:t>-ISP at its sole discretion reserves the right to conduct on-site visits/inspections throughout the contract period to ensure continued compliance with requirements.</w:t>
                            </w:r>
                          </w:p>
                          <w:p w:rsidR="00E052E3" w:rsidRDefault="008D2369" w:rsidP="00107903">
                            <w:pPr>
                              <w:ind w:left="2880" w:hanging="2880"/>
                            </w:pPr>
                            <w:r>
                              <w:tab/>
                            </w:r>
                            <w:r w:rsidR="00E052E3">
                              <w:t>-Once the contract is awarded, ISP will submit ~10 cases to pilot this</w:t>
                            </w:r>
                            <w:r>
                              <w:t xml:space="preserve"> </w:t>
                            </w:r>
                            <w:r w:rsidR="00E052E3">
                              <w:t xml:space="preserve">process with the Contractor(s) in order to verify that the evidence transfer and reporting meet the requirements of this solicitation </w:t>
                            </w:r>
                            <w:r w:rsidR="00E052E3" w:rsidRPr="006A21A9">
                              <w:t>voiding contract if</w:t>
                            </w:r>
                            <w:r w:rsidR="00E052E3">
                              <w:t xml:space="preserve"> </w:t>
                            </w:r>
                            <w:r w:rsidR="006A21A9">
                              <w:t xml:space="preserve">failed.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222.75pt;width:466.5pt;height:110.6pt;z-index:25166336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">
                <v:textbox style="mso-fit-shape-to-text:t">
                  <w:txbxContent>
                    <w:p w:rsidR="009E4AE5" w:rsidRDefault="008D2369" w:rsidP="008D2369">
                      <w:pPr>
                        <w:ind w:left="2880" w:hanging="2880"/>
                      </w:pPr>
                      <w:r>
                        <w:t>General</w:t>
                      </w:r>
                      <w:r>
                        <w:tab/>
                      </w:r>
                      <w:r w:rsidR="004449A3">
                        <w:t>-</w:t>
                      </w:r>
                      <w:r w:rsidR="009E4AE5">
                        <w:t xml:space="preserve"> The </w:t>
                      </w:r>
                      <w:r w:rsidR="00251C7E">
                        <w:t>vendo</w:t>
                      </w:r>
                      <w:r w:rsidR="009E4AE5">
                        <w:t>r shall not subcontract cases/samples under this contract to any other laboratory or laboratory location unless preapproved</w:t>
                      </w:r>
                      <w:r w:rsidR="004449A3">
                        <w:t xml:space="preserve"> by ISP. </w:t>
                      </w:r>
                    </w:p>
                    <w:p w:rsidR="004449A3" w:rsidRDefault="008D2369" w:rsidP="008D2369">
                      <w:pPr>
                        <w:ind w:left="2880" w:hanging="2880"/>
                      </w:pPr>
                      <w:r>
                        <w:tab/>
                      </w:r>
                      <w:r w:rsidR="004449A3">
                        <w:t xml:space="preserve">- Quantities set forth in this solicitation are estimates only, and the Offerors shall provide analyses at proposal prices for actual quantities ordered, regardless of whether total quantities are more or less than those shown. There shall be no minimum order requirement. </w:t>
                      </w:r>
                    </w:p>
                    <w:p w:rsidR="004449A3" w:rsidRDefault="008D2369" w:rsidP="008D2369">
                      <w:pPr>
                        <w:ind w:left="2880" w:hanging="2880"/>
                      </w:pPr>
                      <w:r>
                        <w:tab/>
                      </w:r>
                      <w:r w:rsidR="004449A3">
                        <w:t xml:space="preserve">-The </w:t>
                      </w:r>
                      <w:r w:rsidR="00251C7E">
                        <w:t>vend</w:t>
                      </w:r>
                      <w:r w:rsidR="004449A3">
                        <w:t>or shall assure that any discrepancies detected by ISP are resolved to the satisfaction of ISP at no additional cost.</w:t>
                      </w:r>
                    </w:p>
                    <w:p w:rsidR="004449A3" w:rsidRDefault="008D2369" w:rsidP="008D2369">
                      <w:pPr>
                        <w:ind w:left="2880" w:hanging="2880"/>
                      </w:pPr>
                      <w:r>
                        <w:tab/>
                      </w:r>
                      <w:r w:rsidR="004449A3">
                        <w:t>-</w:t>
                      </w:r>
                      <w:r w:rsidR="006C41A3">
                        <w:t xml:space="preserve">The </w:t>
                      </w:r>
                      <w:r w:rsidR="00251C7E">
                        <w:t>vendor</w:t>
                      </w:r>
                      <w:r w:rsidR="006C41A3">
                        <w:t xml:space="preserve"> shall report to ISP any substantive nonconforming work related to cases submitted by ISP or testing performed by the </w:t>
                      </w:r>
                      <w:r w:rsidR="00251C7E">
                        <w:t>vendor</w:t>
                      </w:r>
                      <w:r w:rsidR="006C41A3">
                        <w:t>’s controlled substances/seized drug section.</w:t>
                      </w:r>
                    </w:p>
                    <w:p w:rsidR="00E052E3" w:rsidRDefault="008D2369" w:rsidP="008D2369">
                      <w:pPr>
                        <w:ind w:left="2880" w:hanging="2880"/>
                      </w:pPr>
                      <w:r>
                        <w:tab/>
                      </w:r>
                      <w:r w:rsidR="00E052E3">
                        <w:t>-ISP at its sole discretion reserves the right to conduct on-site visits/inspections throughout the contract period to ensure continued compliance with requirements.</w:t>
                      </w:r>
                    </w:p>
                    <w:p w:rsidR="00E052E3" w:rsidRDefault="008D2369" w:rsidP="00107903">
                      <w:pPr>
                        <w:ind w:left="2880" w:hanging="2880"/>
                      </w:pPr>
                      <w:r>
                        <w:tab/>
                      </w:r>
                      <w:r w:rsidR="00E052E3">
                        <w:t>-Once the contract is awarded, ISP will submit ~10 cases to pilot this</w:t>
                      </w:r>
                      <w:r>
                        <w:t xml:space="preserve"> </w:t>
                      </w:r>
                      <w:r w:rsidR="00E052E3">
                        <w:t xml:space="preserve">process with the Contractor(s) in order to verify that the evidence transfer and reporting meet the requirements of this solicitation </w:t>
                      </w:r>
                      <w:r w:rsidR="00E052E3" w:rsidRPr="006A21A9">
                        <w:t>voiding contract if</w:t>
                      </w:r>
                      <w:r w:rsidR="00E052E3">
                        <w:t xml:space="preserve"> </w:t>
                      </w:r>
                      <w:r w:rsidR="006A21A9">
                        <w:t xml:space="preserve">failed. </w:t>
                      </w:r>
                    </w:p>
                  </w:txbxContent>
                </v:textbox>
                <w10:wrap type="square" anchorx="margin"/>
              </v:shape>
            </w:pict>
          </mc:Fallback>
        </mc:AlternateContent>
      </w:r>
      <w:r w:rsidR="00C96E6E" w:rsidRPr="00C96E6E">
        <w:rPr>
          <w:noProof/>
          <w:sz w:val="24"/>
          <w:szCs w:val="24"/>
        </w:rPr>
        <mc:AlternateContent>
          <mc:Choice Requires="wps">
            <w:drawing>
              <wp:anchor distT="45720" distB="45720" distL="114300" distR="114300" simplePos="0" relativeHeight="251661312" behindDoc="0" locked="0" layoutInCell="1" allowOverlap="1">
                <wp:simplePos x="0" y="0"/>
                <wp:positionH relativeFrom="margin">
                  <wp:align>right</wp:align>
                </wp:positionH>
                <wp:positionV relativeFrom="paragraph">
                  <wp:posOffset>847725</wp:posOffset>
                </wp:positionV>
                <wp:extent cx="5915025" cy="1905000"/>
                <wp:effectExtent l="0" t="0" r="28575"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1905000"/>
                        </a:xfrm>
                        <a:prstGeom prst="rect">
                          <a:avLst/>
                        </a:prstGeom>
                        <a:solidFill>
                          <a:srgbClr val="FFFFFF"/>
                        </a:solidFill>
                        <a:ln w="9525">
                          <a:solidFill>
                            <a:srgbClr val="000000"/>
                          </a:solidFill>
                          <a:miter lim="800000"/>
                          <a:headEnd/>
                          <a:tailEnd/>
                        </a:ln>
                      </wps:spPr>
                      <wps:txbx>
                        <w:txbxContent>
                          <w:p w:rsidR="00C96E6E" w:rsidRDefault="00C44893" w:rsidP="00C44893">
                            <w:pPr>
                              <w:ind w:left="2880" w:hanging="2880"/>
                            </w:pPr>
                            <w:r>
                              <w:t>Accreditation</w:t>
                            </w:r>
                            <w:r>
                              <w:tab/>
                            </w:r>
                            <w:r w:rsidR="00C96E6E">
                              <w:t xml:space="preserve">The contract </w:t>
                            </w:r>
                            <w:r w:rsidR="00682F73">
                              <w:t>l</w:t>
                            </w:r>
                            <w:r w:rsidR="00C96E6E">
                              <w:t>aboratory must be accredited and compliant to ISO/IEC</w:t>
                            </w:r>
                            <w:r w:rsidR="00682F73">
                              <w:t xml:space="preserve"> 17025 by an accrediting body that is a signatory of the International Laboratory Accreditation Cooperation (ILAC) Mutual Recognition Arrangement, with Seized Drugs or Controlled Substances listed in the scope of accreditation. A copy of both the Certificate of Accreditation and Scope of Accreditation must be provided. The contract laboratory must provide a copy of its most recent external Quality Assurance Audit document. The contract laboratory shall permit site visits of the lab facility and review of relevant documents and cases.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414.55pt;margin-top:66.75pt;width:465.75pt;height:150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">
                <v:textbox>
                  <w:txbxContent>
                    <w:p w:rsidR="00C96E6E" w:rsidRDefault="00C44893" w:rsidP="00C44893">
                      <w:pPr>
                        <w:ind w:left="2880" w:hanging="2880"/>
                      </w:pPr>
                      <w:r>
                        <w:t>Accreditation</w:t>
                      </w:r>
                      <w:r>
                        <w:tab/>
                      </w:r>
                      <w:r w:rsidR="00C96E6E">
                        <w:t xml:space="preserve">The contract </w:t>
                      </w:r>
                      <w:r w:rsidR="00682F73">
                        <w:t>l</w:t>
                      </w:r>
                      <w:r w:rsidR="00C96E6E">
                        <w:t>aboratory must be accredited and compliant to ISO/IEC</w:t>
                      </w:r>
                      <w:r w:rsidR="00682F73">
                        <w:t xml:space="preserve"> 17025 by an accrediting body that is a signatory of the International Laboratory Accreditation Cooperation (ILAC) Mutual Recognition Arrangement, with Seized Drugs or Controlled Substances listed in the scope of accreditation. A copy of both the Certificate of Accreditation and Scope of Accreditation must be provided. The contract laboratory must provide a copy of its most recent external Quality Assurance Audit document. The contract laboratory shall permit site visits of the lab facility and review of relevant documents and cases. </w:t>
                      </w:r>
                    </w:p>
                  </w:txbxContent>
                </v:textbox>
                <w10:wrap type="square" anchorx="margin"/>
              </v:shape>
            </w:pict>
          </mc:Fallback>
        </mc:AlternateContent>
      </w:r>
      <w:r w:rsidR="00C96E6E" w:rsidRPr="00C96E6E">
        <w:rPr>
          <w:noProof/>
          <w:sz w:val="24"/>
          <w:szCs w:val="24"/>
        </w:rPr>
        <mc:AlternateContent>
          <mc:Choice Requires="wps">
            <w:drawing>
              <wp:anchor distT="45720" distB="45720" distL="114300" distR="114300" simplePos="0" relativeHeight="251659264" behindDoc="0" locked="0" layoutInCell="1" allowOverlap="1">
                <wp:simplePos x="0" y="0"/>
                <wp:positionH relativeFrom="margin">
                  <wp:align>right</wp:align>
                </wp:positionH>
                <wp:positionV relativeFrom="paragraph">
                  <wp:posOffset>447675</wp:posOffset>
                </wp:positionV>
                <wp:extent cx="5915025" cy="3238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323850"/>
                        </a:xfrm>
                        <a:prstGeom prst="rect">
                          <a:avLst/>
                        </a:prstGeom>
                        <a:solidFill>
                          <a:srgbClr val="FFFFFF"/>
                        </a:solidFill>
                        <a:ln w="9525">
                          <a:solidFill>
                            <a:srgbClr val="000000"/>
                          </a:solidFill>
                          <a:miter lim="800000"/>
                          <a:headEnd/>
                          <a:tailEnd/>
                        </a:ln>
                      </wps:spPr>
                      <wps:txbx>
                        <w:txbxContent>
                          <w:p w:rsidR="00C96E6E" w:rsidRDefault="00C96E6E">
                            <w:r w:rsidRPr="00C96E6E">
                              <w:rPr>
                                <w:sz w:val="24"/>
                                <w:szCs w:val="24"/>
                              </w:rPr>
                              <w:t>Criteria Category</w:t>
                            </w:r>
                            <w:r>
                              <w:tab/>
                            </w:r>
                            <w:r>
                              <w:tab/>
                            </w:r>
                            <w:r>
                              <w:tab/>
                            </w:r>
                            <w:r>
                              <w:tab/>
                            </w:r>
                            <w:r>
                              <w:tab/>
                            </w:r>
                            <w:r>
                              <w:tab/>
                            </w:r>
                            <w:r w:rsidRPr="00C96E6E">
                              <w:rPr>
                                <w:sz w:val="24"/>
                                <w:szCs w:val="24"/>
                              </w:rPr>
                              <w:t>Criteria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414.55pt;margin-top:35.25pt;width:465.75pt;height:25.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">
                <v:textbox>
                  <w:txbxContent>
                    <w:p w:rsidR="00C96E6E" w:rsidRDefault="00C96E6E">
                      <w:r w:rsidRPr="00C96E6E">
                        <w:rPr>
                          <w:sz w:val="24"/>
                          <w:szCs w:val="24"/>
                        </w:rPr>
                        <w:t>Criteria Category</w:t>
                      </w:r>
                      <w:r>
                        <w:tab/>
                      </w:r>
                      <w:r>
                        <w:tab/>
                      </w:r>
                      <w:r>
                        <w:tab/>
                      </w:r>
                      <w:r>
                        <w:tab/>
                      </w:r>
                      <w:r>
                        <w:tab/>
                      </w:r>
                      <w:r>
                        <w:tab/>
                      </w:r>
                      <w:r w:rsidRPr="00C96E6E">
                        <w:rPr>
                          <w:sz w:val="24"/>
                          <w:szCs w:val="24"/>
                        </w:rPr>
                        <w:t>Criteria</w:t>
                      </w:r>
                    </w:p>
                  </w:txbxContent>
                </v:textbox>
                <w10:wrap type="square" anchorx="margin"/>
              </v:shape>
            </w:pict>
          </mc:Fallback>
        </mc:AlternateContent>
      </w:r>
      <w:r w:rsidR="00C96E6E" w:rsidRPr="00C96E6E">
        <w:rPr>
          <w:b/>
          <w:sz w:val="32"/>
          <w:szCs w:val="32"/>
        </w:rPr>
        <w:t>ISP Outsourcing Solicitation</w:t>
      </w:r>
    </w:p>
    <w:p w:rsidR="00C96E6E" w:rsidRDefault="00C96E6E" w:rsidP="00C96E6E">
      <w:pPr>
        <w:rPr>
          <w:sz w:val="24"/>
          <w:szCs w:val="24"/>
        </w:rPr>
      </w:pPr>
    </w:p>
    <w:p w:rsidR="00E052E3" w:rsidRDefault="00E052E3" w:rsidP="00C96E6E">
      <w:pPr>
        <w:rPr>
          <w:sz w:val="24"/>
          <w:szCs w:val="24"/>
        </w:rPr>
        <w:sectPr w:rsidR="00E052E3" w:rsidSect="0041589F">
          <w:footerReference w:type="default" r:id="rId6"/>
          <w:pgSz w:w="12240" w:h="15840"/>
          <w:pgMar w:top="1440" w:right="1440" w:bottom="1440" w:left="1440" w:header="720" w:footer="720" w:gutter="0"/>
          <w:cols w:space="720"/>
          <w:docGrid w:linePitch="360"/>
        </w:sectPr>
      </w:pPr>
    </w:p>
    <w:p w:rsidR="00FE7E0E" w:rsidRPr="00C96E6E" w:rsidRDefault="00FE7E0E" w:rsidP="00FE7E0E">
      <w:pPr>
        <w:rPr>
          <w:sz w:val="24"/>
          <w:szCs w:val="24"/>
        </w:rPr>
      </w:pPr>
      <w:r w:rsidRPr="00E60B5E">
        <w:rPr>
          <w:noProof/>
          <w:sz w:val="24"/>
          <w:szCs w:val="24"/>
        </w:rPr>
        <w:lastRenderedPageBreak/>
        <mc:AlternateContent>
          <mc:Choice Requires="wps">
            <w:drawing>
              <wp:anchor distT="45720" distB="45720" distL="114300" distR="114300" simplePos="0" relativeHeight="251670528" behindDoc="0" locked="0" layoutInCell="1" allowOverlap="1" wp14:anchorId="706272B6" wp14:editId="0BD7A589">
                <wp:simplePos x="0" y="0"/>
                <wp:positionH relativeFrom="margin">
                  <wp:align>left</wp:align>
                </wp:positionH>
                <wp:positionV relativeFrom="paragraph">
                  <wp:posOffset>5235386</wp:posOffset>
                </wp:positionV>
                <wp:extent cx="5934075" cy="2820670"/>
                <wp:effectExtent l="0" t="0" r="28575" b="1778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2820670"/>
                        </a:xfrm>
                        <a:prstGeom prst="rect">
                          <a:avLst/>
                        </a:prstGeom>
                        <a:solidFill>
                          <a:srgbClr val="FFFFFF"/>
                        </a:solidFill>
                        <a:ln w="9525">
                          <a:solidFill>
                            <a:srgbClr val="000000"/>
                          </a:solidFill>
                          <a:miter lim="800000"/>
                          <a:headEnd/>
                          <a:tailEnd/>
                        </a:ln>
                      </wps:spPr>
                      <wps:txbx>
                        <w:txbxContent>
                          <w:p w:rsidR="00FE7E0E" w:rsidRDefault="00FE7E0E" w:rsidP="00FE7E0E">
                            <w:pPr>
                              <w:ind w:left="2880" w:hanging="2880"/>
                            </w:pPr>
                            <w:r>
                              <w:t>Submission of Specimen</w:t>
                            </w:r>
                            <w:r>
                              <w:tab/>
                              <w:t xml:space="preserve">-Ability to receive specimens in batches of up to 200 single item cases per shipment. </w:t>
                            </w:r>
                          </w:p>
                          <w:p w:rsidR="00FE7E0E" w:rsidRDefault="00FE7E0E" w:rsidP="00FE7E0E">
                            <w:pPr>
                              <w:ind w:left="2880"/>
                            </w:pPr>
                            <w:r>
                              <w:t>-Vendor to provide supplies necessary for items submission to include prepaid two-day shipping labels and shipping containers.</w:t>
                            </w:r>
                          </w:p>
                          <w:p w:rsidR="00FE7E0E" w:rsidRDefault="00FE7E0E" w:rsidP="00FE7E0E">
                            <w:pPr>
                              <w:ind w:left="2880"/>
                            </w:pPr>
                            <w:r>
                              <w:t xml:space="preserve">-Vendor </w:t>
                            </w:r>
                            <w:r w:rsidR="00D138C9">
                              <w:t>sha</w:t>
                            </w:r>
                            <w:r>
                              <w:t xml:space="preserve">ll work with ISP to minimize submitting paperwork possibly utilizing a batch shipping manifest that identifies the cases and items for the cases which is then related to a single vendor request form if needed. </w:t>
                            </w:r>
                          </w:p>
                          <w:p w:rsidR="00575AF9" w:rsidRDefault="00575AF9" w:rsidP="00FE7E0E">
                            <w:pPr>
                              <w:ind w:left="2880"/>
                            </w:pPr>
                            <w:r>
                              <w:t xml:space="preserve">-ISP will utilize LIMS to scan items out to the specified shipping service and tracking number. Vendor will be responsible for chain of custody upon receipt of the shipment. Upon return of the items, ISP will scan via LIMS from shipping company and tracking number back into ISP custody. </w:t>
                            </w:r>
                          </w:p>
                          <w:p w:rsidR="00FE7E0E" w:rsidRDefault="00FE7E0E" w:rsidP="00FE7E0E">
                            <w:pPr>
                              <w:ind w:left="2880"/>
                            </w:pPr>
                          </w:p>
                          <w:p w:rsidR="00FE7E0E" w:rsidRDefault="00FE7E0E" w:rsidP="00FE7E0E">
                            <w:pPr>
                              <w:ind w:left="2880"/>
                            </w:pPr>
                          </w:p>
                          <w:p w:rsidR="00FE7E0E" w:rsidRDefault="00FE7E0E" w:rsidP="00FE7E0E">
                            <w:pPr>
                              <w:ind w:left="2880"/>
                            </w:pPr>
                          </w:p>
                          <w:p w:rsidR="00FE7E0E" w:rsidRDefault="00FE7E0E" w:rsidP="00FE7E0E">
                            <w:pPr>
                              <w:ind w:left="2880"/>
                            </w:pPr>
                          </w:p>
                          <w:p w:rsidR="00FE7E0E" w:rsidRDefault="00FE7E0E" w:rsidP="00FE7E0E">
                            <w:pPr>
                              <w:ind w:left="2880"/>
                            </w:pPr>
                          </w:p>
                          <w:p w:rsidR="00FE7E0E" w:rsidRDefault="00FE7E0E" w:rsidP="00FE7E0E">
                            <w:pPr>
                              <w:ind w:left="2880"/>
                            </w:pPr>
                          </w:p>
                          <w:p w:rsidR="00FE7E0E" w:rsidRDefault="00FE7E0E" w:rsidP="00FE7E0E">
                            <w:pPr>
                              <w:ind w:left="2880"/>
                            </w:pPr>
                          </w:p>
                          <w:p w:rsidR="00FE7E0E" w:rsidRDefault="00FE7E0E" w:rsidP="00FE7E0E">
                            <w:pPr>
                              <w:ind w:left="2880"/>
                            </w:pPr>
                          </w:p>
                          <w:p w:rsidR="00FE7E0E" w:rsidRDefault="00FE7E0E" w:rsidP="00FE7E0E">
                            <w:pPr>
                              <w:ind w:left="2880"/>
                            </w:pPr>
                          </w:p>
                          <w:p w:rsidR="00FE7E0E" w:rsidRDefault="00FE7E0E" w:rsidP="00FE7E0E">
                            <w:pPr>
                              <w:ind w:left="2880"/>
                            </w:pPr>
                          </w:p>
                          <w:p w:rsidR="00FE7E0E" w:rsidRDefault="00FE7E0E" w:rsidP="00FE7E0E">
                            <w:pPr>
                              <w:ind w:left="2880"/>
                            </w:pPr>
                          </w:p>
                          <w:p w:rsidR="00FE7E0E" w:rsidRDefault="00FE7E0E" w:rsidP="00FE7E0E">
                            <w:pPr>
                              <w:ind w:left="288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6272B6" id="_x0000_s1029" type="#_x0000_t202" style="position:absolute;margin-left:0;margin-top:412.25pt;width:467.25pt;height:222.1pt;z-index:25167052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">
                <v:textbox>
                  <w:txbxContent>
                    <w:p w:rsidR="00FE7E0E" w:rsidRDefault="00FE7E0E" w:rsidP="00FE7E0E">
                      <w:pPr>
                        <w:ind w:left="2880" w:hanging="2880"/>
                      </w:pPr>
                      <w:r>
                        <w:t>Submission of Specimen</w:t>
                      </w:r>
                      <w:r>
                        <w:tab/>
                        <w:t xml:space="preserve">-Ability to receive specimens in batches of up to 200 single item cases per shipment. </w:t>
                      </w:r>
                    </w:p>
                    <w:p w:rsidR="00FE7E0E" w:rsidRDefault="00FE7E0E" w:rsidP="00FE7E0E">
                      <w:pPr>
                        <w:ind w:left="2880"/>
                      </w:pPr>
                      <w:r>
                        <w:t>-Vendor to provide supplies necessary for items submission to include prepaid two-day shipping labels and shipping containers.</w:t>
                      </w:r>
                    </w:p>
                    <w:p w:rsidR="00FE7E0E" w:rsidRDefault="00FE7E0E" w:rsidP="00FE7E0E">
                      <w:pPr>
                        <w:ind w:left="2880"/>
                      </w:pPr>
                      <w:r>
                        <w:t xml:space="preserve">-Vendor </w:t>
                      </w:r>
                      <w:r w:rsidR="00D138C9">
                        <w:t>sha</w:t>
                      </w:r>
                      <w:r>
                        <w:t xml:space="preserve">ll work with ISP to minimize submitting paperwork possibly utilizing a batch shipping manifest that identifies the cases and items for the cases which is then related to a single vendor request form if needed. </w:t>
                      </w:r>
                    </w:p>
                    <w:p w:rsidR="00575AF9" w:rsidRDefault="00575AF9" w:rsidP="00FE7E0E">
                      <w:pPr>
                        <w:ind w:left="2880"/>
                      </w:pPr>
                      <w:r>
                        <w:t xml:space="preserve">-ISP will utilize LIMS to scan items out to the specified shipping service and tracking number. Vendor will be responsible for chain of custody upon receipt of the shipment. Upon return of the items, ISP will scan via LIMS from shipping company and tracking number back into ISP custody. </w:t>
                      </w:r>
                    </w:p>
                    <w:p w:rsidR="00FE7E0E" w:rsidRDefault="00FE7E0E" w:rsidP="00FE7E0E">
                      <w:pPr>
                        <w:ind w:left="2880"/>
                      </w:pPr>
                    </w:p>
                    <w:p w:rsidR="00FE7E0E" w:rsidRDefault="00FE7E0E" w:rsidP="00FE7E0E">
                      <w:pPr>
                        <w:ind w:left="2880"/>
                      </w:pPr>
                    </w:p>
                    <w:p w:rsidR="00FE7E0E" w:rsidRDefault="00FE7E0E" w:rsidP="00FE7E0E">
                      <w:pPr>
                        <w:ind w:left="2880"/>
                      </w:pPr>
                    </w:p>
                    <w:p w:rsidR="00FE7E0E" w:rsidRDefault="00FE7E0E" w:rsidP="00FE7E0E">
                      <w:pPr>
                        <w:ind w:left="2880"/>
                      </w:pPr>
                    </w:p>
                    <w:p w:rsidR="00FE7E0E" w:rsidRDefault="00FE7E0E" w:rsidP="00FE7E0E">
                      <w:pPr>
                        <w:ind w:left="2880"/>
                      </w:pPr>
                    </w:p>
                    <w:p w:rsidR="00FE7E0E" w:rsidRDefault="00FE7E0E" w:rsidP="00FE7E0E">
                      <w:pPr>
                        <w:ind w:left="2880"/>
                      </w:pPr>
                    </w:p>
                    <w:p w:rsidR="00FE7E0E" w:rsidRDefault="00FE7E0E" w:rsidP="00FE7E0E">
                      <w:pPr>
                        <w:ind w:left="2880"/>
                      </w:pPr>
                    </w:p>
                    <w:p w:rsidR="00FE7E0E" w:rsidRDefault="00FE7E0E" w:rsidP="00FE7E0E">
                      <w:pPr>
                        <w:ind w:left="2880"/>
                      </w:pPr>
                    </w:p>
                    <w:p w:rsidR="00FE7E0E" w:rsidRDefault="00FE7E0E" w:rsidP="00FE7E0E">
                      <w:pPr>
                        <w:ind w:left="2880"/>
                      </w:pPr>
                    </w:p>
                    <w:p w:rsidR="00FE7E0E" w:rsidRDefault="00FE7E0E" w:rsidP="00FE7E0E">
                      <w:pPr>
                        <w:ind w:left="2880"/>
                      </w:pPr>
                    </w:p>
                    <w:p w:rsidR="00FE7E0E" w:rsidRDefault="00FE7E0E" w:rsidP="00FE7E0E">
                      <w:pPr>
                        <w:ind w:left="2880"/>
                      </w:pPr>
                    </w:p>
                    <w:p w:rsidR="00FE7E0E" w:rsidRDefault="00FE7E0E" w:rsidP="00FE7E0E">
                      <w:pPr>
                        <w:ind w:left="2880"/>
                      </w:pPr>
                    </w:p>
                  </w:txbxContent>
                </v:textbox>
                <w10:wrap type="square" anchorx="margin"/>
              </v:shape>
            </w:pict>
          </mc:Fallback>
        </mc:AlternateContent>
      </w:r>
      <w:r w:rsidRPr="00E052E3">
        <w:rPr>
          <w:noProof/>
          <w:sz w:val="24"/>
          <w:szCs w:val="24"/>
        </w:rPr>
        <mc:AlternateContent>
          <mc:Choice Requires="wps">
            <w:drawing>
              <wp:anchor distT="45720" distB="45720" distL="114300" distR="114300" simplePos="0" relativeHeight="251669504" behindDoc="0" locked="0" layoutInCell="1" allowOverlap="1" wp14:anchorId="6AF61E28" wp14:editId="7EEFD6DE">
                <wp:simplePos x="0" y="0"/>
                <wp:positionH relativeFrom="margin">
                  <wp:align>right</wp:align>
                </wp:positionH>
                <wp:positionV relativeFrom="paragraph">
                  <wp:posOffset>85725</wp:posOffset>
                </wp:positionV>
                <wp:extent cx="5924550" cy="1404620"/>
                <wp:effectExtent l="0" t="0" r="19050" b="2032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404620"/>
                        </a:xfrm>
                        <a:prstGeom prst="rect">
                          <a:avLst/>
                        </a:prstGeom>
                        <a:solidFill>
                          <a:srgbClr val="FFFFFF"/>
                        </a:solidFill>
                        <a:ln w="9525">
                          <a:solidFill>
                            <a:srgbClr val="000000"/>
                          </a:solidFill>
                          <a:miter lim="800000"/>
                          <a:headEnd/>
                          <a:tailEnd/>
                        </a:ln>
                      </wps:spPr>
                      <wps:txbx>
                        <w:txbxContent>
                          <w:p w:rsidR="00FE7E0E" w:rsidRDefault="00FE7E0E" w:rsidP="00FE7E0E">
                            <w:pPr>
                              <w:ind w:left="2880" w:hanging="2880"/>
                            </w:pPr>
                            <w:r>
                              <w:t>Testing</w:t>
                            </w:r>
                            <w:r>
                              <w:tab/>
                              <w:t xml:space="preserve">- Provide a guaranteed turnaround time of 45 </w:t>
                            </w:r>
                            <w:r w:rsidR="008B3E4D">
                              <w:t xml:space="preserve">calendar </w:t>
                            </w:r>
                            <w:r>
                              <w:t xml:space="preserve">days. </w:t>
                            </w:r>
                          </w:p>
                          <w:p w:rsidR="00FE7E0E" w:rsidRDefault="00FE7E0E" w:rsidP="00FE7E0E">
                            <w:pPr>
                              <w:ind w:left="2880"/>
                            </w:pPr>
                            <w:r>
                              <w:t xml:space="preserve">-Accept and analyze </w:t>
                            </w:r>
                            <w:r w:rsidR="00941411">
                              <w:t xml:space="preserve">a total of </w:t>
                            </w:r>
                            <w:r>
                              <w:t>approximately</w:t>
                            </w:r>
                            <w:r w:rsidR="00A653A8">
                              <w:t xml:space="preserve"> 7,000 samples of approximately </w:t>
                            </w:r>
                            <w:r>
                              <w:t xml:space="preserve">400 </w:t>
                            </w:r>
                            <w:r w:rsidR="00941411">
                              <w:t>samples</w:t>
                            </w:r>
                            <w:r>
                              <w:t xml:space="preserve"> per month for a period of </w:t>
                            </w:r>
                            <w:r w:rsidR="00941411">
                              <w:t xml:space="preserve">approximately </w:t>
                            </w:r>
                            <w:r>
                              <w:t xml:space="preserve">24 months. </w:t>
                            </w:r>
                          </w:p>
                          <w:p w:rsidR="00FE7E0E" w:rsidRDefault="00FE7E0E" w:rsidP="00FE7E0E">
                            <w:pPr>
                              <w:ind w:left="2880"/>
                            </w:pPr>
                            <w:r>
                              <w:t xml:space="preserve">-Utilize analysis methods that are validated/generally accepted in the field. </w:t>
                            </w:r>
                          </w:p>
                          <w:p w:rsidR="00FE7E0E" w:rsidRDefault="00FE7E0E" w:rsidP="00FE7E0E">
                            <w:pPr>
                              <w:ind w:left="2880"/>
                            </w:pPr>
                            <w:r>
                              <w:t>-Issue all reports in conformance with accreditation requirements.</w:t>
                            </w:r>
                          </w:p>
                          <w:p w:rsidR="00FE7E0E" w:rsidRDefault="00FE7E0E" w:rsidP="00FE7E0E">
                            <w:pPr>
                              <w:ind w:left="2880"/>
                            </w:pPr>
                            <w:r>
                              <w:t>-Verify receipt of all evidence and maintain a properly documented chain of custody.</w:t>
                            </w:r>
                          </w:p>
                          <w:p w:rsidR="00FE7E0E" w:rsidRDefault="00FE7E0E" w:rsidP="00FE7E0E">
                            <w:pPr>
                              <w:ind w:left="2880"/>
                            </w:pPr>
                            <w:r>
                              <w:t xml:space="preserve">-Maintain ISP identification numbers, which may be provided on a label containing a barcode and human readable data or hand written identification numbers. </w:t>
                            </w:r>
                          </w:p>
                          <w:p w:rsidR="00FE7E0E" w:rsidRDefault="00FE7E0E" w:rsidP="00FE7E0E">
                            <w:pPr>
                              <w:ind w:left="2880"/>
                            </w:pPr>
                            <w:r>
                              <w:t>-Reseal evidence upon completion of testing, return all samples</w:t>
                            </w:r>
                            <w:r w:rsidR="006A04AE">
                              <w:t xml:space="preserve"> and packaging</w:t>
                            </w:r>
                            <w:r>
                              <w:t xml:space="preserve"> in their original containers and return it to the ISP.</w:t>
                            </w:r>
                          </w:p>
                          <w:p w:rsidR="00FE7E0E" w:rsidRDefault="00FE7E0E" w:rsidP="00FE7E0E">
                            <w:pPr>
                              <w:ind w:left="2880"/>
                            </w:pPr>
                            <w:r>
                              <w:t xml:space="preserve">-If the item is consumed </w:t>
                            </w:r>
                            <w:r w:rsidR="006A04AE">
                              <w:t xml:space="preserve">in analysis </w:t>
                            </w:r>
                            <w:r>
                              <w:t>the auto sampler vial</w:t>
                            </w:r>
                            <w:r w:rsidR="006A04AE">
                              <w:t>s</w:t>
                            </w:r>
                            <w:r>
                              <w:t xml:space="preserve"> shall be returned in the evidence packaging.</w:t>
                            </w:r>
                          </w:p>
                          <w:p w:rsidR="00FE7E0E" w:rsidRDefault="00FE7E0E" w:rsidP="00FE7E0E">
                            <w:pPr>
                              <w:ind w:left="2880"/>
                            </w:pPr>
                            <w:r>
                              <w:t>-Balances must be checked</w:t>
                            </w:r>
                            <w:r w:rsidR="006A04AE">
                              <w:t xml:space="preserve"> and documented </w:t>
                            </w:r>
                            <w:r>
                              <w:t xml:space="preserve">before and after daily sampling. </w:t>
                            </w:r>
                          </w:p>
                          <w:p w:rsidR="00FE7E0E" w:rsidRDefault="00FE7E0E" w:rsidP="00FE7E0E">
                            <w:pPr>
                              <w:ind w:left="2880"/>
                            </w:pPr>
                            <w:r>
                              <w:t xml:space="preserve">-When applicable, weigh and test a sufficient number of </w:t>
                            </w:r>
                            <w:r w:rsidR="006A04AE">
                              <w:t>samples</w:t>
                            </w:r>
                            <w:r>
                              <w:t xml:space="preserve"> with</w:t>
                            </w:r>
                            <w:r w:rsidR="006A04AE">
                              <w:t>in</w:t>
                            </w:r>
                            <w:r>
                              <w:t xml:space="preserve"> a case to meet highest threshold level listed of the Indiana </w:t>
                            </w:r>
                            <w:r w:rsidR="00E1721C">
                              <w:t>Criminal Code</w:t>
                            </w:r>
                            <w: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AF61E28" id="_x0000_t202" coordsize="21600,21600" o:spt="202" path="m,l,21600r21600,l21600,xe">
                <v:stroke joinstyle="miter"/>
                <v:path gradientshapeok="t" o:connecttype="rect"/>
              </v:shapetype>
              <v:shape id="_x0000_s1030" type="#_x0000_t202" style="position:absolute;margin-left:415.3pt;margin-top:6.75pt;width:466.5pt;height:110.6pt;z-index:25166950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">
                <v:textbox style="mso-fit-shape-to-text:t">
                  <w:txbxContent>
                    <w:p w:rsidR="00FE7E0E" w:rsidRDefault="00FE7E0E" w:rsidP="00FE7E0E">
                      <w:pPr>
                        <w:ind w:left="2880" w:hanging="2880"/>
                      </w:pPr>
                      <w:r>
                        <w:t>Testing</w:t>
                      </w:r>
                      <w:r>
                        <w:tab/>
                        <w:t xml:space="preserve">- Provide a guaranteed turnaround time of 45 </w:t>
                      </w:r>
                      <w:r w:rsidR="008B3E4D">
                        <w:t xml:space="preserve">calendar </w:t>
                      </w:r>
                      <w:bookmarkStart w:id="1" w:name="_GoBack"/>
                      <w:bookmarkEnd w:id="1"/>
                      <w:r>
                        <w:t xml:space="preserve">days. </w:t>
                      </w:r>
                    </w:p>
                    <w:p w:rsidR="00FE7E0E" w:rsidRDefault="00FE7E0E" w:rsidP="00FE7E0E">
                      <w:pPr>
                        <w:ind w:left="2880"/>
                      </w:pPr>
                      <w:r>
                        <w:t xml:space="preserve">-Accept and analyze </w:t>
                      </w:r>
                      <w:r w:rsidR="00941411">
                        <w:t xml:space="preserve">a total of </w:t>
                      </w:r>
                      <w:r>
                        <w:t>approximately</w:t>
                      </w:r>
                      <w:r w:rsidR="00A653A8">
                        <w:t xml:space="preserve"> 7,000 samples of approximately </w:t>
                      </w:r>
                      <w:r>
                        <w:t xml:space="preserve">400 </w:t>
                      </w:r>
                      <w:r w:rsidR="00941411">
                        <w:t>samples</w:t>
                      </w:r>
                      <w:r>
                        <w:t xml:space="preserve"> per month for a period of </w:t>
                      </w:r>
                      <w:r w:rsidR="00941411">
                        <w:t xml:space="preserve">approximately </w:t>
                      </w:r>
                      <w:r>
                        <w:t xml:space="preserve">24 months. </w:t>
                      </w:r>
                    </w:p>
                    <w:p w:rsidR="00FE7E0E" w:rsidRDefault="00FE7E0E" w:rsidP="00FE7E0E">
                      <w:pPr>
                        <w:ind w:left="2880"/>
                      </w:pPr>
                      <w:r>
                        <w:t xml:space="preserve">-Utilize analysis methods that are validated/generally accepted in the field. </w:t>
                      </w:r>
                    </w:p>
                    <w:p w:rsidR="00FE7E0E" w:rsidRDefault="00FE7E0E" w:rsidP="00FE7E0E">
                      <w:pPr>
                        <w:ind w:left="2880"/>
                      </w:pPr>
                      <w:r>
                        <w:t>-Issue all reports in conformance with accreditation requirements.</w:t>
                      </w:r>
                    </w:p>
                    <w:p w:rsidR="00FE7E0E" w:rsidRDefault="00FE7E0E" w:rsidP="00FE7E0E">
                      <w:pPr>
                        <w:ind w:left="2880"/>
                      </w:pPr>
                      <w:r>
                        <w:t>-Verify receipt of all evidence and maintain a properly documented chain of custody.</w:t>
                      </w:r>
                    </w:p>
                    <w:p w:rsidR="00FE7E0E" w:rsidRDefault="00FE7E0E" w:rsidP="00FE7E0E">
                      <w:pPr>
                        <w:ind w:left="2880"/>
                      </w:pPr>
                      <w:r>
                        <w:t xml:space="preserve">-Maintain ISP identification numbers, which may be provided on a label containing a barcode and human readable data or hand written identification numbers. </w:t>
                      </w:r>
                    </w:p>
                    <w:p w:rsidR="00FE7E0E" w:rsidRDefault="00FE7E0E" w:rsidP="00FE7E0E">
                      <w:pPr>
                        <w:ind w:left="2880"/>
                      </w:pPr>
                      <w:r>
                        <w:t>-Reseal evidence upon completion of testing, return all samples</w:t>
                      </w:r>
                      <w:r w:rsidR="006A04AE">
                        <w:t xml:space="preserve"> and packaging</w:t>
                      </w:r>
                      <w:r>
                        <w:t xml:space="preserve"> in their original containers and return it to the ISP.</w:t>
                      </w:r>
                    </w:p>
                    <w:p w:rsidR="00FE7E0E" w:rsidRDefault="00FE7E0E" w:rsidP="00FE7E0E">
                      <w:pPr>
                        <w:ind w:left="2880"/>
                      </w:pPr>
                      <w:r>
                        <w:t xml:space="preserve">-If the item is consumed </w:t>
                      </w:r>
                      <w:r w:rsidR="006A04AE">
                        <w:t xml:space="preserve">in analysis </w:t>
                      </w:r>
                      <w:r>
                        <w:t>the auto sampler vial</w:t>
                      </w:r>
                      <w:r w:rsidR="006A04AE">
                        <w:t>s</w:t>
                      </w:r>
                      <w:r>
                        <w:t xml:space="preserve"> shall be returned in the evidence packaging.</w:t>
                      </w:r>
                    </w:p>
                    <w:p w:rsidR="00FE7E0E" w:rsidRDefault="00FE7E0E" w:rsidP="00FE7E0E">
                      <w:pPr>
                        <w:ind w:left="2880"/>
                      </w:pPr>
                      <w:r>
                        <w:t>-Balances must be checked</w:t>
                      </w:r>
                      <w:r w:rsidR="006A04AE">
                        <w:t xml:space="preserve"> and documented </w:t>
                      </w:r>
                      <w:r>
                        <w:t xml:space="preserve">before and after daily sampling. </w:t>
                      </w:r>
                    </w:p>
                    <w:p w:rsidR="00FE7E0E" w:rsidRDefault="00FE7E0E" w:rsidP="00FE7E0E">
                      <w:pPr>
                        <w:ind w:left="2880"/>
                      </w:pPr>
                      <w:r>
                        <w:t xml:space="preserve">-When applicable, weigh and test a sufficient number of </w:t>
                      </w:r>
                      <w:r w:rsidR="006A04AE">
                        <w:t>samples</w:t>
                      </w:r>
                      <w:r>
                        <w:t xml:space="preserve"> with</w:t>
                      </w:r>
                      <w:r w:rsidR="006A04AE">
                        <w:t>in</w:t>
                      </w:r>
                      <w:r>
                        <w:t xml:space="preserve"> a case to meet highest threshold level listed of the Indiana </w:t>
                      </w:r>
                      <w:r w:rsidR="00E1721C">
                        <w:t>Criminal Code</w:t>
                      </w:r>
                      <w:r>
                        <w:t>.</w:t>
                      </w:r>
                    </w:p>
                  </w:txbxContent>
                </v:textbox>
                <w10:wrap type="square" anchorx="margin"/>
              </v:shape>
            </w:pict>
          </mc:Fallback>
        </mc:AlternateContent>
      </w:r>
    </w:p>
    <w:p w:rsidR="00FE7E0E" w:rsidRDefault="00FE7E0E" w:rsidP="00C96E6E">
      <w:pPr>
        <w:rPr>
          <w:sz w:val="24"/>
          <w:szCs w:val="24"/>
        </w:rPr>
        <w:sectPr w:rsidR="00FE7E0E" w:rsidSect="0041589F">
          <w:footerReference w:type="default" r:id="rId7"/>
          <w:pgSz w:w="12240" w:h="15840"/>
          <w:pgMar w:top="1440" w:right="1440" w:bottom="1440" w:left="1440" w:header="720" w:footer="720" w:gutter="0"/>
          <w:cols w:space="720"/>
          <w:docGrid w:linePitch="360"/>
        </w:sectPr>
      </w:pPr>
    </w:p>
    <w:p w:rsidR="00672B8E" w:rsidRPr="00C96E6E" w:rsidRDefault="00672B8E" w:rsidP="00672B8E">
      <w:pPr>
        <w:rPr>
          <w:sz w:val="24"/>
          <w:szCs w:val="24"/>
        </w:rPr>
      </w:pPr>
      <w:r w:rsidRPr="006B27FF">
        <w:rPr>
          <w:noProof/>
          <w:sz w:val="24"/>
          <w:szCs w:val="24"/>
        </w:rPr>
        <w:lastRenderedPageBreak/>
        <mc:AlternateContent>
          <mc:Choice Requires="wps">
            <w:drawing>
              <wp:anchor distT="45720" distB="45720" distL="114300" distR="114300" simplePos="0" relativeHeight="251673600" behindDoc="0" locked="0" layoutInCell="1" allowOverlap="1" wp14:anchorId="0AD63752" wp14:editId="5714F305">
                <wp:simplePos x="0" y="0"/>
                <wp:positionH relativeFrom="margin">
                  <wp:align>right</wp:align>
                </wp:positionH>
                <wp:positionV relativeFrom="paragraph">
                  <wp:posOffset>3907925</wp:posOffset>
                </wp:positionV>
                <wp:extent cx="5933440" cy="1404620"/>
                <wp:effectExtent l="0" t="0" r="10160" b="2794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3440" cy="1404620"/>
                        </a:xfrm>
                        <a:prstGeom prst="rect">
                          <a:avLst/>
                        </a:prstGeom>
                        <a:solidFill>
                          <a:srgbClr val="FFFFFF"/>
                        </a:solidFill>
                        <a:ln w="9525">
                          <a:solidFill>
                            <a:srgbClr val="000000"/>
                          </a:solidFill>
                          <a:miter lim="800000"/>
                          <a:headEnd/>
                          <a:tailEnd/>
                        </a:ln>
                      </wps:spPr>
                      <wps:txbx>
                        <w:txbxContent>
                          <w:p w:rsidR="00672B8E" w:rsidRDefault="00672B8E" w:rsidP="00672B8E">
                            <w:pPr>
                              <w:ind w:left="2880" w:hanging="2880"/>
                            </w:pPr>
                            <w:r>
                              <w:t>Storage</w:t>
                            </w:r>
                            <w:r>
                              <w:tab/>
                              <w:t>-Access to the operational and evidence storage areas of the laboratory shall be limited and controlled.</w:t>
                            </w:r>
                          </w:p>
                          <w:p w:rsidR="00672B8E" w:rsidRDefault="00672B8E" w:rsidP="00672B8E">
                            <w:pPr>
                              <w:ind w:left="2880"/>
                            </w:pPr>
                            <w:r>
                              <w:t>-Evidence storage areas shall be such as to prevent loss, deterioration, and contamination as to protect the integrity of the evidence.</w:t>
                            </w:r>
                          </w:p>
                          <w:p w:rsidR="00672B8E" w:rsidRDefault="00672B8E" w:rsidP="00672B8E">
                            <w:pPr>
                              <w:ind w:left="2880"/>
                            </w:pPr>
                            <w:r>
                              <w:t>-The laboratory shall be designed and equipped to ensure the proper safekeeping and confidentiality of case records.</w:t>
                            </w:r>
                          </w:p>
                          <w:p w:rsidR="00672B8E" w:rsidRDefault="00672B8E" w:rsidP="00672B8E">
                            <w:pPr>
                              <w:ind w:left="2880"/>
                            </w:pPr>
                            <w:r>
                              <w:t>-</w:t>
                            </w:r>
                            <w:r w:rsidR="008A6109">
                              <w:t>E</w:t>
                            </w:r>
                            <w:r>
                              <w:t xml:space="preserve">vidence </w:t>
                            </w:r>
                            <w:r w:rsidR="008A6109">
                              <w:t xml:space="preserve">shall be stored and handled </w:t>
                            </w:r>
                            <w:r>
                              <w:t>in a proper manner to prevent loss, cross transfer, contamination, and/or deleterious change.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AD63752" id="_x0000_s1031" type="#_x0000_t202" style="position:absolute;margin-left:416pt;margin-top:307.7pt;width:467.2pt;height:110.6pt;z-index:25167360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">
                <v:textbox style="mso-fit-shape-to-text:t">
                  <w:txbxContent>
                    <w:p w:rsidR="00672B8E" w:rsidRDefault="00672B8E" w:rsidP="00672B8E">
                      <w:pPr>
                        <w:ind w:left="2880" w:hanging="2880"/>
                      </w:pPr>
                      <w:r>
                        <w:t>Storage</w:t>
                      </w:r>
                      <w:r>
                        <w:tab/>
                        <w:t>-Access to the operational and evidence storage areas of the laboratory shall be limited and controlled.</w:t>
                      </w:r>
                    </w:p>
                    <w:p w:rsidR="00672B8E" w:rsidRDefault="00672B8E" w:rsidP="00672B8E">
                      <w:pPr>
                        <w:ind w:left="2880"/>
                      </w:pPr>
                      <w:r>
                        <w:t>-Evidence storage areas shall be such as to prevent loss, deterioration, and contamination as to protect the integrity of the evidence.</w:t>
                      </w:r>
                    </w:p>
                    <w:p w:rsidR="00672B8E" w:rsidRDefault="00672B8E" w:rsidP="00672B8E">
                      <w:pPr>
                        <w:ind w:left="2880"/>
                      </w:pPr>
                      <w:r>
                        <w:t>-The laboratory shall be designed and equipped to ensure the proper safekeeping and confidentiality of case records.</w:t>
                      </w:r>
                    </w:p>
                    <w:p w:rsidR="00672B8E" w:rsidRDefault="00672B8E" w:rsidP="00672B8E">
                      <w:pPr>
                        <w:ind w:left="2880"/>
                      </w:pPr>
                      <w:r>
                        <w:t>-</w:t>
                      </w:r>
                      <w:r w:rsidR="008A6109">
                        <w:t>E</w:t>
                      </w:r>
                      <w:r>
                        <w:t xml:space="preserve">vidence </w:t>
                      </w:r>
                      <w:r w:rsidR="008A6109">
                        <w:t xml:space="preserve">shall be stored and handled </w:t>
                      </w:r>
                      <w:r>
                        <w:t>in a proper manner to prevent loss, cross transfer, contamination, and/or deleterious change.</w:t>
                      </w:r>
                    </w:p>
                  </w:txbxContent>
                </v:textbox>
                <w10:wrap type="square" anchorx="margin"/>
              </v:shape>
            </w:pict>
          </mc:Fallback>
        </mc:AlternateContent>
      </w:r>
      <w:r w:rsidRPr="00DB4633">
        <w:rPr>
          <w:noProof/>
          <w:sz w:val="24"/>
          <w:szCs w:val="24"/>
        </w:rPr>
        <mc:AlternateContent>
          <mc:Choice Requires="wps">
            <w:drawing>
              <wp:anchor distT="45720" distB="45720" distL="114300" distR="114300" simplePos="0" relativeHeight="251672576" behindDoc="0" locked="0" layoutInCell="1" allowOverlap="1" wp14:anchorId="59BBE36D" wp14:editId="1810B9EC">
                <wp:simplePos x="0" y="0"/>
                <wp:positionH relativeFrom="margin">
                  <wp:align>right</wp:align>
                </wp:positionH>
                <wp:positionV relativeFrom="paragraph">
                  <wp:posOffset>594</wp:posOffset>
                </wp:positionV>
                <wp:extent cx="5933440" cy="1404620"/>
                <wp:effectExtent l="0" t="0" r="10160" b="2032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3872" cy="1404620"/>
                        </a:xfrm>
                        <a:prstGeom prst="rect">
                          <a:avLst/>
                        </a:prstGeom>
                        <a:solidFill>
                          <a:srgbClr val="FFFFFF"/>
                        </a:solidFill>
                        <a:ln w="9525">
                          <a:solidFill>
                            <a:srgbClr val="000000"/>
                          </a:solidFill>
                          <a:miter lim="800000"/>
                          <a:headEnd/>
                          <a:tailEnd/>
                        </a:ln>
                      </wps:spPr>
                      <wps:txbx>
                        <w:txbxContent>
                          <w:p w:rsidR="008A6109" w:rsidRDefault="00672B8E" w:rsidP="00672B8E">
                            <w:pPr>
                              <w:ind w:left="2880" w:hanging="2880"/>
                            </w:pPr>
                            <w:r>
                              <w:t>Submission of Specimen cont.</w:t>
                            </w:r>
                            <w:r>
                              <w:tab/>
                              <w:t>-</w:t>
                            </w:r>
                            <w:r w:rsidR="008A6109">
                              <w:t xml:space="preserve">The </w:t>
                            </w:r>
                            <w:r>
                              <w:t>vendor</w:t>
                            </w:r>
                            <w:r w:rsidR="008A6109">
                              <w:t xml:space="preserve"> shall</w:t>
                            </w:r>
                            <w:r>
                              <w:t xml:space="preserve"> return cases and items in a batch shipment that mirrors shipment as it was received (i.e. the exact same items received in shipment X would be returned in a shipment containing the same items in shipment X). </w:t>
                            </w:r>
                          </w:p>
                          <w:p w:rsidR="00672B8E" w:rsidRDefault="008A6109" w:rsidP="008A6109">
                            <w:pPr>
                              <w:ind w:left="2880"/>
                            </w:pPr>
                            <w:r>
                              <w:t>-</w:t>
                            </w:r>
                            <w:r w:rsidR="00672B8E">
                              <w:t xml:space="preserve">A copy of the original manifest should be included in the return shipment. </w:t>
                            </w:r>
                          </w:p>
                          <w:p w:rsidR="00672B8E" w:rsidRDefault="00672B8E" w:rsidP="00672B8E">
                            <w:pPr>
                              <w:ind w:left="2880"/>
                            </w:pPr>
                            <w:r>
                              <w:t xml:space="preserve">-ISP </w:t>
                            </w:r>
                            <w:r w:rsidR="008A6109">
                              <w:t>sha</w:t>
                            </w:r>
                            <w:r>
                              <w:t xml:space="preserve">ll provide copies of the original request form for the cases in the shipment. </w:t>
                            </w:r>
                          </w:p>
                          <w:p w:rsidR="00672B8E" w:rsidRDefault="005777BE" w:rsidP="00672B8E">
                            <w:pPr>
                              <w:ind w:left="2880"/>
                            </w:pPr>
                            <w:r>
                              <w:t>-</w:t>
                            </w:r>
                            <w:r w:rsidR="00672B8E">
                              <w:t>The items original packaging shall be preserved when possible. If it is necessary to repackage an item, the ISP barcode shall be visible and the original packaging shall be enclosed in the new packaging. The ISP barcode shall be preserved. Agency markings and original seal shall be preserved.</w:t>
                            </w:r>
                          </w:p>
                          <w:p w:rsidR="00672B8E" w:rsidRDefault="00672B8E" w:rsidP="00672B8E">
                            <w:pPr>
                              <w:ind w:left="2880"/>
                            </w:pPr>
                            <w:r>
                              <w:t xml:space="preserve">-Vendor </w:t>
                            </w:r>
                            <w:r w:rsidR="008A6109">
                              <w:t>shal</w:t>
                            </w:r>
                            <w:r>
                              <w:t xml:space="preserve">l provide a point of contact for the shipping, receipt, and return of items. ISP will provide a point of contact for the same. </w:t>
                            </w:r>
                            <w:r w:rsidR="008A6109">
                              <w:t>I</w:t>
                            </w:r>
                            <w:r>
                              <w:t xml:space="preserve">tems </w:t>
                            </w:r>
                            <w:r w:rsidR="008A6109">
                              <w:t xml:space="preserve">shall be </w:t>
                            </w:r>
                            <w:r>
                              <w:t>shipped to one location and vendor responsible for distribution in their laboratory system upon receipt.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9BBE36D" id="_x0000_s1032" type="#_x0000_t202" style="position:absolute;margin-left:416pt;margin-top:.05pt;width:467.2pt;height:110.6pt;z-index:25167257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">
                <v:textbox style="mso-fit-shape-to-text:t">
                  <w:txbxContent>
                    <w:p w:rsidR="008A6109" w:rsidRDefault="00672B8E" w:rsidP="00672B8E">
                      <w:pPr>
                        <w:ind w:left="2880" w:hanging="2880"/>
                      </w:pPr>
                      <w:r>
                        <w:t>Submission of Specimen cont.</w:t>
                      </w:r>
                      <w:r>
                        <w:tab/>
                        <w:t>-</w:t>
                      </w:r>
                      <w:r w:rsidR="008A6109">
                        <w:t xml:space="preserve">The </w:t>
                      </w:r>
                      <w:r>
                        <w:t>vendor</w:t>
                      </w:r>
                      <w:r w:rsidR="008A6109">
                        <w:t xml:space="preserve"> shall</w:t>
                      </w:r>
                      <w:r>
                        <w:t xml:space="preserve"> return cases and items in a batch shipment that mirrors shipment as it was received (i.e. the exact same items received in shipment X would be returned in a shipment containing the same items in shipment X). </w:t>
                      </w:r>
                    </w:p>
                    <w:p w:rsidR="00672B8E" w:rsidRDefault="008A6109" w:rsidP="008A6109">
                      <w:pPr>
                        <w:ind w:left="2880"/>
                      </w:pPr>
                      <w:r>
                        <w:t>-</w:t>
                      </w:r>
                      <w:r w:rsidR="00672B8E">
                        <w:t xml:space="preserve">A copy of the original manifest should be included in the return shipment. </w:t>
                      </w:r>
                    </w:p>
                    <w:p w:rsidR="00672B8E" w:rsidRDefault="00672B8E" w:rsidP="00672B8E">
                      <w:pPr>
                        <w:ind w:left="2880"/>
                      </w:pPr>
                      <w:r>
                        <w:t xml:space="preserve">-ISP </w:t>
                      </w:r>
                      <w:r w:rsidR="008A6109">
                        <w:t>sha</w:t>
                      </w:r>
                      <w:r>
                        <w:t xml:space="preserve">ll provide copies of the original request form for the cases in the shipment. </w:t>
                      </w:r>
                    </w:p>
                    <w:p w:rsidR="00672B8E" w:rsidRDefault="005777BE" w:rsidP="00672B8E">
                      <w:pPr>
                        <w:ind w:left="2880"/>
                      </w:pPr>
                      <w:r>
                        <w:t>-</w:t>
                      </w:r>
                      <w:r w:rsidR="00672B8E">
                        <w:t>The items original packaging shall be preserved when possible. If it is necessary to repackage an item, the ISP barcode shall be visible and the original packaging shall be enclosed in the new packaging. The ISP barcode shall be preserved. Agency markings and original seal shall be preserved.</w:t>
                      </w:r>
                    </w:p>
                    <w:p w:rsidR="00672B8E" w:rsidRDefault="00672B8E" w:rsidP="00672B8E">
                      <w:pPr>
                        <w:ind w:left="2880"/>
                      </w:pPr>
                      <w:r>
                        <w:t xml:space="preserve">-Vendor </w:t>
                      </w:r>
                      <w:r w:rsidR="008A6109">
                        <w:t>shal</w:t>
                      </w:r>
                      <w:r>
                        <w:t xml:space="preserve">l provide a point of contact for the shipping, receipt, and return of items. ISP will provide a point of contact for the same. </w:t>
                      </w:r>
                      <w:r w:rsidR="008A6109">
                        <w:t>I</w:t>
                      </w:r>
                      <w:r>
                        <w:t xml:space="preserve">tems </w:t>
                      </w:r>
                      <w:r w:rsidR="008A6109">
                        <w:t xml:space="preserve">shall be </w:t>
                      </w:r>
                      <w:r>
                        <w:t>shipped to one location and vendor responsible for distribution in their laboratory system upon receipt.</w:t>
                      </w:r>
                    </w:p>
                  </w:txbxContent>
                </v:textbox>
                <w10:wrap type="square" anchorx="margin"/>
              </v:shape>
            </w:pict>
          </mc:Fallback>
        </mc:AlternateContent>
      </w:r>
    </w:p>
    <w:p w:rsidR="00672B8E" w:rsidRDefault="00672B8E" w:rsidP="00FE7E0E">
      <w:pPr>
        <w:rPr>
          <w:sz w:val="24"/>
          <w:szCs w:val="24"/>
        </w:rPr>
        <w:sectPr w:rsidR="00672B8E" w:rsidSect="008B0E22">
          <w:footerReference w:type="default" r:id="rId8"/>
          <w:pgSz w:w="12240" w:h="15840"/>
          <w:pgMar w:top="1440" w:right="1440" w:bottom="1440" w:left="1440" w:header="720" w:footer="288" w:gutter="0"/>
          <w:cols w:space="720"/>
          <w:docGrid w:linePitch="360"/>
        </w:sectPr>
      </w:pPr>
    </w:p>
    <w:p w:rsidR="008A6109" w:rsidRDefault="00903C7F" w:rsidP="00672B8E">
      <w:pPr>
        <w:rPr>
          <w:sz w:val="24"/>
          <w:szCs w:val="24"/>
        </w:rPr>
      </w:pPr>
      <w:r w:rsidRPr="00FB45F0">
        <w:rPr>
          <w:noProof/>
          <w:sz w:val="24"/>
          <w:szCs w:val="24"/>
        </w:rPr>
        <w:lastRenderedPageBreak/>
        <mc:AlternateContent>
          <mc:Choice Requires="wps">
            <w:drawing>
              <wp:anchor distT="45720" distB="45720" distL="114300" distR="114300" simplePos="0" relativeHeight="251676672" behindDoc="0" locked="0" layoutInCell="1" allowOverlap="1">
                <wp:simplePos x="0" y="0"/>
                <wp:positionH relativeFrom="margin">
                  <wp:posOffset>-164262</wp:posOffset>
                </wp:positionH>
                <wp:positionV relativeFrom="paragraph">
                  <wp:posOffset>5299616</wp:posOffset>
                </wp:positionV>
                <wp:extent cx="5933440" cy="1404620"/>
                <wp:effectExtent l="0" t="0" r="10160" b="1460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3440" cy="1404620"/>
                        </a:xfrm>
                        <a:prstGeom prst="rect">
                          <a:avLst/>
                        </a:prstGeom>
                        <a:solidFill>
                          <a:srgbClr val="FFFFFF"/>
                        </a:solidFill>
                        <a:ln w="9525">
                          <a:solidFill>
                            <a:srgbClr val="000000"/>
                          </a:solidFill>
                          <a:miter lim="800000"/>
                          <a:headEnd/>
                          <a:tailEnd/>
                        </a:ln>
                      </wps:spPr>
                      <wps:txbx>
                        <w:txbxContent>
                          <w:p w:rsidR="00FB45F0" w:rsidRDefault="00FB45F0" w:rsidP="00FB45F0">
                            <w:pPr>
                              <w:ind w:left="2880" w:hanging="2880"/>
                            </w:pPr>
                            <w:r>
                              <w:t>Testimony</w:t>
                            </w:r>
                            <w:r>
                              <w:tab/>
                              <w:t xml:space="preserve">-Provide a list of all staff members involved in the testing process (chain of custody, analysis, and data review). </w:t>
                            </w:r>
                          </w:p>
                          <w:p w:rsidR="00FB45F0" w:rsidRDefault="00FB45F0" w:rsidP="00FB45F0">
                            <w:pPr>
                              <w:ind w:left="2880"/>
                            </w:pPr>
                            <w:r>
                              <w:t>-Vendor shall provide a Statement of Qualification form for analysts conducting testing.</w:t>
                            </w:r>
                          </w:p>
                          <w:p w:rsidR="00FB45F0" w:rsidRDefault="00FB45F0" w:rsidP="00FB45F0">
                            <w:pPr>
                              <w:ind w:left="2880"/>
                            </w:pPr>
                            <w:r>
                              <w:t xml:space="preserve">-Ability to testify on-site in Indiana or via phone or video conference. </w:t>
                            </w:r>
                          </w:p>
                          <w:p w:rsidR="00FB45F0" w:rsidRDefault="00FB45F0" w:rsidP="00FB45F0">
                            <w:pPr>
                              <w:ind w:left="2880"/>
                            </w:pPr>
                            <w:r>
                              <w:t xml:space="preserve">-Travel arrangements, lodging, per diem, etc. shall be managed by the vendor when on-site testimony is required.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3" type="#_x0000_t202" style="position:absolute;margin-left:-12.95pt;margin-top:417.3pt;width:467.2pt;height:110.6pt;z-index:25167667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">
                <v:textbox style="mso-fit-shape-to-text:t">
                  <w:txbxContent>
                    <w:p w:rsidR="00FB45F0" w:rsidRDefault="00FB45F0" w:rsidP="00FB45F0">
                      <w:pPr>
                        <w:ind w:left="2880" w:hanging="2880"/>
                      </w:pPr>
                      <w:r>
                        <w:t>Testimony</w:t>
                      </w:r>
                      <w:r>
                        <w:tab/>
                        <w:t xml:space="preserve">-Provide a list of all staff members involved in the testing process (chain of custody, analysis, and data review). </w:t>
                      </w:r>
                    </w:p>
                    <w:p w:rsidR="00FB45F0" w:rsidRDefault="00FB45F0" w:rsidP="00FB45F0">
                      <w:pPr>
                        <w:ind w:left="2880"/>
                      </w:pPr>
                      <w:r>
                        <w:t>-Vendor shall provide a Statement of Qualification form for analysts conducting testing.</w:t>
                      </w:r>
                    </w:p>
                    <w:p w:rsidR="00FB45F0" w:rsidRDefault="00FB45F0" w:rsidP="00FB45F0">
                      <w:pPr>
                        <w:ind w:left="2880"/>
                      </w:pPr>
                      <w:r>
                        <w:t xml:space="preserve">-Ability to testify on-site in Indiana or via phone or video conference. </w:t>
                      </w:r>
                    </w:p>
                    <w:p w:rsidR="00FB45F0" w:rsidRDefault="00FB45F0" w:rsidP="00FB45F0">
                      <w:pPr>
                        <w:ind w:left="2880"/>
                      </w:pPr>
                      <w:r>
                        <w:t xml:space="preserve">-Travel arrangements, lodging, per diem, etc. shall be managed by the vendor when on-site testimony is required. </w:t>
                      </w:r>
                    </w:p>
                  </w:txbxContent>
                </v:textbox>
                <w10:wrap type="square" anchorx="margin"/>
              </v:shape>
            </w:pict>
          </mc:Fallback>
        </mc:AlternateContent>
      </w:r>
      <w:r w:rsidRPr="000A526F">
        <w:rPr>
          <w:noProof/>
          <w:sz w:val="24"/>
          <w:szCs w:val="24"/>
        </w:rPr>
        <mc:AlternateContent>
          <mc:Choice Requires="wps">
            <w:drawing>
              <wp:anchor distT="45720" distB="45720" distL="114300" distR="114300" simplePos="0" relativeHeight="251674624" behindDoc="0" locked="0" layoutInCell="1" allowOverlap="1" wp14:anchorId="5671B3AB" wp14:editId="63067C2A">
                <wp:simplePos x="0" y="0"/>
                <wp:positionH relativeFrom="margin">
                  <wp:posOffset>-175260</wp:posOffset>
                </wp:positionH>
                <wp:positionV relativeFrom="paragraph">
                  <wp:posOffset>0</wp:posOffset>
                </wp:positionV>
                <wp:extent cx="5933440" cy="4960620"/>
                <wp:effectExtent l="0" t="0" r="10160" b="1143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3440" cy="4960620"/>
                        </a:xfrm>
                        <a:prstGeom prst="rect">
                          <a:avLst/>
                        </a:prstGeom>
                        <a:solidFill>
                          <a:srgbClr val="FFFFFF"/>
                        </a:solidFill>
                        <a:ln w="9525">
                          <a:solidFill>
                            <a:srgbClr val="000000"/>
                          </a:solidFill>
                          <a:miter lim="800000"/>
                          <a:headEnd/>
                          <a:tailEnd/>
                        </a:ln>
                      </wps:spPr>
                      <wps:txbx>
                        <w:txbxContent>
                          <w:p w:rsidR="00672B8E" w:rsidRDefault="00672B8E" w:rsidP="00672B8E">
                            <w:pPr>
                              <w:ind w:left="2880" w:hanging="2880"/>
                            </w:pPr>
                            <w:r>
                              <w:t>Reporting</w:t>
                            </w:r>
                            <w:r>
                              <w:tab/>
                              <w:t xml:space="preserve">-The </w:t>
                            </w:r>
                            <w:r w:rsidR="008A6109">
                              <w:t>vend</w:t>
                            </w:r>
                            <w:r>
                              <w:t xml:space="preserve">or shall issue a signed, court-ready report for each case submitted by ISP. </w:t>
                            </w:r>
                          </w:p>
                          <w:p w:rsidR="008A6109" w:rsidRDefault="008A6109" w:rsidP="008A6109">
                            <w:pPr>
                              <w:ind w:left="2880"/>
                            </w:pPr>
                            <w:r>
                              <w:t xml:space="preserve">-The vendor shall issue their test report results directly to contributing agency. </w:t>
                            </w:r>
                          </w:p>
                          <w:p w:rsidR="008A6109" w:rsidRDefault="008A6109" w:rsidP="008A6109">
                            <w:pPr>
                              <w:ind w:left="2880"/>
                            </w:pPr>
                            <w:r>
                              <w:t>-The ven</w:t>
                            </w:r>
                            <w:r w:rsidR="00E9575C">
                              <w:t>dor shall provide the ISP a PDF copy of their report for each case.</w:t>
                            </w:r>
                          </w:p>
                          <w:p w:rsidR="00672B8E" w:rsidRDefault="00672B8E" w:rsidP="00672B8E">
                            <w:pPr>
                              <w:ind w:left="2880"/>
                            </w:pPr>
                            <w:r>
                              <w:t xml:space="preserve">-The </w:t>
                            </w:r>
                            <w:r w:rsidR="008A6109">
                              <w:t>vend</w:t>
                            </w:r>
                            <w:r>
                              <w:t xml:space="preserve">or must perform both technical and administrative reviews (however named) of each report prior to submitting to ISP. </w:t>
                            </w:r>
                          </w:p>
                          <w:p w:rsidR="00E9575C" w:rsidRDefault="00E9575C" w:rsidP="00672B8E">
                            <w:pPr>
                              <w:ind w:left="2880"/>
                            </w:pPr>
                            <w:r>
                              <w:t xml:space="preserve">-Vendor reports shall include their contact information in their report. </w:t>
                            </w:r>
                          </w:p>
                          <w:p w:rsidR="00672B8E" w:rsidRDefault="00672B8E" w:rsidP="00672B8E">
                            <w:pPr>
                              <w:ind w:left="2880"/>
                            </w:pPr>
                            <w:r>
                              <w:t xml:space="preserve">-The </w:t>
                            </w:r>
                            <w:r w:rsidR="00E9575C">
                              <w:t>vend</w:t>
                            </w:r>
                            <w:r>
                              <w:t xml:space="preserve">or shall use statutory reporting language including using controlled substance names, weights thereof, and status as a controlled substance as they are listed in the State of Indiana Criminal Codes. </w:t>
                            </w:r>
                          </w:p>
                          <w:p w:rsidR="00F87CBA" w:rsidRDefault="00F87CBA" w:rsidP="00672B8E">
                            <w:pPr>
                              <w:ind w:left="2880"/>
                            </w:pPr>
                            <w:r>
                              <w:t>-When required, the report shall include the measurement of uncertainty.</w:t>
                            </w:r>
                          </w:p>
                          <w:p w:rsidR="00672B8E" w:rsidRDefault="00672B8E" w:rsidP="00672B8E">
                            <w:pPr>
                              <w:ind w:left="2880"/>
                            </w:pPr>
                            <w:r>
                              <w:t>-The report must include both the ISP Laboratory case number as well as the submitting agency case number.</w:t>
                            </w:r>
                          </w:p>
                          <w:p w:rsidR="00F87CBA" w:rsidRDefault="00F87CBA" w:rsidP="00672B8E">
                            <w:pPr>
                              <w:ind w:left="2880"/>
                            </w:pPr>
                            <w:r>
                              <w:t>-Report shall address each samples results.</w:t>
                            </w:r>
                          </w:p>
                          <w:p w:rsidR="00E9575C" w:rsidRDefault="00E9575C" w:rsidP="00672B8E">
                            <w:pPr>
                              <w:ind w:left="2880"/>
                            </w:pPr>
                            <w:r>
                              <w:t xml:space="preserve">-The vendor shall provide the ISP statistical information regarding type of drugs identified. </w:t>
                            </w:r>
                          </w:p>
                          <w:p w:rsidR="00672B8E" w:rsidRDefault="00672B8E" w:rsidP="00672B8E">
                            <w:pPr>
                              <w:ind w:left="2880"/>
                            </w:pPr>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71B3AB" id="_x0000_s1034" type="#_x0000_t202" style="position:absolute;margin-left:-13.8pt;margin-top:0;width:467.2pt;height:390.6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">
                <v:textbox>
                  <w:txbxContent>
                    <w:p w:rsidR="00672B8E" w:rsidRDefault="00672B8E" w:rsidP="00672B8E">
                      <w:pPr>
                        <w:ind w:left="2880" w:hanging="2880"/>
                      </w:pPr>
                      <w:r>
                        <w:t>Reporting</w:t>
                      </w:r>
                      <w:r>
                        <w:tab/>
                        <w:t xml:space="preserve">-The </w:t>
                      </w:r>
                      <w:r w:rsidR="008A6109">
                        <w:t>vend</w:t>
                      </w:r>
                      <w:r>
                        <w:t xml:space="preserve">or shall issue a signed, court-ready report for each case submitted by ISP. </w:t>
                      </w:r>
                    </w:p>
                    <w:p w:rsidR="008A6109" w:rsidRDefault="008A6109" w:rsidP="008A6109">
                      <w:pPr>
                        <w:ind w:left="2880"/>
                      </w:pPr>
                      <w:r>
                        <w:t xml:space="preserve">-The vendor shall issue their test report results directly to contributing agency. </w:t>
                      </w:r>
                    </w:p>
                    <w:p w:rsidR="008A6109" w:rsidRDefault="008A6109" w:rsidP="008A6109">
                      <w:pPr>
                        <w:ind w:left="2880"/>
                      </w:pPr>
                      <w:r>
                        <w:t>-The ven</w:t>
                      </w:r>
                      <w:r w:rsidR="00E9575C">
                        <w:t>dor shall provide the ISP a PDF copy of their report for each case.</w:t>
                      </w:r>
                    </w:p>
                    <w:p w:rsidR="00672B8E" w:rsidRDefault="00672B8E" w:rsidP="00672B8E">
                      <w:pPr>
                        <w:ind w:left="2880"/>
                      </w:pPr>
                      <w:r>
                        <w:t xml:space="preserve">-The </w:t>
                      </w:r>
                      <w:r w:rsidR="008A6109">
                        <w:t>vend</w:t>
                      </w:r>
                      <w:r>
                        <w:t xml:space="preserve">or must perform both technical and administrative reviews (however named) of each report prior to submitting to ISP. </w:t>
                      </w:r>
                    </w:p>
                    <w:p w:rsidR="00E9575C" w:rsidRDefault="00E9575C" w:rsidP="00672B8E">
                      <w:pPr>
                        <w:ind w:left="2880"/>
                      </w:pPr>
                      <w:r>
                        <w:t xml:space="preserve">-Vendor reports shall include their contact information in their report. </w:t>
                      </w:r>
                    </w:p>
                    <w:p w:rsidR="00672B8E" w:rsidRDefault="00672B8E" w:rsidP="00672B8E">
                      <w:pPr>
                        <w:ind w:left="2880"/>
                      </w:pPr>
                      <w:r>
                        <w:t xml:space="preserve">-The </w:t>
                      </w:r>
                      <w:r w:rsidR="00E9575C">
                        <w:t>vend</w:t>
                      </w:r>
                      <w:r>
                        <w:t xml:space="preserve">or shall use statutory reporting language including using controlled substance names, weights thereof, and status as a controlled substance as they are listed in the State of Indiana Criminal Codes. </w:t>
                      </w:r>
                    </w:p>
                    <w:p w:rsidR="00F87CBA" w:rsidRDefault="00F87CBA" w:rsidP="00672B8E">
                      <w:pPr>
                        <w:ind w:left="2880"/>
                      </w:pPr>
                      <w:r>
                        <w:t>-When required, the report shall include the measurement of uncertainty.</w:t>
                      </w:r>
                    </w:p>
                    <w:p w:rsidR="00672B8E" w:rsidRDefault="00672B8E" w:rsidP="00672B8E">
                      <w:pPr>
                        <w:ind w:left="2880"/>
                      </w:pPr>
                      <w:r>
                        <w:t>-The report must include both the ISP Laboratory case number as well as the submitting agency case number.</w:t>
                      </w:r>
                    </w:p>
                    <w:p w:rsidR="00F87CBA" w:rsidRDefault="00F87CBA" w:rsidP="00672B8E">
                      <w:pPr>
                        <w:ind w:left="2880"/>
                      </w:pPr>
                      <w:r>
                        <w:t>-Report shall address each samples results.</w:t>
                      </w:r>
                    </w:p>
                    <w:p w:rsidR="00E9575C" w:rsidRDefault="00E9575C" w:rsidP="00672B8E">
                      <w:pPr>
                        <w:ind w:left="2880"/>
                      </w:pPr>
                      <w:r>
                        <w:t xml:space="preserve">-The vendor shall provide the ISP statistical information regarding type of drugs identified. </w:t>
                      </w:r>
                    </w:p>
                    <w:p w:rsidR="00672B8E" w:rsidRDefault="00672B8E" w:rsidP="00672B8E">
                      <w:pPr>
                        <w:ind w:left="2880"/>
                      </w:pPr>
                      <w:r>
                        <w:t xml:space="preserve"> </w:t>
                      </w:r>
                    </w:p>
                  </w:txbxContent>
                </v:textbox>
                <w10:wrap type="square" anchorx="margin"/>
              </v:shape>
            </w:pict>
          </mc:Fallback>
        </mc:AlternateContent>
      </w:r>
    </w:p>
    <w:p w:rsidR="008A6109" w:rsidRDefault="008A6109" w:rsidP="00672B8E">
      <w:pPr>
        <w:rPr>
          <w:sz w:val="24"/>
          <w:szCs w:val="24"/>
        </w:rPr>
      </w:pPr>
    </w:p>
    <w:p w:rsidR="008A6109" w:rsidRDefault="008A6109" w:rsidP="00672B8E">
      <w:pPr>
        <w:rPr>
          <w:sz w:val="24"/>
          <w:szCs w:val="24"/>
        </w:rPr>
      </w:pPr>
    </w:p>
    <w:p w:rsidR="008A6109" w:rsidRDefault="008A6109" w:rsidP="00672B8E">
      <w:pPr>
        <w:rPr>
          <w:sz w:val="24"/>
          <w:szCs w:val="24"/>
        </w:rPr>
      </w:pPr>
    </w:p>
    <w:p w:rsidR="005B4295" w:rsidRDefault="005B4295" w:rsidP="00672B8E">
      <w:pPr>
        <w:rPr>
          <w:sz w:val="24"/>
          <w:szCs w:val="24"/>
        </w:rPr>
        <w:sectPr w:rsidR="005B4295" w:rsidSect="006B27FF">
          <w:footerReference w:type="default" r:id="rId9"/>
          <w:pgSz w:w="12240" w:h="15840"/>
          <w:pgMar w:top="1440" w:right="1440" w:bottom="1440" w:left="1440" w:header="720" w:footer="720" w:gutter="0"/>
          <w:cols w:space="720"/>
          <w:docGrid w:linePitch="360"/>
        </w:sectPr>
      </w:pPr>
    </w:p>
    <w:p w:rsidR="008A6109" w:rsidRDefault="00251C7E" w:rsidP="00672B8E">
      <w:pPr>
        <w:rPr>
          <w:sz w:val="24"/>
          <w:szCs w:val="24"/>
        </w:rPr>
      </w:pPr>
      <w:r w:rsidRPr="00A237A9">
        <w:rPr>
          <w:noProof/>
          <w:sz w:val="24"/>
          <w:szCs w:val="24"/>
        </w:rPr>
        <w:lastRenderedPageBreak/>
        <mc:AlternateContent>
          <mc:Choice Requires="wps">
            <w:drawing>
              <wp:anchor distT="45720" distB="45720" distL="114300" distR="114300" simplePos="0" relativeHeight="251682816" behindDoc="0" locked="0" layoutInCell="1" allowOverlap="1">
                <wp:simplePos x="0" y="0"/>
                <wp:positionH relativeFrom="margin">
                  <wp:align>right</wp:align>
                </wp:positionH>
                <wp:positionV relativeFrom="paragraph">
                  <wp:posOffset>3395926</wp:posOffset>
                </wp:positionV>
                <wp:extent cx="5933440" cy="1404620"/>
                <wp:effectExtent l="0" t="0" r="10160" b="1460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3440" cy="1404620"/>
                        </a:xfrm>
                        <a:prstGeom prst="rect">
                          <a:avLst/>
                        </a:prstGeom>
                        <a:solidFill>
                          <a:srgbClr val="FFFFFF"/>
                        </a:solidFill>
                        <a:ln w="9525">
                          <a:solidFill>
                            <a:srgbClr val="000000"/>
                          </a:solidFill>
                          <a:miter lim="800000"/>
                          <a:headEnd/>
                          <a:tailEnd/>
                        </a:ln>
                      </wps:spPr>
                      <wps:txbx>
                        <w:txbxContent>
                          <w:p w:rsidR="00A237A9" w:rsidRPr="00251C7E" w:rsidRDefault="00A237A9" w:rsidP="00A237A9">
                            <w:pPr>
                              <w:ind w:left="2880" w:hanging="2880"/>
                              <w:rPr>
                                <w:color w:val="FF0000"/>
                              </w:rPr>
                            </w:pPr>
                            <w:r>
                              <w:t>Payment Terms</w:t>
                            </w:r>
                            <w:r>
                              <w:tab/>
                            </w:r>
                            <w:r w:rsidRPr="00251C7E">
                              <w:rPr>
                                <w:color w:val="FF0000"/>
                              </w:rPr>
                              <w:t>-Monthly invoicing</w:t>
                            </w:r>
                          </w:p>
                          <w:p w:rsidR="00A237A9" w:rsidRPr="00251C7E" w:rsidRDefault="00A237A9" w:rsidP="00A237A9">
                            <w:pPr>
                              <w:ind w:left="2880"/>
                              <w:rPr>
                                <w:color w:val="FF0000"/>
                              </w:rPr>
                            </w:pPr>
                            <w:r w:rsidRPr="00251C7E">
                              <w:rPr>
                                <w:color w:val="FF0000"/>
                              </w:rPr>
                              <w:t>-Payment made in arrears</w:t>
                            </w:r>
                          </w:p>
                          <w:p w:rsidR="00A237A9" w:rsidRPr="00251C7E" w:rsidRDefault="00A237A9" w:rsidP="00A237A9">
                            <w:pPr>
                              <w:ind w:left="2880"/>
                              <w:rPr>
                                <w:color w:val="FF0000"/>
                              </w:rPr>
                            </w:pPr>
                            <w:r w:rsidRPr="00251C7E">
                              <w:rPr>
                                <w:color w:val="FF0000"/>
                              </w:rPr>
                              <w:t>-Payment made direct deposit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5" type="#_x0000_t202" style="position:absolute;margin-left:416pt;margin-top:267.4pt;width:467.2pt;height:110.6pt;z-index:25168281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">
                <v:textbox style="mso-fit-shape-to-text:t">
                  <w:txbxContent>
                    <w:p w:rsidR="00A237A9" w:rsidRPr="00251C7E" w:rsidRDefault="00A237A9" w:rsidP="00A237A9">
                      <w:pPr>
                        <w:ind w:left="2880" w:hanging="2880"/>
                        <w:rPr>
                          <w:color w:val="FF0000"/>
                        </w:rPr>
                      </w:pPr>
                      <w:r>
                        <w:t>Payment Terms</w:t>
                      </w:r>
                      <w:r>
                        <w:tab/>
                      </w:r>
                      <w:r w:rsidRPr="00251C7E">
                        <w:rPr>
                          <w:color w:val="FF0000"/>
                        </w:rPr>
                        <w:t>-Monthly invoicing</w:t>
                      </w:r>
                    </w:p>
                    <w:p w:rsidR="00A237A9" w:rsidRPr="00251C7E" w:rsidRDefault="00A237A9" w:rsidP="00A237A9">
                      <w:pPr>
                        <w:ind w:left="2880"/>
                        <w:rPr>
                          <w:color w:val="FF0000"/>
                        </w:rPr>
                      </w:pPr>
                      <w:r w:rsidRPr="00251C7E">
                        <w:rPr>
                          <w:color w:val="FF0000"/>
                        </w:rPr>
                        <w:t>-Payment made in arrears</w:t>
                      </w:r>
                    </w:p>
                    <w:p w:rsidR="00A237A9" w:rsidRPr="00251C7E" w:rsidRDefault="00A237A9" w:rsidP="00A237A9">
                      <w:pPr>
                        <w:ind w:left="2880"/>
                        <w:rPr>
                          <w:color w:val="FF0000"/>
                        </w:rPr>
                      </w:pPr>
                      <w:r w:rsidRPr="00251C7E">
                        <w:rPr>
                          <w:color w:val="FF0000"/>
                        </w:rPr>
                        <w:t>-Payment made direct deposit</w:t>
                      </w:r>
                    </w:p>
                  </w:txbxContent>
                </v:textbox>
                <w10:wrap type="square" anchorx="margin"/>
              </v:shape>
            </w:pict>
          </mc:Fallback>
        </mc:AlternateContent>
      </w:r>
      <w:r w:rsidRPr="00EF32F8">
        <w:rPr>
          <w:noProof/>
          <w:sz w:val="24"/>
          <w:szCs w:val="24"/>
        </w:rPr>
        <mc:AlternateContent>
          <mc:Choice Requires="wps">
            <w:drawing>
              <wp:anchor distT="45720" distB="45720" distL="114300" distR="114300" simplePos="0" relativeHeight="251680768" behindDoc="0" locked="0" layoutInCell="1" allowOverlap="1">
                <wp:simplePos x="0" y="0"/>
                <wp:positionH relativeFrom="margin">
                  <wp:align>right</wp:align>
                </wp:positionH>
                <wp:positionV relativeFrom="paragraph">
                  <wp:posOffset>1392285</wp:posOffset>
                </wp:positionV>
                <wp:extent cx="5933440" cy="1404620"/>
                <wp:effectExtent l="0" t="0" r="10160" b="2095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3440" cy="1404620"/>
                        </a:xfrm>
                        <a:prstGeom prst="rect">
                          <a:avLst/>
                        </a:prstGeom>
                        <a:solidFill>
                          <a:srgbClr val="FFFFFF"/>
                        </a:solidFill>
                        <a:ln w="9525">
                          <a:solidFill>
                            <a:srgbClr val="000000"/>
                          </a:solidFill>
                          <a:miter lim="800000"/>
                          <a:headEnd/>
                          <a:tailEnd/>
                        </a:ln>
                      </wps:spPr>
                      <wps:txbx>
                        <w:txbxContent>
                          <w:p w:rsidR="00EF32F8" w:rsidRPr="00251C7E" w:rsidRDefault="00EF32F8" w:rsidP="00EF32F8">
                            <w:pPr>
                              <w:ind w:left="2880" w:hanging="2880"/>
                              <w:rPr>
                                <w:color w:val="FF0000"/>
                              </w:rPr>
                            </w:pPr>
                            <w:r>
                              <w:t>Billing</w:t>
                            </w:r>
                            <w:r>
                              <w:tab/>
                            </w:r>
                            <w:r w:rsidRPr="00251C7E">
                              <w:rPr>
                                <w:color w:val="FF0000"/>
                              </w:rPr>
                              <w:t>-Cost per item tested</w:t>
                            </w:r>
                          </w:p>
                          <w:p w:rsidR="00EF32F8" w:rsidRPr="00251C7E" w:rsidRDefault="00EF32F8" w:rsidP="00EF32F8">
                            <w:pPr>
                              <w:ind w:left="2880"/>
                              <w:rPr>
                                <w:color w:val="FF0000"/>
                              </w:rPr>
                            </w:pPr>
                            <w:r w:rsidRPr="00251C7E">
                              <w:rPr>
                                <w:color w:val="FF0000"/>
                              </w:rPr>
                              <w:t>-Cost per court appearance</w:t>
                            </w:r>
                          </w:p>
                          <w:p w:rsidR="00EF32F8" w:rsidRPr="00251C7E" w:rsidRDefault="00EF32F8" w:rsidP="00EF32F8">
                            <w:pPr>
                              <w:ind w:left="2880"/>
                              <w:rPr>
                                <w:color w:val="FF0000"/>
                              </w:rPr>
                            </w:pPr>
                            <w:r w:rsidRPr="00251C7E">
                              <w:rPr>
                                <w:color w:val="FF0000"/>
                              </w:rPr>
                              <w:t>-Cost per deposition</w:t>
                            </w:r>
                          </w:p>
                          <w:p w:rsidR="00EF32F8" w:rsidRPr="00251C7E" w:rsidRDefault="00EF32F8" w:rsidP="00EF32F8">
                            <w:pPr>
                              <w:ind w:left="2880"/>
                              <w:rPr>
                                <w:color w:val="FF0000"/>
                              </w:rPr>
                            </w:pPr>
                            <w:r w:rsidRPr="00251C7E">
                              <w:rPr>
                                <w:color w:val="FF0000"/>
                              </w:rPr>
                              <w:t>-</w:t>
                            </w:r>
                            <w:r w:rsidR="00A237A9" w:rsidRPr="00251C7E">
                              <w:rPr>
                                <w:color w:val="FF0000"/>
                              </w:rPr>
                              <w:t>Honor testimony costs for a minimum of 2 years after termination of contract</w:t>
                            </w:r>
                          </w:p>
                          <w:p w:rsidR="00A237A9" w:rsidRPr="00251C7E" w:rsidRDefault="00A237A9" w:rsidP="00EF32F8">
                            <w:pPr>
                              <w:ind w:left="2880"/>
                              <w:rPr>
                                <w:color w:val="FF0000"/>
                              </w:rPr>
                            </w:pPr>
                            <w:r w:rsidRPr="00251C7E">
                              <w:rPr>
                                <w:color w:val="FF0000"/>
                              </w:rPr>
                              <w:t>-Invoices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6" type="#_x0000_t202" style="position:absolute;margin-left:416pt;margin-top:109.65pt;width:467.2pt;height:110.6pt;z-index:25168076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">
                <v:textbox style="mso-fit-shape-to-text:t">
                  <w:txbxContent>
                    <w:p w:rsidR="00EF32F8" w:rsidRPr="00251C7E" w:rsidRDefault="00EF32F8" w:rsidP="00EF32F8">
                      <w:pPr>
                        <w:ind w:left="2880" w:hanging="2880"/>
                        <w:rPr>
                          <w:color w:val="FF0000"/>
                        </w:rPr>
                      </w:pPr>
                      <w:r>
                        <w:t>Billing</w:t>
                      </w:r>
                      <w:r>
                        <w:tab/>
                      </w:r>
                      <w:r w:rsidRPr="00251C7E">
                        <w:rPr>
                          <w:color w:val="FF0000"/>
                        </w:rPr>
                        <w:t>-Cost per item tested</w:t>
                      </w:r>
                    </w:p>
                    <w:p w:rsidR="00EF32F8" w:rsidRPr="00251C7E" w:rsidRDefault="00EF32F8" w:rsidP="00EF32F8">
                      <w:pPr>
                        <w:ind w:left="2880"/>
                        <w:rPr>
                          <w:color w:val="FF0000"/>
                        </w:rPr>
                      </w:pPr>
                      <w:r w:rsidRPr="00251C7E">
                        <w:rPr>
                          <w:color w:val="FF0000"/>
                        </w:rPr>
                        <w:t>-Cost per court appearance</w:t>
                      </w:r>
                    </w:p>
                    <w:p w:rsidR="00EF32F8" w:rsidRPr="00251C7E" w:rsidRDefault="00EF32F8" w:rsidP="00EF32F8">
                      <w:pPr>
                        <w:ind w:left="2880"/>
                        <w:rPr>
                          <w:color w:val="FF0000"/>
                        </w:rPr>
                      </w:pPr>
                      <w:r w:rsidRPr="00251C7E">
                        <w:rPr>
                          <w:color w:val="FF0000"/>
                        </w:rPr>
                        <w:t>-Cost per deposition</w:t>
                      </w:r>
                    </w:p>
                    <w:p w:rsidR="00EF32F8" w:rsidRPr="00251C7E" w:rsidRDefault="00EF32F8" w:rsidP="00EF32F8">
                      <w:pPr>
                        <w:ind w:left="2880"/>
                        <w:rPr>
                          <w:color w:val="FF0000"/>
                        </w:rPr>
                      </w:pPr>
                      <w:r w:rsidRPr="00251C7E">
                        <w:rPr>
                          <w:color w:val="FF0000"/>
                        </w:rPr>
                        <w:t>-</w:t>
                      </w:r>
                      <w:r w:rsidR="00A237A9" w:rsidRPr="00251C7E">
                        <w:rPr>
                          <w:color w:val="FF0000"/>
                        </w:rPr>
                        <w:t>Honor testimony costs for a minimum of 2 years after termination of contract</w:t>
                      </w:r>
                    </w:p>
                    <w:p w:rsidR="00A237A9" w:rsidRPr="00251C7E" w:rsidRDefault="00A237A9" w:rsidP="00EF32F8">
                      <w:pPr>
                        <w:ind w:left="2880"/>
                        <w:rPr>
                          <w:color w:val="FF0000"/>
                        </w:rPr>
                      </w:pPr>
                      <w:r w:rsidRPr="00251C7E">
                        <w:rPr>
                          <w:color w:val="FF0000"/>
                        </w:rPr>
                        <w:t>-Invoices</w:t>
                      </w:r>
                    </w:p>
                  </w:txbxContent>
                </v:textbox>
                <w10:wrap type="square" anchorx="margin"/>
              </v:shape>
            </w:pict>
          </mc:Fallback>
        </mc:AlternateContent>
      </w:r>
      <w:r w:rsidRPr="00EF32F8">
        <w:rPr>
          <w:noProof/>
          <w:sz w:val="24"/>
          <w:szCs w:val="24"/>
        </w:rPr>
        <mc:AlternateContent>
          <mc:Choice Requires="wps">
            <w:drawing>
              <wp:anchor distT="45720" distB="45720" distL="114300" distR="114300" simplePos="0" relativeHeight="251678720" behindDoc="0" locked="0" layoutInCell="1" allowOverlap="1">
                <wp:simplePos x="0" y="0"/>
                <wp:positionH relativeFrom="margin">
                  <wp:align>right</wp:align>
                </wp:positionH>
                <wp:positionV relativeFrom="paragraph">
                  <wp:posOffset>202</wp:posOffset>
                </wp:positionV>
                <wp:extent cx="5933440" cy="1404620"/>
                <wp:effectExtent l="0" t="0" r="10160" b="2730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3440" cy="1404620"/>
                        </a:xfrm>
                        <a:prstGeom prst="rect">
                          <a:avLst/>
                        </a:prstGeom>
                        <a:solidFill>
                          <a:srgbClr val="FFFFFF"/>
                        </a:solidFill>
                        <a:ln w="9525">
                          <a:solidFill>
                            <a:srgbClr val="000000"/>
                          </a:solidFill>
                          <a:miter lim="800000"/>
                          <a:headEnd/>
                          <a:tailEnd/>
                        </a:ln>
                      </wps:spPr>
                      <wps:txbx>
                        <w:txbxContent>
                          <w:p w:rsidR="00EF32F8" w:rsidRDefault="00EF32F8" w:rsidP="00EF32F8">
                            <w:pPr>
                              <w:ind w:left="2880" w:hanging="2880"/>
                            </w:pPr>
                            <w:r>
                              <w:t>Litigation Documentation</w:t>
                            </w:r>
                            <w:r>
                              <w:tab/>
                              <w:t>-Vendor shall designate a point of contact for the receipt of lawful requests for documentation, court orders, subpoenas, etc.</w:t>
                            </w:r>
                          </w:p>
                          <w:p w:rsidR="00EF32F8" w:rsidRDefault="00EF32F8" w:rsidP="00EF32F8">
                            <w:pPr>
                              <w:ind w:left="2880"/>
                            </w:pPr>
                            <w:r>
                              <w:t>-Vendor shall provide litigation documentation as required at no additional charge.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7" type="#_x0000_t202" style="position:absolute;margin-left:416pt;margin-top:0;width:467.2pt;height:110.6pt;z-index:25167872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">
                <v:textbox style="mso-fit-shape-to-text:t">
                  <w:txbxContent>
                    <w:p w:rsidR="00EF32F8" w:rsidRDefault="00EF32F8" w:rsidP="00EF32F8">
                      <w:pPr>
                        <w:ind w:left="2880" w:hanging="2880"/>
                      </w:pPr>
                      <w:r>
                        <w:t>Litigation Documentation</w:t>
                      </w:r>
                      <w:r>
                        <w:tab/>
                        <w:t>-Vendor shall designate a point of contact for the receipt of lawful requests for documentation, court orders, subpoenas, etc.</w:t>
                      </w:r>
                    </w:p>
                    <w:p w:rsidR="00EF32F8" w:rsidRDefault="00EF32F8" w:rsidP="00EF32F8">
                      <w:pPr>
                        <w:ind w:left="2880"/>
                      </w:pPr>
                      <w:r>
                        <w:t>-Vendor shall provide litigation documentation as required at no additional charge.</w:t>
                      </w:r>
                    </w:p>
                  </w:txbxContent>
                </v:textbox>
                <w10:wrap type="square" anchorx="margin"/>
              </v:shape>
            </w:pict>
          </mc:Fallback>
        </mc:AlternateContent>
      </w:r>
    </w:p>
    <w:p w:rsidR="00C96E6E" w:rsidRPr="00C96E6E" w:rsidRDefault="00251C7E" w:rsidP="00672B8E">
      <w:pPr>
        <w:rPr>
          <w:sz w:val="24"/>
          <w:szCs w:val="24"/>
        </w:rPr>
      </w:pPr>
      <w:r w:rsidRPr="00A237A9">
        <w:rPr>
          <w:noProof/>
          <w:sz w:val="24"/>
          <w:szCs w:val="24"/>
        </w:rPr>
        <mc:AlternateContent>
          <mc:Choice Requires="wps">
            <w:drawing>
              <wp:anchor distT="45720" distB="45720" distL="114300" distR="114300" simplePos="0" relativeHeight="251684864" behindDoc="0" locked="0" layoutInCell="1" allowOverlap="1">
                <wp:simplePos x="0" y="0"/>
                <wp:positionH relativeFrom="margin">
                  <wp:align>right</wp:align>
                </wp:positionH>
                <wp:positionV relativeFrom="paragraph">
                  <wp:posOffset>3267426</wp:posOffset>
                </wp:positionV>
                <wp:extent cx="5933440" cy="1404620"/>
                <wp:effectExtent l="0" t="0" r="10160" b="27305"/>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3440" cy="1404620"/>
                        </a:xfrm>
                        <a:prstGeom prst="rect">
                          <a:avLst/>
                        </a:prstGeom>
                        <a:solidFill>
                          <a:srgbClr val="FFFFFF"/>
                        </a:solidFill>
                        <a:ln w="9525">
                          <a:solidFill>
                            <a:srgbClr val="000000"/>
                          </a:solidFill>
                          <a:miter lim="800000"/>
                          <a:headEnd/>
                          <a:tailEnd/>
                        </a:ln>
                      </wps:spPr>
                      <wps:txbx>
                        <w:txbxContent>
                          <w:p w:rsidR="00A237A9" w:rsidRDefault="00A237A9" w:rsidP="00A237A9">
                            <w:pPr>
                              <w:ind w:left="2880" w:hanging="2880"/>
                            </w:pPr>
                            <w:r>
                              <w:t>Confidentiality</w:t>
                            </w:r>
                            <w:r>
                              <w:tab/>
                              <w:t xml:space="preserve">-ISP and vendor shall both identify points of contract (POC) for technical and logistical matters. </w:t>
                            </w:r>
                          </w:p>
                          <w:p w:rsidR="00A237A9" w:rsidRDefault="00A237A9" w:rsidP="00A237A9">
                            <w:pPr>
                              <w:ind w:left="2880"/>
                            </w:pPr>
                            <w:r>
                              <w:t xml:space="preserve">-Case records shall be considered confidential. </w:t>
                            </w:r>
                          </w:p>
                          <w:p w:rsidR="00A237A9" w:rsidRDefault="00A237A9" w:rsidP="00A237A9">
                            <w:pPr>
                              <w:ind w:left="2880"/>
                            </w:pPr>
                            <w:r>
                              <w:t xml:space="preserve">-Case related information may be communicated to the ISP, submitting agency, or the prosecuting attorney of record.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8" type="#_x0000_t202" style="position:absolute;margin-left:416pt;margin-top:257.3pt;width:467.2pt;height:110.6pt;z-index:2516848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">
                <v:textbox style="mso-fit-shape-to-text:t">
                  <w:txbxContent>
                    <w:p w:rsidR="00A237A9" w:rsidRDefault="00A237A9" w:rsidP="00A237A9">
                      <w:pPr>
                        <w:ind w:left="2880" w:hanging="2880"/>
                      </w:pPr>
                      <w:r>
                        <w:t>Confidentiality</w:t>
                      </w:r>
                      <w:r>
                        <w:tab/>
                        <w:t xml:space="preserve">-ISP and vendor shall both identify points of contract (POC) for technical and logistical matters. </w:t>
                      </w:r>
                    </w:p>
                    <w:p w:rsidR="00A237A9" w:rsidRDefault="00A237A9" w:rsidP="00A237A9">
                      <w:pPr>
                        <w:ind w:left="2880"/>
                      </w:pPr>
                      <w:r>
                        <w:t xml:space="preserve">-Case records shall be considered confidential. </w:t>
                      </w:r>
                    </w:p>
                    <w:p w:rsidR="00A237A9" w:rsidRDefault="00A237A9" w:rsidP="00A237A9">
                      <w:pPr>
                        <w:ind w:left="2880"/>
                      </w:pPr>
                      <w:r>
                        <w:t xml:space="preserve">-Case related information may be communicated to the ISP, submitting agency, or the prosecuting attorney of record. </w:t>
                      </w:r>
                    </w:p>
                  </w:txbxContent>
                </v:textbox>
                <w10:wrap type="square" anchorx="margin"/>
              </v:shape>
            </w:pict>
          </mc:Fallback>
        </mc:AlternateContent>
      </w:r>
    </w:p>
    <w:sectPr w:rsidR="00C96E6E" w:rsidRPr="00C96E6E" w:rsidSect="006B27FF">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7062" w:rsidRDefault="006D7062" w:rsidP="0041589F">
      <w:pPr>
        <w:spacing w:after="0" w:line="240" w:lineRule="auto"/>
      </w:pPr>
      <w:r>
        <w:separator/>
      </w:r>
    </w:p>
  </w:endnote>
  <w:endnote w:type="continuationSeparator" w:id="0">
    <w:p w:rsidR="006D7062" w:rsidRDefault="006D7062" w:rsidP="004158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0E22" w:rsidRPr="008B0E22" w:rsidRDefault="008B0E22">
    <w:pPr>
      <w:pStyle w:val="Footer"/>
      <w:rPr>
        <w:sz w:val="16"/>
        <w:szCs w:val="16"/>
      </w:rPr>
    </w:pPr>
    <w:r>
      <w:rPr>
        <w:sz w:val="16"/>
        <w:szCs w:val="16"/>
      </w:rPr>
      <w:t xml:space="preserve">ISP Outsourcing </w:t>
    </w:r>
    <w:r w:rsidR="00C42435">
      <w:rPr>
        <w:sz w:val="16"/>
        <w:szCs w:val="16"/>
      </w:rPr>
      <w:t>Solicitation 2.11.19</w:t>
    </w:r>
    <w:r w:rsidR="00C42435">
      <w:rPr>
        <w:sz w:val="16"/>
        <w:szCs w:val="16"/>
      </w:rPr>
      <w:tab/>
      <w:t>Page 1 of 5</w:t>
    </w:r>
  </w:p>
  <w:p w:rsidR="008B0E22" w:rsidRDefault="008B0E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0E22" w:rsidRPr="008B0E22" w:rsidRDefault="008B0E22">
    <w:pPr>
      <w:pStyle w:val="Footer"/>
      <w:rPr>
        <w:sz w:val="16"/>
        <w:szCs w:val="16"/>
      </w:rPr>
    </w:pPr>
    <w:r>
      <w:rPr>
        <w:sz w:val="16"/>
        <w:szCs w:val="16"/>
      </w:rPr>
      <w:t xml:space="preserve">ISP Outsourcing </w:t>
    </w:r>
    <w:r w:rsidR="00C42435">
      <w:rPr>
        <w:sz w:val="16"/>
        <w:szCs w:val="16"/>
      </w:rPr>
      <w:t>Solicitation 2.11.19</w:t>
    </w:r>
    <w:r w:rsidR="00C42435">
      <w:rPr>
        <w:sz w:val="16"/>
        <w:szCs w:val="16"/>
      </w:rPr>
      <w:tab/>
      <w:t>Page 2 of 5</w:t>
    </w:r>
  </w:p>
  <w:p w:rsidR="008B0E22" w:rsidRDefault="008B0E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0E22" w:rsidRPr="008B0E22" w:rsidRDefault="008B0E22">
    <w:pPr>
      <w:pStyle w:val="Footer"/>
      <w:rPr>
        <w:sz w:val="16"/>
        <w:szCs w:val="16"/>
      </w:rPr>
    </w:pPr>
    <w:r>
      <w:rPr>
        <w:sz w:val="16"/>
        <w:szCs w:val="16"/>
      </w:rPr>
      <w:t>ISP Outsourcing Solicitation 2.11.19</w:t>
    </w:r>
    <w:r w:rsidR="00C42435">
      <w:rPr>
        <w:sz w:val="16"/>
        <w:szCs w:val="16"/>
      </w:rPr>
      <w:tab/>
      <w:t>Page 3 of 5</w:t>
    </w:r>
  </w:p>
  <w:p w:rsidR="008B0E22" w:rsidRDefault="008B0E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295" w:rsidRPr="008B0E22" w:rsidRDefault="005B4295">
    <w:pPr>
      <w:pStyle w:val="Footer"/>
      <w:rPr>
        <w:sz w:val="16"/>
        <w:szCs w:val="16"/>
      </w:rPr>
    </w:pPr>
    <w:r>
      <w:rPr>
        <w:sz w:val="16"/>
        <w:szCs w:val="16"/>
      </w:rPr>
      <w:t>ISP Outsourcing Solicitation 2.11.19</w:t>
    </w:r>
    <w:r>
      <w:rPr>
        <w:sz w:val="16"/>
        <w:szCs w:val="16"/>
      </w:rPr>
      <w:tab/>
      <w:t>Page 4 of 5</w:t>
    </w:r>
  </w:p>
  <w:p w:rsidR="005B4295" w:rsidRDefault="005B4295">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295" w:rsidRPr="008B0E22" w:rsidRDefault="005E33C7">
    <w:pPr>
      <w:pStyle w:val="Footer"/>
      <w:rPr>
        <w:sz w:val="16"/>
        <w:szCs w:val="16"/>
      </w:rPr>
    </w:pPr>
    <w:r>
      <w:rPr>
        <w:sz w:val="16"/>
        <w:szCs w:val="16"/>
      </w:rPr>
      <w:t>RFP-19-109 – Attachment G</w:t>
    </w:r>
    <w:r w:rsidR="005B4295">
      <w:rPr>
        <w:sz w:val="16"/>
        <w:szCs w:val="16"/>
      </w:rPr>
      <w:tab/>
      <w:t>Page 5 of 5</w:t>
    </w:r>
  </w:p>
  <w:p w:rsidR="005B4295" w:rsidRDefault="005B42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7062" w:rsidRDefault="006D7062" w:rsidP="0041589F">
      <w:pPr>
        <w:spacing w:after="0" w:line="240" w:lineRule="auto"/>
      </w:pPr>
      <w:r>
        <w:separator/>
      </w:r>
    </w:p>
  </w:footnote>
  <w:footnote w:type="continuationSeparator" w:id="0">
    <w:p w:rsidR="006D7062" w:rsidRDefault="006D7062" w:rsidP="0041589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E6E"/>
    <w:rsid w:val="000A526F"/>
    <w:rsid w:val="00107903"/>
    <w:rsid w:val="00125A37"/>
    <w:rsid w:val="00132F8E"/>
    <w:rsid w:val="001F4C88"/>
    <w:rsid w:val="00251C7E"/>
    <w:rsid w:val="003876A5"/>
    <w:rsid w:val="0039170D"/>
    <w:rsid w:val="0041589F"/>
    <w:rsid w:val="004449A3"/>
    <w:rsid w:val="00447514"/>
    <w:rsid w:val="004A076D"/>
    <w:rsid w:val="00575AF9"/>
    <w:rsid w:val="005777BE"/>
    <w:rsid w:val="005B4295"/>
    <w:rsid w:val="005E18C1"/>
    <w:rsid w:val="005E33C7"/>
    <w:rsid w:val="00672B8E"/>
    <w:rsid w:val="00682F73"/>
    <w:rsid w:val="006A04AE"/>
    <w:rsid w:val="006A21A9"/>
    <w:rsid w:val="006B27FF"/>
    <w:rsid w:val="006C41A3"/>
    <w:rsid w:val="006D7062"/>
    <w:rsid w:val="007A6E4B"/>
    <w:rsid w:val="008A6109"/>
    <w:rsid w:val="008B0E22"/>
    <w:rsid w:val="008B3E4D"/>
    <w:rsid w:val="008D2369"/>
    <w:rsid w:val="00903C7F"/>
    <w:rsid w:val="00941411"/>
    <w:rsid w:val="009E4AE5"/>
    <w:rsid w:val="00A237A9"/>
    <w:rsid w:val="00A653A8"/>
    <w:rsid w:val="00BF290B"/>
    <w:rsid w:val="00C42435"/>
    <w:rsid w:val="00C44893"/>
    <w:rsid w:val="00C7583B"/>
    <w:rsid w:val="00C96E6E"/>
    <w:rsid w:val="00D138C9"/>
    <w:rsid w:val="00D40B91"/>
    <w:rsid w:val="00DB4633"/>
    <w:rsid w:val="00E052E3"/>
    <w:rsid w:val="00E1721C"/>
    <w:rsid w:val="00E60B5E"/>
    <w:rsid w:val="00E83D03"/>
    <w:rsid w:val="00E9575C"/>
    <w:rsid w:val="00EF32F8"/>
    <w:rsid w:val="00F87CBA"/>
    <w:rsid w:val="00FB45F0"/>
    <w:rsid w:val="00FE7E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F4E9A2EA-9853-45EF-AF2C-86408E440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49A3"/>
    <w:pPr>
      <w:ind w:left="720"/>
      <w:contextualSpacing/>
    </w:pPr>
  </w:style>
  <w:style w:type="paragraph" w:styleId="Header">
    <w:name w:val="header"/>
    <w:basedOn w:val="Normal"/>
    <w:link w:val="HeaderChar"/>
    <w:uiPriority w:val="99"/>
    <w:unhideWhenUsed/>
    <w:rsid w:val="004158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589F"/>
  </w:style>
  <w:style w:type="paragraph" w:styleId="Footer">
    <w:name w:val="footer"/>
    <w:basedOn w:val="Normal"/>
    <w:link w:val="FooterChar"/>
    <w:uiPriority w:val="99"/>
    <w:unhideWhenUsed/>
    <w:rsid w:val="004158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58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5.xml"/><Relationship Id="rId4" Type="http://schemas.openxmlformats.org/officeDocument/2006/relationships/footnotes" Target="footnotes.xml"/><Relationship Id="rId9"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14</Words>
  <Characters>81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Luong, Linda R</dc:creator>
  <cp:keywords/>
  <dc:description/>
  <cp:lastModifiedBy>Deaton, Teresa</cp:lastModifiedBy>
  <cp:revision>5</cp:revision>
  <dcterms:created xsi:type="dcterms:W3CDTF">2019-02-13T17:24:00Z</dcterms:created>
  <dcterms:modified xsi:type="dcterms:W3CDTF">2019-05-02T12:42:00Z</dcterms:modified>
</cp:coreProperties>
</file>