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C8F" w:rsidRDefault="00AD2C8F" w:rsidP="00AD2C8F">
      <w:pPr>
        <w:jc w:val="center"/>
        <w:rPr>
          <w:b/>
          <w:sz w:val="24"/>
          <w:szCs w:val="24"/>
        </w:rPr>
      </w:pPr>
      <w:r>
        <w:rPr>
          <w:b/>
          <w:sz w:val="24"/>
          <w:szCs w:val="24"/>
        </w:rPr>
        <w:t>RFP-19-109</w:t>
      </w:r>
    </w:p>
    <w:p w:rsidR="00AD2C8F" w:rsidRDefault="00AD2C8F" w:rsidP="00AD2C8F">
      <w:pPr>
        <w:jc w:val="center"/>
        <w:rPr>
          <w:b/>
          <w:sz w:val="24"/>
          <w:szCs w:val="24"/>
        </w:rPr>
      </w:pPr>
      <w:r>
        <w:rPr>
          <w:b/>
          <w:sz w:val="24"/>
          <w:szCs w:val="24"/>
        </w:rPr>
        <w:t>Technical Proposal</w:t>
      </w:r>
      <w:bookmarkStart w:id="0" w:name="_GoBack"/>
      <w:bookmarkEnd w:id="0"/>
    </w:p>
    <w:p w:rsidR="00AD2C8F" w:rsidRDefault="00AD2C8F" w:rsidP="00AD2C8F">
      <w:pPr>
        <w:jc w:val="center"/>
        <w:rPr>
          <w:b/>
          <w:sz w:val="24"/>
          <w:szCs w:val="24"/>
        </w:rPr>
      </w:pPr>
      <w:r>
        <w:rPr>
          <w:b/>
          <w:sz w:val="24"/>
          <w:szCs w:val="24"/>
        </w:rPr>
        <w:t>Attachment F</w:t>
      </w:r>
    </w:p>
    <w:p w:rsidR="00AD2C8F" w:rsidRDefault="00AD2C8F" w:rsidP="00C519FE">
      <w:pPr>
        <w:rPr>
          <w:b/>
          <w:sz w:val="24"/>
          <w:szCs w:val="24"/>
        </w:rPr>
      </w:pPr>
    </w:p>
    <w:p w:rsidR="00C519FE" w:rsidRPr="00AF0B20" w:rsidRDefault="00C519FE" w:rsidP="00C519FE">
      <w:pPr>
        <w:rPr>
          <w:b/>
          <w:sz w:val="24"/>
          <w:szCs w:val="24"/>
        </w:rPr>
      </w:pPr>
      <w:r w:rsidRPr="00AF0B20">
        <w:rPr>
          <w:b/>
          <w:sz w:val="24"/>
          <w:szCs w:val="24"/>
        </w:rPr>
        <w:t xml:space="preserve">Instructions: </w:t>
      </w:r>
    </w:p>
    <w:p w:rsidR="00C519FE" w:rsidRPr="00AF0B20" w:rsidRDefault="00C519FE" w:rsidP="00C519FE">
      <w:pPr>
        <w:rPr>
          <w:color w:val="000000"/>
          <w:sz w:val="24"/>
          <w:szCs w:val="24"/>
        </w:rPr>
      </w:pPr>
      <w:r>
        <w:rPr>
          <w:color w:val="000000"/>
          <w:sz w:val="24"/>
          <w:szCs w:val="24"/>
        </w:rPr>
        <w:t>Request for Proposal (RFP) 19-109</w:t>
      </w:r>
      <w:r w:rsidRPr="00AF0B20">
        <w:rPr>
          <w:color w:val="000000"/>
          <w:sz w:val="24"/>
          <w:szCs w:val="24"/>
        </w:rPr>
        <w:t xml:space="preserve"> is a solicitation by the State of Indiana in which organizations are invited to compete for contract amongst other respondents in a formal evaluation process.  Please be aware that the evaluation of your organization’s proposal will be completed by a team of State of Indiana employees and your organization’s score will be reflective of that evaluation.  The evaluation of a proposal can only be based upon the information provided by the Respondent in its proposal submission.  Therefore, a competitive proposal will thoroughly answer the questions listed.  The Respondent is expected to provide the complete details of its proposed operations, processes, and staffing for the scope of work detailed in the RFP document and supplemental attachments.</w:t>
      </w:r>
    </w:p>
    <w:p w:rsidR="00C519FE" w:rsidRPr="00AF0B20" w:rsidRDefault="00C519FE" w:rsidP="00C519FE">
      <w:pPr>
        <w:rPr>
          <w:sz w:val="24"/>
          <w:szCs w:val="24"/>
        </w:rPr>
      </w:pPr>
      <w:r w:rsidRPr="00AF0B20">
        <w:rPr>
          <w:sz w:val="24"/>
          <w:szCs w:val="24"/>
        </w:rPr>
        <w:t>Please review the requ</w:t>
      </w:r>
      <w:r>
        <w:rPr>
          <w:sz w:val="24"/>
          <w:szCs w:val="24"/>
        </w:rPr>
        <w:t>irements outlined in Attachment G</w:t>
      </w:r>
      <w:r w:rsidRPr="00AF0B20">
        <w:rPr>
          <w:sz w:val="24"/>
          <w:szCs w:val="24"/>
        </w:rPr>
        <w:t>, Scope of Work carefully.  Please describe your relevant experience and explain how you propose to perform the work.  For all areas in which subcontractors will be performing a portion of the work, clearly describe their roles and responsibilities, related qualifications and experience, and how you will maintain oversight of the subcontractors’ activities.</w:t>
      </w:r>
    </w:p>
    <w:p w:rsidR="00C519FE" w:rsidRPr="00AF0B20" w:rsidRDefault="00C519FE" w:rsidP="00C519FE">
      <w:pPr>
        <w:rPr>
          <w:sz w:val="24"/>
          <w:szCs w:val="24"/>
        </w:rPr>
      </w:pPr>
      <w:r w:rsidRPr="00AF0B20">
        <w:rPr>
          <w:sz w:val="24"/>
          <w:szCs w:val="24"/>
        </w:rPr>
        <w:t xml:space="preserve">Respondents must organize their proposal in the exact order of questions provided in this document followed by their answers. While text boxes have been provided below, the Respondent may respond in the format of their choosing provided their response maintains the order proposed in this template.  </w:t>
      </w:r>
      <w:r w:rsidRPr="00AF0B20">
        <w:rPr>
          <w:b/>
          <w:sz w:val="24"/>
          <w:szCs w:val="24"/>
        </w:rPr>
        <w:t>A completed Technical Proposal is a requirement for proposal submission.  Failure to complete and submit this form may impact your proposal’s responsiveness.</w:t>
      </w:r>
      <w:r w:rsidRPr="00AF0B20">
        <w:rPr>
          <w:sz w:val="24"/>
          <w:szCs w:val="24"/>
        </w:rPr>
        <w:t xml:space="preserve">  </w:t>
      </w:r>
    </w:p>
    <w:p w:rsidR="001E5248" w:rsidRPr="00B122F6" w:rsidRDefault="00B122F6">
      <w:pPr>
        <w:rPr>
          <w:b/>
          <w:u w:val="single"/>
        </w:rPr>
      </w:pPr>
      <w:r w:rsidRPr="00B122F6">
        <w:rPr>
          <w:b/>
          <w:u w:val="single"/>
        </w:rPr>
        <w:t>MANDATORY REQUIREMENTS</w:t>
      </w:r>
    </w:p>
    <w:p w:rsidR="00B122F6" w:rsidRDefault="00B122F6" w:rsidP="00B122F6">
      <w:pPr>
        <w:ind w:left="2880" w:hanging="2880"/>
      </w:pPr>
      <w:r w:rsidRPr="00F60F03">
        <w:rPr>
          <w:b/>
        </w:rPr>
        <w:t xml:space="preserve"> Accreditation</w:t>
      </w:r>
      <w:r>
        <w:tab/>
        <w:t xml:space="preserve">The contract laboratory must be accredited and compliant to ISO/IEC 17025 by an accrediting body that is a signatory of the International Laboratory Accreditation Cooperation (ILAC) Mutual Recognition Arrangement, with Seized Drugs or Controlled Substances listed in the scope of accreditation. A copy of both the Certificate of Accreditation and Scope of Accreditation must be provided. The contract laboratory must provide a copy of its most recent external Quality Assurance Audit document. The contract laboratory shall permit site visits of the lab facility and review of relevant documents and cases. </w:t>
      </w:r>
    </w:p>
    <w:p w:rsidR="00B122F6" w:rsidRDefault="00B122F6" w:rsidP="00B122F6"/>
    <w:tbl>
      <w:tblPr>
        <w:tblStyle w:val="TableGrid"/>
        <w:tblW w:w="0" w:type="auto"/>
        <w:tblLook w:val="04A0" w:firstRow="1" w:lastRow="0" w:firstColumn="1" w:lastColumn="0" w:noHBand="0" w:noVBand="1"/>
      </w:tblPr>
      <w:tblGrid>
        <w:gridCol w:w="1345"/>
        <w:gridCol w:w="1260"/>
      </w:tblGrid>
      <w:tr w:rsidR="00B122F6" w:rsidTr="00B122F6">
        <w:tc>
          <w:tcPr>
            <w:tcW w:w="1345" w:type="dxa"/>
          </w:tcPr>
          <w:p w:rsidR="00B122F6" w:rsidRDefault="00B122F6">
            <w:r>
              <w:lastRenderedPageBreak/>
              <w:t>YES</w:t>
            </w:r>
          </w:p>
        </w:tc>
        <w:tc>
          <w:tcPr>
            <w:tcW w:w="1260" w:type="dxa"/>
            <w:shd w:val="clear" w:color="auto" w:fill="FFFFCC"/>
          </w:tcPr>
          <w:p w:rsidR="00B122F6" w:rsidRPr="00832DF7" w:rsidRDefault="00B122F6">
            <w:pPr>
              <w:rPr>
                <w:color w:val="FFFF66"/>
              </w:rPr>
            </w:pPr>
          </w:p>
        </w:tc>
      </w:tr>
      <w:tr w:rsidR="00B122F6" w:rsidTr="00B122F6">
        <w:tc>
          <w:tcPr>
            <w:tcW w:w="1345" w:type="dxa"/>
          </w:tcPr>
          <w:p w:rsidR="00B122F6" w:rsidRDefault="00B122F6" w:rsidP="00C73F46">
            <w:r>
              <w:t>NO</w:t>
            </w:r>
          </w:p>
        </w:tc>
        <w:tc>
          <w:tcPr>
            <w:tcW w:w="1260" w:type="dxa"/>
            <w:shd w:val="clear" w:color="auto" w:fill="FFFFCC"/>
          </w:tcPr>
          <w:p w:rsidR="00B122F6" w:rsidRPr="00832DF7" w:rsidRDefault="00B122F6" w:rsidP="00C73F46">
            <w:pPr>
              <w:rPr>
                <w:color w:val="FFFF66"/>
              </w:rPr>
            </w:pPr>
          </w:p>
        </w:tc>
      </w:tr>
    </w:tbl>
    <w:p w:rsidR="00B122F6" w:rsidRPr="00F60F03" w:rsidRDefault="00B122F6" w:rsidP="00B122F6">
      <w:pPr>
        <w:rPr>
          <w:b/>
        </w:rPr>
      </w:pPr>
    </w:p>
    <w:p w:rsidR="00F60F03" w:rsidRDefault="00B122F6" w:rsidP="00F60F03">
      <w:pPr>
        <w:ind w:left="2880" w:hanging="2880"/>
      </w:pPr>
      <w:r w:rsidRPr="00F60F03">
        <w:rPr>
          <w:b/>
        </w:rPr>
        <w:t xml:space="preserve"> </w:t>
      </w:r>
      <w:r w:rsidR="00F60F03" w:rsidRPr="00F60F03">
        <w:rPr>
          <w:b/>
        </w:rPr>
        <w:t>General</w:t>
      </w:r>
      <w:r w:rsidR="00F60F03">
        <w:tab/>
        <w:t xml:space="preserve">- The vendor shall not subcontract cases/samples under this contract to any other laboratory or laboratory location unless preapproved by ISP. </w:t>
      </w:r>
    </w:p>
    <w:p w:rsidR="00F60F03" w:rsidRDefault="00F60F03" w:rsidP="00F60F03">
      <w:pPr>
        <w:ind w:left="2880" w:hanging="2880"/>
      </w:pPr>
      <w:r>
        <w:tab/>
      </w:r>
      <w:r w:rsidR="00C67D43">
        <w:t>Q</w:t>
      </w:r>
      <w:r>
        <w:t xml:space="preserve">uantities set forth in this solicitation are estimates only, and the Offerors shall provide analyses at proposal prices for actual quantities ordered, regardless of whether total quantities are more or less than those shown. There shall be no minimum order requirement. </w:t>
      </w:r>
    </w:p>
    <w:p w:rsidR="00F60F03" w:rsidRDefault="00F60F03" w:rsidP="00F60F03">
      <w:pPr>
        <w:ind w:left="2880" w:hanging="2880"/>
      </w:pPr>
      <w:r>
        <w:tab/>
        <w:t>-he vendor shall assure that any discrepancies detected by ISP are resolved to the satisfaction of ISP at no additional cost.</w:t>
      </w:r>
    </w:p>
    <w:p w:rsidR="00F60F03" w:rsidRDefault="00F60F03" w:rsidP="00F60F03">
      <w:pPr>
        <w:ind w:left="2880" w:hanging="2880"/>
      </w:pPr>
      <w:r>
        <w:tab/>
        <w:t>-he vendor shall report to ISP any substantive nonconforming work related to cases submitted by ISP or testing performed by the vendor’s controlled substances/seized drug section.</w:t>
      </w:r>
    </w:p>
    <w:p w:rsidR="00F60F03" w:rsidRDefault="00F60F03" w:rsidP="00F60F03">
      <w:pPr>
        <w:ind w:left="2880" w:hanging="2880"/>
      </w:pPr>
      <w:r>
        <w:tab/>
        <w:t>-SP at its sole discretion reserves the right to conduct on-site visits/inspections throughout the contract period to ensure continued compliance with requirements.</w:t>
      </w:r>
    </w:p>
    <w:p w:rsidR="00F60F03" w:rsidRDefault="00F60F03" w:rsidP="00F60F03">
      <w:pPr>
        <w:ind w:left="2880" w:hanging="2880"/>
      </w:pPr>
      <w:r>
        <w:tab/>
        <w:t>-</w:t>
      </w:r>
      <w:proofErr w:type="spellStart"/>
      <w:r>
        <w:t>nce</w:t>
      </w:r>
      <w:proofErr w:type="spellEnd"/>
      <w:r>
        <w:t xml:space="preserve"> the contract is awarded, ISP will submit ~10 cases to pilot this process with the Contractor(s) in order to verify that the evidence transfer and reporting meet the requirements of this solicitation </w:t>
      </w:r>
      <w:r w:rsidRPr="006A21A9">
        <w:t xml:space="preserve">voiding </w:t>
      </w:r>
      <w:r>
        <w:t>C</w:t>
      </w:r>
      <w:r w:rsidRPr="006A21A9">
        <w:t>ontract if</w:t>
      </w:r>
      <w:r>
        <w:t xml:space="preserve"> failed. </w:t>
      </w:r>
    </w:p>
    <w:tbl>
      <w:tblPr>
        <w:tblStyle w:val="TableGrid"/>
        <w:tblW w:w="0" w:type="auto"/>
        <w:tblLook w:val="04A0" w:firstRow="1" w:lastRow="0" w:firstColumn="1" w:lastColumn="0" w:noHBand="0" w:noVBand="1"/>
      </w:tblPr>
      <w:tblGrid>
        <w:gridCol w:w="1345"/>
        <w:gridCol w:w="1260"/>
      </w:tblGrid>
      <w:tr w:rsidR="00B122F6" w:rsidTr="00C73F46">
        <w:tc>
          <w:tcPr>
            <w:tcW w:w="1345" w:type="dxa"/>
          </w:tcPr>
          <w:p w:rsidR="00B122F6" w:rsidRDefault="00B122F6" w:rsidP="00C73F46">
            <w:r>
              <w:t>YES</w:t>
            </w:r>
          </w:p>
        </w:tc>
        <w:tc>
          <w:tcPr>
            <w:tcW w:w="1260" w:type="dxa"/>
            <w:shd w:val="clear" w:color="auto" w:fill="FFFFCC"/>
          </w:tcPr>
          <w:p w:rsidR="00B122F6" w:rsidRPr="00832DF7" w:rsidRDefault="00B122F6" w:rsidP="00C73F46">
            <w:pPr>
              <w:rPr>
                <w:color w:val="FFFF00"/>
                <w:highlight w:val="yellow"/>
              </w:rPr>
            </w:pPr>
          </w:p>
        </w:tc>
      </w:tr>
      <w:tr w:rsidR="00B122F6" w:rsidTr="00C73F46">
        <w:tc>
          <w:tcPr>
            <w:tcW w:w="1345" w:type="dxa"/>
          </w:tcPr>
          <w:p w:rsidR="00B122F6" w:rsidRDefault="00B122F6" w:rsidP="00C73F46">
            <w:r>
              <w:t>NO</w:t>
            </w:r>
          </w:p>
        </w:tc>
        <w:tc>
          <w:tcPr>
            <w:tcW w:w="1260" w:type="dxa"/>
            <w:shd w:val="clear" w:color="auto" w:fill="FFFFCC"/>
          </w:tcPr>
          <w:p w:rsidR="00B122F6" w:rsidRPr="00832DF7" w:rsidRDefault="00B122F6" w:rsidP="00C73F46">
            <w:pPr>
              <w:rPr>
                <w:color w:val="FFFF00"/>
                <w:highlight w:val="yellow"/>
              </w:rPr>
            </w:pPr>
          </w:p>
        </w:tc>
      </w:tr>
    </w:tbl>
    <w:p w:rsidR="001553C5" w:rsidRDefault="001553C5"/>
    <w:p w:rsidR="00B122F6" w:rsidRDefault="00B122F6" w:rsidP="00B122F6">
      <w:pPr>
        <w:ind w:left="2880" w:hanging="2880"/>
      </w:pPr>
      <w:r w:rsidRPr="00B122F6">
        <w:rPr>
          <w:b/>
        </w:rPr>
        <w:t>Litigation Documentation</w:t>
      </w:r>
      <w:r>
        <w:tab/>
        <w:t>Vendor shall designate a point of contact for the receipt of lawful requests for documentation, court orders, subpoenas, etc.</w:t>
      </w:r>
    </w:p>
    <w:p w:rsidR="00B122F6" w:rsidRDefault="00B122F6" w:rsidP="00B122F6">
      <w:pPr>
        <w:ind w:left="2880"/>
      </w:pPr>
      <w:r>
        <w:t>Vendor shall provide litigation documentation as required at no additional charge.</w:t>
      </w:r>
    </w:p>
    <w:tbl>
      <w:tblPr>
        <w:tblStyle w:val="TableGrid"/>
        <w:tblW w:w="0" w:type="auto"/>
        <w:tblLook w:val="04A0" w:firstRow="1" w:lastRow="0" w:firstColumn="1" w:lastColumn="0" w:noHBand="0" w:noVBand="1"/>
      </w:tblPr>
      <w:tblGrid>
        <w:gridCol w:w="1345"/>
        <w:gridCol w:w="1260"/>
      </w:tblGrid>
      <w:tr w:rsidR="00B122F6" w:rsidTr="00C73F46">
        <w:tc>
          <w:tcPr>
            <w:tcW w:w="1345" w:type="dxa"/>
          </w:tcPr>
          <w:p w:rsidR="00B122F6" w:rsidRDefault="00B122F6" w:rsidP="00C73F46">
            <w:r>
              <w:t>YES</w:t>
            </w:r>
          </w:p>
        </w:tc>
        <w:tc>
          <w:tcPr>
            <w:tcW w:w="1260" w:type="dxa"/>
            <w:shd w:val="clear" w:color="auto" w:fill="FFFFCC"/>
          </w:tcPr>
          <w:p w:rsidR="00B122F6" w:rsidRDefault="00B122F6" w:rsidP="00C73F46"/>
        </w:tc>
      </w:tr>
      <w:tr w:rsidR="00B122F6" w:rsidTr="00C73F46">
        <w:tc>
          <w:tcPr>
            <w:tcW w:w="1345" w:type="dxa"/>
          </w:tcPr>
          <w:p w:rsidR="00B122F6" w:rsidRDefault="00B122F6" w:rsidP="00C73F46">
            <w:r>
              <w:t>NO</w:t>
            </w:r>
          </w:p>
        </w:tc>
        <w:tc>
          <w:tcPr>
            <w:tcW w:w="1260" w:type="dxa"/>
            <w:shd w:val="clear" w:color="auto" w:fill="FFFFCC"/>
          </w:tcPr>
          <w:p w:rsidR="00B122F6" w:rsidRDefault="00B122F6" w:rsidP="00C73F46"/>
        </w:tc>
      </w:tr>
    </w:tbl>
    <w:p w:rsidR="001553C5" w:rsidRDefault="001553C5"/>
    <w:p w:rsidR="00B122F6" w:rsidRPr="00B122F6" w:rsidRDefault="00B122F6" w:rsidP="00B122F6">
      <w:pPr>
        <w:ind w:left="2880" w:hanging="2880"/>
      </w:pPr>
      <w:r w:rsidRPr="00B122F6">
        <w:rPr>
          <w:b/>
        </w:rPr>
        <w:t>Billing</w:t>
      </w:r>
      <w:r>
        <w:tab/>
      </w:r>
      <w:r w:rsidRPr="00B122F6">
        <w:t>Cost per item tested</w:t>
      </w:r>
    </w:p>
    <w:p w:rsidR="00B122F6" w:rsidRPr="00B122F6" w:rsidRDefault="00B122F6" w:rsidP="00B122F6">
      <w:pPr>
        <w:ind w:left="2880"/>
      </w:pPr>
      <w:r w:rsidRPr="00B122F6">
        <w:t>Cost per court appearance</w:t>
      </w:r>
    </w:p>
    <w:p w:rsidR="00B122F6" w:rsidRPr="00B122F6" w:rsidRDefault="00B122F6" w:rsidP="00B122F6">
      <w:pPr>
        <w:ind w:left="2160" w:firstLine="720"/>
      </w:pPr>
      <w:r w:rsidRPr="00B122F6">
        <w:t>Cost per deposition</w:t>
      </w:r>
    </w:p>
    <w:p w:rsidR="00B122F6" w:rsidRPr="00B122F6" w:rsidRDefault="00B122F6" w:rsidP="00B122F6">
      <w:pPr>
        <w:ind w:left="2880"/>
      </w:pPr>
      <w:r w:rsidRPr="00B122F6">
        <w:t>Honor testimony costs for a minimum of 2 years after termination of contract</w:t>
      </w:r>
    </w:p>
    <w:p w:rsidR="00B122F6" w:rsidRPr="00B122F6" w:rsidRDefault="00B122F6" w:rsidP="00B122F6">
      <w:pPr>
        <w:ind w:left="2880"/>
      </w:pPr>
      <w:r w:rsidRPr="00B122F6">
        <w:lastRenderedPageBreak/>
        <w:t>Invoices</w:t>
      </w:r>
    </w:p>
    <w:tbl>
      <w:tblPr>
        <w:tblStyle w:val="TableGrid"/>
        <w:tblW w:w="0" w:type="auto"/>
        <w:tblLook w:val="04A0" w:firstRow="1" w:lastRow="0" w:firstColumn="1" w:lastColumn="0" w:noHBand="0" w:noVBand="1"/>
      </w:tblPr>
      <w:tblGrid>
        <w:gridCol w:w="1345"/>
        <w:gridCol w:w="1260"/>
      </w:tblGrid>
      <w:tr w:rsidR="00B122F6" w:rsidTr="00C73F46">
        <w:tc>
          <w:tcPr>
            <w:tcW w:w="1345" w:type="dxa"/>
          </w:tcPr>
          <w:p w:rsidR="00B122F6" w:rsidRDefault="00B122F6" w:rsidP="00C73F46">
            <w:r>
              <w:t>YES</w:t>
            </w:r>
          </w:p>
        </w:tc>
        <w:tc>
          <w:tcPr>
            <w:tcW w:w="1260" w:type="dxa"/>
            <w:shd w:val="clear" w:color="auto" w:fill="FFFFCC"/>
          </w:tcPr>
          <w:p w:rsidR="00B122F6" w:rsidRDefault="00B122F6" w:rsidP="00C73F46"/>
        </w:tc>
      </w:tr>
      <w:tr w:rsidR="00B122F6" w:rsidTr="00C73F46">
        <w:tc>
          <w:tcPr>
            <w:tcW w:w="1345" w:type="dxa"/>
          </w:tcPr>
          <w:p w:rsidR="00B122F6" w:rsidRDefault="00B122F6" w:rsidP="00C73F46">
            <w:r>
              <w:t>NO</w:t>
            </w:r>
          </w:p>
        </w:tc>
        <w:tc>
          <w:tcPr>
            <w:tcW w:w="1260" w:type="dxa"/>
            <w:shd w:val="clear" w:color="auto" w:fill="FFFFCC"/>
          </w:tcPr>
          <w:p w:rsidR="00B122F6" w:rsidRDefault="00B122F6" w:rsidP="00C73F46"/>
        </w:tc>
      </w:tr>
    </w:tbl>
    <w:p w:rsidR="00B122F6" w:rsidRDefault="00B122F6"/>
    <w:p w:rsidR="00B122F6" w:rsidRPr="00B122F6" w:rsidRDefault="00B122F6" w:rsidP="00B122F6">
      <w:pPr>
        <w:ind w:left="2880" w:hanging="2880"/>
      </w:pPr>
      <w:r w:rsidRPr="00B122F6">
        <w:rPr>
          <w:b/>
        </w:rPr>
        <w:t>Payment Terms</w:t>
      </w:r>
      <w:r>
        <w:tab/>
      </w:r>
      <w:r w:rsidRPr="00B122F6">
        <w:t>Monthly invoicing</w:t>
      </w:r>
    </w:p>
    <w:p w:rsidR="00B122F6" w:rsidRPr="00B122F6" w:rsidRDefault="00B122F6" w:rsidP="00B122F6">
      <w:pPr>
        <w:ind w:left="2880"/>
      </w:pPr>
      <w:r w:rsidRPr="00B122F6">
        <w:t>Payment made in arrears</w:t>
      </w:r>
    </w:p>
    <w:p w:rsidR="00B122F6" w:rsidRPr="00B122F6" w:rsidRDefault="00B122F6" w:rsidP="00B122F6">
      <w:pPr>
        <w:ind w:left="2880"/>
      </w:pPr>
      <w:r w:rsidRPr="00B122F6">
        <w:t>Payment made direct deposit</w:t>
      </w:r>
    </w:p>
    <w:tbl>
      <w:tblPr>
        <w:tblStyle w:val="TableGrid"/>
        <w:tblW w:w="0" w:type="auto"/>
        <w:tblLook w:val="04A0" w:firstRow="1" w:lastRow="0" w:firstColumn="1" w:lastColumn="0" w:noHBand="0" w:noVBand="1"/>
      </w:tblPr>
      <w:tblGrid>
        <w:gridCol w:w="1345"/>
        <w:gridCol w:w="1260"/>
      </w:tblGrid>
      <w:tr w:rsidR="00B122F6" w:rsidTr="00C73F46">
        <w:tc>
          <w:tcPr>
            <w:tcW w:w="1345" w:type="dxa"/>
          </w:tcPr>
          <w:p w:rsidR="00B122F6" w:rsidRDefault="00B122F6" w:rsidP="00C73F46">
            <w:r>
              <w:t>YES</w:t>
            </w:r>
          </w:p>
        </w:tc>
        <w:tc>
          <w:tcPr>
            <w:tcW w:w="1260" w:type="dxa"/>
            <w:shd w:val="clear" w:color="auto" w:fill="FFFFCC"/>
          </w:tcPr>
          <w:p w:rsidR="00B122F6" w:rsidRDefault="00B122F6" w:rsidP="00C73F46"/>
        </w:tc>
      </w:tr>
      <w:tr w:rsidR="00B122F6" w:rsidTr="00C73F46">
        <w:tc>
          <w:tcPr>
            <w:tcW w:w="1345" w:type="dxa"/>
          </w:tcPr>
          <w:p w:rsidR="00B122F6" w:rsidRDefault="00B122F6" w:rsidP="00C73F46">
            <w:r>
              <w:t>NO</w:t>
            </w:r>
          </w:p>
        </w:tc>
        <w:tc>
          <w:tcPr>
            <w:tcW w:w="1260" w:type="dxa"/>
            <w:shd w:val="clear" w:color="auto" w:fill="FFFFCC"/>
          </w:tcPr>
          <w:p w:rsidR="00B122F6" w:rsidRDefault="00B122F6" w:rsidP="00C73F46"/>
        </w:tc>
      </w:tr>
    </w:tbl>
    <w:p w:rsidR="001553C5" w:rsidRDefault="001553C5"/>
    <w:p w:rsidR="00B122F6" w:rsidRDefault="00B122F6" w:rsidP="00B122F6">
      <w:pPr>
        <w:ind w:left="2880" w:hanging="2880"/>
      </w:pPr>
      <w:r w:rsidRPr="00B122F6">
        <w:rPr>
          <w:b/>
        </w:rPr>
        <w:t>Confidentiality</w:t>
      </w:r>
      <w:r>
        <w:tab/>
        <w:t xml:space="preserve">ISP and vendor shall both identify points of contract (POC) for technical and logistical matters. </w:t>
      </w:r>
    </w:p>
    <w:p w:rsidR="00B122F6" w:rsidRDefault="00B122F6" w:rsidP="00B122F6">
      <w:pPr>
        <w:ind w:left="2880"/>
      </w:pPr>
      <w:r>
        <w:t xml:space="preserve">Case records shall be considered confidential. </w:t>
      </w:r>
    </w:p>
    <w:p w:rsidR="00B122F6" w:rsidRDefault="00B122F6" w:rsidP="00B122F6">
      <w:pPr>
        <w:ind w:left="2880"/>
      </w:pPr>
      <w:r>
        <w:t xml:space="preserve">Case related information may be communicated to the ISP, submitting agency, or the prosecuting attorney of record. </w:t>
      </w:r>
    </w:p>
    <w:tbl>
      <w:tblPr>
        <w:tblStyle w:val="TableGrid"/>
        <w:tblW w:w="0" w:type="auto"/>
        <w:tblLook w:val="04A0" w:firstRow="1" w:lastRow="0" w:firstColumn="1" w:lastColumn="0" w:noHBand="0" w:noVBand="1"/>
      </w:tblPr>
      <w:tblGrid>
        <w:gridCol w:w="1345"/>
        <w:gridCol w:w="1260"/>
      </w:tblGrid>
      <w:tr w:rsidR="00B122F6" w:rsidTr="00C73F46">
        <w:tc>
          <w:tcPr>
            <w:tcW w:w="1345" w:type="dxa"/>
          </w:tcPr>
          <w:p w:rsidR="00B122F6" w:rsidRDefault="00B122F6" w:rsidP="00C73F46">
            <w:r>
              <w:t>YES</w:t>
            </w:r>
          </w:p>
        </w:tc>
        <w:tc>
          <w:tcPr>
            <w:tcW w:w="1260" w:type="dxa"/>
            <w:shd w:val="clear" w:color="auto" w:fill="FFFFCC"/>
          </w:tcPr>
          <w:p w:rsidR="00B122F6" w:rsidRDefault="00B122F6" w:rsidP="00C73F46"/>
        </w:tc>
      </w:tr>
      <w:tr w:rsidR="00B122F6" w:rsidTr="00C73F46">
        <w:tc>
          <w:tcPr>
            <w:tcW w:w="1345" w:type="dxa"/>
          </w:tcPr>
          <w:p w:rsidR="00B122F6" w:rsidRDefault="00B122F6" w:rsidP="00C73F46">
            <w:r>
              <w:t>NO</w:t>
            </w:r>
          </w:p>
        </w:tc>
        <w:tc>
          <w:tcPr>
            <w:tcW w:w="1260" w:type="dxa"/>
            <w:shd w:val="clear" w:color="auto" w:fill="FFFFCC"/>
          </w:tcPr>
          <w:p w:rsidR="00B122F6" w:rsidRDefault="00B122F6" w:rsidP="00C73F46"/>
        </w:tc>
      </w:tr>
    </w:tbl>
    <w:p w:rsidR="00B122F6" w:rsidRDefault="00B122F6"/>
    <w:p w:rsidR="00B122F6" w:rsidRPr="00C67D43" w:rsidRDefault="00C67D43">
      <w:pPr>
        <w:rPr>
          <w:b/>
        </w:rPr>
      </w:pPr>
      <w:r w:rsidRPr="00C67D43">
        <w:rPr>
          <w:b/>
        </w:rPr>
        <w:t>Technical Proposal</w:t>
      </w:r>
    </w:p>
    <w:p w:rsidR="00C519FE" w:rsidRPr="004D557C" w:rsidRDefault="00C519FE">
      <w:pPr>
        <w:rPr>
          <w:b/>
        </w:rPr>
      </w:pPr>
      <w:r w:rsidRPr="004D557C">
        <w:rPr>
          <w:b/>
        </w:rPr>
        <w:t>2.4.1 – Testing</w:t>
      </w:r>
    </w:p>
    <w:p w:rsidR="00C519FE" w:rsidRDefault="00C519FE" w:rsidP="00B122F6">
      <w:pPr>
        <w:shd w:val="clear" w:color="auto" w:fill="FFFFCC"/>
      </w:pPr>
      <w:r w:rsidRPr="00C67D43">
        <w:t xml:space="preserve">Please detail how your company will provide </w:t>
      </w:r>
      <w:r w:rsidR="004D557C" w:rsidRPr="00C67D43">
        <w:t>all testing requirement described</w:t>
      </w:r>
      <w:r w:rsidR="006E4B10" w:rsidRPr="00C67D43">
        <w:t xml:space="preserve"> in Attachment G, Scope of Work.</w:t>
      </w:r>
      <w:r w:rsidR="006E4B10">
        <w:t xml:space="preserve"> </w:t>
      </w:r>
    </w:p>
    <w:tbl>
      <w:tblPr>
        <w:tblStyle w:val="TableGrid"/>
        <w:tblW w:w="0" w:type="auto"/>
        <w:tblLook w:val="04A0" w:firstRow="1" w:lastRow="0" w:firstColumn="1" w:lastColumn="0" w:noHBand="0" w:noVBand="1"/>
      </w:tblPr>
      <w:tblGrid>
        <w:gridCol w:w="9350"/>
      </w:tblGrid>
      <w:tr w:rsidR="006E4B10" w:rsidTr="004D557C">
        <w:tc>
          <w:tcPr>
            <w:tcW w:w="9350" w:type="dxa"/>
            <w:shd w:val="clear" w:color="auto" w:fill="FFFF99"/>
          </w:tcPr>
          <w:p w:rsidR="006E4B10" w:rsidRDefault="006E4B10"/>
        </w:tc>
      </w:tr>
    </w:tbl>
    <w:p w:rsidR="006E4B10" w:rsidRDefault="006E4B10"/>
    <w:p w:rsidR="006E4B10" w:rsidRPr="004D557C" w:rsidRDefault="006E4B10">
      <w:pPr>
        <w:rPr>
          <w:b/>
        </w:rPr>
      </w:pPr>
      <w:r w:rsidRPr="004D557C">
        <w:rPr>
          <w:b/>
        </w:rPr>
        <w:t>2.4.2 – Submission of Specimen</w:t>
      </w:r>
    </w:p>
    <w:p w:rsidR="006E4B10" w:rsidRDefault="006E4B10">
      <w:r>
        <w:t>Please detail how your company will provide all the submission o</w:t>
      </w:r>
      <w:r w:rsidR="004D557C">
        <w:t xml:space="preserve">f specimen requirements as described </w:t>
      </w:r>
      <w:r>
        <w:t xml:space="preserve">in Attachment G, Scope of Work. </w:t>
      </w:r>
    </w:p>
    <w:tbl>
      <w:tblPr>
        <w:tblStyle w:val="TableGrid"/>
        <w:tblW w:w="0" w:type="auto"/>
        <w:tblLook w:val="04A0" w:firstRow="1" w:lastRow="0" w:firstColumn="1" w:lastColumn="0" w:noHBand="0" w:noVBand="1"/>
      </w:tblPr>
      <w:tblGrid>
        <w:gridCol w:w="9350"/>
      </w:tblGrid>
      <w:tr w:rsidR="006E4B10" w:rsidTr="004D557C">
        <w:tc>
          <w:tcPr>
            <w:tcW w:w="9350" w:type="dxa"/>
            <w:shd w:val="clear" w:color="auto" w:fill="FFFF99"/>
          </w:tcPr>
          <w:p w:rsidR="006E4B10" w:rsidRDefault="006E4B10"/>
        </w:tc>
      </w:tr>
    </w:tbl>
    <w:p w:rsidR="006E4B10" w:rsidRDefault="006E4B10"/>
    <w:p w:rsidR="006E4B10" w:rsidRPr="001553C5" w:rsidRDefault="006E4B10">
      <w:pPr>
        <w:rPr>
          <w:b/>
        </w:rPr>
      </w:pPr>
      <w:r w:rsidRPr="001553C5">
        <w:rPr>
          <w:b/>
        </w:rPr>
        <w:t>2.4.3 – Storage</w:t>
      </w:r>
    </w:p>
    <w:p w:rsidR="006E4B10" w:rsidRDefault="006E4B10">
      <w:r>
        <w:t>Please detail how your company will provide the</w:t>
      </w:r>
      <w:r w:rsidR="004D557C">
        <w:t xml:space="preserve"> storage requirements as described </w:t>
      </w:r>
      <w:r>
        <w:t xml:space="preserve">in Attachment G, Scope of Work. </w:t>
      </w:r>
    </w:p>
    <w:tbl>
      <w:tblPr>
        <w:tblStyle w:val="TableGrid"/>
        <w:tblW w:w="0" w:type="auto"/>
        <w:tblLook w:val="04A0" w:firstRow="1" w:lastRow="0" w:firstColumn="1" w:lastColumn="0" w:noHBand="0" w:noVBand="1"/>
      </w:tblPr>
      <w:tblGrid>
        <w:gridCol w:w="9350"/>
      </w:tblGrid>
      <w:tr w:rsidR="006E4B10" w:rsidTr="004D557C">
        <w:tc>
          <w:tcPr>
            <w:tcW w:w="9350" w:type="dxa"/>
            <w:shd w:val="clear" w:color="auto" w:fill="FFFF99"/>
          </w:tcPr>
          <w:p w:rsidR="006E4B10" w:rsidRDefault="006E4B10"/>
        </w:tc>
      </w:tr>
    </w:tbl>
    <w:p w:rsidR="006E4B10" w:rsidRDefault="006E4B10"/>
    <w:p w:rsidR="006E4B10" w:rsidRPr="001553C5" w:rsidRDefault="006E4B10">
      <w:pPr>
        <w:rPr>
          <w:b/>
        </w:rPr>
      </w:pPr>
      <w:r w:rsidRPr="001553C5">
        <w:rPr>
          <w:b/>
        </w:rPr>
        <w:lastRenderedPageBreak/>
        <w:t>2.4.4 – Reporting</w:t>
      </w:r>
    </w:p>
    <w:p w:rsidR="006E4B10" w:rsidRDefault="006E4B10">
      <w:r>
        <w:t>Please detail how your company will provide reporting requirements</w:t>
      </w:r>
      <w:r w:rsidR="004D557C">
        <w:t xml:space="preserve"> as described</w:t>
      </w:r>
      <w:r>
        <w:t xml:space="preserve"> in Attachment G, Scope of Work. </w:t>
      </w:r>
    </w:p>
    <w:tbl>
      <w:tblPr>
        <w:tblStyle w:val="TableGrid"/>
        <w:tblW w:w="0" w:type="auto"/>
        <w:tblLook w:val="04A0" w:firstRow="1" w:lastRow="0" w:firstColumn="1" w:lastColumn="0" w:noHBand="0" w:noVBand="1"/>
      </w:tblPr>
      <w:tblGrid>
        <w:gridCol w:w="9350"/>
      </w:tblGrid>
      <w:tr w:rsidR="006E4B10" w:rsidTr="004D557C">
        <w:tc>
          <w:tcPr>
            <w:tcW w:w="9350" w:type="dxa"/>
            <w:shd w:val="clear" w:color="auto" w:fill="FFFF99"/>
          </w:tcPr>
          <w:p w:rsidR="006E4B10" w:rsidRDefault="006E4B10"/>
        </w:tc>
      </w:tr>
    </w:tbl>
    <w:p w:rsidR="006E4B10" w:rsidRDefault="006E4B10"/>
    <w:p w:rsidR="006E4B10" w:rsidRPr="001553C5" w:rsidRDefault="006E4B10">
      <w:pPr>
        <w:rPr>
          <w:b/>
        </w:rPr>
      </w:pPr>
      <w:r w:rsidRPr="001553C5">
        <w:rPr>
          <w:b/>
        </w:rPr>
        <w:t>2.4.5 – Testimony</w:t>
      </w:r>
    </w:p>
    <w:p w:rsidR="006E4B10" w:rsidRDefault="006E4B10">
      <w:r>
        <w:t xml:space="preserve">Please provide how your company will provide the testimony requirements as described in Attachment G, Scope of Work. </w:t>
      </w:r>
    </w:p>
    <w:tbl>
      <w:tblPr>
        <w:tblStyle w:val="TableGrid"/>
        <w:tblW w:w="0" w:type="auto"/>
        <w:tblLook w:val="04A0" w:firstRow="1" w:lastRow="0" w:firstColumn="1" w:lastColumn="0" w:noHBand="0" w:noVBand="1"/>
      </w:tblPr>
      <w:tblGrid>
        <w:gridCol w:w="9350"/>
      </w:tblGrid>
      <w:tr w:rsidR="004D557C" w:rsidTr="004D557C">
        <w:tc>
          <w:tcPr>
            <w:tcW w:w="9350" w:type="dxa"/>
            <w:shd w:val="clear" w:color="auto" w:fill="FFFF99"/>
          </w:tcPr>
          <w:p w:rsidR="004D557C" w:rsidRDefault="004D557C"/>
        </w:tc>
      </w:tr>
    </w:tbl>
    <w:p w:rsidR="006E4B10" w:rsidRDefault="006E4B10"/>
    <w:p w:rsidR="006E4B10" w:rsidRPr="001553C5" w:rsidRDefault="006E4B10">
      <w:pPr>
        <w:rPr>
          <w:b/>
        </w:rPr>
      </w:pPr>
      <w:r w:rsidRPr="001553C5">
        <w:rPr>
          <w:b/>
        </w:rPr>
        <w:t xml:space="preserve">2.4.6 – Confidentiality </w:t>
      </w:r>
    </w:p>
    <w:p w:rsidR="004D557C" w:rsidRDefault="006E4B10">
      <w:r>
        <w:t xml:space="preserve">Please provide how your company will provide </w:t>
      </w:r>
      <w:r w:rsidR="004D557C">
        <w:t xml:space="preserve">the Confidentiality requirements as described in Attachment G, Scope of Work. </w:t>
      </w:r>
    </w:p>
    <w:tbl>
      <w:tblPr>
        <w:tblStyle w:val="TableGrid"/>
        <w:tblW w:w="0" w:type="auto"/>
        <w:tblLook w:val="04A0" w:firstRow="1" w:lastRow="0" w:firstColumn="1" w:lastColumn="0" w:noHBand="0" w:noVBand="1"/>
      </w:tblPr>
      <w:tblGrid>
        <w:gridCol w:w="9350"/>
      </w:tblGrid>
      <w:tr w:rsidR="004D557C" w:rsidTr="004D557C">
        <w:tc>
          <w:tcPr>
            <w:tcW w:w="9350" w:type="dxa"/>
            <w:shd w:val="clear" w:color="auto" w:fill="FFFF99"/>
          </w:tcPr>
          <w:p w:rsidR="004D557C" w:rsidRDefault="004D557C"/>
        </w:tc>
      </w:tr>
    </w:tbl>
    <w:p w:rsidR="004D557C" w:rsidRDefault="004D557C"/>
    <w:p w:rsidR="004D557C" w:rsidRDefault="004D557C"/>
    <w:sectPr w:rsidR="004D55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9FE"/>
    <w:rsid w:val="001553C5"/>
    <w:rsid w:val="001E5248"/>
    <w:rsid w:val="004D557C"/>
    <w:rsid w:val="006E4B10"/>
    <w:rsid w:val="00832DF7"/>
    <w:rsid w:val="00AD2C8F"/>
    <w:rsid w:val="00B122F6"/>
    <w:rsid w:val="00C519FE"/>
    <w:rsid w:val="00C67D43"/>
    <w:rsid w:val="00F60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FC1398-5A0E-4F19-8905-AF1DC1ABF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9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4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4</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5198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Deaton, Teresa</dc:creator>
  <cp:keywords/>
  <dc:description/>
  <cp:lastModifiedBy>Deaton, Teresa</cp:lastModifiedBy>
  <cp:revision>6</cp:revision>
  <dcterms:created xsi:type="dcterms:W3CDTF">2019-04-15T14:59:00Z</dcterms:created>
  <dcterms:modified xsi:type="dcterms:W3CDTF">2019-05-02T14:48:00Z</dcterms:modified>
</cp:coreProperties>
</file>