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7D3" w:rsidRDefault="00DD3FD0" w:rsidP="00DD3FD0">
      <w:pPr>
        <w:jc w:val="center"/>
        <w:rPr>
          <w:b/>
          <w:sz w:val="32"/>
          <w:szCs w:val="32"/>
        </w:rPr>
      </w:pPr>
      <w:bookmarkStart w:id="0" w:name="_GoBack"/>
      <w:bookmarkEnd w:id="0"/>
      <w:r w:rsidRPr="00DD3FD0">
        <w:rPr>
          <w:b/>
          <w:sz w:val="32"/>
          <w:szCs w:val="32"/>
        </w:rPr>
        <w:t>RFP 19-112</w:t>
      </w:r>
      <w:r>
        <w:rPr>
          <w:b/>
          <w:sz w:val="32"/>
          <w:szCs w:val="32"/>
        </w:rPr>
        <w:t xml:space="preserve">, </w:t>
      </w:r>
      <w:r w:rsidR="006F77D3">
        <w:rPr>
          <w:b/>
          <w:sz w:val="32"/>
          <w:szCs w:val="32"/>
        </w:rPr>
        <w:t>Attachment J</w:t>
      </w:r>
    </w:p>
    <w:p w:rsidR="00BB3BDB" w:rsidRDefault="00BB3BDB" w:rsidP="00BB3BDB">
      <w:pPr>
        <w:jc w:val="center"/>
        <w:rPr>
          <w:b/>
          <w:sz w:val="32"/>
          <w:szCs w:val="32"/>
        </w:rPr>
      </w:pPr>
      <w:r w:rsidRPr="001837B5">
        <w:rPr>
          <w:b/>
          <w:sz w:val="32"/>
          <w:szCs w:val="32"/>
        </w:rPr>
        <w:t>Eligibility Criteria, Enrollment and Effective Date</w:t>
      </w:r>
    </w:p>
    <w:p w:rsidR="00BB3BDB" w:rsidRPr="001837B5" w:rsidRDefault="00DD3FD0" w:rsidP="00BB3BDB">
      <w:pPr>
        <w:jc w:val="center"/>
        <w:rPr>
          <w:b/>
          <w:sz w:val="32"/>
          <w:szCs w:val="32"/>
        </w:rPr>
      </w:pPr>
      <w:r>
        <w:rPr>
          <w:b/>
          <w:sz w:val="32"/>
          <w:szCs w:val="32"/>
        </w:rPr>
        <w:t xml:space="preserve"> Provisions for the State Employee P</w:t>
      </w:r>
      <w:r w:rsidR="00BB3BDB" w:rsidRPr="001837B5">
        <w:rPr>
          <w:b/>
          <w:sz w:val="32"/>
          <w:szCs w:val="32"/>
        </w:rPr>
        <w:t>lans</w:t>
      </w:r>
    </w:p>
    <w:p w:rsidR="00BB3BDB" w:rsidRDefault="00BB3BDB" w:rsidP="00BB3BDB">
      <w:pPr>
        <w:spacing w:line="240" w:lineRule="exact"/>
        <w:ind w:left="1440" w:hanging="720"/>
        <w:jc w:val="both"/>
        <w:rPr>
          <w:sz w:val="24"/>
          <w:szCs w:val="24"/>
        </w:rPr>
      </w:pPr>
    </w:p>
    <w:p w:rsidR="00BB3BDB" w:rsidRDefault="00BB3BDB" w:rsidP="00BB3BDB">
      <w:pPr>
        <w:numPr>
          <w:ilvl w:val="0"/>
          <w:numId w:val="2"/>
        </w:numPr>
        <w:spacing w:line="240" w:lineRule="exact"/>
        <w:jc w:val="both"/>
        <w:rPr>
          <w:sz w:val="24"/>
          <w:szCs w:val="24"/>
        </w:rPr>
      </w:pPr>
      <w:r w:rsidRPr="0005158D">
        <w:rPr>
          <w:sz w:val="24"/>
          <w:szCs w:val="24"/>
        </w:rPr>
        <w:t>Eligibility</w:t>
      </w:r>
      <w:r>
        <w:rPr>
          <w:sz w:val="24"/>
          <w:szCs w:val="24"/>
        </w:rPr>
        <w:t xml:space="preserve"> </w:t>
      </w:r>
    </w:p>
    <w:p w:rsidR="00BB3BDB" w:rsidRPr="0005158D" w:rsidRDefault="00BB3BDB" w:rsidP="00BB3BDB">
      <w:pPr>
        <w:spacing w:line="240" w:lineRule="exact"/>
        <w:ind w:left="1440" w:hanging="720"/>
        <w:jc w:val="both"/>
        <w:rPr>
          <w:sz w:val="24"/>
          <w:szCs w:val="24"/>
        </w:rPr>
      </w:pPr>
    </w:p>
    <w:p w:rsidR="00BB3BDB" w:rsidRPr="0005158D" w:rsidRDefault="00BB3BDB" w:rsidP="00BB3BDB">
      <w:pPr>
        <w:spacing w:line="240" w:lineRule="exact"/>
        <w:ind w:left="360"/>
        <w:jc w:val="both"/>
        <w:rPr>
          <w:sz w:val="24"/>
          <w:szCs w:val="24"/>
        </w:rPr>
      </w:pPr>
      <w:r>
        <w:rPr>
          <w:sz w:val="24"/>
          <w:szCs w:val="24"/>
        </w:rPr>
        <w:t xml:space="preserve">For the State employee plans, “eligibility” is defined as:  </w:t>
      </w:r>
    </w:p>
    <w:p w:rsidR="00BB3BDB" w:rsidRPr="0005158D" w:rsidRDefault="00BB3BDB" w:rsidP="00BB3BDB">
      <w:pPr>
        <w:numPr>
          <w:ilvl w:val="0"/>
          <w:numId w:val="3"/>
        </w:numPr>
        <w:jc w:val="both"/>
        <w:rPr>
          <w:sz w:val="24"/>
        </w:rPr>
      </w:pPr>
      <w:r w:rsidRPr="0005158D">
        <w:rPr>
          <w:sz w:val="24"/>
        </w:rPr>
        <w:t xml:space="preserve">All active full-time </w:t>
      </w:r>
      <w:r>
        <w:rPr>
          <w:sz w:val="24"/>
        </w:rPr>
        <w:t xml:space="preserve">state </w:t>
      </w:r>
      <w:r w:rsidRPr="0005158D">
        <w:rPr>
          <w:sz w:val="24"/>
        </w:rPr>
        <w:t>employees and their eligible “dependents”.</w:t>
      </w:r>
      <w:r w:rsidRPr="00186BF1">
        <w:t xml:space="preserve"> </w:t>
      </w:r>
      <w:r w:rsidRPr="00186BF1">
        <w:rPr>
          <w:sz w:val="24"/>
          <w:szCs w:val="24"/>
        </w:rPr>
        <w:t>Employees of</w:t>
      </w:r>
      <w:r w:rsidRPr="00186BF1">
        <w:rPr>
          <w:sz w:val="24"/>
          <w:szCs w:val="24"/>
          <w:u w:val="single"/>
        </w:rPr>
        <w:t xml:space="preserve"> </w:t>
      </w:r>
      <w:r w:rsidRPr="00186BF1">
        <w:rPr>
          <w:sz w:val="24"/>
          <w:szCs w:val="24"/>
        </w:rPr>
        <w:t>the Senate or House of Representatives who regularly work “full-time”, as “full-time” is determined by the President Pro Tempore or Speaker of the House.</w:t>
      </w:r>
    </w:p>
    <w:p w:rsidR="00BB3BDB" w:rsidRPr="0005158D" w:rsidRDefault="00BB3BDB" w:rsidP="00BB3BDB">
      <w:pPr>
        <w:numPr>
          <w:ilvl w:val="0"/>
          <w:numId w:val="3"/>
        </w:numPr>
        <w:jc w:val="both"/>
        <w:rPr>
          <w:sz w:val="24"/>
        </w:rPr>
      </w:pPr>
      <w:r w:rsidRPr="0005158D">
        <w:rPr>
          <w:sz w:val="24"/>
        </w:rPr>
        <w:t>All appointed or elected officials and their eligible “dependents”.</w:t>
      </w:r>
    </w:p>
    <w:p w:rsidR="00BB3BDB" w:rsidRPr="0005158D" w:rsidRDefault="00BB3BDB" w:rsidP="00BB3BDB">
      <w:pPr>
        <w:numPr>
          <w:ilvl w:val="0"/>
          <w:numId w:val="3"/>
        </w:numPr>
        <w:jc w:val="both"/>
        <w:rPr>
          <w:sz w:val="24"/>
        </w:rPr>
      </w:pPr>
      <w:r w:rsidRPr="0005158D">
        <w:rPr>
          <w:sz w:val="24"/>
        </w:rPr>
        <w:t>Employees eligible under the Short and Long Term Disability Program remain eligible during the period of disability.</w:t>
      </w:r>
    </w:p>
    <w:p w:rsidR="00BB3BDB" w:rsidRPr="0005158D" w:rsidRDefault="00BB3BDB" w:rsidP="00BB3BDB">
      <w:pPr>
        <w:numPr>
          <w:ilvl w:val="0"/>
          <w:numId w:val="3"/>
        </w:numPr>
        <w:jc w:val="both"/>
        <w:rPr>
          <w:sz w:val="24"/>
        </w:rPr>
      </w:pPr>
      <w:r w:rsidRPr="0005158D">
        <w:rPr>
          <w:sz w:val="24"/>
        </w:rPr>
        <w:t>“Dependent” means:</w:t>
      </w:r>
    </w:p>
    <w:p w:rsidR="00BB3BDB" w:rsidRDefault="00BB3BDB" w:rsidP="00BB3BDB">
      <w:pPr>
        <w:numPr>
          <w:ilvl w:val="0"/>
          <w:numId w:val="1"/>
        </w:numPr>
        <w:jc w:val="both"/>
        <w:rPr>
          <w:sz w:val="24"/>
        </w:rPr>
      </w:pPr>
      <w:r w:rsidRPr="0005158D">
        <w:rPr>
          <w:sz w:val="24"/>
        </w:rPr>
        <w:t>Spouse of an employee;</w:t>
      </w:r>
    </w:p>
    <w:p w:rsidR="005A32C5" w:rsidRPr="005A32C5" w:rsidRDefault="00BB3BDB" w:rsidP="00BB3BDB">
      <w:pPr>
        <w:numPr>
          <w:ilvl w:val="0"/>
          <w:numId w:val="1"/>
        </w:numPr>
        <w:jc w:val="both"/>
        <w:rPr>
          <w:sz w:val="24"/>
        </w:rPr>
      </w:pPr>
      <w:r w:rsidRPr="007711C9">
        <w:rPr>
          <w:sz w:val="24"/>
          <w:szCs w:val="24"/>
        </w:rPr>
        <w:t xml:space="preserve">Any children, step-children, foster children, legally adopted children of the employee or spouse, or children </w:t>
      </w:r>
      <w:r w:rsidR="005A32C5">
        <w:rPr>
          <w:sz w:val="24"/>
          <w:szCs w:val="24"/>
        </w:rPr>
        <w:t xml:space="preserve">who reside in </w:t>
      </w:r>
      <w:r w:rsidRPr="007711C9">
        <w:rPr>
          <w:sz w:val="24"/>
          <w:szCs w:val="24"/>
        </w:rPr>
        <w:t>the employee</w:t>
      </w:r>
      <w:r w:rsidR="005A32C5">
        <w:rPr>
          <w:sz w:val="24"/>
          <w:szCs w:val="24"/>
        </w:rPr>
        <w:t>’s home for whom the employee</w:t>
      </w:r>
      <w:r w:rsidRPr="007711C9">
        <w:rPr>
          <w:sz w:val="24"/>
          <w:szCs w:val="24"/>
        </w:rPr>
        <w:t xml:space="preserve"> or spouse has been appointed legal guardian</w:t>
      </w:r>
      <w:r w:rsidR="005A32C5" w:rsidRPr="005A32C5">
        <w:rPr>
          <w:sz w:val="24"/>
          <w:szCs w:val="24"/>
        </w:rPr>
        <w:t xml:space="preserve"> </w:t>
      </w:r>
      <w:r w:rsidRPr="007711C9">
        <w:rPr>
          <w:sz w:val="24"/>
          <w:szCs w:val="24"/>
        </w:rPr>
        <w:t xml:space="preserve">or awarded legal custody by a court, under the age of </w:t>
      </w:r>
      <w:r w:rsidR="005A32C5">
        <w:rPr>
          <w:sz w:val="24"/>
          <w:szCs w:val="24"/>
        </w:rPr>
        <w:t>twenty-six (</w:t>
      </w:r>
      <w:r w:rsidRPr="007711C9">
        <w:rPr>
          <w:sz w:val="24"/>
          <w:szCs w:val="24"/>
        </w:rPr>
        <w:t>26</w:t>
      </w:r>
      <w:r w:rsidR="005A32C5">
        <w:rPr>
          <w:sz w:val="24"/>
          <w:szCs w:val="24"/>
        </w:rPr>
        <w:t>)</w:t>
      </w:r>
      <w:r w:rsidRPr="007711C9">
        <w:rPr>
          <w:sz w:val="24"/>
          <w:szCs w:val="24"/>
        </w:rPr>
        <w:t xml:space="preserve">.  Such child shall remain a “dependent” </w:t>
      </w:r>
      <w:r w:rsidR="005A32C5">
        <w:rPr>
          <w:sz w:val="24"/>
          <w:szCs w:val="24"/>
        </w:rPr>
        <w:t>for the entire calendar month during which he or she attains age twenty-six (26).</w:t>
      </w:r>
    </w:p>
    <w:p w:rsidR="00BB3BDB" w:rsidRPr="007711C9" w:rsidRDefault="005A32C5" w:rsidP="005A32C5">
      <w:pPr>
        <w:ind w:left="1440"/>
        <w:jc w:val="both"/>
        <w:rPr>
          <w:sz w:val="24"/>
        </w:rPr>
      </w:pPr>
      <w:r>
        <w:rPr>
          <w:sz w:val="24"/>
          <w:szCs w:val="24"/>
        </w:rPr>
        <w:t xml:space="preserve">      In the event a child;</w:t>
      </w:r>
    </w:p>
    <w:p w:rsidR="005A32C5" w:rsidRDefault="005A32C5" w:rsidP="005A32C5">
      <w:pPr>
        <w:pStyle w:val="NormalWeb"/>
        <w:ind w:left="2160"/>
        <w:rPr>
          <w:rFonts w:ascii="Open Sans" w:hAnsi="Open Sans"/>
          <w:color w:val="0A0A0A"/>
          <w:lang w:val="en"/>
        </w:rPr>
      </w:pPr>
      <w:r>
        <w:rPr>
          <w:rFonts w:ascii="Open Sans" w:hAnsi="Open Sans"/>
          <w:color w:val="0A0A0A"/>
          <w:lang w:val="en"/>
        </w:rPr>
        <w:t>i.) was defined as a “dependent”, prior to age 19, and</w:t>
      </w:r>
      <w:r>
        <w:rPr>
          <w:rFonts w:ascii="Open Sans" w:hAnsi="Open Sans"/>
          <w:color w:val="0A0A0A"/>
          <w:lang w:val="en"/>
        </w:rPr>
        <w:br/>
        <w:t>ii.) meets the following disability criteria, prior to age 19:</w:t>
      </w:r>
    </w:p>
    <w:p w:rsidR="005A32C5" w:rsidRDefault="005A32C5" w:rsidP="005A32C5">
      <w:pPr>
        <w:pStyle w:val="NormalWeb"/>
        <w:tabs>
          <w:tab w:val="left" w:pos="3060"/>
        </w:tabs>
        <w:ind w:left="2970" w:hanging="450"/>
        <w:rPr>
          <w:rFonts w:ascii="Open Sans" w:hAnsi="Open Sans"/>
          <w:color w:val="0A0A0A"/>
          <w:lang w:val="en"/>
        </w:rPr>
      </w:pPr>
      <w:r>
        <w:rPr>
          <w:rFonts w:ascii="Open Sans" w:hAnsi="Open Sans"/>
          <w:color w:val="0A0A0A"/>
          <w:lang w:val="en"/>
        </w:rPr>
        <w:t>(I)   is incapable of self-sustaining employment by reason of mental or   physical disability,</w:t>
      </w:r>
    </w:p>
    <w:p w:rsidR="005A32C5" w:rsidRDefault="005A32C5" w:rsidP="005A32C5">
      <w:pPr>
        <w:pStyle w:val="NormalWeb"/>
        <w:ind w:left="2790" w:hanging="270"/>
        <w:rPr>
          <w:rFonts w:ascii="Open Sans" w:hAnsi="Open Sans"/>
          <w:color w:val="0A0A0A"/>
          <w:lang w:val="en"/>
        </w:rPr>
      </w:pPr>
      <w:r>
        <w:rPr>
          <w:rFonts w:ascii="Open Sans" w:hAnsi="Open Sans"/>
          <w:color w:val="0A0A0A"/>
          <w:lang w:val="en"/>
        </w:rPr>
        <w:t>(II)  resides with the employee at least six (6) months of the year, and</w:t>
      </w:r>
    </w:p>
    <w:p w:rsidR="005A32C5" w:rsidRDefault="005A32C5" w:rsidP="005A32C5">
      <w:pPr>
        <w:pStyle w:val="NormalWeb"/>
        <w:ind w:left="2790" w:hanging="270"/>
        <w:rPr>
          <w:rFonts w:ascii="Open Sans" w:hAnsi="Open Sans"/>
          <w:color w:val="0A0A0A"/>
          <w:lang w:val="en"/>
        </w:rPr>
      </w:pPr>
      <w:r>
        <w:rPr>
          <w:rFonts w:ascii="Open Sans" w:hAnsi="Open Sans"/>
          <w:color w:val="0A0A0A"/>
          <w:lang w:val="en"/>
        </w:rPr>
        <w:t>(III) receives 50% of his or her financial support from the parent</w:t>
      </w:r>
    </w:p>
    <w:p w:rsidR="00BB3BDB" w:rsidRPr="005A32C5" w:rsidRDefault="005A32C5" w:rsidP="005A32C5">
      <w:pPr>
        <w:pStyle w:val="NormalWeb"/>
        <w:ind w:left="1800"/>
        <w:rPr>
          <w:rFonts w:ascii="Open Sans" w:hAnsi="Open Sans"/>
          <w:color w:val="0A0A0A"/>
          <w:lang w:val="en"/>
        </w:rPr>
      </w:pPr>
      <w:r>
        <w:rPr>
          <w:rFonts w:ascii="Open Sans" w:hAnsi="Open Sans"/>
          <w:color w:val="0A0A0A"/>
          <w:lang w:val="en"/>
        </w:rPr>
        <w:t>such child’s eligibility for coverage shall continue until the employee discontinues his coverage or the disability criteria is no longer met.  The employee or spouse must maintain satisfactory evidence to prove that the dependent meets the disability criteria.  Proof of disability may be required periodically after the child’s attainment of the limiting age.  Proof of a disabled dependent’s disability will be required by the XXXX b</w:t>
      </w:r>
      <w:r w:rsidR="00971162">
        <w:rPr>
          <w:rFonts w:ascii="Open Sans" w:hAnsi="Open Sans"/>
          <w:color w:val="0A0A0A"/>
          <w:lang w:val="en"/>
        </w:rPr>
        <w:t xml:space="preserve">efore a death benefit is paid. </w:t>
      </w:r>
      <w:r w:rsidR="00BB3BDB" w:rsidRPr="00A3549C">
        <w:t xml:space="preserve"> </w:t>
      </w:r>
    </w:p>
    <w:p w:rsidR="00BB3BDB" w:rsidRPr="00A94A64" w:rsidRDefault="00BB3BDB" w:rsidP="00A94A64">
      <w:pPr>
        <w:pStyle w:val="ListParagraph"/>
        <w:numPr>
          <w:ilvl w:val="0"/>
          <w:numId w:val="3"/>
        </w:numPr>
        <w:jc w:val="both"/>
        <w:rPr>
          <w:sz w:val="24"/>
        </w:rPr>
      </w:pPr>
      <w:r w:rsidRPr="00A94A64">
        <w:rPr>
          <w:sz w:val="24"/>
        </w:rPr>
        <w:t>Employee on a leave of absence for ninety (90) days or less and out of pay status.</w:t>
      </w:r>
    </w:p>
    <w:p w:rsidR="00BB3BDB" w:rsidRPr="0005158D" w:rsidRDefault="00BB3BDB" w:rsidP="00A94A64">
      <w:pPr>
        <w:numPr>
          <w:ilvl w:val="0"/>
          <w:numId w:val="3"/>
        </w:numPr>
        <w:jc w:val="both"/>
        <w:rPr>
          <w:sz w:val="24"/>
        </w:rPr>
      </w:pPr>
      <w:r w:rsidRPr="0005158D">
        <w:rPr>
          <w:sz w:val="24"/>
        </w:rPr>
        <w:t>An employee on family leave.</w:t>
      </w:r>
    </w:p>
    <w:p w:rsidR="00BB3BDB" w:rsidRPr="0005158D" w:rsidRDefault="00BB3BDB" w:rsidP="00A94A64">
      <w:pPr>
        <w:numPr>
          <w:ilvl w:val="0"/>
          <w:numId w:val="3"/>
        </w:numPr>
        <w:jc w:val="both"/>
        <w:rPr>
          <w:sz w:val="24"/>
        </w:rPr>
      </w:pPr>
      <w:r w:rsidRPr="0005158D">
        <w:rPr>
          <w:sz w:val="24"/>
        </w:rPr>
        <w:t>As otherwise provided by Act of the Indiana General Assembly.</w:t>
      </w:r>
    </w:p>
    <w:p w:rsidR="00BB3BDB" w:rsidRPr="0005158D" w:rsidRDefault="00BB3BDB" w:rsidP="00BB3BDB">
      <w:pPr>
        <w:tabs>
          <w:tab w:val="num" w:pos="2520"/>
        </w:tabs>
        <w:jc w:val="both"/>
        <w:rPr>
          <w:bCs/>
          <w:sz w:val="24"/>
          <w:szCs w:val="22"/>
        </w:rPr>
      </w:pPr>
    </w:p>
    <w:p w:rsidR="00BB3BDB" w:rsidRDefault="00BB3BDB" w:rsidP="00BB3BDB">
      <w:pPr>
        <w:numPr>
          <w:ilvl w:val="0"/>
          <w:numId w:val="2"/>
        </w:numPr>
        <w:spacing w:line="240" w:lineRule="exact"/>
        <w:jc w:val="both"/>
        <w:rPr>
          <w:sz w:val="24"/>
          <w:szCs w:val="24"/>
        </w:rPr>
      </w:pPr>
      <w:r w:rsidRPr="00933046">
        <w:rPr>
          <w:sz w:val="24"/>
          <w:szCs w:val="24"/>
        </w:rPr>
        <w:t>Enrollment</w:t>
      </w:r>
    </w:p>
    <w:p w:rsidR="00BB3BDB" w:rsidRPr="00933046" w:rsidRDefault="00BB3BDB" w:rsidP="00BB3BDB">
      <w:pPr>
        <w:spacing w:line="240" w:lineRule="exact"/>
        <w:jc w:val="both"/>
        <w:rPr>
          <w:sz w:val="24"/>
          <w:szCs w:val="24"/>
        </w:rPr>
      </w:pPr>
    </w:p>
    <w:p w:rsidR="00BB3BDB" w:rsidRPr="0005158D" w:rsidRDefault="00BB3BDB" w:rsidP="00BB3BDB">
      <w:pPr>
        <w:spacing w:line="240" w:lineRule="exact"/>
        <w:ind w:left="360"/>
        <w:jc w:val="both"/>
        <w:rPr>
          <w:sz w:val="24"/>
          <w:szCs w:val="24"/>
        </w:rPr>
      </w:pPr>
      <w:r>
        <w:rPr>
          <w:sz w:val="24"/>
          <w:szCs w:val="24"/>
        </w:rPr>
        <w:t xml:space="preserve">For the State employee plans, enrollment occurs as follows:  </w:t>
      </w:r>
    </w:p>
    <w:p w:rsidR="00BB3BDB" w:rsidRPr="0005158D" w:rsidRDefault="00BB3BDB" w:rsidP="00BB3BDB">
      <w:pPr>
        <w:ind w:left="1080"/>
        <w:jc w:val="both"/>
        <w:rPr>
          <w:bCs/>
          <w:sz w:val="24"/>
          <w:szCs w:val="22"/>
        </w:rPr>
      </w:pPr>
    </w:p>
    <w:p w:rsidR="00BB3BDB" w:rsidRPr="0005158D" w:rsidRDefault="00BB3BDB" w:rsidP="00BB3BDB">
      <w:pPr>
        <w:pStyle w:val="Heading9"/>
        <w:ind w:left="360" w:firstLine="360"/>
        <w:jc w:val="both"/>
        <w:rPr>
          <w:rFonts w:ascii="Times New Roman" w:hAnsi="Times New Roman"/>
          <w:b w:val="0"/>
          <w:i/>
          <w:iCs/>
          <w:u w:val="single"/>
        </w:rPr>
      </w:pPr>
      <w:r w:rsidRPr="0005158D">
        <w:rPr>
          <w:rFonts w:ascii="Times New Roman" w:hAnsi="Times New Roman"/>
          <w:b w:val="0"/>
          <w:i/>
          <w:iCs/>
          <w:u w:val="single"/>
        </w:rPr>
        <w:t xml:space="preserve">State of </w:t>
      </w:r>
      <w:smartTag w:uri="urn:schemas-microsoft-com:office:smarttags" w:element="place">
        <w:smartTag w:uri="urn:schemas-microsoft-com:office:smarttags" w:element="State">
          <w:r w:rsidRPr="0005158D">
            <w:rPr>
              <w:rFonts w:ascii="Times New Roman" w:hAnsi="Times New Roman"/>
              <w:b w:val="0"/>
              <w:i/>
              <w:iCs/>
              <w:u w:val="single"/>
            </w:rPr>
            <w:t>Indiana</w:t>
          </w:r>
        </w:smartTag>
      </w:smartTag>
      <w:r w:rsidRPr="0005158D">
        <w:rPr>
          <w:rFonts w:ascii="Times New Roman" w:hAnsi="Times New Roman"/>
          <w:b w:val="0"/>
          <w:i/>
          <w:iCs/>
          <w:u w:val="single"/>
        </w:rPr>
        <w:t xml:space="preserve"> Employees</w:t>
      </w:r>
    </w:p>
    <w:p w:rsidR="00BB3BDB" w:rsidRDefault="00BB3BDB" w:rsidP="00BB3BDB">
      <w:pPr>
        <w:numPr>
          <w:ilvl w:val="0"/>
          <w:numId w:val="12"/>
        </w:numPr>
        <w:jc w:val="both"/>
        <w:rPr>
          <w:sz w:val="24"/>
        </w:rPr>
      </w:pPr>
      <w:r w:rsidRPr="0005158D">
        <w:rPr>
          <w:sz w:val="24"/>
        </w:rPr>
        <w:t>New employees are given to the Monday following the end of the payroll period of their date of hire to enroll.</w:t>
      </w:r>
    </w:p>
    <w:p w:rsidR="00C45630" w:rsidRPr="00C45630" w:rsidRDefault="00C45630" w:rsidP="00BB3BDB">
      <w:pPr>
        <w:numPr>
          <w:ilvl w:val="0"/>
          <w:numId w:val="12"/>
        </w:numPr>
        <w:jc w:val="both"/>
        <w:rPr>
          <w:sz w:val="24"/>
        </w:rPr>
      </w:pPr>
      <w:r w:rsidRPr="00C45630">
        <w:rPr>
          <w:sz w:val="24"/>
        </w:rPr>
        <w:lastRenderedPageBreak/>
        <w:t>Employees of a “Direct Bill” agency are given to the Monday following the end of the “A” payroll period of their date of hire to enroll.</w:t>
      </w:r>
    </w:p>
    <w:p w:rsidR="00BB3BDB" w:rsidRPr="0005158D" w:rsidRDefault="00BB3BDB" w:rsidP="00BB3BDB">
      <w:pPr>
        <w:numPr>
          <w:ilvl w:val="0"/>
          <w:numId w:val="12"/>
        </w:numPr>
        <w:jc w:val="both"/>
        <w:rPr>
          <w:sz w:val="24"/>
        </w:rPr>
      </w:pPr>
      <w:r w:rsidRPr="0005158D">
        <w:rPr>
          <w:sz w:val="24"/>
        </w:rPr>
        <w:t>Elected officials and legislators must enroll by January 31</w:t>
      </w:r>
      <w:r w:rsidRPr="005C0159">
        <w:rPr>
          <w:sz w:val="24"/>
        </w:rPr>
        <w:t>st</w:t>
      </w:r>
      <w:r w:rsidRPr="0005158D">
        <w:rPr>
          <w:sz w:val="24"/>
        </w:rPr>
        <w:t xml:space="preserve"> of the year following election or re-election.</w:t>
      </w:r>
    </w:p>
    <w:p w:rsidR="00BB3BDB" w:rsidRDefault="00BB3BDB" w:rsidP="00BB3BDB">
      <w:pPr>
        <w:numPr>
          <w:ilvl w:val="0"/>
          <w:numId w:val="12"/>
        </w:numPr>
        <w:jc w:val="both"/>
        <w:rPr>
          <w:sz w:val="24"/>
        </w:rPr>
      </w:pPr>
      <w:r w:rsidRPr="0005158D">
        <w:rPr>
          <w:sz w:val="24"/>
        </w:rPr>
        <w:t>Dependents born or acquired after the date of enrollment must be added within thirty (30) days of the marriage, birth, etc.</w:t>
      </w:r>
    </w:p>
    <w:p w:rsidR="00BB3BDB" w:rsidRPr="00197024" w:rsidRDefault="00BB3BDB" w:rsidP="00BB3BDB">
      <w:pPr>
        <w:numPr>
          <w:ilvl w:val="0"/>
          <w:numId w:val="12"/>
        </w:numPr>
        <w:jc w:val="both"/>
        <w:rPr>
          <w:sz w:val="24"/>
        </w:rPr>
      </w:pPr>
      <w:r w:rsidRPr="00197024">
        <w:rPr>
          <w:sz w:val="24"/>
        </w:rPr>
        <w:t>Senior Judges must enroll within thirty (30) days of appointment.</w:t>
      </w:r>
    </w:p>
    <w:p w:rsidR="00BB3BDB" w:rsidRPr="0005158D" w:rsidRDefault="00BB3BDB" w:rsidP="00BB3BDB">
      <w:pPr>
        <w:numPr>
          <w:ilvl w:val="0"/>
          <w:numId w:val="12"/>
        </w:numPr>
        <w:jc w:val="both"/>
        <w:rPr>
          <w:sz w:val="24"/>
        </w:rPr>
      </w:pPr>
      <w:r w:rsidRPr="0005158D">
        <w:rPr>
          <w:sz w:val="24"/>
        </w:rPr>
        <w:t>Enrollment or changes not in accordance with paragraph 1, 2,</w:t>
      </w:r>
      <w:r>
        <w:rPr>
          <w:sz w:val="24"/>
        </w:rPr>
        <w:t xml:space="preserve"> 3</w:t>
      </w:r>
      <w:r w:rsidRPr="0005158D">
        <w:rPr>
          <w:sz w:val="24"/>
        </w:rPr>
        <w:t xml:space="preserve"> </w:t>
      </w:r>
      <w:r w:rsidRPr="00197024">
        <w:rPr>
          <w:sz w:val="24"/>
        </w:rPr>
        <w:t>or 4</w:t>
      </w:r>
      <w:r w:rsidRPr="0005158D">
        <w:rPr>
          <w:sz w:val="24"/>
        </w:rPr>
        <w:t xml:space="preserve"> may be made as follows:</w:t>
      </w:r>
    </w:p>
    <w:p w:rsidR="00BB3BDB" w:rsidRPr="0005158D" w:rsidRDefault="00BB3BDB" w:rsidP="00BB3BDB">
      <w:pPr>
        <w:numPr>
          <w:ilvl w:val="0"/>
          <w:numId w:val="13"/>
        </w:numPr>
        <w:jc w:val="both"/>
        <w:rPr>
          <w:sz w:val="24"/>
        </w:rPr>
      </w:pPr>
      <w:r w:rsidRPr="0005158D">
        <w:rPr>
          <w:sz w:val="24"/>
        </w:rPr>
        <w:t>During open enrollment period(s) designated by the State;</w:t>
      </w:r>
    </w:p>
    <w:p w:rsidR="00BB3BDB" w:rsidRPr="0005158D" w:rsidRDefault="00BB3BDB" w:rsidP="00BB3BDB">
      <w:pPr>
        <w:numPr>
          <w:ilvl w:val="0"/>
          <w:numId w:val="13"/>
        </w:numPr>
        <w:jc w:val="both"/>
        <w:rPr>
          <w:sz w:val="24"/>
        </w:rPr>
      </w:pPr>
      <w:r w:rsidRPr="0005158D">
        <w:rPr>
          <w:sz w:val="24"/>
        </w:rPr>
        <w:t>Based on the interim qualifying events under Section 125 of the Internal Revenue Code;</w:t>
      </w:r>
    </w:p>
    <w:p w:rsidR="00BB3BDB" w:rsidRPr="0005158D" w:rsidRDefault="00BB3BDB" w:rsidP="00BB3BDB">
      <w:pPr>
        <w:numPr>
          <w:ilvl w:val="0"/>
          <w:numId w:val="13"/>
        </w:numPr>
        <w:jc w:val="both"/>
        <w:rPr>
          <w:sz w:val="24"/>
        </w:rPr>
      </w:pPr>
      <w:r w:rsidRPr="0005158D">
        <w:rPr>
          <w:sz w:val="24"/>
        </w:rPr>
        <w:t>Or for correction of errors.</w:t>
      </w:r>
    </w:p>
    <w:p w:rsidR="00BB3BDB" w:rsidRPr="005C0159" w:rsidRDefault="00BB3BDB" w:rsidP="00BB3BDB">
      <w:pPr>
        <w:ind w:left="720"/>
        <w:jc w:val="both"/>
        <w:rPr>
          <w:sz w:val="24"/>
        </w:rPr>
      </w:pPr>
    </w:p>
    <w:p w:rsidR="00BB3BDB" w:rsidRPr="0005158D" w:rsidRDefault="00BB3BDB" w:rsidP="00BB3BDB">
      <w:pPr>
        <w:numPr>
          <w:ilvl w:val="0"/>
          <w:numId w:val="2"/>
        </w:numPr>
        <w:jc w:val="both"/>
        <w:rPr>
          <w:bCs/>
          <w:sz w:val="24"/>
          <w:szCs w:val="22"/>
        </w:rPr>
      </w:pPr>
      <w:r w:rsidRPr="005C0159">
        <w:rPr>
          <w:sz w:val="24"/>
          <w:szCs w:val="24"/>
        </w:rPr>
        <w:t>Effective Dates</w:t>
      </w:r>
    </w:p>
    <w:p w:rsidR="00BB3BDB" w:rsidRPr="0005158D" w:rsidRDefault="00BB3BDB" w:rsidP="00BB3BDB">
      <w:pPr>
        <w:jc w:val="both"/>
        <w:rPr>
          <w:b/>
          <w:sz w:val="24"/>
          <w:szCs w:val="22"/>
        </w:rPr>
      </w:pPr>
    </w:p>
    <w:p w:rsidR="00BB3BDB" w:rsidRPr="0005158D" w:rsidRDefault="00BB3BDB" w:rsidP="00BB3BDB">
      <w:pPr>
        <w:numPr>
          <w:ilvl w:val="0"/>
          <w:numId w:val="14"/>
        </w:numPr>
        <w:jc w:val="both"/>
        <w:rPr>
          <w:sz w:val="24"/>
        </w:rPr>
      </w:pPr>
      <w:r w:rsidRPr="0005158D">
        <w:rPr>
          <w:sz w:val="24"/>
        </w:rPr>
        <w:t>For enrollees whose contribution is collected biweekly through payroll deduction by the State Auditor, coverage shall commence four (4) days after the payroll deduction occurs.</w:t>
      </w:r>
    </w:p>
    <w:p w:rsidR="00BB3BDB" w:rsidRPr="0005158D" w:rsidRDefault="00BB3BDB" w:rsidP="00BB3BDB">
      <w:pPr>
        <w:numPr>
          <w:ilvl w:val="0"/>
          <w:numId w:val="14"/>
        </w:numPr>
        <w:jc w:val="both"/>
        <w:rPr>
          <w:sz w:val="24"/>
        </w:rPr>
      </w:pPr>
      <w:r w:rsidRPr="0005158D">
        <w:rPr>
          <w:sz w:val="24"/>
        </w:rPr>
        <w:t>For enrollees whose contribution is collected through payroll deduction by a direct bill agency, coverage shall commence the first day of the calendar month following the first premium payment, unless otherwise established.</w:t>
      </w:r>
    </w:p>
    <w:p w:rsidR="00BB3BDB" w:rsidRPr="0005158D" w:rsidRDefault="00BB3BDB" w:rsidP="00BB3BDB">
      <w:pPr>
        <w:numPr>
          <w:ilvl w:val="0"/>
          <w:numId w:val="14"/>
        </w:numPr>
        <w:jc w:val="both"/>
        <w:rPr>
          <w:sz w:val="24"/>
        </w:rPr>
      </w:pPr>
      <w:r w:rsidRPr="0005158D">
        <w:rPr>
          <w:sz w:val="24"/>
        </w:rPr>
        <w:t>Coverage will terminate on the earliest of:</w:t>
      </w:r>
    </w:p>
    <w:p w:rsidR="00BB3BDB" w:rsidRPr="0005158D" w:rsidRDefault="00BB3BDB" w:rsidP="00BB3BDB">
      <w:pPr>
        <w:numPr>
          <w:ilvl w:val="0"/>
          <w:numId w:val="15"/>
        </w:numPr>
        <w:jc w:val="both"/>
        <w:rPr>
          <w:sz w:val="24"/>
        </w:rPr>
      </w:pPr>
      <w:r w:rsidRPr="0005158D">
        <w:rPr>
          <w:sz w:val="24"/>
        </w:rPr>
        <w:t>The date the contract is terminated;</w:t>
      </w:r>
    </w:p>
    <w:p w:rsidR="00BB3BDB" w:rsidRPr="0005158D" w:rsidRDefault="00BB3BDB" w:rsidP="00BB3BDB">
      <w:pPr>
        <w:numPr>
          <w:ilvl w:val="0"/>
          <w:numId w:val="15"/>
        </w:numPr>
        <w:jc w:val="both"/>
        <w:rPr>
          <w:sz w:val="24"/>
        </w:rPr>
      </w:pPr>
      <w:r w:rsidRPr="0005158D">
        <w:rPr>
          <w:sz w:val="24"/>
        </w:rPr>
        <w:t>The date a dependent ceases to be eligible</w:t>
      </w:r>
    </w:p>
    <w:p w:rsidR="00BB3BDB" w:rsidRPr="0005158D" w:rsidRDefault="00BB3BDB" w:rsidP="00BB3BDB">
      <w:pPr>
        <w:numPr>
          <w:ilvl w:val="0"/>
          <w:numId w:val="15"/>
        </w:numPr>
        <w:jc w:val="both"/>
        <w:rPr>
          <w:sz w:val="24"/>
        </w:rPr>
      </w:pPr>
      <w:r w:rsidRPr="0005158D">
        <w:rPr>
          <w:sz w:val="24"/>
        </w:rPr>
        <w:t>The end of the period for which premiums have been paid for the following:</w:t>
      </w:r>
    </w:p>
    <w:p w:rsidR="00BB3BDB" w:rsidRPr="00250EF7" w:rsidRDefault="00BB3BDB" w:rsidP="00BB3BDB">
      <w:pPr>
        <w:numPr>
          <w:ilvl w:val="0"/>
          <w:numId w:val="16"/>
        </w:numPr>
        <w:jc w:val="both"/>
        <w:rPr>
          <w:sz w:val="24"/>
          <w:szCs w:val="24"/>
        </w:rPr>
      </w:pPr>
      <w:r w:rsidRPr="00250EF7">
        <w:rPr>
          <w:sz w:val="24"/>
          <w:szCs w:val="24"/>
        </w:rPr>
        <w:t>The withdrawal of deduction authorization for employee and/or dependents coverage;</w:t>
      </w:r>
    </w:p>
    <w:p w:rsidR="00BB3BDB" w:rsidRPr="00250EF7" w:rsidRDefault="00BB3BDB" w:rsidP="00BB3BDB">
      <w:pPr>
        <w:numPr>
          <w:ilvl w:val="0"/>
          <w:numId w:val="16"/>
        </w:numPr>
        <w:jc w:val="both"/>
        <w:rPr>
          <w:sz w:val="24"/>
          <w:szCs w:val="24"/>
        </w:rPr>
      </w:pPr>
      <w:r w:rsidRPr="00250EF7">
        <w:rPr>
          <w:sz w:val="24"/>
          <w:szCs w:val="24"/>
        </w:rPr>
        <w:t xml:space="preserve">The date premiums are due, payable and unpaid, except as a result of clerical or inadvertent error; </w:t>
      </w:r>
    </w:p>
    <w:p w:rsidR="00BB3BDB" w:rsidRPr="00250EF7" w:rsidRDefault="00BB3BDB" w:rsidP="00BB3BDB">
      <w:pPr>
        <w:numPr>
          <w:ilvl w:val="0"/>
          <w:numId w:val="16"/>
        </w:numPr>
        <w:jc w:val="both"/>
        <w:rPr>
          <w:sz w:val="24"/>
          <w:szCs w:val="24"/>
        </w:rPr>
      </w:pPr>
      <w:r w:rsidRPr="00250EF7">
        <w:rPr>
          <w:sz w:val="24"/>
          <w:szCs w:val="24"/>
        </w:rPr>
        <w:t>Termination of employment;</w:t>
      </w:r>
    </w:p>
    <w:p w:rsidR="00BB3BDB" w:rsidRPr="00333D47" w:rsidRDefault="00BB3BDB" w:rsidP="00BB3BDB">
      <w:pPr>
        <w:numPr>
          <w:ilvl w:val="0"/>
          <w:numId w:val="16"/>
        </w:numPr>
        <w:jc w:val="both"/>
        <w:rPr>
          <w:sz w:val="24"/>
        </w:rPr>
      </w:pPr>
      <w:r w:rsidRPr="00333D47">
        <w:rPr>
          <w:sz w:val="24"/>
          <w:szCs w:val="24"/>
        </w:rPr>
        <w:t>The death of the employee.</w:t>
      </w:r>
    </w:p>
    <w:p w:rsidR="00BB3BDB" w:rsidRDefault="00BB3BDB" w:rsidP="00BB3BDB">
      <w:pPr>
        <w:numPr>
          <w:ilvl w:val="0"/>
          <w:numId w:val="14"/>
        </w:numPr>
        <w:jc w:val="both"/>
        <w:rPr>
          <w:sz w:val="24"/>
        </w:rPr>
      </w:pPr>
      <w:r w:rsidRPr="00333D47">
        <w:rPr>
          <w:sz w:val="24"/>
        </w:rPr>
        <w:t>Coverage for employees enrolled during the open enrollment period will be effective January 1st of the following year. For this purpose, payroll deductions will be pro-rated.</w:t>
      </w:r>
    </w:p>
    <w:p w:rsidR="00BB3BDB" w:rsidRPr="00344CA8" w:rsidRDefault="00BB3BDB" w:rsidP="00BB3BDB">
      <w:pPr>
        <w:rPr>
          <w:b/>
        </w:rPr>
      </w:pPr>
    </w:p>
    <w:p w:rsidR="00D42B85" w:rsidRDefault="00D42B85" w:rsidP="00BB3BDB">
      <w:pPr>
        <w:spacing w:after="200" w:line="276" w:lineRule="auto"/>
      </w:pPr>
    </w:p>
    <w:sectPr w:rsidR="00D42B85" w:rsidSect="00D42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C7D"/>
    <w:multiLevelType w:val="hybridMultilevel"/>
    <w:tmpl w:val="799CBB98"/>
    <w:lvl w:ilvl="0" w:tplc="40DCCCF8">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3384F"/>
    <w:multiLevelType w:val="hybridMultilevel"/>
    <w:tmpl w:val="00CAA6B6"/>
    <w:lvl w:ilvl="0" w:tplc="4A1A3E4A">
      <w:start w:val="10"/>
      <w:numFmt w:val="decimal"/>
      <w:lvlText w:val="(%1)"/>
      <w:lvlJc w:val="left"/>
      <w:pPr>
        <w:tabs>
          <w:tab w:val="num" w:pos="1080"/>
        </w:tabs>
        <w:ind w:left="10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54812"/>
    <w:multiLevelType w:val="hybridMultilevel"/>
    <w:tmpl w:val="2218554C"/>
    <w:lvl w:ilvl="0" w:tplc="CA4412F8">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19033E7D"/>
    <w:multiLevelType w:val="hybridMultilevel"/>
    <w:tmpl w:val="DE96BC08"/>
    <w:lvl w:ilvl="0" w:tplc="5F3C0E54">
      <w:start w:val="1"/>
      <w:numFmt w:val="decimal"/>
      <w:lvlText w:val="(%1)"/>
      <w:lvlJc w:val="left"/>
      <w:pPr>
        <w:tabs>
          <w:tab w:val="num" w:pos="1080"/>
        </w:tabs>
        <w:ind w:left="108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035F2"/>
    <w:multiLevelType w:val="hybridMultilevel"/>
    <w:tmpl w:val="AC26B3E8"/>
    <w:lvl w:ilvl="0" w:tplc="88A00618">
      <w:start w:val="1"/>
      <w:numFmt w:val="decimal"/>
      <w:lvlText w:val="(%1)"/>
      <w:lvlJc w:val="left"/>
      <w:pPr>
        <w:tabs>
          <w:tab w:val="num" w:pos="1080"/>
        </w:tabs>
        <w:ind w:left="10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C16FD"/>
    <w:multiLevelType w:val="hybridMultilevel"/>
    <w:tmpl w:val="14961BEE"/>
    <w:lvl w:ilvl="0" w:tplc="4CB8B23C">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D72C6"/>
    <w:multiLevelType w:val="hybridMultilevel"/>
    <w:tmpl w:val="D9D8CD30"/>
    <w:lvl w:ilvl="0" w:tplc="FFD63EAA">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309F1173"/>
    <w:multiLevelType w:val="hybridMultilevel"/>
    <w:tmpl w:val="08F6234E"/>
    <w:lvl w:ilvl="0" w:tplc="EDDC902C">
      <w:start w:val="1"/>
      <w:numFmt w:val="lowerRoman"/>
      <w:lvlText w:val="(%1)"/>
      <w:lvlJc w:val="left"/>
      <w:pPr>
        <w:ind w:left="5400" w:hanging="360"/>
      </w:pPr>
      <w:rPr>
        <w:rFonts w:hint="default"/>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15:restartNumberingAfterBreak="0">
    <w:nsid w:val="3246554D"/>
    <w:multiLevelType w:val="singleLevel"/>
    <w:tmpl w:val="53401266"/>
    <w:lvl w:ilvl="0">
      <w:start w:val="1"/>
      <w:numFmt w:val="lowerLetter"/>
      <w:lvlText w:val="(%1)"/>
      <w:lvlJc w:val="left"/>
      <w:pPr>
        <w:tabs>
          <w:tab w:val="num" w:pos="1800"/>
        </w:tabs>
        <w:ind w:left="1800" w:hanging="360"/>
      </w:pPr>
      <w:rPr>
        <w:rFonts w:ascii="Times New Roman" w:eastAsia="Times New Roman" w:hAnsi="Times New Roman" w:cs="Times New Roman"/>
      </w:rPr>
    </w:lvl>
  </w:abstractNum>
  <w:abstractNum w:abstractNumId="9" w15:restartNumberingAfterBreak="0">
    <w:nsid w:val="3CA71DB8"/>
    <w:multiLevelType w:val="multilevel"/>
    <w:tmpl w:val="DE76E3AA"/>
    <w:lvl w:ilvl="0">
      <w:start w:val="1"/>
      <w:numFmt w:val="upperLetter"/>
      <w:lvlText w:val="%1."/>
      <w:lvlJc w:val="left"/>
      <w:pPr>
        <w:tabs>
          <w:tab w:val="num" w:pos="360"/>
        </w:tabs>
        <w:ind w:left="360" w:hanging="360"/>
      </w:pPr>
      <w:rPr>
        <w:rFonts w:hint="default"/>
      </w:rPr>
    </w:lvl>
    <w:lvl w:ilvl="1">
      <w:start w:val="5"/>
      <w:numFmt w:val="upperLetter"/>
      <w:lvlText w:val="%2."/>
      <w:lvlJc w:val="left"/>
      <w:pPr>
        <w:tabs>
          <w:tab w:val="num" w:pos="870"/>
        </w:tabs>
        <w:ind w:left="870" w:hanging="1050"/>
      </w:pPr>
      <w:rPr>
        <w:rFonts w:hint="default"/>
      </w:rPr>
    </w:lvl>
    <w:lvl w:ilvl="2">
      <w:start w:val="14"/>
      <w:numFmt w:val="lowerLetter"/>
      <w:lvlText w:val="(%3)"/>
      <w:lvlJc w:val="left"/>
      <w:pPr>
        <w:ind w:left="1260" w:hanging="360"/>
      </w:pPr>
      <w:rPr>
        <w:rFonts w:hint="default"/>
      </w:rPr>
    </w:lvl>
    <w:lvl w:ilvl="3">
      <w:start w:val="1"/>
      <w:numFmt w:val="upperLetter"/>
      <w:lvlText w:val="%4."/>
      <w:lvlJc w:val="left"/>
      <w:pPr>
        <w:ind w:left="1620" w:hanging="360"/>
      </w:pPr>
      <w:rPr>
        <w:rFonts w:hint="default"/>
        <w:b w:val="0"/>
        <w:u w:val="none"/>
      </w:rPr>
    </w:lvl>
    <w:lvl w:ilvl="4">
      <w:start w:val="1"/>
      <w:numFmt w:val="lowerLetter"/>
      <w:lvlText w:val="%5."/>
      <w:lvlJc w:val="left"/>
      <w:pPr>
        <w:tabs>
          <w:tab w:val="num" w:pos="2340"/>
        </w:tabs>
        <w:ind w:left="2340" w:hanging="360"/>
      </w:pPr>
      <w:rPr>
        <w:rFonts w:hint="default"/>
        <w:u w:val="single"/>
      </w:rPr>
    </w:lvl>
    <w:lvl w:ilvl="5">
      <w:start w:val="1"/>
      <w:numFmt w:val="lowerRoman"/>
      <w:lvlText w:val="%6."/>
      <w:lvlJc w:val="right"/>
      <w:pPr>
        <w:tabs>
          <w:tab w:val="num" w:pos="3060"/>
        </w:tabs>
        <w:ind w:left="3060" w:hanging="180"/>
      </w:pPr>
      <w:rPr>
        <w:rFonts w:hint="default"/>
      </w:rPr>
    </w:lvl>
    <w:lvl w:ilvl="6">
      <w:start w:val="1"/>
      <w:numFmt w:val="decimal"/>
      <w:lvlText w:val="%7."/>
      <w:lvlJc w:val="left"/>
      <w:pPr>
        <w:tabs>
          <w:tab w:val="num" w:pos="3780"/>
        </w:tabs>
        <w:ind w:left="3780" w:hanging="360"/>
      </w:pPr>
      <w:rPr>
        <w:rFonts w:hint="default"/>
      </w:rPr>
    </w:lvl>
    <w:lvl w:ilvl="7">
      <w:start w:val="1"/>
      <w:numFmt w:val="lowerLetter"/>
      <w:lvlText w:val="%8."/>
      <w:lvlJc w:val="left"/>
      <w:pPr>
        <w:tabs>
          <w:tab w:val="num" w:pos="4500"/>
        </w:tabs>
        <w:ind w:left="4500" w:hanging="360"/>
      </w:pPr>
      <w:rPr>
        <w:rFonts w:hint="default"/>
      </w:rPr>
    </w:lvl>
    <w:lvl w:ilvl="8">
      <w:start w:val="1"/>
      <w:numFmt w:val="lowerRoman"/>
      <w:lvlText w:val="%9."/>
      <w:lvlJc w:val="right"/>
      <w:pPr>
        <w:tabs>
          <w:tab w:val="num" w:pos="5220"/>
        </w:tabs>
        <w:ind w:left="5220" w:hanging="180"/>
      </w:pPr>
      <w:rPr>
        <w:rFonts w:hint="default"/>
      </w:rPr>
    </w:lvl>
  </w:abstractNum>
  <w:abstractNum w:abstractNumId="10" w15:restartNumberingAfterBreak="0">
    <w:nsid w:val="3E4116DA"/>
    <w:multiLevelType w:val="singleLevel"/>
    <w:tmpl w:val="A83C7406"/>
    <w:lvl w:ilvl="0">
      <w:start w:val="1"/>
      <w:numFmt w:val="lowerLetter"/>
      <w:lvlText w:val="(%1)"/>
      <w:lvlJc w:val="left"/>
      <w:pPr>
        <w:tabs>
          <w:tab w:val="num" w:pos="1800"/>
        </w:tabs>
        <w:ind w:left="1800" w:hanging="360"/>
      </w:pPr>
      <w:rPr>
        <w:rFonts w:ascii="Times New Roman" w:eastAsia="Times New Roman" w:hAnsi="Times New Roman" w:cs="Times New Roman"/>
      </w:rPr>
    </w:lvl>
  </w:abstractNum>
  <w:abstractNum w:abstractNumId="11" w15:restartNumberingAfterBreak="0">
    <w:nsid w:val="42BD21C2"/>
    <w:multiLevelType w:val="hybridMultilevel"/>
    <w:tmpl w:val="AE28B7C2"/>
    <w:lvl w:ilvl="0" w:tplc="59CC782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47943ADD"/>
    <w:multiLevelType w:val="singleLevel"/>
    <w:tmpl w:val="A6B4E8A0"/>
    <w:lvl w:ilvl="0">
      <w:start w:val="1"/>
      <w:numFmt w:val="lowerLetter"/>
      <w:lvlText w:val="(%1)"/>
      <w:lvlJc w:val="left"/>
      <w:pPr>
        <w:tabs>
          <w:tab w:val="num" w:pos="2340"/>
        </w:tabs>
        <w:ind w:left="2340" w:hanging="360"/>
      </w:pPr>
      <w:rPr>
        <w:rFonts w:ascii="Times New Roman" w:eastAsia="Times New Roman" w:hAnsi="Times New Roman" w:cs="Times New Roman"/>
      </w:rPr>
    </w:lvl>
  </w:abstractNum>
  <w:abstractNum w:abstractNumId="13" w15:restartNumberingAfterBreak="0">
    <w:nsid w:val="4CCD232E"/>
    <w:multiLevelType w:val="hybridMultilevel"/>
    <w:tmpl w:val="C57E0E48"/>
    <w:lvl w:ilvl="0" w:tplc="D5D02E9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51259"/>
    <w:multiLevelType w:val="hybridMultilevel"/>
    <w:tmpl w:val="106EBC34"/>
    <w:lvl w:ilvl="0" w:tplc="C30657E8">
      <w:start w:val="1"/>
      <w:numFmt w:val="decimal"/>
      <w:lvlText w:val="(%1)"/>
      <w:lvlJc w:val="left"/>
      <w:pPr>
        <w:ind w:left="1080" w:hanging="360"/>
      </w:pPr>
      <w:rPr>
        <w:rFonts w:hint="default"/>
        <w:sz w:val="24"/>
        <w:szCs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 w15:restartNumberingAfterBreak="0">
    <w:nsid w:val="6E341FA4"/>
    <w:multiLevelType w:val="hybridMultilevel"/>
    <w:tmpl w:val="39A6E3EC"/>
    <w:lvl w:ilvl="0" w:tplc="3B1AA63C">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2AD3370"/>
    <w:multiLevelType w:val="hybridMultilevel"/>
    <w:tmpl w:val="9AE029A8"/>
    <w:lvl w:ilvl="0" w:tplc="FFFFFFFF">
      <w:start w:val="5"/>
      <w:numFmt w:val="decimal"/>
      <w:lvlText w:val="(%1)"/>
      <w:lvlJc w:val="left"/>
      <w:pPr>
        <w:tabs>
          <w:tab w:val="num" w:pos="1080"/>
        </w:tabs>
        <w:ind w:left="108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0" w:hanging="180"/>
      </w:pPr>
    </w:lvl>
    <w:lvl w:ilvl="3" w:tplc="FFFFFFFF" w:tentative="1">
      <w:start w:val="1"/>
      <w:numFmt w:val="decimal"/>
      <w:lvlText w:val="%4."/>
      <w:lvlJc w:val="left"/>
      <w:pPr>
        <w:ind w:left="72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num w:numId="1">
    <w:abstractNumId w:val="8"/>
  </w:num>
  <w:num w:numId="2">
    <w:abstractNumId w:val="9"/>
  </w:num>
  <w:num w:numId="3">
    <w:abstractNumId w:val="14"/>
  </w:num>
  <w:num w:numId="4">
    <w:abstractNumId w:val="10"/>
  </w:num>
  <w:num w:numId="5">
    <w:abstractNumId w:val="12"/>
  </w:num>
  <w:num w:numId="6">
    <w:abstractNumId w:val="16"/>
  </w:num>
  <w:num w:numId="7">
    <w:abstractNumId w:val="13"/>
  </w:num>
  <w:num w:numId="8">
    <w:abstractNumId w:val="0"/>
  </w:num>
  <w:num w:numId="9">
    <w:abstractNumId w:val="5"/>
  </w:num>
  <w:num w:numId="10">
    <w:abstractNumId w:val="1"/>
  </w:num>
  <w:num w:numId="11">
    <w:abstractNumId w:val="11"/>
  </w:num>
  <w:num w:numId="12">
    <w:abstractNumId w:val="4"/>
  </w:num>
  <w:num w:numId="13">
    <w:abstractNumId w:val="6"/>
  </w:num>
  <w:num w:numId="14">
    <w:abstractNumId w:val="3"/>
  </w:num>
  <w:num w:numId="15">
    <w:abstractNumId w:val="2"/>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DB"/>
    <w:rsid w:val="00041172"/>
    <w:rsid w:val="001336B4"/>
    <w:rsid w:val="001D7D35"/>
    <w:rsid w:val="004761AE"/>
    <w:rsid w:val="0048079E"/>
    <w:rsid w:val="00505024"/>
    <w:rsid w:val="00512FC3"/>
    <w:rsid w:val="005617AE"/>
    <w:rsid w:val="005A32C5"/>
    <w:rsid w:val="006B28BF"/>
    <w:rsid w:val="006F77D3"/>
    <w:rsid w:val="008C4910"/>
    <w:rsid w:val="00971162"/>
    <w:rsid w:val="00985F7D"/>
    <w:rsid w:val="00A53C07"/>
    <w:rsid w:val="00A94A64"/>
    <w:rsid w:val="00AA06E3"/>
    <w:rsid w:val="00BB3BDB"/>
    <w:rsid w:val="00BD45D2"/>
    <w:rsid w:val="00C45630"/>
    <w:rsid w:val="00C734EF"/>
    <w:rsid w:val="00CC28C1"/>
    <w:rsid w:val="00D272C0"/>
    <w:rsid w:val="00D42B85"/>
    <w:rsid w:val="00DD3FD0"/>
    <w:rsid w:val="00FC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7E57F831-B2B9-40E6-B898-CD05BEEF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DB"/>
    <w:rPr>
      <w:rFonts w:ascii="Times New Roman" w:eastAsia="Times New Roman" w:hAnsi="Times New Roman"/>
    </w:rPr>
  </w:style>
  <w:style w:type="paragraph" w:styleId="Heading9">
    <w:name w:val="heading 9"/>
    <w:basedOn w:val="Normal"/>
    <w:next w:val="Normal"/>
    <w:link w:val="Heading9Char"/>
    <w:uiPriority w:val="99"/>
    <w:qFormat/>
    <w:rsid w:val="00BB3BDB"/>
    <w:pPr>
      <w:widowControl w:val="0"/>
      <w:jc w:val="center"/>
      <w:outlineLvl w:val="8"/>
    </w:pPr>
    <w:rPr>
      <w:rFonts w:ascii="Arial" w:hAnsi="Arial"/>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BB3BDB"/>
    <w:rPr>
      <w:rFonts w:ascii="Arial" w:eastAsia="Times New Roman" w:hAnsi="Arial" w:cs="Times New Roman"/>
      <w:b/>
      <w:snapToGrid w:val="0"/>
      <w:sz w:val="24"/>
      <w:szCs w:val="20"/>
    </w:rPr>
  </w:style>
  <w:style w:type="paragraph" w:customStyle="1" w:styleId="Default">
    <w:name w:val="Default"/>
    <w:rsid w:val="00BB3BD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5A32C5"/>
    <w:rPr>
      <w:sz w:val="24"/>
      <w:szCs w:val="24"/>
    </w:rPr>
  </w:style>
  <w:style w:type="paragraph" w:styleId="BalloonText">
    <w:name w:val="Balloon Text"/>
    <w:basedOn w:val="Normal"/>
    <w:link w:val="BalloonTextChar"/>
    <w:uiPriority w:val="99"/>
    <w:semiHidden/>
    <w:unhideWhenUsed/>
    <w:rsid w:val="00133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6B4"/>
    <w:rPr>
      <w:rFonts w:ascii="Segoe UI" w:eastAsia="Times New Roman" w:hAnsi="Segoe UI" w:cs="Segoe UI"/>
      <w:sz w:val="18"/>
      <w:szCs w:val="18"/>
    </w:rPr>
  </w:style>
  <w:style w:type="paragraph" w:styleId="ListParagraph">
    <w:name w:val="List Paragraph"/>
    <w:basedOn w:val="Normal"/>
    <w:uiPriority w:val="34"/>
    <w:qFormat/>
    <w:rsid w:val="00A94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79446">
      <w:bodyDiv w:val="1"/>
      <w:marLeft w:val="0"/>
      <w:marRight w:val="0"/>
      <w:marTop w:val="0"/>
      <w:marBottom w:val="0"/>
      <w:divBdr>
        <w:top w:val="none" w:sz="0" w:space="0" w:color="auto"/>
        <w:left w:val="none" w:sz="0" w:space="0" w:color="auto"/>
        <w:bottom w:val="none" w:sz="0" w:space="0" w:color="auto"/>
        <w:right w:val="none" w:sz="0" w:space="0" w:color="auto"/>
      </w:divBdr>
      <w:divsChild>
        <w:div w:id="188876964">
          <w:marLeft w:val="0"/>
          <w:marRight w:val="0"/>
          <w:marTop w:val="0"/>
          <w:marBottom w:val="0"/>
          <w:divBdr>
            <w:top w:val="none" w:sz="0" w:space="0" w:color="auto"/>
            <w:left w:val="none" w:sz="0" w:space="0" w:color="auto"/>
            <w:bottom w:val="none" w:sz="0" w:space="0" w:color="auto"/>
            <w:right w:val="none" w:sz="0" w:space="0" w:color="auto"/>
          </w:divBdr>
          <w:divsChild>
            <w:div w:id="1770349578">
              <w:marLeft w:val="0"/>
              <w:marRight w:val="0"/>
              <w:marTop w:val="0"/>
              <w:marBottom w:val="0"/>
              <w:divBdr>
                <w:top w:val="none" w:sz="0" w:space="0" w:color="auto"/>
                <w:left w:val="none" w:sz="0" w:space="0" w:color="auto"/>
                <w:bottom w:val="none" w:sz="0" w:space="0" w:color="auto"/>
                <w:right w:val="none" w:sz="0" w:space="0" w:color="auto"/>
              </w:divBdr>
              <w:divsChild>
                <w:div w:id="463742334">
                  <w:marLeft w:val="0"/>
                  <w:marRight w:val="0"/>
                  <w:marTop w:val="0"/>
                  <w:marBottom w:val="0"/>
                  <w:divBdr>
                    <w:top w:val="none" w:sz="0" w:space="0" w:color="auto"/>
                    <w:left w:val="none" w:sz="0" w:space="0" w:color="auto"/>
                    <w:bottom w:val="none" w:sz="0" w:space="0" w:color="auto"/>
                    <w:right w:val="none" w:sz="0" w:space="0" w:color="auto"/>
                  </w:divBdr>
                  <w:divsChild>
                    <w:div w:id="20516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kbeesley</dc:creator>
  <cp:lastModifiedBy>Brothers, Leslie A</cp:lastModifiedBy>
  <cp:revision>2</cp:revision>
  <cp:lastPrinted>2019-04-15T15:30:00Z</cp:lastPrinted>
  <dcterms:created xsi:type="dcterms:W3CDTF">2019-04-26T16:15:00Z</dcterms:created>
  <dcterms:modified xsi:type="dcterms:W3CDTF">2019-04-26T16:15:00Z</dcterms:modified>
</cp:coreProperties>
</file>