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337" w:rsidRDefault="0002387B" w:rsidP="00BB319D">
      <w:pPr>
        <w:jc w:val="center"/>
        <w:rPr>
          <w:rFonts w:ascii="Garamond" w:hAnsi="Garamond"/>
          <w:b/>
          <w:sz w:val="24"/>
          <w:szCs w:val="24"/>
        </w:rPr>
      </w:pPr>
      <w:r>
        <w:rPr>
          <w:rFonts w:ascii="Garamond" w:hAnsi="Garamond"/>
          <w:b/>
          <w:sz w:val="24"/>
          <w:szCs w:val="24"/>
        </w:rPr>
        <w:t xml:space="preserve">SCOPE OF WORK </w:t>
      </w:r>
    </w:p>
    <w:p w:rsidR="0002387B" w:rsidRPr="0002387B" w:rsidRDefault="0002387B" w:rsidP="00BB319D">
      <w:pPr>
        <w:jc w:val="center"/>
        <w:rPr>
          <w:rFonts w:ascii="Garamond" w:hAnsi="Garamond"/>
          <w:sz w:val="24"/>
          <w:szCs w:val="24"/>
          <w:u w:val="single"/>
        </w:rPr>
      </w:pPr>
      <w:r w:rsidRPr="0002387B">
        <w:rPr>
          <w:rFonts w:ascii="Garamond" w:hAnsi="Garamond"/>
          <w:sz w:val="24"/>
          <w:szCs w:val="24"/>
          <w:u w:val="single"/>
        </w:rPr>
        <w:t>LIST OF REQUIREMENTS</w:t>
      </w:r>
    </w:p>
    <w:p w:rsidR="00BB319D" w:rsidRPr="00243C3E" w:rsidRDefault="00BB319D" w:rsidP="00BB319D">
      <w:pPr>
        <w:ind w:firstLine="720"/>
        <w:rPr>
          <w:rFonts w:ascii="Garamond" w:hAnsi="Garamond"/>
          <w:sz w:val="24"/>
          <w:szCs w:val="24"/>
        </w:rPr>
      </w:pPr>
      <w:r w:rsidRPr="00243C3E">
        <w:rPr>
          <w:rFonts w:ascii="Garamond" w:hAnsi="Garamond"/>
          <w:sz w:val="24"/>
          <w:szCs w:val="24"/>
        </w:rPr>
        <w:t xml:space="preserve">All herbicide applicators working on these lakes for this contract must be certified by the Office of the Indiana Stare Chemist as a licensed Aquatic Pesticide Applicator (Category 5).  Individuals working in capacities under this contract other than chemical application need not be certified.  Aquatic vegetation control permits are not required in these instances since these projects are being directed under the authority of the Division of Fish and Wildlife.  </w:t>
      </w:r>
    </w:p>
    <w:p w:rsidR="00BB319D" w:rsidRPr="00243C3E" w:rsidRDefault="00BB319D" w:rsidP="00BB319D">
      <w:pPr>
        <w:ind w:firstLine="720"/>
        <w:rPr>
          <w:rFonts w:ascii="Garamond" w:hAnsi="Garamond"/>
          <w:sz w:val="24"/>
          <w:szCs w:val="24"/>
        </w:rPr>
      </w:pPr>
      <w:r w:rsidRPr="00243C3E">
        <w:rPr>
          <w:rFonts w:ascii="Garamond" w:hAnsi="Garamond"/>
          <w:sz w:val="24"/>
          <w:szCs w:val="24"/>
        </w:rPr>
        <w:t xml:space="preserve">Although DNR vegetation control permits are not required, public notification of treatments is required of the applicator as with any other application to public waters.  The contractor will post and maintain signs within treatment areas on these waters notifying the public that the lake contains a concentration of Cutrine Ultra and Hydrothol.  All use restrictions will be included on the signs.  Signs will be posted at the time of the chemical application and be maintained at least through the expected exposure period.  In addition, the Contractor is required to notify each respective Lake Association prior to each chemical application.  For treatments that take place on the Michigan portion of Lake George, the Contractor will be responsible for acquiring all necessary permits for the treatment of aquatic vegetation in the state of Michigan.  </w:t>
      </w:r>
    </w:p>
    <w:p w:rsidR="00BB319D" w:rsidRPr="00243C3E" w:rsidRDefault="00BB319D" w:rsidP="00BB319D">
      <w:pPr>
        <w:ind w:firstLine="720"/>
        <w:rPr>
          <w:rFonts w:ascii="Garamond" w:hAnsi="Garamond"/>
          <w:sz w:val="24"/>
          <w:szCs w:val="24"/>
        </w:rPr>
      </w:pPr>
      <w:r w:rsidRPr="00243C3E">
        <w:rPr>
          <w:rFonts w:ascii="Garamond" w:hAnsi="Garamond"/>
          <w:sz w:val="24"/>
          <w:szCs w:val="24"/>
        </w:rPr>
        <w:t xml:space="preserve">The Contractor will notify Eric Fischer, Aquatic Invasive Species Coordinator, and each respective District Fisheries Biologist at least 72 hours prior to each chemical application.  The contractor must submit </w:t>
      </w:r>
      <w:r w:rsidR="00834763">
        <w:rPr>
          <w:rFonts w:ascii="Garamond" w:hAnsi="Garamond"/>
          <w:sz w:val="24"/>
          <w:szCs w:val="24"/>
        </w:rPr>
        <w:t xml:space="preserve">a </w:t>
      </w:r>
      <w:r w:rsidR="00062F9F">
        <w:rPr>
          <w:rFonts w:ascii="Garamond" w:hAnsi="Garamond"/>
          <w:sz w:val="24"/>
          <w:szCs w:val="24"/>
        </w:rPr>
        <w:t xml:space="preserve">standard treatment </w:t>
      </w:r>
      <w:r w:rsidRPr="00243C3E">
        <w:rPr>
          <w:rFonts w:ascii="Garamond" w:hAnsi="Garamond"/>
          <w:sz w:val="24"/>
          <w:szCs w:val="24"/>
        </w:rPr>
        <w:t>report detailing the chemical(s) used, amount of each chemical (gallons or pounds), and the locations of chemical application within seven days following each chemical application to the Aquatic Invasive Species (AIS) Coordinator</w:t>
      </w:r>
      <w:r w:rsidR="00062F9F">
        <w:rPr>
          <w:rFonts w:ascii="Garamond" w:hAnsi="Garamond"/>
          <w:sz w:val="24"/>
          <w:szCs w:val="24"/>
        </w:rPr>
        <w:t xml:space="preserve"> or Aquatic Vegetation Biologist</w:t>
      </w:r>
      <w:r w:rsidRPr="00243C3E">
        <w:rPr>
          <w:rFonts w:ascii="Garamond" w:hAnsi="Garamond"/>
          <w:sz w:val="24"/>
          <w:szCs w:val="24"/>
        </w:rPr>
        <w:t>.</w:t>
      </w:r>
    </w:p>
    <w:p w:rsidR="00BB319D" w:rsidRPr="00243C3E" w:rsidRDefault="00BB319D" w:rsidP="00BB319D">
      <w:pPr>
        <w:ind w:firstLine="720"/>
        <w:rPr>
          <w:rFonts w:ascii="Garamond" w:hAnsi="Garamond"/>
          <w:sz w:val="24"/>
          <w:szCs w:val="24"/>
        </w:rPr>
      </w:pPr>
      <w:r w:rsidRPr="00243C3E">
        <w:rPr>
          <w:rFonts w:ascii="Garamond" w:hAnsi="Garamond"/>
          <w:sz w:val="24"/>
          <w:szCs w:val="24"/>
        </w:rPr>
        <w:t>All watercraft, trailers, and other equipment used by the Contractor on these lakes will be free of ALL plant material, sediment, and water prior to being transported away from the lake (visual inspection and hand removal).  Lake Wawasee, Syracuse, Crooked and Lake George are known to contain zebra mussels so decontamination steps are required</w:t>
      </w:r>
      <w:r w:rsidR="000A34C6" w:rsidRPr="00243C3E">
        <w:rPr>
          <w:rFonts w:ascii="Garamond" w:hAnsi="Garamond"/>
          <w:sz w:val="24"/>
          <w:szCs w:val="24"/>
        </w:rPr>
        <w:t xml:space="preserve">.  These steps include the draining of all water from the boat and equipment, and spraying and or rinsing boat, boat trailer, boat motor’s cooling system, and all other contaminated equipment using a 5% bleach solution.  The alternative to using a bleach solution would be to power wash all equipment with 104 degree water.  It also should be noted that Wall Lake is zebra mussel negative and the Contractor should take the necessary precautions to prevent the introduction of zebra mussels into Wall Lake.  If planning to survey or apply herbicides to multiple lakes on the same day, the Contractor should always complete the tasks at Wall Lake first or use different equipment at each lake.  </w:t>
      </w:r>
    </w:p>
    <w:p w:rsidR="000A34C6" w:rsidRDefault="000A34C6" w:rsidP="00BB319D">
      <w:pPr>
        <w:ind w:firstLine="720"/>
        <w:rPr>
          <w:rFonts w:ascii="Garamond" w:hAnsi="Garamond"/>
          <w:sz w:val="24"/>
          <w:szCs w:val="24"/>
        </w:rPr>
      </w:pPr>
      <w:r w:rsidRPr="00243C3E">
        <w:rPr>
          <w:rFonts w:ascii="Garamond" w:hAnsi="Garamond"/>
          <w:sz w:val="24"/>
          <w:szCs w:val="24"/>
        </w:rPr>
        <w:t xml:space="preserve">All communications by the Contractor with the media must receive prior approval from the DNR.  If any members of the public approach the Contractor with complaints or concerns about the project, the contractor will refer the public to the AIS Coordinator.  All data must be submitted directly and exclusively to the DNR.  The Contractor should not speak for the State about the efficacy or results of the project without approval DNR.  </w:t>
      </w:r>
    </w:p>
    <w:p w:rsidR="0044731A" w:rsidRPr="00133D8D" w:rsidRDefault="0044731A" w:rsidP="0044731A">
      <w:pPr>
        <w:rPr>
          <w:rFonts w:ascii="Garamond" w:hAnsi="Garamond"/>
          <w:sz w:val="24"/>
          <w:szCs w:val="24"/>
          <w:u w:val="single"/>
        </w:rPr>
      </w:pPr>
      <w:r w:rsidRPr="00133D8D">
        <w:rPr>
          <w:rFonts w:ascii="Garamond" w:hAnsi="Garamond"/>
          <w:sz w:val="24"/>
          <w:szCs w:val="24"/>
          <w:u w:val="single"/>
        </w:rPr>
        <w:t>TREATMENT OF STARRY STONEWORT</w:t>
      </w:r>
    </w:p>
    <w:p w:rsidR="0044731A" w:rsidRDefault="0044731A" w:rsidP="0044731A">
      <w:pPr>
        <w:rPr>
          <w:rFonts w:ascii="Garamond" w:hAnsi="Garamond"/>
          <w:sz w:val="24"/>
          <w:szCs w:val="24"/>
        </w:rPr>
      </w:pPr>
      <w:r>
        <w:rPr>
          <w:rFonts w:ascii="Garamond" w:hAnsi="Garamond"/>
          <w:sz w:val="24"/>
          <w:szCs w:val="24"/>
        </w:rPr>
        <w:lastRenderedPageBreak/>
        <w:tab/>
        <w:t xml:space="preserve">Multiple areas of Starry Stonewort will be treated at the SSW positive lakes as directed by the AIS Coordinator using 2.4 gallons of </w:t>
      </w:r>
      <w:r w:rsidR="00834763">
        <w:rPr>
          <w:rFonts w:ascii="Garamond" w:hAnsi="Garamond"/>
          <w:sz w:val="24"/>
          <w:szCs w:val="24"/>
        </w:rPr>
        <w:t xml:space="preserve">Cutrine </w:t>
      </w:r>
      <w:r>
        <w:rPr>
          <w:rFonts w:ascii="Garamond" w:hAnsi="Garamond"/>
          <w:sz w:val="24"/>
          <w:szCs w:val="24"/>
        </w:rPr>
        <w:t xml:space="preserve">Ultra per acre-foot.  Hydrothol 191 may be added to provide added efficacy, the amount of Hydrothol 191 applied will be directed by the AIS Coordinator. </w:t>
      </w:r>
      <w:r w:rsidR="00062F9F">
        <w:rPr>
          <w:rFonts w:ascii="Garamond" w:hAnsi="Garamond"/>
          <w:sz w:val="24"/>
          <w:szCs w:val="24"/>
        </w:rPr>
        <w:t>In select locations Clipper will be applied at the rate of 200ppb or otherwise directed.</w:t>
      </w:r>
      <w:r>
        <w:rPr>
          <w:rFonts w:ascii="Garamond" w:hAnsi="Garamond"/>
          <w:sz w:val="24"/>
          <w:szCs w:val="24"/>
        </w:rPr>
        <w:t xml:space="preserve"> Areas to be treated will be selected based on a combination of spring mapping, historical SSW occurrence and site inspections.  Areas selected may be treated on multiple occasions from May through October as directed by the AIS Coordinator.  </w:t>
      </w:r>
    </w:p>
    <w:p w:rsidR="00386593" w:rsidRDefault="00386593" w:rsidP="0044731A">
      <w:pPr>
        <w:rPr>
          <w:rFonts w:ascii="Garamond" w:hAnsi="Garamond"/>
          <w:sz w:val="24"/>
          <w:szCs w:val="24"/>
        </w:rPr>
      </w:pPr>
    </w:p>
    <w:p w:rsidR="0002387B" w:rsidRPr="00056F95" w:rsidRDefault="0002387B" w:rsidP="0044731A">
      <w:pPr>
        <w:rPr>
          <w:rFonts w:ascii="Garamond" w:hAnsi="Garamond"/>
          <w:b/>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Pr="00056F95">
        <w:rPr>
          <w:rFonts w:ascii="Garamond" w:hAnsi="Garamond"/>
          <w:b/>
          <w:sz w:val="24"/>
          <w:szCs w:val="24"/>
        </w:rPr>
        <w:t>YES</w:t>
      </w:r>
      <w:r w:rsidRPr="00056F95">
        <w:rPr>
          <w:rFonts w:ascii="Garamond" w:hAnsi="Garamond"/>
          <w:b/>
          <w:sz w:val="24"/>
          <w:szCs w:val="24"/>
        </w:rPr>
        <w:tab/>
        <w:t xml:space="preserve">       NO</w:t>
      </w:r>
      <w:r w:rsidRPr="00056F95">
        <w:rPr>
          <w:rFonts w:ascii="Garamond" w:hAnsi="Garamond"/>
          <w:b/>
          <w:sz w:val="24"/>
          <w:szCs w:val="24"/>
        </w:rPr>
        <w:tab/>
      </w:r>
    </w:p>
    <w:tbl>
      <w:tblPr>
        <w:tblStyle w:val="TableGrid"/>
        <w:tblW w:w="0" w:type="auto"/>
        <w:tblLook w:val="04A0" w:firstRow="1" w:lastRow="0" w:firstColumn="1" w:lastColumn="0" w:noHBand="0" w:noVBand="1"/>
      </w:tblPr>
      <w:tblGrid>
        <w:gridCol w:w="6385"/>
        <w:gridCol w:w="1530"/>
        <w:gridCol w:w="1435"/>
      </w:tblGrid>
      <w:tr w:rsidR="00E60D63" w:rsidTr="00E60D63">
        <w:tc>
          <w:tcPr>
            <w:tcW w:w="6385" w:type="dxa"/>
          </w:tcPr>
          <w:p w:rsidR="0002387B" w:rsidRPr="0002387B" w:rsidRDefault="0002387B" w:rsidP="0044731A">
            <w:pPr>
              <w:rPr>
                <w:rFonts w:ascii="Garamond" w:hAnsi="Garamond"/>
                <w:b/>
                <w:sz w:val="24"/>
                <w:szCs w:val="24"/>
              </w:rPr>
            </w:pPr>
            <w:r w:rsidRPr="0002387B">
              <w:rPr>
                <w:rFonts w:ascii="Garamond" w:hAnsi="Garamond"/>
                <w:b/>
                <w:sz w:val="24"/>
                <w:szCs w:val="24"/>
              </w:rPr>
              <w:t>D</w:t>
            </w:r>
            <w:r w:rsidR="00BF18D1">
              <w:rPr>
                <w:rFonts w:ascii="Garamond" w:hAnsi="Garamond"/>
                <w:b/>
                <w:sz w:val="24"/>
                <w:szCs w:val="24"/>
              </w:rPr>
              <w:t xml:space="preserve">o you agree to all of the </w:t>
            </w:r>
            <w:r w:rsidRPr="0002387B">
              <w:rPr>
                <w:rFonts w:ascii="Garamond" w:hAnsi="Garamond"/>
                <w:b/>
                <w:sz w:val="24"/>
                <w:szCs w:val="24"/>
              </w:rPr>
              <w:t xml:space="preserve">requirements listed above? </w:t>
            </w:r>
          </w:p>
        </w:tc>
        <w:tc>
          <w:tcPr>
            <w:tcW w:w="1530" w:type="dxa"/>
            <w:shd w:val="clear" w:color="auto" w:fill="FFFF97"/>
          </w:tcPr>
          <w:p w:rsidR="0002387B" w:rsidRDefault="0002387B" w:rsidP="00056F95">
            <w:pPr>
              <w:jc w:val="center"/>
              <w:rPr>
                <w:rFonts w:ascii="Garamond" w:hAnsi="Garamond"/>
                <w:sz w:val="24"/>
                <w:szCs w:val="24"/>
              </w:rPr>
            </w:pPr>
          </w:p>
        </w:tc>
        <w:tc>
          <w:tcPr>
            <w:tcW w:w="1435" w:type="dxa"/>
            <w:shd w:val="clear" w:color="auto" w:fill="FFFF97"/>
          </w:tcPr>
          <w:p w:rsidR="0002387B" w:rsidRDefault="0002387B" w:rsidP="0044731A">
            <w:pPr>
              <w:rPr>
                <w:rFonts w:ascii="Garamond" w:hAnsi="Garamond"/>
                <w:sz w:val="24"/>
                <w:szCs w:val="24"/>
              </w:rPr>
            </w:pPr>
          </w:p>
        </w:tc>
      </w:tr>
      <w:tr w:rsidR="0002387B" w:rsidTr="00E60D63">
        <w:trPr>
          <w:trHeight w:val="2555"/>
        </w:trPr>
        <w:tc>
          <w:tcPr>
            <w:tcW w:w="9350" w:type="dxa"/>
            <w:gridSpan w:val="3"/>
            <w:shd w:val="clear" w:color="auto" w:fill="FFFF97"/>
          </w:tcPr>
          <w:p w:rsidR="0002387B" w:rsidRPr="0002387B" w:rsidRDefault="001763BD" w:rsidP="0044731A">
            <w:pPr>
              <w:rPr>
                <w:rFonts w:ascii="Garamond" w:hAnsi="Garamond"/>
                <w:b/>
                <w:sz w:val="24"/>
                <w:szCs w:val="24"/>
              </w:rPr>
            </w:pPr>
            <w:r>
              <w:rPr>
                <w:rFonts w:ascii="Garamond" w:hAnsi="Garamond"/>
                <w:b/>
                <w:sz w:val="24"/>
                <w:szCs w:val="24"/>
              </w:rPr>
              <w:t xml:space="preserve">If </w:t>
            </w:r>
            <w:r w:rsidR="00627C6B">
              <w:rPr>
                <w:rFonts w:ascii="Garamond" w:hAnsi="Garamond"/>
                <w:b/>
                <w:sz w:val="24"/>
                <w:szCs w:val="24"/>
              </w:rPr>
              <w:t>you have entered no</w:t>
            </w:r>
            <w:r>
              <w:rPr>
                <w:rFonts w:ascii="Garamond" w:hAnsi="Garamond"/>
                <w:b/>
                <w:sz w:val="24"/>
                <w:szCs w:val="24"/>
              </w:rPr>
              <w:t xml:space="preserve"> for any reason, please </w:t>
            </w:r>
            <w:r w:rsidR="00BE103F">
              <w:rPr>
                <w:rFonts w:ascii="Garamond" w:hAnsi="Garamond"/>
                <w:b/>
                <w:sz w:val="24"/>
                <w:szCs w:val="24"/>
              </w:rPr>
              <w:t xml:space="preserve">provide detailed </w:t>
            </w:r>
            <w:r>
              <w:rPr>
                <w:rFonts w:ascii="Garamond" w:hAnsi="Garamond"/>
                <w:b/>
                <w:sz w:val="24"/>
                <w:szCs w:val="24"/>
              </w:rPr>
              <w:t>comment</w:t>
            </w:r>
            <w:r w:rsidR="00BE103F">
              <w:rPr>
                <w:rFonts w:ascii="Garamond" w:hAnsi="Garamond"/>
                <w:b/>
                <w:sz w:val="24"/>
                <w:szCs w:val="24"/>
              </w:rPr>
              <w:t>s</w:t>
            </w:r>
            <w:r>
              <w:rPr>
                <w:rFonts w:ascii="Garamond" w:hAnsi="Garamond"/>
                <w:b/>
                <w:sz w:val="24"/>
                <w:szCs w:val="24"/>
              </w:rPr>
              <w:t xml:space="preserve"> in the space provided. </w:t>
            </w:r>
          </w:p>
          <w:p w:rsidR="0002387B" w:rsidRDefault="0002387B" w:rsidP="0044731A">
            <w:pPr>
              <w:rPr>
                <w:rFonts w:ascii="Garamond" w:hAnsi="Garamond"/>
                <w:sz w:val="24"/>
                <w:szCs w:val="24"/>
              </w:rPr>
            </w:pPr>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bookmarkStart w:id="0" w:name="_GoBack"/>
            <w:bookmarkEnd w:id="0"/>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p>
          <w:p w:rsidR="00B13F38" w:rsidRDefault="00B13F38" w:rsidP="0044731A">
            <w:pPr>
              <w:rPr>
                <w:rFonts w:ascii="Garamond" w:hAnsi="Garamond"/>
                <w:sz w:val="24"/>
                <w:szCs w:val="24"/>
              </w:rPr>
            </w:pPr>
          </w:p>
        </w:tc>
      </w:tr>
    </w:tbl>
    <w:p w:rsidR="0002387B" w:rsidRDefault="0002387B" w:rsidP="0044731A">
      <w:pPr>
        <w:rPr>
          <w:rFonts w:ascii="Garamond" w:hAnsi="Garamond"/>
          <w:sz w:val="24"/>
          <w:szCs w:val="24"/>
        </w:rPr>
      </w:pPr>
    </w:p>
    <w:p w:rsidR="00740E2A" w:rsidRDefault="00740E2A" w:rsidP="0044731A">
      <w:pPr>
        <w:rPr>
          <w:rFonts w:ascii="Garamond" w:hAnsi="Garamond"/>
          <w:sz w:val="24"/>
          <w:szCs w:val="24"/>
        </w:rPr>
      </w:pPr>
    </w:p>
    <w:p w:rsidR="00BB319D" w:rsidRPr="00243C3E" w:rsidRDefault="00BB319D" w:rsidP="00BB319D">
      <w:pPr>
        <w:rPr>
          <w:rFonts w:ascii="Garamond" w:hAnsi="Garamond"/>
          <w:sz w:val="24"/>
          <w:szCs w:val="24"/>
        </w:rPr>
      </w:pPr>
    </w:p>
    <w:sectPr w:rsidR="00BB319D" w:rsidRPr="00243C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763" w:rsidRDefault="00834763" w:rsidP="00834763">
      <w:pPr>
        <w:spacing w:after="0" w:line="240" w:lineRule="auto"/>
      </w:pPr>
      <w:r>
        <w:separator/>
      </w:r>
    </w:p>
  </w:endnote>
  <w:endnote w:type="continuationSeparator" w:id="0">
    <w:p w:rsidR="00834763" w:rsidRDefault="00834763" w:rsidP="0083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763" w:rsidRDefault="00834763" w:rsidP="00834763">
      <w:pPr>
        <w:spacing w:after="0" w:line="240" w:lineRule="auto"/>
      </w:pPr>
      <w:r>
        <w:separator/>
      </w:r>
    </w:p>
  </w:footnote>
  <w:footnote w:type="continuationSeparator" w:id="0">
    <w:p w:rsidR="00834763" w:rsidRDefault="00834763" w:rsidP="00834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9D"/>
    <w:rsid w:val="0002387B"/>
    <w:rsid w:val="00025E23"/>
    <w:rsid w:val="00056F95"/>
    <w:rsid w:val="00062F9F"/>
    <w:rsid w:val="000A34C6"/>
    <w:rsid w:val="00133D8D"/>
    <w:rsid w:val="001763BD"/>
    <w:rsid w:val="00243C3E"/>
    <w:rsid w:val="00386593"/>
    <w:rsid w:val="0044731A"/>
    <w:rsid w:val="00627C6B"/>
    <w:rsid w:val="00740E2A"/>
    <w:rsid w:val="00834763"/>
    <w:rsid w:val="00985337"/>
    <w:rsid w:val="009E52C5"/>
    <w:rsid w:val="00AE7D01"/>
    <w:rsid w:val="00B13F38"/>
    <w:rsid w:val="00BB319D"/>
    <w:rsid w:val="00BE103F"/>
    <w:rsid w:val="00BF18D1"/>
    <w:rsid w:val="00D90F18"/>
    <w:rsid w:val="00E6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2BC3A-C4E8-4187-94D6-956D896B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62F9F"/>
    <w:pPr>
      <w:spacing w:after="0" w:line="240" w:lineRule="auto"/>
    </w:pPr>
  </w:style>
  <w:style w:type="paragraph" w:styleId="BalloonText">
    <w:name w:val="Balloon Text"/>
    <w:basedOn w:val="Normal"/>
    <w:link w:val="BalloonTextChar"/>
    <w:uiPriority w:val="99"/>
    <w:semiHidden/>
    <w:unhideWhenUsed/>
    <w:rsid w:val="00062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9F"/>
    <w:rPr>
      <w:rFonts w:ascii="Segoe UI" w:hAnsi="Segoe UI" w:cs="Segoe UI"/>
      <w:sz w:val="18"/>
      <w:szCs w:val="18"/>
    </w:rPr>
  </w:style>
  <w:style w:type="paragraph" w:styleId="Header">
    <w:name w:val="header"/>
    <w:basedOn w:val="Normal"/>
    <w:link w:val="HeaderChar"/>
    <w:uiPriority w:val="99"/>
    <w:unhideWhenUsed/>
    <w:rsid w:val="00834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763"/>
  </w:style>
  <w:style w:type="paragraph" w:styleId="Footer">
    <w:name w:val="footer"/>
    <w:basedOn w:val="Normal"/>
    <w:link w:val="FooterChar"/>
    <w:uiPriority w:val="99"/>
    <w:unhideWhenUsed/>
    <w:rsid w:val="00834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763"/>
  </w:style>
  <w:style w:type="table" w:styleId="TableGrid">
    <w:name w:val="Table Grid"/>
    <w:basedOn w:val="TableNormal"/>
    <w:uiPriority w:val="39"/>
    <w:rsid w:val="00023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Stephanie (IDOA)</dc:creator>
  <cp:keywords/>
  <dc:description/>
  <cp:lastModifiedBy>Nelson, Stephanie (IDOA)</cp:lastModifiedBy>
  <cp:revision>14</cp:revision>
  <dcterms:created xsi:type="dcterms:W3CDTF">2019-01-29T13:59:00Z</dcterms:created>
  <dcterms:modified xsi:type="dcterms:W3CDTF">2019-02-11T20:11:00Z</dcterms:modified>
</cp:coreProperties>
</file>