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960" w:rsidRPr="00082960" w:rsidRDefault="009356AD" w:rsidP="00082960">
      <w:pPr>
        <w:rPr>
          <w:rFonts w:asciiTheme="minorHAnsi" w:hAnsiTheme="minorHAnsi"/>
          <w:b/>
          <w:sz w:val="36"/>
          <w:szCs w:val="36"/>
        </w:rPr>
      </w:pPr>
      <w:r>
        <w:rPr>
          <w:rFonts w:asciiTheme="minorHAnsi" w:hAnsiTheme="minorHAnsi"/>
          <w:b/>
          <w:sz w:val="36"/>
          <w:szCs w:val="36"/>
        </w:rPr>
        <w:t xml:space="preserve">Attachment A- </w:t>
      </w:r>
      <w:r w:rsidR="00082960" w:rsidRPr="00082960">
        <w:rPr>
          <w:rFonts w:asciiTheme="minorHAnsi" w:hAnsiTheme="minorHAnsi"/>
          <w:b/>
          <w:sz w:val="36"/>
          <w:szCs w:val="36"/>
        </w:rPr>
        <w:t xml:space="preserve">Specifications </w:t>
      </w:r>
    </w:p>
    <w:p w:rsidR="00082960" w:rsidRPr="00082960" w:rsidRDefault="00082960" w:rsidP="00082960">
      <w:pPr>
        <w:rPr>
          <w:rFonts w:asciiTheme="minorHAnsi" w:hAnsiTheme="minorHAnsi"/>
        </w:rPr>
      </w:pPr>
    </w:p>
    <w:p w:rsidR="00082960" w:rsidRPr="00082960" w:rsidRDefault="00082960" w:rsidP="00082960">
      <w:pPr>
        <w:jc w:val="both"/>
        <w:rPr>
          <w:rFonts w:asciiTheme="minorHAnsi" w:hAnsiTheme="minorHAnsi"/>
        </w:rPr>
      </w:pPr>
      <w:r w:rsidRPr="00082960">
        <w:rPr>
          <w:rFonts w:asciiTheme="minorHAnsi" w:hAnsiTheme="minorHAnsi"/>
        </w:rPr>
        <w:t>Application services to provide and apply the chemicals listed below to control the population of the exotic, pest plant, Kudzu (</w:t>
      </w:r>
      <w:proofErr w:type="spellStart"/>
      <w:r w:rsidRPr="00082960">
        <w:rPr>
          <w:rFonts w:asciiTheme="minorHAnsi" w:hAnsiTheme="minorHAnsi"/>
          <w:i/>
        </w:rPr>
        <w:t>Pueraria</w:t>
      </w:r>
      <w:proofErr w:type="spellEnd"/>
      <w:r w:rsidRPr="00082960">
        <w:rPr>
          <w:rFonts w:asciiTheme="minorHAnsi" w:hAnsiTheme="minorHAnsi"/>
          <w:i/>
        </w:rPr>
        <w:t xml:space="preserve"> </w:t>
      </w:r>
      <w:proofErr w:type="spellStart"/>
      <w:r w:rsidRPr="00082960">
        <w:rPr>
          <w:rFonts w:asciiTheme="minorHAnsi" w:hAnsiTheme="minorHAnsi"/>
          <w:i/>
        </w:rPr>
        <w:t>lobata</w:t>
      </w:r>
      <w:proofErr w:type="spellEnd"/>
      <w:r w:rsidRPr="00082960">
        <w:rPr>
          <w:rFonts w:asciiTheme="minorHAnsi" w:hAnsiTheme="minorHAnsi"/>
        </w:rPr>
        <w:t>) at locations in Indiana (Bartholomew, Clark, Clay, Crawford, Dubois, Floyd, Gibson, Greene, Harrison, Jennings, Knox, Lawrence, Martin, Morgan, Orange, Perry, Posey, Sullivan, Switzerland, Vanderburgh, Warrick and Washington Counties,) per the followi</w:t>
      </w:r>
      <w:bookmarkStart w:id="0" w:name="_GoBack"/>
      <w:bookmarkEnd w:id="0"/>
      <w:r w:rsidRPr="00082960">
        <w:rPr>
          <w:rFonts w:asciiTheme="minorHAnsi" w:hAnsiTheme="minorHAnsi"/>
        </w:rPr>
        <w:t>ng specifications, directions and other information.  A DNR representative from the Division of Entomology &amp; Plant Pathology will provide detailed site information or a visit the site with the contractor prior to any application.</w:t>
      </w:r>
    </w:p>
    <w:p w:rsidR="00082960" w:rsidRDefault="00082960" w:rsidP="00082960">
      <w:pPr>
        <w:rPr>
          <w:rFonts w:asciiTheme="minorHAnsi" w:hAnsiTheme="minorHAnsi"/>
        </w:rPr>
      </w:pPr>
    </w:p>
    <w:p w:rsidR="004720B6" w:rsidRPr="004720B6" w:rsidRDefault="004720B6" w:rsidP="004720B6">
      <w:pPr>
        <w:rPr>
          <w:rFonts w:asciiTheme="minorHAnsi" w:hAnsiTheme="minorHAnsi"/>
          <w:b/>
        </w:rPr>
      </w:pPr>
      <w:r w:rsidRPr="004720B6">
        <w:rPr>
          <w:rFonts w:asciiTheme="minorHAnsi" w:hAnsiTheme="minorHAnsi"/>
          <w:b/>
        </w:rPr>
        <w:t>Price Quotes</w:t>
      </w:r>
    </w:p>
    <w:p w:rsidR="004720B6" w:rsidRDefault="004720B6" w:rsidP="004720B6">
      <w:pPr>
        <w:ind w:left="900" w:hanging="360"/>
        <w:rPr>
          <w:rFonts w:asciiTheme="minorHAnsi" w:hAnsiTheme="minorHAnsi"/>
        </w:rPr>
      </w:pPr>
      <w:r>
        <w:rPr>
          <w:rFonts w:asciiTheme="minorHAnsi" w:hAnsiTheme="minorHAnsi"/>
        </w:rPr>
        <w:t>A. Quoted prices in the Bid List document include all costs associated with treating all sites within the treatment area</w:t>
      </w:r>
      <w:r>
        <w:rPr>
          <w:rFonts w:asciiTheme="minorHAnsi" w:hAnsiTheme="minorHAnsi"/>
        </w:rPr>
        <w:t>(</w:t>
      </w:r>
      <w:r>
        <w:rPr>
          <w:rFonts w:asciiTheme="minorHAnsi" w:hAnsiTheme="minorHAnsi"/>
        </w:rPr>
        <w:t>s</w:t>
      </w:r>
      <w:r>
        <w:rPr>
          <w:rFonts w:asciiTheme="minorHAnsi" w:hAnsiTheme="minorHAnsi"/>
        </w:rPr>
        <w:t>)</w:t>
      </w:r>
      <w:r>
        <w:rPr>
          <w:rFonts w:asciiTheme="minorHAnsi" w:hAnsiTheme="minorHAnsi"/>
        </w:rPr>
        <w:t xml:space="preserve"> Respondent is bidding.  This includes, but is not limited to, travel, materials and labor.</w:t>
      </w:r>
    </w:p>
    <w:p w:rsidR="004720B6" w:rsidRPr="00082960" w:rsidRDefault="004720B6" w:rsidP="004720B6">
      <w:pPr>
        <w:ind w:left="900" w:hanging="360"/>
        <w:rPr>
          <w:rFonts w:asciiTheme="minorHAnsi" w:hAnsiTheme="minorHAnsi"/>
        </w:rPr>
      </w:pPr>
      <w:r>
        <w:rPr>
          <w:rFonts w:asciiTheme="minorHAnsi" w:hAnsiTheme="minorHAnsi"/>
        </w:rPr>
        <w:t xml:space="preserve">B. For sites that may need erosion control, Respondent must include all costs for erosion control erosion, including </w:t>
      </w:r>
      <w:r>
        <w:rPr>
          <w:rFonts w:asciiTheme="minorHAnsi" w:hAnsiTheme="minorHAnsi"/>
        </w:rPr>
        <w:t xml:space="preserve">but not limited to, </w:t>
      </w:r>
      <w:r>
        <w:rPr>
          <w:rFonts w:asciiTheme="minorHAnsi" w:hAnsiTheme="minorHAnsi"/>
        </w:rPr>
        <w:t>materials, labor and travel.</w:t>
      </w:r>
    </w:p>
    <w:p w:rsidR="004720B6" w:rsidRPr="00082960" w:rsidRDefault="004720B6" w:rsidP="00082960">
      <w:pPr>
        <w:rPr>
          <w:rFonts w:asciiTheme="minorHAnsi" w:hAnsiTheme="minorHAnsi"/>
        </w:rPr>
      </w:pPr>
    </w:p>
    <w:p w:rsidR="00082960" w:rsidRPr="00082960" w:rsidRDefault="00082960" w:rsidP="00082960">
      <w:pPr>
        <w:rPr>
          <w:rFonts w:asciiTheme="minorHAnsi" w:hAnsiTheme="minorHAnsi"/>
          <w:b/>
        </w:rPr>
      </w:pPr>
      <w:r w:rsidRPr="00082960">
        <w:rPr>
          <w:rFonts w:asciiTheme="minorHAnsi" w:hAnsiTheme="minorHAnsi"/>
          <w:b/>
        </w:rPr>
        <w:t>Application Services</w:t>
      </w:r>
    </w:p>
    <w:p w:rsidR="00082960" w:rsidRPr="00082960" w:rsidRDefault="00082960" w:rsidP="00082960">
      <w:pPr>
        <w:ind w:left="1080" w:hanging="360"/>
        <w:rPr>
          <w:rFonts w:asciiTheme="minorHAnsi" w:hAnsiTheme="minorHAnsi"/>
        </w:rPr>
      </w:pPr>
      <w:r w:rsidRPr="00082960">
        <w:rPr>
          <w:rFonts w:asciiTheme="minorHAnsi" w:hAnsiTheme="minorHAnsi"/>
        </w:rPr>
        <w:t xml:space="preserve">A. Applications will start on or as close to August 1, 2018 for ideal treatment time.  </w:t>
      </w:r>
    </w:p>
    <w:p w:rsidR="00082960" w:rsidRPr="00082960" w:rsidRDefault="00082960" w:rsidP="00082960">
      <w:pPr>
        <w:ind w:left="1080" w:hanging="360"/>
        <w:rPr>
          <w:rFonts w:asciiTheme="minorHAnsi" w:hAnsiTheme="minorHAnsi"/>
          <w:sz w:val="16"/>
          <w:szCs w:val="16"/>
        </w:rPr>
      </w:pPr>
    </w:p>
    <w:p w:rsidR="00082960" w:rsidRPr="00082960" w:rsidRDefault="00082960" w:rsidP="00082960">
      <w:pPr>
        <w:ind w:left="1080" w:hanging="360"/>
        <w:rPr>
          <w:rFonts w:asciiTheme="minorHAnsi" w:hAnsiTheme="minorHAnsi"/>
        </w:rPr>
      </w:pPr>
      <w:r w:rsidRPr="00082960">
        <w:rPr>
          <w:rFonts w:asciiTheme="minorHAnsi" w:hAnsiTheme="minorHAnsi"/>
        </w:rPr>
        <w:t>B. A representative from the DNR must be present during any application.</w:t>
      </w:r>
      <w:r w:rsidRPr="00082960">
        <w:rPr>
          <w:rFonts w:asciiTheme="minorHAnsi" w:hAnsiTheme="minorHAnsi"/>
        </w:rPr>
        <w:tab/>
        <w:t xml:space="preserve"> The DNR representative will give the order to start, stop or alter application.</w:t>
      </w:r>
    </w:p>
    <w:p w:rsidR="00082960" w:rsidRPr="00082960" w:rsidRDefault="00082960" w:rsidP="00082960">
      <w:pPr>
        <w:ind w:left="1080" w:hanging="360"/>
        <w:rPr>
          <w:rFonts w:asciiTheme="minorHAnsi" w:hAnsiTheme="minorHAnsi"/>
          <w:sz w:val="16"/>
          <w:szCs w:val="16"/>
        </w:rPr>
      </w:pPr>
    </w:p>
    <w:p w:rsidR="00082960" w:rsidRPr="00082960" w:rsidRDefault="00082960" w:rsidP="00082960">
      <w:pPr>
        <w:ind w:left="1080" w:hanging="360"/>
        <w:rPr>
          <w:rFonts w:asciiTheme="minorHAnsi" w:hAnsiTheme="minorHAnsi"/>
        </w:rPr>
      </w:pPr>
      <w:r w:rsidRPr="00082960">
        <w:rPr>
          <w:rFonts w:asciiTheme="minorHAnsi" w:hAnsiTheme="minorHAnsi"/>
        </w:rPr>
        <w:t>C. A list of the 2018 Kudzu treatment sites and their Site Assessments is provided with these specifications.  At this time the treatment will cover the 59 sites listed with a total of 68.22 acres.</w:t>
      </w:r>
    </w:p>
    <w:p w:rsidR="00082960" w:rsidRPr="00082960" w:rsidRDefault="00082960" w:rsidP="00082960">
      <w:pPr>
        <w:ind w:left="1080" w:hanging="360"/>
        <w:rPr>
          <w:rFonts w:asciiTheme="minorHAnsi" w:hAnsiTheme="minorHAnsi"/>
          <w:sz w:val="16"/>
          <w:szCs w:val="16"/>
        </w:rPr>
      </w:pPr>
      <w:r w:rsidRPr="00082960">
        <w:rPr>
          <w:rFonts w:asciiTheme="minorHAnsi" w:hAnsiTheme="minorHAnsi"/>
          <w:sz w:val="16"/>
          <w:szCs w:val="16"/>
        </w:rPr>
        <w:t xml:space="preserve">  </w:t>
      </w:r>
    </w:p>
    <w:p w:rsidR="00082960" w:rsidRPr="00082960" w:rsidRDefault="00082960" w:rsidP="00082960">
      <w:pPr>
        <w:ind w:left="1080" w:hanging="360"/>
        <w:rPr>
          <w:rFonts w:asciiTheme="minorHAnsi" w:hAnsiTheme="minorHAnsi"/>
        </w:rPr>
      </w:pPr>
      <w:r w:rsidRPr="00082960">
        <w:rPr>
          <w:rFonts w:asciiTheme="minorHAnsi" w:hAnsiTheme="minorHAnsi"/>
        </w:rPr>
        <w:t xml:space="preserve">D. Application will consist of one treatment per site.  </w:t>
      </w:r>
    </w:p>
    <w:p w:rsidR="00082960" w:rsidRPr="00082960" w:rsidRDefault="00082960" w:rsidP="00082960">
      <w:pPr>
        <w:ind w:left="1080" w:hanging="360"/>
        <w:rPr>
          <w:rFonts w:asciiTheme="minorHAnsi" w:hAnsiTheme="minorHAnsi"/>
          <w:sz w:val="16"/>
          <w:szCs w:val="16"/>
        </w:rPr>
      </w:pPr>
    </w:p>
    <w:p w:rsidR="00082960" w:rsidRPr="00082960" w:rsidRDefault="00082960" w:rsidP="00082960">
      <w:pPr>
        <w:ind w:left="1080" w:hanging="360"/>
        <w:rPr>
          <w:rFonts w:asciiTheme="minorHAnsi" w:hAnsiTheme="minorHAnsi"/>
        </w:rPr>
      </w:pPr>
      <w:r w:rsidRPr="00082960">
        <w:rPr>
          <w:rFonts w:asciiTheme="minorHAnsi" w:hAnsiTheme="minorHAnsi"/>
        </w:rPr>
        <w:t xml:space="preserve">E. With certain sites, there will be a need to treat with more than one of the approved chemicals listed below.  This will depend on the assessment of each site and will be approved by the DNR representative.   </w:t>
      </w:r>
    </w:p>
    <w:p w:rsidR="00082960" w:rsidRPr="00082960" w:rsidRDefault="00082960" w:rsidP="00082960">
      <w:pPr>
        <w:ind w:left="1080" w:hanging="360"/>
        <w:rPr>
          <w:rFonts w:asciiTheme="minorHAnsi" w:hAnsiTheme="minorHAnsi"/>
          <w:sz w:val="16"/>
          <w:szCs w:val="16"/>
        </w:rPr>
      </w:pPr>
    </w:p>
    <w:p w:rsidR="00082960" w:rsidRPr="00082960" w:rsidRDefault="00082960" w:rsidP="00082960">
      <w:pPr>
        <w:ind w:left="720"/>
        <w:rPr>
          <w:rFonts w:asciiTheme="minorHAnsi" w:hAnsiTheme="minorHAnsi"/>
        </w:rPr>
      </w:pPr>
      <w:r w:rsidRPr="00082960">
        <w:rPr>
          <w:rFonts w:asciiTheme="minorHAnsi" w:hAnsiTheme="minorHAnsi"/>
        </w:rPr>
        <w:t xml:space="preserve">F.  The contractor will maintain treatment records for a minimum of two years from the date of application. The record must include a minimum of application date, site name, number of acres treated, herbicide trade name and formulation, active ingredient, EPA registration number, name of manufacturer, rate of application, total amount of chemical used, , company name, name of applicator, methods of application, weather conditions and difficulties encountered.  </w:t>
      </w:r>
      <w:r w:rsidRPr="00082960">
        <w:rPr>
          <w:rFonts w:asciiTheme="minorHAnsi" w:hAnsiTheme="minorHAnsi"/>
          <w:b/>
        </w:rPr>
        <w:t>A copy of contractor application records for all sites will be provided to the DNR once all treatments have been conducted</w:t>
      </w:r>
      <w:r w:rsidRPr="00082960">
        <w:rPr>
          <w:rFonts w:asciiTheme="minorHAnsi" w:hAnsiTheme="minorHAnsi"/>
        </w:rPr>
        <w:t xml:space="preserve">. </w:t>
      </w:r>
    </w:p>
    <w:p w:rsidR="00082960" w:rsidRPr="00082960" w:rsidRDefault="00082960" w:rsidP="00082960">
      <w:pPr>
        <w:ind w:left="1080" w:hanging="360"/>
        <w:rPr>
          <w:rFonts w:asciiTheme="minorHAnsi" w:hAnsiTheme="minorHAnsi"/>
          <w:sz w:val="16"/>
          <w:szCs w:val="16"/>
        </w:rPr>
      </w:pPr>
    </w:p>
    <w:p w:rsidR="00082960" w:rsidRPr="00082960" w:rsidRDefault="00082960" w:rsidP="00082960">
      <w:pPr>
        <w:ind w:left="1080" w:hanging="360"/>
        <w:rPr>
          <w:rFonts w:asciiTheme="minorHAnsi" w:hAnsiTheme="minorHAnsi"/>
        </w:rPr>
      </w:pPr>
      <w:r w:rsidRPr="00082960">
        <w:rPr>
          <w:rFonts w:asciiTheme="minorHAnsi" w:hAnsiTheme="minorHAnsi"/>
        </w:rPr>
        <w:t>G. The contractor must have CHEM TREC and all emergency phone numbers on site before any applications are performed.</w:t>
      </w:r>
    </w:p>
    <w:p w:rsidR="00082960" w:rsidRPr="00082960" w:rsidRDefault="00082960" w:rsidP="00082960">
      <w:pPr>
        <w:ind w:left="1080" w:hanging="360"/>
        <w:rPr>
          <w:rFonts w:asciiTheme="minorHAnsi" w:hAnsiTheme="minorHAnsi"/>
        </w:rPr>
      </w:pPr>
    </w:p>
    <w:p w:rsidR="00082960" w:rsidRPr="00082960" w:rsidRDefault="00082960" w:rsidP="00082960">
      <w:pPr>
        <w:ind w:left="1080" w:hanging="360"/>
        <w:rPr>
          <w:rFonts w:asciiTheme="minorHAnsi" w:hAnsiTheme="minorHAnsi"/>
          <w:b/>
        </w:rPr>
      </w:pPr>
      <w:r w:rsidRPr="00082960">
        <w:rPr>
          <w:rFonts w:asciiTheme="minorHAnsi" w:hAnsiTheme="minorHAnsi"/>
        </w:rPr>
        <w:lastRenderedPageBreak/>
        <w:t xml:space="preserve">H. The contractor must provide a written standard operating procedure/ emergency spill plan for handling all pesticide spills of any size.  </w:t>
      </w:r>
      <w:r w:rsidRPr="00082960">
        <w:rPr>
          <w:rFonts w:asciiTheme="minorHAnsi" w:hAnsiTheme="minorHAnsi"/>
          <w:b/>
        </w:rPr>
        <w:t>This SOP will be provided to the DNR, Division of Entomology prior to any pesticide applications.</w:t>
      </w:r>
    </w:p>
    <w:p w:rsidR="00082960" w:rsidRPr="00082960" w:rsidRDefault="00082960" w:rsidP="00082960">
      <w:pPr>
        <w:ind w:left="1080" w:hanging="360"/>
        <w:rPr>
          <w:rFonts w:asciiTheme="minorHAnsi" w:hAnsiTheme="minorHAnsi"/>
          <w:b/>
        </w:rPr>
      </w:pPr>
    </w:p>
    <w:p w:rsidR="00082960" w:rsidRDefault="00082960" w:rsidP="00082960">
      <w:pPr>
        <w:numPr>
          <w:ilvl w:val="0"/>
          <w:numId w:val="5"/>
        </w:numPr>
        <w:ind w:left="1080" w:hanging="360"/>
        <w:rPr>
          <w:rFonts w:asciiTheme="minorHAnsi" w:hAnsiTheme="minorHAnsi"/>
          <w:b/>
        </w:rPr>
      </w:pPr>
      <w:r w:rsidRPr="00082960">
        <w:rPr>
          <w:rFonts w:asciiTheme="minorHAnsi" w:hAnsiTheme="minorHAnsi"/>
          <w:b/>
        </w:rPr>
        <w:t xml:space="preserve">The contractor and applicators will follow all guidelines in the DNR Work &amp; Safety Plan  </w:t>
      </w:r>
    </w:p>
    <w:p w:rsidR="00082960" w:rsidRPr="00082960" w:rsidRDefault="00082960" w:rsidP="00082960">
      <w:pPr>
        <w:ind w:left="1080"/>
        <w:rPr>
          <w:rFonts w:asciiTheme="minorHAnsi" w:hAnsiTheme="minorHAnsi"/>
          <w:b/>
        </w:rPr>
      </w:pPr>
    </w:p>
    <w:p w:rsidR="00082960" w:rsidRPr="00082960" w:rsidRDefault="00082960" w:rsidP="00082960">
      <w:pPr>
        <w:ind w:left="720"/>
        <w:rPr>
          <w:rFonts w:asciiTheme="minorHAnsi" w:hAnsiTheme="minorHAnsi"/>
        </w:rPr>
      </w:pPr>
      <w:r w:rsidRPr="00082960">
        <w:rPr>
          <w:rFonts w:asciiTheme="minorHAnsi" w:hAnsiTheme="minorHAnsi"/>
        </w:rPr>
        <w:t>J</w:t>
      </w:r>
      <w:r w:rsidRPr="00082960">
        <w:rPr>
          <w:rFonts w:asciiTheme="minorHAnsi" w:hAnsiTheme="minorHAnsi"/>
          <w:b/>
        </w:rPr>
        <w:t xml:space="preserve">.  </w:t>
      </w:r>
      <w:r w:rsidRPr="00082960">
        <w:rPr>
          <w:rFonts w:asciiTheme="minorHAnsi" w:hAnsiTheme="minorHAnsi"/>
        </w:rPr>
        <w:t xml:space="preserve">The contractor may need to conduct erosion work or significant amounts </w:t>
      </w:r>
    </w:p>
    <w:p w:rsidR="00082960" w:rsidRPr="00082960" w:rsidRDefault="00082960" w:rsidP="00082960">
      <w:pPr>
        <w:ind w:left="720"/>
        <w:rPr>
          <w:rFonts w:asciiTheme="minorHAnsi" w:hAnsiTheme="minorHAnsi"/>
        </w:rPr>
      </w:pPr>
      <w:r w:rsidRPr="00082960">
        <w:rPr>
          <w:rFonts w:asciiTheme="minorHAnsi" w:hAnsiTheme="minorHAnsi"/>
        </w:rPr>
        <w:t xml:space="preserve">     </w:t>
      </w:r>
      <w:proofErr w:type="gramStart"/>
      <w:r w:rsidRPr="00082960">
        <w:rPr>
          <w:rFonts w:asciiTheme="minorHAnsi" w:hAnsiTheme="minorHAnsi"/>
        </w:rPr>
        <w:t>of</w:t>
      </w:r>
      <w:proofErr w:type="gramEnd"/>
      <w:r w:rsidRPr="00082960">
        <w:rPr>
          <w:rFonts w:asciiTheme="minorHAnsi" w:hAnsiTheme="minorHAnsi"/>
        </w:rPr>
        <w:t xml:space="preserve"> brush removal at specific sites.  </w:t>
      </w:r>
      <w:r w:rsidRPr="00082960">
        <w:rPr>
          <w:rFonts w:asciiTheme="minorHAnsi" w:hAnsiTheme="minorHAnsi"/>
          <w:b/>
        </w:rPr>
        <w:t>See quote sheets</w:t>
      </w:r>
      <w:r w:rsidRPr="00082960">
        <w:rPr>
          <w:rFonts w:asciiTheme="minorHAnsi" w:hAnsiTheme="minorHAnsi"/>
        </w:rPr>
        <w:t xml:space="preserve">. </w:t>
      </w:r>
    </w:p>
    <w:p w:rsidR="00082960" w:rsidRPr="00082960" w:rsidRDefault="00082960" w:rsidP="00082960">
      <w:pPr>
        <w:ind w:left="990" w:hanging="270"/>
        <w:rPr>
          <w:rFonts w:asciiTheme="minorHAnsi" w:hAnsiTheme="minorHAnsi"/>
        </w:rPr>
      </w:pPr>
    </w:p>
    <w:p w:rsidR="00082960" w:rsidRPr="00082960" w:rsidRDefault="00082960" w:rsidP="00082960">
      <w:pPr>
        <w:rPr>
          <w:rFonts w:asciiTheme="minorHAnsi" w:hAnsiTheme="minorHAnsi"/>
          <w:b/>
        </w:rPr>
      </w:pPr>
      <w:r w:rsidRPr="00082960">
        <w:rPr>
          <w:rFonts w:asciiTheme="minorHAnsi" w:hAnsiTheme="minorHAnsi"/>
          <w:b/>
        </w:rPr>
        <w:t>Herbicide</w:t>
      </w:r>
    </w:p>
    <w:p w:rsidR="00082960" w:rsidRPr="00082960" w:rsidRDefault="00082960" w:rsidP="00082960">
      <w:pPr>
        <w:numPr>
          <w:ilvl w:val="0"/>
          <w:numId w:val="2"/>
        </w:numPr>
        <w:rPr>
          <w:rFonts w:asciiTheme="minorHAnsi" w:hAnsiTheme="minorHAnsi"/>
        </w:rPr>
      </w:pPr>
      <w:r w:rsidRPr="00082960">
        <w:rPr>
          <w:rFonts w:asciiTheme="minorHAnsi" w:hAnsiTheme="minorHAnsi"/>
        </w:rPr>
        <w:t>Herbicides that may be used and must be labeled for kudzu:</w:t>
      </w:r>
    </w:p>
    <w:p w:rsidR="00082960" w:rsidRPr="00082960" w:rsidRDefault="00082960" w:rsidP="00082960">
      <w:pPr>
        <w:numPr>
          <w:ilvl w:val="1"/>
          <w:numId w:val="2"/>
        </w:numPr>
        <w:rPr>
          <w:rFonts w:asciiTheme="minorHAnsi" w:hAnsiTheme="minorHAnsi"/>
        </w:rPr>
      </w:pPr>
      <w:proofErr w:type="spellStart"/>
      <w:r w:rsidRPr="00082960">
        <w:rPr>
          <w:rFonts w:asciiTheme="minorHAnsi" w:hAnsiTheme="minorHAnsi"/>
        </w:rPr>
        <w:t>Clopyralid</w:t>
      </w:r>
      <w:proofErr w:type="spellEnd"/>
    </w:p>
    <w:p w:rsidR="00082960" w:rsidRPr="00082960" w:rsidRDefault="00082960" w:rsidP="00082960">
      <w:pPr>
        <w:numPr>
          <w:ilvl w:val="1"/>
          <w:numId w:val="2"/>
        </w:numPr>
        <w:rPr>
          <w:rFonts w:asciiTheme="minorHAnsi" w:hAnsiTheme="minorHAnsi"/>
        </w:rPr>
      </w:pPr>
      <w:r w:rsidRPr="00082960">
        <w:rPr>
          <w:rFonts w:asciiTheme="minorHAnsi" w:hAnsiTheme="minorHAnsi"/>
        </w:rPr>
        <w:t>Glyphosate</w:t>
      </w:r>
    </w:p>
    <w:p w:rsidR="00082960" w:rsidRPr="00082960" w:rsidRDefault="00082960" w:rsidP="00082960">
      <w:pPr>
        <w:numPr>
          <w:ilvl w:val="1"/>
          <w:numId w:val="2"/>
        </w:numPr>
        <w:rPr>
          <w:rFonts w:asciiTheme="minorHAnsi" w:hAnsiTheme="minorHAnsi"/>
        </w:rPr>
      </w:pPr>
      <w:proofErr w:type="spellStart"/>
      <w:r w:rsidRPr="00082960">
        <w:rPr>
          <w:rFonts w:asciiTheme="minorHAnsi" w:hAnsiTheme="minorHAnsi"/>
        </w:rPr>
        <w:t>Metsulfuron</w:t>
      </w:r>
      <w:proofErr w:type="spellEnd"/>
      <w:r w:rsidRPr="00082960">
        <w:rPr>
          <w:rFonts w:asciiTheme="minorHAnsi" w:hAnsiTheme="minorHAnsi"/>
        </w:rPr>
        <w:t xml:space="preserve"> methyl: Spot treatment only</w:t>
      </w:r>
    </w:p>
    <w:p w:rsidR="00082960" w:rsidRPr="00082960" w:rsidRDefault="00082960" w:rsidP="00082960">
      <w:pPr>
        <w:numPr>
          <w:ilvl w:val="1"/>
          <w:numId w:val="2"/>
        </w:numPr>
        <w:rPr>
          <w:rFonts w:asciiTheme="minorHAnsi" w:hAnsiTheme="minorHAnsi"/>
        </w:rPr>
      </w:pPr>
      <w:proofErr w:type="spellStart"/>
      <w:r w:rsidRPr="00082960">
        <w:rPr>
          <w:rFonts w:asciiTheme="minorHAnsi" w:hAnsiTheme="minorHAnsi"/>
        </w:rPr>
        <w:t>Triclopyr</w:t>
      </w:r>
      <w:proofErr w:type="spellEnd"/>
    </w:p>
    <w:p w:rsidR="00082960" w:rsidRPr="00082960" w:rsidRDefault="00082960" w:rsidP="00082960">
      <w:pPr>
        <w:numPr>
          <w:ilvl w:val="0"/>
          <w:numId w:val="2"/>
        </w:numPr>
        <w:rPr>
          <w:rFonts w:asciiTheme="minorHAnsi" w:hAnsiTheme="minorHAnsi"/>
        </w:rPr>
      </w:pPr>
      <w:r w:rsidRPr="00082960">
        <w:rPr>
          <w:rFonts w:asciiTheme="minorHAnsi" w:hAnsiTheme="minorHAnsi"/>
        </w:rPr>
        <w:t xml:space="preserve">The contractor will supply the herbicides needed for this contract.  </w:t>
      </w:r>
    </w:p>
    <w:p w:rsidR="00082960" w:rsidRPr="00082960" w:rsidRDefault="00082960" w:rsidP="00082960">
      <w:pPr>
        <w:numPr>
          <w:ilvl w:val="0"/>
          <w:numId w:val="2"/>
        </w:numPr>
        <w:rPr>
          <w:rFonts w:asciiTheme="minorHAnsi" w:hAnsiTheme="minorHAnsi"/>
        </w:rPr>
      </w:pPr>
      <w:r w:rsidRPr="00082960">
        <w:rPr>
          <w:rFonts w:asciiTheme="minorHAnsi" w:hAnsiTheme="minorHAnsi"/>
        </w:rPr>
        <w:t xml:space="preserve">A representative from DNR will select the type of herbicides applied to each site. </w:t>
      </w:r>
    </w:p>
    <w:p w:rsidR="00082960" w:rsidRPr="00082960" w:rsidRDefault="00082960" w:rsidP="00082960">
      <w:pPr>
        <w:ind w:left="720"/>
        <w:rPr>
          <w:rFonts w:asciiTheme="minorHAnsi" w:hAnsiTheme="minorHAnsi"/>
        </w:rPr>
      </w:pPr>
    </w:p>
    <w:p w:rsidR="00082960" w:rsidRPr="00082960" w:rsidRDefault="00082960" w:rsidP="00082960">
      <w:pPr>
        <w:rPr>
          <w:rFonts w:asciiTheme="minorHAnsi" w:hAnsiTheme="minorHAnsi"/>
          <w:b/>
        </w:rPr>
      </w:pPr>
      <w:r w:rsidRPr="00082960">
        <w:rPr>
          <w:rFonts w:asciiTheme="minorHAnsi" w:hAnsiTheme="minorHAnsi"/>
          <w:b/>
        </w:rPr>
        <w:t>Licenses:</w:t>
      </w:r>
    </w:p>
    <w:p w:rsidR="00082960" w:rsidRPr="00082960" w:rsidRDefault="00082960" w:rsidP="00082960">
      <w:pPr>
        <w:numPr>
          <w:ilvl w:val="0"/>
          <w:numId w:val="1"/>
        </w:numPr>
        <w:rPr>
          <w:rFonts w:asciiTheme="minorHAnsi" w:hAnsiTheme="minorHAnsi"/>
        </w:rPr>
      </w:pPr>
      <w:r w:rsidRPr="00082960">
        <w:rPr>
          <w:rFonts w:asciiTheme="minorHAnsi" w:hAnsiTheme="minorHAnsi"/>
        </w:rPr>
        <w:t>The contracting business must have employees that have a current Indiana Pesticide Applicator’s Licenses in the appropriate category and associated liability Insurance for each site.  The employees of the contractor overseeing and/or conducting herbicide applications will need all of the following: 2- Forestry; 3a-Ornamental; 6-Right of Way to complete all of the sites.</w:t>
      </w:r>
    </w:p>
    <w:p w:rsidR="00082960" w:rsidRPr="00082960" w:rsidRDefault="00082960" w:rsidP="00082960">
      <w:pPr>
        <w:ind w:left="720"/>
        <w:rPr>
          <w:rFonts w:asciiTheme="minorHAnsi" w:hAnsiTheme="minorHAnsi"/>
          <w:sz w:val="16"/>
          <w:szCs w:val="16"/>
        </w:rPr>
      </w:pPr>
    </w:p>
    <w:p w:rsidR="00082960" w:rsidRPr="00082960" w:rsidRDefault="00082960" w:rsidP="00082960">
      <w:pPr>
        <w:numPr>
          <w:ilvl w:val="0"/>
          <w:numId w:val="1"/>
        </w:numPr>
        <w:rPr>
          <w:rFonts w:asciiTheme="minorHAnsi" w:hAnsiTheme="minorHAnsi"/>
        </w:rPr>
      </w:pPr>
      <w:r w:rsidRPr="00082960">
        <w:rPr>
          <w:rFonts w:asciiTheme="minorHAnsi" w:hAnsiTheme="minorHAnsi"/>
        </w:rPr>
        <w:t xml:space="preserve">Applicators and contractor employees must be fully trained and certified according to I.C. 15-3-3.6. According to I.C. 15-3-3.6 the contractor must have a valid form of financial responsibility.  </w:t>
      </w:r>
    </w:p>
    <w:p w:rsidR="00082960" w:rsidRPr="00082960" w:rsidRDefault="00082960" w:rsidP="00082960">
      <w:pPr>
        <w:ind w:left="720"/>
        <w:rPr>
          <w:rFonts w:asciiTheme="minorHAnsi" w:hAnsiTheme="minorHAnsi"/>
          <w:sz w:val="16"/>
          <w:szCs w:val="16"/>
        </w:rPr>
      </w:pPr>
    </w:p>
    <w:p w:rsidR="00082960" w:rsidRPr="00082960" w:rsidRDefault="00082960" w:rsidP="00082960">
      <w:pPr>
        <w:numPr>
          <w:ilvl w:val="0"/>
          <w:numId w:val="1"/>
        </w:numPr>
        <w:rPr>
          <w:rFonts w:asciiTheme="minorHAnsi" w:hAnsiTheme="minorHAnsi"/>
        </w:rPr>
      </w:pPr>
      <w:r w:rsidRPr="00082960">
        <w:rPr>
          <w:rFonts w:asciiTheme="minorHAnsi" w:hAnsiTheme="minorHAnsi"/>
        </w:rPr>
        <w:t xml:space="preserve">The applicator assumes all responsibility for damage occurred from the application of herbicide. </w:t>
      </w:r>
    </w:p>
    <w:p w:rsidR="00082960" w:rsidRPr="00082960" w:rsidRDefault="00082960" w:rsidP="00082960">
      <w:pPr>
        <w:ind w:left="720"/>
        <w:rPr>
          <w:rFonts w:asciiTheme="minorHAnsi" w:hAnsiTheme="minorHAnsi"/>
          <w:sz w:val="16"/>
          <w:szCs w:val="16"/>
        </w:rPr>
      </w:pPr>
    </w:p>
    <w:p w:rsidR="00082960" w:rsidRPr="00082960" w:rsidRDefault="00082960" w:rsidP="00082960">
      <w:pPr>
        <w:numPr>
          <w:ilvl w:val="0"/>
          <w:numId w:val="1"/>
        </w:numPr>
        <w:rPr>
          <w:rFonts w:asciiTheme="minorHAnsi" w:hAnsiTheme="minorHAnsi"/>
        </w:rPr>
      </w:pPr>
      <w:r w:rsidRPr="00082960">
        <w:rPr>
          <w:rFonts w:asciiTheme="minorHAnsi" w:hAnsiTheme="minorHAnsi"/>
        </w:rPr>
        <w:t>The contractor is responsible for obtaining all necessary permits and licenses.</w:t>
      </w:r>
    </w:p>
    <w:p w:rsidR="00082960" w:rsidRPr="00082960" w:rsidRDefault="00082960" w:rsidP="00082960">
      <w:pPr>
        <w:rPr>
          <w:rFonts w:asciiTheme="minorHAnsi" w:hAnsiTheme="minorHAnsi"/>
        </w:rPr>
      </w:pPr>
    </w:p>
    <w:p w:rsidR="00082960" w:rsidRPr="00082960" w:rsidRDefault="00082960" w:rsidP="00082960">
      <w:pPr>
        <w:rPr>
          <w:rFonts w:asciiTheme="minorHAnsi" w:hAnsiTheme="minorHAnsi"/>
          <w:b/>
        </w:rPr>
      </w:pPr>
      <w:r w:rsidRPr="00082960">
        <w:rPr>
          <w:rFonts w:asciiTheme="minorHAnsi" w:hAnsiTheme="minorHAnsi"/>
          <w:b/>
        </w:rPr>
        <w:t>Application experience:</w:t>
      </w:r>
    </w:p>
    <w:p w:rsidR="00082960" w:rsidRPr="00082960" w:rsidRDefault="00082960" w:rsidP="00082960">
      <w:pPr>
        <w:numPr>
          <w:ilvl w:val="0"/>
          <w:numId w:val="4"/>
        </w:numPr>
        <w:rPr>
          <w:rFonts w:asciiTheme="minorHAnsi" w:hAnsiTheme="minorHAnsi"/>
        </w:rPr>
      </w:pPr>
      <w:r w:rsidRPr="00082960">
        <w:rPr>
          <w:rFonts w:asciiTheme="minorHAnsi" w:hAnsiTheme="minorHAnsi"/>
        </w:rPr>
        <w:t>The applicator must demonstrate adequate plant identification skills and be familiar with Indiana plant species or Kudzu.</w:t>
      </w:r>
    </w:p>
    <w:p w:rsidR="00082960" w:rsidRPr="00082960" w:rsidRDefault="00082960" w:rsidP="00082960">
      <w:pPr>
        <w:numPr>
          <w:ilvl w:val="0"/>
          <w:numId w:val="4"/>
        </w:numPr>
        <w:rPr>
          <w:rFonts w:asciiTheme="minorHAnsi" w:hAnsiTheme="minorHAnsi"/>
        </w:rPr>
      </w:pPr>
      <w:r w:rsidRPr="00082960">
        <w:rPr>
          <w:rFonts w:asciiTheme="minorHAnsi" w:hAnsiTheme="minorHAnsi"/>
        </w:rPr>
        <w:t xml:space="preserve">Experience with Kudzu is preferred.  </w:t>
      </w:r>
    </w:p>
    <w:p w:rsidR="00082960" w:rsidRPr="00082960" w:rsidRDefault="00082960" w:rsidP="00082960">
      <w:pPr>
        <w:numPr>
          <w:ilvl w:val="0"/>
          <w:numId w:val="4"/>
        </w:numPr>
        <w:rPr>
          <w:rFonts w:asciiTheme="minorHAnsi" w:hAnsiTheme="minorHAnsi"/>
        </w:rPr>
      </w:pPr>
      <w:r w:rsidRPr="00082960">
        <w:rPr>
          <w:rFonts w:asciiTheme="minorHAnsi" w:hAnsiTheme="minorHAnsi"/>
        </w:rPr>
        <w:t xml:space="preserve">Experience with sensitive sites is preferred.  </w:t>
      </w:r>
    </w:p>
    <w:p w:rsidR="00082960" w:rsidRPr="00082960" w:rsidRDefault="00082960" w:rsidP="00082960">
      <w:pPr>
        <w:numPr>
          <w:ilvl w:val="0"/>
          <w:numId w:val="4"/>
        </w:numPr>
        <w:rPr>
          <w:rFonts w:asciiTheme="minorHAnsi" w:hAnsiTheme="minorHAnsi"/>
        </w:rPr>
      </w:pPr>
      <w:r w:rsidRPr="00082960">
        <w:rPr>
          <w:rFonts w:asciiTheme="minorHAnsi" w:hAnsiTheme="minorHAnsi"/>
        </w:rPr>
        <w:t>The contractor must demonstrate experience in restoration of native lands.</w:t>
      </w:r>
    </w:p>
    <w:p w:rsidR="00082960" w:rsidRPr="00082960" w:rsidRDefault="00082960" w:rsidP="00082960">
      <w:pPr>
        <w:rPr>
          <w:rFonts w:asciiTheme="minorHAnsi" w:hAnsiTheme="minorHAnsi"/>
        </w:rPr>
      </w:pPr>
      <w:r w:rsidRPr="00082960">
        <w:rPr>
          <w:rFonts w:asciiTheme="minorHAnsi" w:hAnsiTheme="minorHAnsi"/>
        </w:rPr>
        <w:tab/>
      </w:r>
    </w:p>
    <w:p w:rsidR="00082960" w:rsidRPr="00082960" w:rsidRDefault="00082960" w:rsidP="00082960">
      <w:pPr>
        <w:rPr>
          <w:rFonts w:asciiTheme="minorHAnsi" w:hAnsiTheme="minorHAnsi"/>
          <w:b/>
        </w:rPr>
      </w:pPr>
      <w:r w:rsidRPr="00082960">
        <w:rPr>
          <w:rFonts w:asciiTheme="minorHAnsi" w:hAnsiTheme="minorHAnsi"/>
          <w:b/>
        </w:rPr>
        <w:t>Equipment</w:t>
      </w:r>
    </w:p>
    <w:p w:rsidR="00082960" w:rsidRPr="00082960" w:rsidRDefault="00082960" w:rsidP="00082960">
      <w:pPr>
        <w:ind w:left="1080" w:hanging="360"/>
        <w:rPr>
          <w:rFonts w:asciiTheme="minorHAnsi" w:hAnsiTheme="minorHAnsi"/>
        </w:rPr>
      </w:pPr>
      <w:r w:rsidRPr="00082960">
        <w:rPr>
          <w:rFonts w:asciiTheme="minorHAnsi" w:hAnsiTheme="minorHAnsi"/>
        </w:rPr>
        <w:t>A.</w:t>
      </w:r>
      <w:r w:rsidRPr="00082960">
        <w:rPr>
          <w:rFonts w:asciiTheme="minorHAnsi" w:hAnsiTheme="minorHAnsi"/>
        </w:rPr>
        <w:tab/>
        <w:t xml:space="preserve">Contractor must utilize equipment with sufficient capacity to complete the work to the states specifications.  Contractor needs to have at least a 50 Gallon spray tank </w:t>
      </w:r>
      <w:r w:rsidRPr="00082960">
        <w:rPr>
          <w:rFonts w:asciiTheme="minorHAnsi" w:hAnsiTheme="minorHAnsi"/>
        </w:rPr>
        <w:lastRenderedPageBreak/>
        <w:t>and have the ability to transport 1,000 gallons of water to large kudzu sites and have the ability to spray 40 feet into trees.  Spray hose length of 100 feet required for large sites with 300 feet preferred.</w:t>
      </w:r>
    </w:p>
    <w:p w:rsidR="00082960" w:rsidRPr="00082960" w:rsidRDefault="00082960" w:rsidP="00082960">
      <w:pPr>
        <w:ind w:left="1080" w:hanging="360"/>
        <w:rPr>
          <w:rFonts w:asciiTheme="minorHAnsi" w:hAnsiTheme="minorHAnsi"/>
          <w:sz w:val="16"/>
          <w:szCs w:val="16"/>
        </w:rPr>
      </w:pPr>
    </w:p>
    <w:p w:rsidR="00082960" w:rsidRPr="00082960" w:rsidRDefault="00082960" w:rsidP="00082960">
      <w:pPr>
        <w:ind w:left="1080" w:hanging="360"/>
        <w:rPr>
          <w:rFonts w:asciiTheme="minorHAnsi" w:hAnsiTheme="minorHAnsi"/>
        </w:rPr>
      </w:pPr>
      <w:r w:rsidRPr="00082960">
        <w:rPr>
          <w:rFonts w:asciiTheme="minorHAnsi" w:hAnsiTheme="minorHAnsi"/>
        </w:rPr>
        <w:t xml:space="preserve">B. The contractor must provide the application equipment necessary for each herbicide used for each kudzu site.  </w:t>
      </w:r>
    </w:p>
    <w:p w:rsidR="00082960" w:rsidRPr="00082960" w:rsidRDefault="00082960" w:rsidP="00082960">
      <w:pPr>
        <w:ind w:left="1080" w:hanging="360"/>
        <w:rPr>
          <w:rFonts w:asciiTheme="minorHAnsi" w:hAnsiTheme="minorHAnsi"/>
        </w:rPr>
      </w:pPr>
      <w:r w:rsidRPr="00082960">
        <w:rPr>
          <w:rFonts w:asciiTheme="minorHAnsi" w:hAnsiTheme="minorHAnsi"/>
        </w:rPr>
        <w:t>C. Application equipment must be maintained by the contractor and be in a safe operating condition.  Any accidents that result from faulty equipment or applicator negligence will be the sole responsibility of the contractor.</w:t>
      </w:r>
    </w:p>
    <w:p w:rsidR="00082960" w:rsidRPr="00082960" w:rsidRDefault="00082960" w:rsidP="00082960">
      <w:pPr>
        <w:ind w:left="1080" w:hanging="360"/>
        <w:rPr>
          <w:rFonts w:asciiTheme="minorHAnsi" w:hAnsiTheme="minorHAnsi"/>
          <w:sz w:val="16"/>
          <w:szCs w:val="16"/>
        </w:rPr>
      </w:pPr>
    </w:p>
    <w:p w:rsidR="00082960" w:rsidRPr="00082960" w:rsidRDefault="00082960" w:rsidP="00082960">
      <w:pPr>
        <w:ind w:left="1080" w:hanging="360"/>
        <w:rPr>
          <w:rFonts w:asciiTheme="minorHAnsi" w:hAnsiTheme="minorHAnsi"/>
        </w:rPr>
      </w:pPr>
      <w:r w:rsidRPr="00082960">
        <w:rPr>
          <w:rFonts w:asciiTheme="minorHAnsi" w:hAnsiTheme="minorHAnsi"/>
        </w:rPr>
        <w:t xml:space="preserve">D. All application equipment must be free of kudzu propagules and soil before being transported from a site. The DNR representative will inspect vehicles and equipment before it is transported off of the site. </w:t>
      </w:r>
    </w:p>
    <w:p w:rsidR="00082960" w:rsidRPr="00082960" w:rsidRDefault="00082960" w:rsidP="00082960">
      <w:pPr>
        <w:ind w:left="1080" w:hanging="360"/>
        <w:rPr>
          <w:rFonts w:asciiTheme="minorHAnsi" w:hAnsiTheme="minorHAnsi"/>
          <w:sz w:val="16"/>
          <w:szCs w:val="16"/>
        </w:rPr>
      </w:pPr>
    </w:p>
    <w:p w:rsidR="00082960" w:rsidRPr="00082960" w:rsidRDefault="00082960" w:rsidP="00082960">
      <w:pPr>
        <w:rPr>
          <w:rFonts w:asciiTheme="minorHAnsi" w:hAnsiTheme="minorHAnsi"/>
          <w:b/>
        </w:rPr>
      </w:pPr>
      <w:r w:rsidRPr="00082960">
        <w:rPr>
          <w:rFonts w:asciiTheme="minorHAnsi" w:hAnsiTheme="minorHAnsi"/>
          <w:b/>
        </w:rPr>
        <w:t>Safety:</w:t>
      </w:r>
    </w:p>
    <w:p w:rsidR="00082960" w:rsidRPr="00082960" w:rsidRDefault="00082960" w:rsidP="00082960">
      <w:pPr>
        <w:numPr>
          <w:ilvl w:val="0"/>
          <w:numId w:val="3"/>
        </w:numPr>
        <w:rPr>
          <w:rFonts w:asciiTheme="minorHAnsi" w:hAnsiTheme="minorHAnsi"/>
        </w:rPr>
      </w:pPr>
      <w:r w:rsidRPr="00082960">
        <w:rPr>
          <w:rFonts w:asciiTheme="minorHAnsi" w:hAnsiTheme="minorHAnsi"/>
        </w:rPr>
        <w:t>Spray equipment cleansing:</w:t>
      </w:r>
    </w:p>
    <w:p w:rsidR="00082960" w:rsidRPr="00082960" w:rsidRDefault="00082960" w:rsidP="00082960">
      <w:pPr>
        <w:numPr>
          <w:ilvl w:val="1"/>
          <w:numId w:val="3"/>
        </w:numPr>
        <w:rPr>
          <w:rFonts w:asciiTheme="minorHAnsi" w:hAnsiTheme="minorHAnsi"/>
        </w:rPr>
      </w:pPr>
      <w:r w:rsidRPr="00082960">
        <w:rPr>
          <w:rFonts w:asciiTheme="minorHAnsi" w:hAnsiTheme="minorHAnsi"/>
        </w:rPr>
        <w:t>All parts of the spray equipment must be tripled rinsed internally before loading herbicide for the application to prevent prior herbicide from contaminating the herbicide using for that site or the site area environment.</w:t>
      </w:r>
    </w:p>
    <w:p w:rsidR="00082960" w:rsidRPr="00082960" w:rsidRDefault="00082960" w:rsidP="00082960">
      <w:pPr>
        <w:ind w:left="1440"/>
        <w:rPr>
          <w:rFonts w:asciiTheme="minorHAnsi" w:hAnsiTheme="minorHAnsi"/>
          <w:sz w:val="16"/>
          <w:szCs w:val="16"/>
        </w:rPr>
      </w:pPr>
    </w:p>
    <w:p w:rsidR="00082960" w:rsidRPr="00082960" w:rsidRDefault="00082960" w:rsidP="00082960">
      <w:pPr>
        <w:numPr>
          <w:ilvl w:val="0"/>
          <w:numId w:val="3"/>
        </w:numPr>
        <w:rPr>
          <w:rFonts w:asciiTheme="minorHAnsi" w:hAnsiTheme="minorHAnsi"/>
        </w:rPr>
      </w:pPr>
      <w:r w:rsidRPr="00082960">
        <w:rPr>
          <w:rFonts w:asciiTheme="minorHAnsi" w:hAnsiTheme="minorHAnsi"/>
        </w:rPr>
        <w:t>Protective clothing:</w:t>
      </w:r>
    </w:p>
    <w:p w:rsidR="00082960" w:rsidRPr="00082960" w:rsidRDefault="00082960" w:rsidP="00082960">
      <w:pPr>
        <w:numPr>
          <w:ilvl w:val="1"/>
          <w:numId w:val="3"/>
        </w:numPr>
        <w:rPr>
          <w:rFonts w:asciiTheme="minorHAnsi" w:hAnsiTheme="minorHAnsi"/>
        </w:rPr>
      </w:pPr>
      <w:r w:rsidRPr="00082960">
        <w:rPr>
          <w:rFonts w:asciiTheme="minorHAnsi" w:hAnsiTheme="minorHAnsi"/>
        </w:rPr>
        <w:t>The contractor will provide all protective clothing for employees mixing, loading or applying herbicides or operating equipment. Protective clothing stated on the herbicide label must be used.</w:t>
      </w:r>
    </w:p>
    <w:p w:rsidR="00082960" w:rsidRPr="00082960" w:rsidRDefault="00082960" w:rsidP="00082960">
      <w:pPr>
        <w:ind w:left="1440"/>
        <w:rPr>
          <w:rFonts w:asciiTheme="minorHAnsi" w:hAnsiTheme="minorHAnsi"/>
        </w:rPr>
      </w:pPr>
    </w:p>
    <w:p w:rsidR="00082960" w:rsidRPr="00082960" w:rsidRDefault="00082960" w:rsidP="00082960">
      <w:pPr>
        <w:numPr>
          <w:ilvl w:val="0"/>
          <w:numId w:val="3"/>
        </w:numPr>
        <w:rPr>
          <w:rFonts w:asciiTheme="minorHAnsi" w:hAnsiTheme="minorHAnsi"/>
        </w:rPr>
      </w:pPr>
      <w:r w:rsidRPr="00082960">
        <w:rPr>
          <w:rFonts w:asciiTheme="minorHAnsi" w:hAnsiTheme="minorHAnsi"/>
        </w:rPr>
        <w:t>Spills:</w:t>
      </w:r>
    </w:p>
    <w:p w:rsidR="00082960" w:rsidRPr="00082960" w:rsidRDefault="00082960" w:rsidP="00082960">
      <w:pPr>
        <w:ind w:left="1440"/>
        <w:rPr>
          <w:rFonts w:asciiTheme="minorHAnsi" w:hAnsiTheme="minorHAnsi"/>
        </w:rPr>
      </w:pPr>
      <w:r w:rsidRPr="00082960">
        <w:rPr>
          <w:rFonts w:asciiTheme="minorHAnsi" w:hAnsiTheme="minorHAnsi"/>
        </w:rPr>
        <w:t xml:space="preserve">1) Contractor will provide a spill kit and all necessary equipment and </w:t>
      </w:r>
    </w:p>
    <w:p w:rsidR="00082960" w:rsidRPr="00082960" w:rsidRDefault="00082960" w:rsidP="00082960">
      <w:pPr>
        <w:ind w:left="1440"/>
        <w:rPr>
          <w:rFonts w:asciiTheme="minorHAnsi" w:hAnsiTheme="minorHAnsi"/>
        </w:rPr>
      </w:pPr>
      <w:r w:rsidRPr="00082960">
        <w:rPr>
          <w:rFonts w:asciiTheme="minorHAnsi" w:hAnsiTheme="minorHAnsi"/>
        </w:rPr>
        <w:t xml:space="preserve">    </w:t>
      </w:r>
      <w:proofErr w:type="gramStart"/>
      <w:r w:rsidRPr="00082960">
        <w:rPr>
          <w:rFonts w:asciiTheme="minorHAnsi" w:hAnsiTheme="minorHAnsi"/>
        </w:rPr>
        <w:t>supplies</w:t>
      </w:r>
      <w:proofErr w:type="gramEnd"/>
      <w:r w:rsidRPr="00082960">
        <w:rPr>
          <w:rFonts w:asciiTheme="minorHAnsi" w:hAnsiTheme="minorHAnsi"/>
        </w:rPr>
        <w:t xml:space="preserve"> for addressing spill cleanup.  </w:t>
      </w:r>
    </w:p>
    <w:p w:rsidR="00082960" w:rsidRPr="00082960" w:rsidRDefault="00082960" w:rsidP="00082960">
      <w:pPr>
        <w:ind w:left="1440"/>
        <w:rPr>
          <w:rFonts w:asciiTheme="minorHAnsi" w:hAnsiTheme="minorHAnsi"/>
          <w:sz w:val="16"/>
          <w:szCs w:val="16"/>
        </w:rPr>
      </w:pPr>
    </w:p>
    <w:p w:rsidR="00082960" w:rsidRPr="00082960" w:rsidRDefault="00082960" w:rsidP="00082960">
      <w:pPr>
        <w:numPr>
          <w:ilvl w:val="0"/>
          <w:numId w:val="3"/>
        </w:numPr>
        <w:rPr>
          <w:rFonts w:asciiTheme="minorHAnsi" w:hAnsiTheme="minorHAnsi"/>
        </w:rPr>
      </w:pPr>
      <w:r w:rsidRPr="00082960">
        <w:rPr>
          <w:rFonts w:asciiTheme="minorHAnsi" w:hAnsiTheme="minorHAnsi"/>
        </w:rPr>
        <w:t>Signs:</w:t>
      </w:r>
    </w:p>
    <w:p w:rsidR="00082960" w:rsidRPr="00082960" w:rsidRDefault="00082960" w:rsidP="00082960">
      <w:pPr>
        <w:numPr>
          <w:ilvl w:val="1"/>
          <w:numId w:val="3"/>
        </w:numPr>
        <w:rPr>
          <w:rFonts w:asciiTheme="minorHAnsi" w:hAnsiTheme="minorHAnsi"/>
        </w:rPr>
      </w:pPr>
      <w:r w:rsidRPr="00082960">
        <w:rPr>
          <w:rFonts w:asciiTheme="minorHAnsi" w:hAnsiTheme="minorHAnsi"/>
        </w:rPr>
        <w:t xml:space="preserve">Any signs required by law to indicate application of the herbicide will be provided by the contractor. Signs must be removed after reentry time is permitted according the herbicide label, but no later than 72 hours after reentry time is up. </w:t>
      </w:r>
    </w:p>
    <w:p w:rsidR="00082960" w:rsidRPr="00082960" w:rsidRDefault="00082960" w:rsidP="00082960">
      <w:pPr>
        <w:tabs>
          <w:tab w:val="left" w:pos="1800"/>
        </w:tabs>
        <w:ind w:left="1440"/>
        <w:rPr>
          <w:rFonts w:asciiTheme="minorHAnsi" w:hAnsiTheme="minorHAnsi"/>
          <w:sz w:val="16"/>
          <w:szCs w:val="16"/>
        </w:rPr>
      </w:pPr>
      <w:r w:rsidRPr="00082960">
        <w:rPr>
          <w:rFonts w:asciiTheme="minorHAnsi" w:hAnsiTheme="minorHAnsi"/>
          <w:sz w:val="16"/>
          <w:szCs w:val="16"/>
        </w:rPr>
        <w:tab/>
      </w:r>
    </w:p>
    <w:p w:rsidR="00082960" w:rsidRPr="00082960" w:rsidRDefault="00082960" w:rsidP="00082960">
      <w:pPr>
        <w:numPr>
          <w:ilvl w:val="0"/>
          <w:numId w:val="3"/>
        </w:numPr>
        <w:rPr>
          <w:rFonts w:asciiTheme="minorHAnsi" w:hAnsiTheme="minorHAnsi"/>
        </w:rPr>
      </w:pPr>
      <w:r w:rsidRPr="00082960">
        <w:rPr>
          <w:rFonts w:asciiTheme="minorHAnsi" w:hAnsiTheme="minorHAnsi"/>
        </w:rPr>
        <w:t>Notification</w:t>
      </w:r>
    </w:p>
    <w:p w:rsidR="00082960" w:rsidRPr="00082960" w:rsidRDefault="00082960" w:rsidP="00082960">
      <w:pPr>
        <w:numPr>
          <w:ilvl w:val="1"/>
          <w:numId w:val="3"/>
        </w:numPr>
        <w:rPr>
          <w:rFonts w:asciiTheme="minorHAnsi" w:hAnsiTheme="minorHAnsi"/>
        </w:rPr>
      </w:pPr>
      <w:r w:rsidRPr="00082960">
        <w:rPr>
          <w:rFonts w:asciiTheme="minorHAnsi" w:hAnsiTheme="minorHAnsi"/>
        </w:rPr>
        <w:t xml:space="preserve">DNR will notify landowners at least 48 hours in advance of any herbicide applications in their properties.   </w:t>
      </w:r>
    </w:p>
    <w:p w:rsidR="00082960" w:rsidRPr="00082960" w:rsidRDefault="00082960" w:rsidP="00082960">
      <w:pPr>
        <w:numPr>
          <w:ilvl w:val="1"/>
          <w:numId w:val="3"/>
        </w:numPr>
        <w:rPr>
          <w:rFonts w:asciiTheme="minorHAnsi" w:hAnsiTheme="minorHAnsi"/>
        </w:rPr>
      </w:pPr>
      <w:r w:rsidRPr="00082960">
        <w:rPr>
          <w:rFonts w:asciiTheme="minorHAnsi" w:hAnsiTheme="minorHAnsi"/>
        </w:rPr>
        <w:t>The applicator will be notified that the landowners have been notified.</w:t>
      </w:r>
    </w:p>
    <w:p w:rsidR="00082960" w:rsidRPr="00082960" w:rsidRDefault="00082960" w:rsidP="00082960">
      <w:pPr>
        <w:numPr>
          <w:ilvl w:val="1"/>
          <w:numId w:val="3"/>
        </w:numPr>
        <w:rPr>
          <w:rFonts w:asciiTheme="minorHAnsi" w:hAnsiTheme="minorHAnsi"/>
        </w:rPr>
      </w:pPr>
      <w:r w:rsidRPr="00082960">
        <w:rPr>
          <w:rFonts w:asciiTheme="minorHAnsi" w:hAnsiTheme="minorHAnsi"/>
        </w:rPr>
        <w:t>The DNR representative has obtained written and/or oral permission from the landowner to treat the sites.  All permission records will be maintained by the DNR and will be made available to the contractor upon request.</w:t>
      </w:r>
    </w:p>
    <w:p w:rsidR="00082960" w:rsidRPr="00082960" w:rsidRDefault="00082960" w:rsidP="00082960">
      <w:pPr>
        <w:rPr>
          <w:rFonts w:asciiTheme="minorHAnsi" w:hAnsiTheme="minorHAnsi"/>
        </w:rPr>
      </w:pPr>
    </w:p>
    <w:p w:rsidR="00082960" w:rsidRPr="00082960" w:rsidRDefault="00082960" w:rsidP="00082960">
      <w:pPr>
        <w:rPr>
          <w:rFonts w:asciiTheme="minorHAnsi" w:hAnsiTheme="minorHAnsi"/>
          <w:b/>
        </w:rPr>
      </w:pPr>
      <w:r w:rsidRPr="00082960">
        <w:rPr>
          <w:rFonts w:asciiTheme="minorHAnsi" w:hAnsiTheme="minorHAnsi"/>
          <w:b/>
        </w:rPr>
        <w:t>Mixing and disposal of pesticide:</w:t>
      </w:r>
    </w:p>
    <w:p w:rsidR="00082960" w:rsidRPr="00082960" w:rsidRDefault="00082960" w:rsidP="00082960">
      <w:pPr>
        <w:ind w:left="900" w:hanging="360"/>
        <w:rPr>
          <w:rFonts w:asciiTheme="minorHAnsi" w:hAnsiTheme="minorHAnsi"/>
        </w:rPr>
      </w:pPr>
      <w:r w:rsidRPr="00082960">
        <w:rPr>
          <w:rFonts w:asciiTheme="minorHAnsi" w:hAnsiTheme="minorHAnsi"/>
        </w:rPr>
        <w:t>A. The pesticide will be mixed according to label directions for the control of kudzu.</w:t>
      </w:r>
    </w:p>
    <w:p w:rsidR="00082960" w:rsidRPr="00082960" w:rsidRDefault="00082960" w:rsidP="00082960">
      <w:pPr>
        <w:ind w:left="900" w:hanging="360"/>
        <w:rPr>
          <w:rFonts w:asciiTheme="minorHAnsi" w:hAnsiTheme="minorHAnsi"/>
          <w:sz w:val="16"/>
          <w:szCs w:val="16"/>
        </w:rPr>
      </w:pPr>
    </w:p>
    <w:p w:rsidR="00082960" w:rsidRPr="00082960" w:rsidRDefault="00082960" w:rsidP="00082960">
      <w:pPr>
        <w:ind w:left="900" w:hanging="360"/>
        <w:rPr>
          <w:rFonts w:asciiTheme="minorHAnsi" w:hAnsiTheme="minorHAnsi"/>
        </w:rPr>
      </w:pPr>
      <w:r w:rsidRPr="00082960">
        <w:rPr>
          <w:rFonts w:asciiTheme="minorHAnsi" w:hAnsiTheme="minorHAnsi"/>
        </w:rPr>
        <w:lastRenderedPageBreak/>
        <w:t>B. The quantity of herbicide mixed should be just sufficient to do the application for each site to minimize excess and the need for disposal.</w:t>
      </w:r>
    </w:p>
    <w:p w:rsidR="005A7D2F" w:rsidRDefault="005A7D2F">
      <w:pPr>
        <w:rPr>
          <w:rFonts w:asciiTheme="minorHAnsi" w:hAnsiTheme="minorHAnsi"/>
        </w:rPr>
      </w:pPr>
    </w:p>
    <w:sectPr w:rsidR="005A7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B3E73"/>
    <w:multiLevelType w:val="hybridMultilevel"/>
    <w:tmpl w:val="63529EBA"/>
    <w:lvl w:ilvl="0" w:tplc="2B78F5CE">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F772C02"/>
    <w:multiLevelType w:val="hybridMultilevel"/>
    <w:tmpl w:val="6BE83DE2"/>
    <w:lvl w:ilvl="0" w:tplc="EA507F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24C1FC4"/>
    <w:multiLevelType w:val="hybridMultilevel"/>
    <w:tmpl w:val="AFFA9B9E"/>
    <w:lvl w:ilvl="0" w:tplc="602CF106">
      <w:start w:val="1"/>
      <w:numFmt w:val="upperLetter"/>
      <w:lvlText w:val="%1."/>
      <w:lvlJc w:val="left"/>
      <w:pPr>
        <w:tabs>
          <w:tab w:val="num" w:pos="1080"/>
        </w:tabs>
        <w:ind w:left="1080" w:hanging="360"/>
      </w:pPr>
      <w:rPr>
        <w:rFonts w:ascii="Times New Roman" w:eastAsia="Times New Roman" w:hAnsi="Times New Roman" w:cs="Times New Roman"/>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97136BB"/>
    <w:multiLevelType w:val="hybridMultilevel"/>
    <w:tmpl w:val="EDB621B6"/>
    <w:lvl w:ilvl="0" w:tplc="C2360C90">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871D02"/>
    <w:multiLevelType w:val="hybridMultilevel"/>
    <w:tmpl w:val="07F6A102"/>
    <w:lvl w:ilvl="0" w:tplc="83F4BD5E">
      <w:start w:val="1"/>
      <w:numFmt w:val="upperLetter"/>
      <w:lvlText w:val="%1."/>
      <w:lvlJc w:val="left"/>
      <w:pPr>
        <w:tabs>
          <w:tab w:val="num" w:pos="1530"/>
        </w:tabs>
        <w:ind w:left="1530" w:hanging="360"/>
      </w:pPr>
      <w:rPr>
        <w:rFonts w:hint="default"/>
      </w:rPr>
    </w:lvl>
    <w:lvl w:ilvl="1" w:tplc="04090019">
      <w:start w:val="1"/>
      <w:numFmt w:val="lowerLetter"/>
      <w:lvlText w:val="%2."/>
      <w:lvlJc w:val="left"/>
      <w:pPr>
        <w:tabs>
          <w:tab w:val="num" w:pos="1800"/>
        </w:tabs>
        <w:ind w:left="1800" w:hanging="360"/>
      </w:pPr>
    </w:lvl>
    <w:lvl w:ilvl="2" w:tplc="EA42977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960"/>
    <w:rsid w:val="00082960"/>
    <w:rsid w:val="004720B6"/>
    <w:rsid w:val="005A7D2F"/>
    <w:rsid w:val="0093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AA406-4141-4C41-B367-2A0DE7B8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9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Moorman, Greg</dc:creator>
  <cp:keywords/>
  <dc:description/>
  <cp:lastModifiedBy>Moorman, Greg</cp:lastModifiedBy>
  <cp:revision>3</cp:revision>
  <dcterms:created xsi:type="dcterms:W3CDTF">2018-02-06T19:56:00Z</dcterms:created>
  <dcterms:modified xsi:type="dcterms:W3CDTF">2018-02-07T15:32:00Z</dcterms:modified>
</cp:coreProperties>
</file>