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C16" w:rsidR="001D7150" w:rsidP="00D97217" w:rsidRDefault="31B19601" w14:paraId="4B6FD181" w14:textId="6834DAFF">
      <w:pPr>
        <w:pStyle w:val="Heading1"/>
        <w:spacing w:line="276" w:lineRule="auto"/>
      </w:pPr>
      <w:r>
        <w:t>Appendix 2.</w:t>
      </w:r>
      <w:r w:rsidR="001B35D5">
        <w:t xml:space="preserve"> </w:t>
      </w:r>
      <w:r w:rsidR="00AA0EBB">
        <w:t>Initiative Examples &amp; Associated Activities</w:t>
      </w:r>
    </w:p>
    <w:p w:rsidR="54E5EE1E" w:rsidP="7ECE9B4F" w:rsidRDefault="524D3AC5" w14:paraId="5B258F8C" w14:textId="38D4BD25">
      <w:pPr>
        <w:pStyle w:val="Body"/>
        <w:spacing w:line="276" w:lineRule="auto"/>
      </w:pPr>
      <w:r w:rsidR="524D3AC5">
        <w:rPr/>
        <w:t xml:space="preserve">This Appendix provides examples of potential </w:t>
      </w:r>
      <w:r w:rsidR="0BA9FD00">
        <w:rPr/>
        <w:t>I</w:t>
      </w:r>
      <w:r w:rsidR="524D3AC5">
        <w:rPr/>
        <w:t>nitiatives and associated activities across topic areas to guide Regional Coalitions in naming, structuring, and organizing their proposed projects.</w:t>
      </w:r>
    </w:p>
    <w:p w:rsidR="3692C456" w:rsidP="00D97217" w:rsidRDefault="3692C456" w14:paraId="5F876E04" w14:textId="2417B40D">
      <w:pPr>
        <w:pStyle w:val="Heading2"/>
        <w:spacing w:before="240" w:line="276" w:lineRule="auto"/>
      </w:pPr>
      <w:r w:rsidR="3692C456">
        <w:rPr/>
        <w:t xml:space="preserve">Example </w:t>
      </w:r>
      <w:r w:rsidR="1DF5D6F8">
        <w:rPr/>
        <w:t>1</w:t>
      </w:r>
      <w:r w:rsidR="3692C456">
        <w:rPr/>
        <w:t xml:space="preserve"> </w:t>
      </w:r>
      <w:r w:rsidR="006E7F1D">
        <w:rPr/>
        <w:t>–</w:t>
      </w:r>
      <w:r w:rsidR="3692C456">
        <w:rPr/>
        <w:t xml:space="preserve"> </w:t>
      </w:r>
      <w:r w:rsidR="006E7F1D">
        <w:rPr/>
        <w:t>Improving Access to Prenatal and Postnatal Care</w:t>
      </w:r>
    </w:p>
    <w:p w:rsidR="3692C456" w:rsidP="00D97217" w:rsidRDefault="3692C456" w14:paraId="706E8D30" w14:textId="5C3177E6">
      <w:pPr>
        <w:pStyle w:val="Heading3"/>
        <w:spacing w:line="276" w:lineRule="auto"/>
      </w:pPr>
      <w:r>
        <w:t xml:space="preserve">Initiative Title: </w:t>
      </w:r>
      <w:r w:rsidR="00E34718">
        <w:t>Growing Healthy Beginnings for Rural Moms and Babies</w:t>
      </w:r>
    </w:p>
    <w:p w:rsidR="3692C456" w:rsidP="00D97217" w:rsidRDefault="3692C456" w14:paraId="3D53CAA6" w14:textId="34496D02">
      <w:pPr>
        <w:pStyle w:val="Subtitle"/>
        <w:spacing w:line="276" w:lineRule="auto"/>
      </w:pPr>
      <w:r>
        <w:t xml:space="preserve">Activity 1: </w:t>
      </w:r>
      <w:r w:rsidRPr="00C15279" w:rsidR="00C15279">
        <w:t>Expand Community-Based Prenatal Care Access Through Mobile Clinics</w:t>
      </w:r>
    </w:p>
    <w:p w:rsidRPr="00D57F7A" w:rsidR="3692C456" w:rsidP="00D97217" w:rsidRDefault="3692C456" w14:paraId="1ABAFCEC" w14:textId="60481018">
      <w:pPr>
        <w:pStyle w:val="ListParagraph"/>
        <w:numPr>
          <w:ilvl w:val="0"/>
          <w:numId w:val="3"/>
        </w:numPr>
        <w:spacing w:line="276" w:lineRule="auto"/>
        <w:rPr>
          <w:rStyle w:val="Strong"/>
        </w:rPr>
      </w:pPr>
      <w:r w:rsidRPr="00D57F7A">
        <w:rPr>
          <w:rStyle w:val="Strong"/>
        </w:rPr>
        <w:t>Funding Category(</w:t>
      </w:r>
      <w:proofErr w:type="spellStart"/>
      <w:r w:rsidRPr="00D57F7A">
        <w:rPr>
          <w:rStyle w:val="Strong"/>
        </w:rPr>
        <w:t>ies</w:t>
      </w:r>
      <w:proofErr w:type="spellEnd"/>
      <w:r w:rsidRPr="00D57F7A">
        <w:rPr>
          <w:rStyle w:val="Strong"/>
        </w:rPr>
        <w:t xml:space="preserve">): </w:t>
      </w:r>
      <w:r w:rsidRPr="00D57F7A" w:rsidR="00C464A6">
        <w:rPr>
          <w:rStyle w:val="Strong"/>
        </w:rPr>
        <w:t>Sustainable Access</w:t>
      </w:r>
      <w:r w:rsidRPr="00D57F7A" w:rsidR="00C15279">
        <w:rPr>
          <w:rStyle w:val="Strong"/>
        </w:rPr>
        <w:t>; Workforce Development</w:t>
      </w:r>
    </w:p>
    <w:p w:rsidRPr="00D57F7A" w:rsidR="00D24C12" w:rsidP="00D97217" w:rsidRDefault="006C77F2" w14:paraId="04EB9020" w14:textId="1C76DE33">
      <w:pPr>
        <w:pStyle w:val="ListParagraph"/>
        <w:numPr>
          <w:ilvl w:val="0"/>
          <w:numId w:val="3"/>
        </w:numPr>
        <w:spacing w:after="0" w:line="276" w:lineRule="auto"/>
        <w:rPr>
          <w:rFonts w:ascii="Open Sans" w:hAnsi="Open Sans" w:eastAsia="Times New Roman" w:cs="Open Sans"/>
          <w:kern w:val="0"/>
          <w14:ligatures w14:val="none"/>
        </w:rPr>
      </w:pPr>
      <w:r w:rsidRPr="00D57F7A">
        <w:rPr>
          <w:rFonts w:ascii="Open Sans" w:hAnsi="Open Sans" w:eastAsia="Times New Roman" w:cs="Open Sans"/>
          <w:kern w:val="0"/>
          <w14:ligatures w14:val="none"/>
        </w:rPr>
        <w:t>Deploy mobile health units to provide early and continuous prenatal care in rural communities with limited maternity services. Services may include pregnancy confirmation, basic labs, blood pressure monitoring, substance use screening, nutrition counseling, and referrals to obstetric providers. The mobile model reduces transportation barriers and improves early entry into prenatal care—an evidence-based strategy to reduce complications and preterm birth.</w:t>
      </w:r>
    </w:p>
    <w:p w:rsidR="3692C456" w:rsidP="00D97217" w:rsidRDefault="3692C456" w14:paraId="0102D0E8" w14:textId="257F2EC0">
      <w:pPr>
        <w:pStyle w:val="Subtitle"/>
        <w:spacing w:line="276" w:lineRule="auto"/>
      </w:pPr>
      <w:r>
        <w:t>Activity 2:</w:t>
      </w:r>
      <w:r w:rsidR="00D24C12">
        <w:t xml:space="preserve"> </w:t>
      </w:r>
      <w:r w:rsidRPr="00D24C12" w:rsidR="00D24C12">
        <w:t>Implement Group Prenatal Care Using the Centering</w:t>
      </w:r>
      <w:r w:rsidR="001B35D5">
        <w:t xml:space="preserve"> </w:t>
      </w:r>
      <w:r w:rsidRPr="00D24C12" w:rsidR="00D24C12">
        <w:t>Pregnancy Model</w:t>
      </w:r>
    </w:p>
    <w:p w:rsidRPr="00D57F7A" w:rsidR="3692C456" w:rsidP="00D97217" w:rsidRDefault="3692C456" w14:paraId="75D55212" w14:textId="3C1A3199">
      <w:pPr>
        <w:pStyle w:val="ListParagraph"/>
        <w:numPr>
          <w:ilvl w:val="0"/>
          <w:numId w:val="2"/>
        </w:numPr>
        <w:spacing w:line="276" w:lineRule="auto"/>
        <w:rPr>
          <w:rStyle w:val="Strong"/>
        </w:rPr>
      </w:pPr>
      <w:r w:rsidRPr="00D57F7A">
        <w:rPr>
          <w:rStyle w:val="Strong"/>
        </w:rPr>
        <w:t xml:space="preserve">Funding Category(ies): </w:t>
      </w:r>
      <w:r w:rsidRPr="00D57F7A" w:rsidR="00AA1E9F">
        <w:rPr>
          <w:rStyle w:val="Strong"/>
        </w:rPr>
        <w:t>Sustainable Access; Innovative Care</w:t>
      </w:r>
    </w:p>
    <w:p w:rsidRPr="00D57F7A" w:rsidR="00AA1E9F" w:rsidP="00D97217" w:rsidRDefault="00AA1E9F" w14:paraId="1363F0E7" w14:textId="2B3FDEED">
      <w:pPr>
        <w:pStyle w:val="ListParagraph"/>
        <w:numPr>
          <w:ilvl w:val="0"/>
          <w:numId w:val="2"/>
        </w:numPr>
        <w:spacing w:after="0" w:line="276" w:lineRule="auto"/>
        <w:rPr>
          <w:rFonts w:ascii="Open Sans" w:hAnsi="Open Sans" w:eastAsia="Times New Roman" w:cs="Open Sans"/>
          <w:kern w:val="0"/>
          <w14:ligatures w14:val="none"/>
        </w:rPr>
      </w:pPr>
      <w:r w:rsidRPr="00D57F7A">
        <w:rPr>
          <w:rFonts w:ascii="Open Sans" w:hAnsi="Open Sans" w:eastAsia="Times New Roman" w:cs="Open Sans"/>
          <w:kern w:val="0"/>
          <w14:ligatures w14:val="none"/>
        </w:rPr>
        <w:t>Establish group prenatal care programs offering combined medical visits, education, and peer support using the Centering</w:t>
      </w:r>
      <w:r w:rsidRPr="00D57F7A" w:rsidR="36F1FE79">
        <w:rPr>
          <w:rFonts w:ascii="Open Sans" w:hAnsi="Open Sans" w:eastAsia="Times New Roman" w:cs="Open Sans"/>
          <w:kern w:val="0"/>
          <w14:ligatures w14:val="none"/>
        </w:rPr>
        <w:t xml:space="preserve"> </w:t>
      </w:r>
      <w:r w:rsidRPr="00D57F7A">
        <w:rPr>
          <w:rFonts w:ascii="Open Sans" w:hAnsi="Open Sans" w:eastAsia="Times New Roman" w:cs="Open Sans"/>
          <w:kern w:val="0"/>
          <w14:ligatures w14:val="none"/>
        </w:rPr>
        <w:t xml:space="preserve">Pregnancy evidence-based model. This approach has been shown to improve maternal health behaviors, reduce preterm </w:t>
      </w:r>
      <w:proofErr w:type="gramStart"/>
      <w:r w:rsidRPr="00D57F7A">
        <w:rPr>
          <w:rFonts w:ascii="Open Sans" w:hAnsi="Open Sans" w:eastAsia="Times New Roman" w:cs="Open Sans"/>
          <w:kern w:val="0"/>
          <w14:ligatures w14:val="none"/>
        </w:rPr>
        <w:t>birth</w:t>
      </w:r>
      <w:proofErr w:type="gramEnd"/>
      <w:r w:rsidRPr="00D57F7A">
        <w:rPr>
          <w:rFonts w:ascii="Open Sans" w:hAnsi="Open Sans" w:eastAsia="Times New Roman" w:cs="Open Sans"/>
          <w:kern w:val="0"/>
          <w14:ligatures w14:val="none"/>
        </w:rPr>
        <w:t>, and increase patient satisfaction. Activities include facilitator training, group curriculum delivery, and coordination with local providers.</w:t>
      </w:r>
    </w:p>
    <w:p w:rsidR="3692C456" w:rsidP="00D97217" w:rsidRDefault="3692C456" w14:paraId="2CD24717" w14:textId="0403C137">
      <w:pPr>
        <w:pStyle w:val="Subtitle"/>
        <w:spacing w:line="276" w:lineRule="auto"/>
      </w:pPr>
      <w:r>
        <w:t>Activity 3:</w:t>
      </w:r>
      <w:r w:rsidR="00D402AF">
        <w:t xml:space="preserve"> </w:t>
      </w:r>
      <w:r w:rsidRPr="00CF36DD" w:rsidR="00CF36DD">
        <w:t>Strengthen Postpartum Follow-Up Through Home Visiting Services</w:t>
      </w:r>
    </w:p>
    <w:p w:rsidRPr="00D57F7A" w:rsidR="3692C456" w:rsidP="00D97217" w:rsidRDefault="3692C456" w14:paraId="1F9BA0E9" w14:textId="11FBA63C">
      <w:pPr>
        <w:pStyle w:val="ListParagraph"/>
        <w:numPr>
          <w:ilvl w:val="0"/>
          <w:numId w:val="1"/>
        </w:numPr>
        <w:spacing w:line="276" w:lineRule="auto"/>
        <w:rPr>
          <w:rStyle w:val="Strong"/>
        </w:rPr>
      </w:pPr>
      <w:r w:rsidRPr="00D57F7A">
        <w:rPr>
          <w:rStyle w:val="Strong"/>
        </w:rPr>
        <w:t xml:space="preserve">Funding Category(ies): </w:t>
      </w:r>
      <w:r w:rsidRPr="00D57F7A" w:rsidR="00CF36DD">
        <w:rPr>
          <w:rStyle w:val="Strong"/>
        </w:rPr>
        <w:t>Sustainable Access</w:t>
      </w:r>
      <w:r w:rsidRPr="00D57F7A" w:rsidR="00FC1EAB">
        <w:rPr>
          <w:rStyle w:val="Strong"/>
        </w:rPr>
        <w:t>; Make Rural Indiana Healthy Again</w:t>
      </w:r>
    </w:p>
    <w:p w:rsidRPr="00D57F7A" w:rsidR="00C4584C" w:rsidP="00D97217" w:rsidRDefault="004F2DAA" w14:paraId="3622847B" w14:textId="322750BA">
      <w:pPr>
        <w:pStyle w:val="ListParagraph"/>
        <w:numPr>
          <w:ilvl w:val="0"/>
          <w:numId w:val="1"/>
        </w:numPr>
        <w:spacing w:after="0" w:line="276" w:lineRule="auto"/>
        <w:rPr>
          <w:rFonts w:ascii="Open Sans" w:hAnsi="Open Sans" w:eastAsia="Times New Roman" w:cs="Open Sans"/>
          <w:kern w:val="0"/>
          <w14:ligatures w14:val="none"/>
        </w:rPr>
      </w:pPr>
      <w:r w:rsidRPr="00D57F7A">
        <w:rPr>
          <w:rFonts w:ascii="Open Sans" w:hAnsi="Open Sans" w:eastAsia="Times New Roman" w:cs="Open Sans"/>
          <w:kern w:val="0"/>
          <w14:ligatures w14:val="none"/>
        </w:rPr>
        <w:t xml:space="preserve">Implement or expand evidence-based home visiting models (e.g., Nurse-Family Partnership, Healthy Families) to support new parents during the postpartum period. Home visitors provide newborn assessments, maternal mental health screening, breastfeeding support, safe sleep education, and linkage to community resources. This activity aims to reduce postpartum complications and improve infant health. Incorporate food security screening and nutrition/physical activity counseling and referral to elevate </w:t>
      </w:r>
      <w:r w:rsidRPr="00D57F7A" w:rsidR="00C4584C">
        <w:rPr>
          <w:rFonts w:ascii="Open Sans" w:hAnsi="Open Sans" w:eastAsia="Times New Roman" w:cs="Open Sans"/>
          <w:kern w:val="0"/>
          <w14:ligatures w14:val="none"/>
        </w:rPr>
        <w:t>chronic disease prevention.</w:t>
      </w:r>
    </w:p>
    <w:p w:rsidR="00C4584C" w:rsidP="00D97217" w:rsidRDefault="00C4584C" w14:paraId="20EB754A" w14:textId="0C5C8AC4">
      <w:pPr>
        <w:pStyle w:val="Subtitle"/>
        <w:spacing w:line="276" w:lineRule="auto"/>
      </w:pPr>
      <w:r>
        <w:t xml:space="preserve">Activity 4: </w:t>
      </w:r>
      <w:r w:rsidRPr="00CC0701" w:rsidR="00CC0701">
        <w:t>Integrate Perinatal Behavioral Health Screening and Referral Pathways</w:t>
      </w:r>
    </w:p>
    <w:p w:rsidRPr="00D57F7A" w:rsidR="00C4584C" w:rsidP="00D97217" w:rsidRDefault="00C4584C" w14:paraId="03FF5BEC" w14:textId="5BE32CC7">
      <w:pPr>
        <w:pStyle w:val="ListParagraph"/>
        <w:numPr>
          <w:ilvl w:val="0"/>
          <w:numId w:val="1"/>
        </w:numPr>
        <w:spacing w:line="276" w:lineRule="auto"/>
        <w:rPr>
          <w:rStyle w:val="Strong"/>
        </w:rPr>
      </w:pPr>
      <w:r w:rsidRPr="00D57F7A">
        <w:rPr>
          <w:rStyle w:val="Strong"/>
        </w:rPr>
        <w:t>Funding Category(</w:t>
      </w:r>
      <w:proofErr w:type="spellStart"/>
      <w:r w:rsidRPr="00D57F7A">
        <w:rPr>
          <w:rStyle w:val="Strong"/>
        </w:rPr>
        <w:t>ies</w:t>
      </w:r>
      <w:proofErr w:type="spellEnd"/>
      <w:r w:rsidRPr="00D57F7A">
        <w:rPr>
          <w:rStyle w:val="Strong"/>
        </w:rPr>
        <w:t xml:space="preserve">): </w:t>
      </w:r>
      <w:r w:rsidRPr="00D57F7A" w:rsidR="0056681C">
        <w:rPr>
          <w:rStyle w:val="Strong"/>
        </w:rPr>
        <w:t>Sustainable access; Tech Innovation</w:t>
      </w:r>
    </w:p>
    <w:p w:rsidRPr="00D57F7A" w:rsidR="0056681C" w:rsidP="203EE13E" w:rsidRDefault="0056681C" w14:paraId="644CD143" w14:textId="0F37AC2E">
      <w:pPr>
        <w:pStyle w:val="ListParagraph"/>
        <w:numPr>
          <w:ilvl w:val="0"/>
          <w:numId w:val="1"/>
        </w:numPr>
        <w:spacing w:after="0" w:line="276" w:lineRule="auto"/>
        <w:rPr>
          <w:rFonts w:ascii="Open Sans" w:hAnsi="Open Sans" w:eastAsia="Times New Roman" w:cs="Open Sans"/>
          <w:kern w:val="0"/>
          <w14:ligatures w14:val="none"/>
        </w:rPr>
      </w:pPr>
      <w:r w:rsidRPr="00D57F7A">
        <w:rPr>
          <w:rFonts w:ascii="Open Sans" w:hAnsi="Open Sans" w:eastAsia="Times New Roman" w:cs="Open Sans"/>
          <w:kern w:val="0"/>
          <w14:ligatures w14:val="none"/>
        </w:rPr>
        <w:t>Embed universal maternal mental health screening into prenatal and postpartum care settings using validated tools (e.g., EPDS, PHQ</w:t>
      </w:r>
      <w:r w:rsidRPr="00D57F7A">
        <w:rPr>
          <w:rFonts w:ascii="Open Sans" w:hAnsi="Open Sans" w:eastAsia="Times New Roman" w:cs="Open Sans"/>
          <w:kern w:val="0"/>
          <w14:ligatures w14:val="none"/>
        </w:rPr>
        <w:noBreakHyphen/>
        <w:t>9). Equip providers with standardized referral workflows to behavioral health clinicians, community mental health centers, and tele-behavioral services. This includes provider training and follow-up coordination to ensure successful engagement with care.</w:t>
      </w:r>
    </w:p>
    <w:p w:rsidRPr="00F17EA6" w:rsidR="00F17EA6" w:rsidP="00D97217" w:rsidRDefault="00D15A4C" w14:paraId="72C893E6" w14:textId="1E8B969E">
      <w:pPr>
        <w:pStyle w:val="Subtitle"/>
        <w:spacing w:line="276" w:lineRule="auto"/>
      </w:pPr>
      <w:r>
        <w:t xml:space="preserve">Activity </w:t>
      </w:r>
      <w:r w:rsidR="00AD0AD4">
        <w:t>5</w:t>
      </w:r>
      <w:r>
        <w:t xml:space="preserve">: </w:t>
      </w:r>
      <w:r w:rsidRPr="00F17EA6" w:rsidR="00F17EA6">
        <w:t>Improve Nutrition and Food Access Through Prenatal Produce Prescription Programs</w:t>
      </w:r>
    </w:p>
    <w:p w:rsidRPr="00D57F7A" w:rsidR="00D15A4C" w:rsidP="00D97217" w:rsidRDefault="00D15A4C" w14:paraId="5B65307D" w14:textId="7D044FF8">
      <w:pPr>
        <w:pStyle w:val="Subtitle"/>
        <w:numPr>
          <w:ilvl w:val="0"/>
          <w:numId w:val="4"/>
        </w:numPr>
        <w:spacing w:line="276" w:lineRule="auto"/>
        <w:rPr>
          <w:rStyle w:val="Strong"/>
          <w:sz w:val="24"/>
          <w:szCs w:val="24"/>
        </w:rPr>
      </w:pPr>
      <w:r w:rsidRPr="00D57F7A">
        <w:rPr>
          <w:rStyle w:val="Strong"/>
          <w:sz w:val="24"/>
          <w:szCs w:val="24"/>
        </w:rPr>
        <w:t>Funding Category(</w:t>
      </w:r>
      <w:proofErr w:type="spellStart"/>
      <w:r w:rsidRPr="00D57F7A">
        <w:rPr>
          <w:rStyle w:val="Strong"/>
          <w:sz w:val="24"/>
          <w:szCs w:val="24"/>
        </w:rPr>
        <w:t>ies</w:t>
      </w:r>
      <w:proofErr w:type="spellEnd"/>
      <w:r w:rsidRPr="00D57F7A">
        <w:rPr>
          <w:rStyle w:val="Strong"/>
          <w:sz w:val="24"/>
          <w:szCs w:val="24"/>
        </w:rPr>
        <w:t xml:space="preserve">): </w:t>
      </w:r>
      <w:r w:rsidRPr="00D57F7A" w:rsidR="00F17EA6">
        <w:rPr>
          <w:rStyle w:val="Strong"/>
          <w:sz w:val="24"/>
          <w:szCs w:val="24"/>
        </w:rPr>
        <w:t xml:space="preserve">Make Rural Indiana Healthy Again; </w:t>
      </w:r>
      <w:r w:rsidRPr="00D57F7A" w:rsidR="00B94937">
        <w:rPr>
          <w:rStyle w:val="Strong"/>
          <w:sz w:val="24"/>
          <w:szCs w:val="24"/>
        </w:rPr>
        <w:t>Innovative Care</w:t>
      </w:r>
    </w:p>
    <w:p w:rsidRPr="001342E3" w:rsidR="00370BC9" w:rsidP="00D97217" w:rsidRDefault="00C92A62" w14:paraId="586BDBCB" w14:textId="1FB13E8C">
      <w:pPr>
        <w:pStyle w:val="ListParagraph"/>
        <w:numPr>
          <w:ilvl w:val="0"/>
          <w:numId w:val="4"/>
        </w:numPr>
        <w:spacing w:after="0" w:line="276" w:lineRule="auto"/>
        <w:rPr>
          <w:rFonts w:ascii="Open Sans" w:hAnsi="Open Sans" w:eastAsia="Times New Roman" w:cs="Open Sans"/>
          <w:kern w:val="0"/>
          <w14:ligatures w14:val="none"/>
        </w:rPr>
      </w:pPr>
      <w:r w:rsidRPr="00D57F7A">
        <w:rPr>
          <w:rFonts w:ascii="Open Sans" w:hAnsi="Open Sans" w:eastAsia="Times New Roman" w:cs="Open Sans"/>
          <w:kern w:val="0"/>
          <w14:ligatures w14:val="none"/>
        </w:rPr>
        <w:t>Implement produce prescription programs for pregnant and postpartum individuals at nutritional risk. Participants receive vouchers for fresh fruits and vegetables from local groceries or farmers markets, accompanied by nutrition counseling. Strong evidence demonstrates these programs improve diet quality and reduce risks of gestational diabetes and hypertension.</w:t>
      </w:r>
    </w:p>
    <w:p w:rsidR="00370BC9" w:rsidP="00D97217" w:rsidRDefault="00370BC9" w14:paraId="3A6EC5D8" w14:textId="192D2463">
      <w:pPr>
        <w:pStyle w:val="Subtitle"/>
        <w:spacing w:line="276" w:lineRule="auto"/>
      </w:pPr>
      <w:r>
        <w:t xml:space="preserve">Activity 6: </w:t>
      </w:r>
      <w:r w:rsidRPr="00AD61B9" w:rsidR="00AD61B9">
        <w:t>Enhance Postpartum Care Access via Telehealth Lactation and Maternal Support Visits</w:t>
      </w:r>
    </w:p>
    <w:p w:rsidRPr="00BD0731" w:rsidR="00370BC9" w:rsidP="00D97217" w:rsidRDefault="00370BC9" w14:paraId="46A8B17B" w14:textId="77777777">
      <w:pPr>
        <w:pStyle w:val="ListParagraph"/>
        <w:numPr>
          <w:ilvl w:val="0"/>
          <w:numId w:val="1"/>
        </w:numPr>
        <w:spacing w:line="276" w:lineRule="auto"/>
        <w:rPr>
          <w:rStyle w:val="Strong"/>
        </w:rPr>
      </w:pPr>
      <w:r w:rsidRPr="00BD0731">
        <w:rPr>
          <w:rStyle w:val="Strong"/>
        </w:rPr>
        <w:t>Funding Category(</w:t>
      </w:r>
      <w:proofErr w:type="spellStart"/>
      <w:r w:rsidRPr="00BD0731">
        <w:rPr>
          <w:rStyle w:val="Strong"/>
        </w:rPr>
        <w:t>ies</w:t>
      </w:r>
      <w:proofErr w:type="spellEnd"/>
      <w:r w:rsidRPr="00BD0731">
        <w:rPr>
          <w:rStyle w:val="Strong"/>
        </w:rPr>
        <w:t>): Sustainable access; Tech Innovation</w:t>
      </w:r>
    </w:p>
    <w:p w:rsidRPr="00BD0731" w:rsidR="00583708" w:rsidP="00D97217" w:rsidRDefault="00DB1358" w14:paraId="261876EB" w14:textId="1EAF2E1B">
      <w:pPr>
        <w:pStyle w:val="ListParagraph"/>
        <w:numPr>
          <w:ilvl w:val="0"/>
          <w:numId w:val="1"/>
        </w:numPr>
        <w:spacing w:after="0" w:line="276" w:lineRule="auto"/>
        <w:rPr>
          <w:rStyle w:val="Strong"/>
          <w:rFonts w:eastAsia="Times New Roman"/>
          <w:b w:val="0"/>
          <w:bCs w:val="0"/>
          <w:color w:val="auto"/>
          <w:kern w:val="0"/>
          <w14:ligatures w14:val="none"/>
        </w:rPr>
      </w:pPr>
      <w:r w:rsidRPr="00BD0731">
        <w:rPr>
          <w:rFonts w:ascii="Open Sans" w:hAnsi="Open Sans" w:eastAsia="Times New Roman" w:cs="Open Sans"/>
          <w:kern w:val="0"/>
          <w14:ligatures w14:val="none"/>
        </w:rPr>
        <w:t>Provide virtual lactation consultations, postpartum check-ins, blood pressure monitoring, and mental health follow-up visits. This activity increases access for rural patients who face transportation barriers or limited provider availability and supports evidence-based postpartum care beyond the traditional 6-week visit.</w:t>
      </w:r>
    </w:p>
    <w:p w:rsidRPr="00370BC9" w:rsidR="00370BC9" w:rsidP="00D97217" w:rsidRDefault="00370BC9" w14:paraId="1C1706DB" w14:textId="77777777">
      <w:pPr>
        <w:spacing w:after="0" w:line="276" w:lineRule="auto"/>
        <w:rPr>
          <w:rFonts w:ascii="Segoe UI" w:hAnsi="Segoe UI" w:eastAsia="Times New Roman" w:cs="Segoe UI"/>
          <w:kern w:val="0"/>
          <w:sz w:val="21"/>
          <w:szCs w:val="21"/>
          <w14:ligatures w14:val="none"/>
        </w:rPr>
      </w:pPr>
    </w:p>
    <w:p w:rsidR="3692C456" w:rsidP="00D97217" w:rsidRDefault="3692C456" w14:paraId="35FCC225" w14:textId="1F62932F">
      <w:pPr>
        <w:pStyle w:val="Heading2"/>
        <w:spacing w:line="276" w:lineRule="auto"/>
      </w:pPr>
      <w:r w:rsidR="3692C456">
        <w:rPr/>
        <w:t xml:space="preserve">Example </w:t>
      </w:r>
      <w:r w:rsidR="32313254">
        <w:rPr/>
        <w:t>2</w:t>
      </w:r>
      <w:r w:rsidR="3692C456">
        <w:rPr/>
        <w:t xml:space="preserve"> </w:t>
      </w:r>
      <w:r w:rsidR="000365E7">
        <w:rPr/>
        <w:t>–</w:t>
      </w:r>
      <w:r w:rsidR="3692C456">
        <w:rPr/>
        <w:t xml:space="preserve"> </w:t>
      </w:r>
      <w:r w:rsidR="000365E7">
        <w:rPr/>
        <w:t>Health-Related Social Needs</w:t>
      </w:r>
    </w:p>
    <w:p w:rsidR="3692C456" w:rsidP="00D97217" w:rsidRDefault="3692C456" w14:paraId="46F36239" w14:textId="6933DB37">
      <w:pPr>
        <w:pStyle w:val="Heading3"/>
        <w:spacing w:line="276" w:lineRule="auto"/>
      </w:pPr>
      <w:r>
        <w:t xml:space="preserve">Initiative Title: </w:t>
      </w:r>
      <w:r w:rsidR="00BE1A86">
        <w:t>Growing Community Supports to Reduce Food and Transportation Barriers</w:t>
      </w:r>
    </w:p>
    <w:p w:rsidR="3692C456" w:rsidP="00D97217" w:rsidRDefault="3692C456" w14:paraId="2A9012ED" w14:textId="5D1D4781">
      <w:pPr>
        <w:pStyle w:val="Subtitle"/>
        <w:spacing w:line="276" w:lineRule="auto"/>
      </w:pPr>
      <w:r>
        <w:t xml:space="preserve">Activity 1: </w:t>
      </w:r>
      <w:r w:rsidR="00A23A80">
        <w:t xml:space="preserve">Establish Rural Food Access Partnerships Aligned </w:t>
      </w:r>
      <w:r w:rsidR="0165C976">
        <w:t>with</w:t>
      </w:r>
      <w:r w:rsidR="00A23A80">
        <w:t xml:space="preserve"> Local Needs Assessments</w:t>
      </w:r>
    </w:p>
    <w:p w:rsidRPr="00BD0731" w:rsidR="3692C456" w:rsidP="00D97217" w:rsidRDefault="3692C456" w14:paraId="3E8C8E60" w14:textId="4C946A52">
      <w:pPr>
        <w:pStyle w:val="ListParagraph"/>
        <w:numPr>
          <w:ilvl w:val="0"/>
          <w:numId w:val="3"/>
        </w:numPr>
        <w:spacing w:line="276" w:lineRule="auto"/>
        <w:rPr>
          <w:rStyle w:val="Strong"/>
        </w:rPr>
      </w:pPr>
      <w:r w:rsidRPr="00BD0731">
        <w:rPr>
          <w:rStyle w:val="Strong"/>
        </w:rPr>
        <w:t>Funding Category(</w:t>
      </w:r>
      <w:proofErr w:type="spellStart"/>
      <w:r w:rsidRPr="00BD0731">
        <w:rPr>
          <w:rStyle w:val="Strong"/>
        </w:rPr>
        <w:t>ies</w:t>
      </w:r>
      <w:proofErr w:type="spellEnd"/>
      <w:r w:rsidRPr="00BD0731">
        <w:rPr>
          <w:rStyle w:val="Strong"/>
        </w:rPr>
        <w:t xml:space="preserve">): </w:t>
      </w:r>
      <w:r w:rsidRPr="00BD0731" w:rsidR="0063265B">
        <w:rPr>
          <w:rStyle w:val="Strong"/>
        </w:rPr>
        <w:t>Make Rural Indiana Healthy Again</w:t>
      </w:r>
    </w:p>
    <w:p w:rsidRPr="00BD0731" w:rsidR="0063265B" w:rsidP="203EE13E" w:rsidRDefault="0063265B" w14:paraId="3BF7CD85" w14:textId="62F2BA67">
      <w:pPr>
        <w:pStyle w:val="ListParagraph"/>
        <w:numPr>
          <w:ilvl w:val="0"/>
          <w:numId w:val="3"/>
        </w:numPr>
        <w:spacing w:after="0" w:line="276" w:lineRule="auto"/>
        <w:rPr>
          <w:rFonts w:ascii="Open Sans" w:hAnsi="Open Sans" w:eastAsia="Times New Roman" w:cs="Open Sans"/>
          <w:kern w:val="0"/>
          <w14:ligatures w14:val="none"/>
        </w:rPr>
      </w:pPr>
      <w:r w:rsidRPr="00BD0731">
        <w:rPr>
          <w:rFonts w:ascii="Open Sans" w:hAnsi="Open Sans" w:eastAsia="Times New Roman" w:cs="Open Sans"/>
          <w:kern w:val="0"/>
          <w14:ligatures w14:val="none"/>
        </w:rPr>
        <w:t xml:space="preserve">Based on regional </w:t>
      </w:r>
      <w:r w:rsidR="009966EA">
        <w:rPr>
          <w:rFonts w:ascii="Open Sans" w:hAnsi="Open Sans" w:eastAsia="Times New Roman" w:cs="Open Sans"/>
          <w:kern w:val="0"/>
          <w14:ligatures w14:val="none"/>
        </w:rPr>
        <w:t>N</w:t>
      </w:r>
      <w:r w:rsidRPr="00BD0731">
        <w:rPr>
          <w:rFonts w:ascii="Open Sans" w:hAnsi="Open Sans" w:eastAsia="Times New Roman" w:cs="Open Sans"/>
          <w:kern w:val="0"/>
          <w14:ligatures w14:val="none"/>
        </w:rPr>
        <w:t xml:space="preserve">eeds </w:t>
      </w:r>
      <w:r w:rsidR="009966EA">
        <w:rPr>
          <w:rFonts w:ascii="Open Sans" w:hAnsi="Open Sans" w:eastAsia="Times New Roman" w:cs="Open Sans"/>
          <w:kern w:val="0"/>
          <w14:ligatures w14:val="none"/>
        </w:rPr>
        <w:t>A</w:t>
      </w:r>
      <w:r w:rsidRPr="00BD0731">
        <w:rPr>
          <w:rFonts w:ascii="Open Sans" w:hAnsi="Open Sans" w:eastAsia="Times New Roman" w:cs="Open Sans"/>
          <w:kern w:val="0"/>
          <w14:ligatures w14:val="none"/>
        </w:rPr>
        <w:t>ssessments identifying limited access to healthy foods, food insecurity, or lack of nearby grocery options, partner with food banks, local farms, community centers, and schools to expand low</w:t>
      </w:r>
      <w:r w:rsidRPr="00BD0731" w:rsidR="6FCE5E24">
        <w:rPr>
          <w:rFonts w:ascii="Open Sans" w:hAnsi="Open Sans" w:eastAsia="Times New Roman" w:cs="Open Sans"/>
          <w:kern w:val="0"/>
          <w14:ligatures w14:val="none"/>
        </w:rPr>
        <w:t>-</w:t>
      </w:r>
      <w:r w:rsidRPr="00BD0731">
        <w:rPr>
          <w:rFonts w:ascii="Open Sans" w:hAnsi="Open Sans" w:eastAsia="Times New Roman" w:cs="Open Sans"/>
          <w:kern w:val="0"/>
          <w14:ligatures w14:val="none"/>
        </w:rPr>
        <w:t>barrier food distribution programs. Activities may include mobile food markets, culturally relevant food boxes, partnerships with senior centers, and nutrition education integrated into distribution sites. Alignment with local data ensures solutions address specific geographic gaps, seasonal availability, and population needs.</w:t>
      </w:r>
    </w:p>
    <w:p w:rsidR="3692C456" w:rsidP="00D97217" w:rsidRDefault="3692C456" w14:paraId="1E3EB0E6" w14:textId="775CCA97">
      <w:pPr>
        <w:pStyle w:val="Subtitle"/>
        <w:spacing w:line="276" w:lineRule="auto"/>
      </w:pPr>
      <w:r>
        <w:t>Activity 2:</w:t>
      </w:r>
      <w:r w:rsidR="00694618">
        <w:t xml:space="preserve"> </w:t>
      </w:r>
      <w:r w:rsidRPr="00694618" w:rsidR="00694618">
        <w:t>Transportation Voucher and Ride Coordination Program for Healthcare Access</w:t>
      </w:r>
    </w:p>
    <w:p w:rsidRPr="00BD0731" w:rsidR="3692C456" w:rsidP="00D97217" w:rsidRDefault="3692C456" w14:paraId="721C7B0A" w14:textId="169B2A14">
      <w:pPr>
        <w:pStyle w:val="ListParagraph"/>
        <w:numPr>
          <w:ilvl w:val="0"/>
          <w:numId w:val="2"/>
        </w:numPr>
        <w:spacing w:line="276" w:lineRule="auto"/>
        <w:rPr>
          <w:rStyle w:val="Strong"/>
        </w:rPr>
      </w:pPr>
      <w:r w:rsidRPr="00BD0731">
        <w:rPr>
          <w:rStyle w:val="Strong"/>
        </w:rPr>
        <w:t>Funding Category(</w:t>
      </w:r>
      <w:proofErr w:type="spellStart"/>
      <w:r w:rsidRPr="00BD0731">
        <w:rPr>
          <w:rStyle w:val="Strong"/>
        </w:rPr>
        <w:t>ies</w:t>
      </w:r>
      <w:proofErr w:type="spellEnd"/>
      <w:r w:rsidRPr="00BD0731">
        <w:rPr>
          <w:rStyle w:val="Strong"/>
        </w:rPr>
        <w:t xml:space="preserve">): </w:t>
      </w:r>
      <w:r w:rsidRPr="00BD0731" w:rsidR="00CE3DA1">
        <w:rPr>
          <w:rStyle w:val="Strong"/>
        </w:rPr>
        <w:t>Make</w:t>
      </w:r>
      <w:r w:rsidRPr="00BD0731" w:rsidR="00A446DB">
        <w:rPr>
          <w:rStyle w:val="Strong"/>
        </w:rPr>
        <w:t xml:space="preserve"> Rural</w:t>
      </w:r>
      <w:r w:rsidRPr="00BD0731" w:rsidR="00CE3DA1">
        <w:rPr>
          <w:rStyle w:val="Strong"/>
        </w:rPr>
        <w:t xml:space="preserve"> Indiana Healthy Again</w:t>
      </w:r>
    </w:p>
    <w:p w:rsidRPr="00BD0731" w:rsidR="3692C456" w:rsidP="00D97217" w:rsidRDefault="00CE3DA1" w14:paraId="4AD51112" w14:textId="6A06FEEF">
      <w:pPr>
        <w:pStyle w:val="ListParagraph"/>
        <w:numPr>
          <w:ilvl w:val="0"/>
          <w:numId w:val="2"/>
        </w:numPr>
        <w:spacing w:after="0" w:line="276" w:lineRule="auto"/>
        <w:rPr>
          <w:rFonts w:ascii="Open Sans" w:hAnsi="Open Sans" w:eastAsia="Times New Roman" w:cs="Open Sans"/>
          <w:kern w:val="0"/>
          <w14:ligatures w14:val="none"/>
        </w:rPr>
      </w:pPr>
      <w:r w:rsidRPr="00BD0731">
        <w:rPr>
          <w:rFonts w:ascii="Open Sans" w:hAnsi="Open Sans" w:eastAsia="Times New Roman" w:cs="Open Sans"/>
          <w:kern w:val="0"/>
          <w14:ligatures w14:val="none"/>
        </w:rPr>
        <w:t xml:space="preserve">Develop a region-specific transportation support program informed by </w:t>
      </w:r>
      <w:r w:rsidR="009966EA">
        <w:rPr>
          <w:rFonts w:ascii="Open Sans" w:hAnsi="Open Sans" w:eastAsia="Times New Roman" w:cs="Open Sans"/>
          <w:kern w:val="0"/>
          <w14:ligatures w14:val="none"/>
        </w:rPr>
        <w:t>N</w:t>
      </w:r>
      <w:r w:rsidRPr="00BD0731">
        <w:rPr>
          <w:rFonts w:ascii="Open Sans" w:hAnsi="Open Sans" w:eastAsia="Times New Roman" w:cs="Open Sans"/>
          <w:kern w:val="0"/>
          <w14:ligatures w14:val="none"/>
        </w:rPr>
        <w:t xml:space="preserve">eeds </w:t>
      </w:r>
      <w:r w:rsidR="009966EA">
        <w:rPr>
          <w:rFonts w:ascii="Open Sans" w:hAnsi="Open Sans" w:eastAsia="Times New Roman" w:cs="Open Sans"/>
          <w:kern w:val="0"/>
          <w14:ligatures w14:val="none"/>
        </w:rPr>
        <w:t>A</w:t>
      </w:r>
      <w:r w:rsidRPr="00BD0731">
        <w:rPr>
          <w:rFonts w:ascii="Open Sans" w:hAnsi="Open Sans" w:eastAsia="Times New Roman" w:cs="Open Sans"/>
          <w:kern w:val="0"/>
          <w14:ligatures w14:val="none"/>
        </w:rPr>
        <w:t>ssessment findings related to travel distance, lack of public transit, or limited caregiver availability. Activities include providing ride vouchers for medical, behavioral health, and social service appointments; partnering with rural transit providers and rideshare services; and creating a centralized ride-coordination hotline. Evidence shows transportation assistance increases appointment attendance and continuity of care, particularly in rural areas.</w:t>
      </w:r>
    </w:p>
    <w:p w:rsidR="3692C456" w:rsidP="00D97217" w:rsidRDefault="3692C456" w14:paraId="08D768D9" w14:textId="64B8155B">
      <w:pPr>
        <w:pStyle w:val="Subtitle"/>
        <w:spacing w:line="276" w:lineRule="auto"/>
      </w:pPr>
      <w:r>
        <w:t>Activity 3:</w:t>
      </w:r>
      <w:r w:rsidR="00A446DB">
        <w:t xml:space="preserve"> </w:t>
      </w:r>
      <w:r w:rsidRPr="00384F43" w:rsidR="00384F43">
        <w:t>Implement Social Needs Screening and Resource Navigation Through CHWs</w:t>
      </w:r>
    </w:p>
    <w:p w:rsidRPr="00BD0731" w:rsidR="3692C456" w:rsidP="00D97217" w:rsidRDefault="3692C456" w14:paraId="2028A6B3" w14:textId="3250077C">
      <w:pPr>
        <w:pStyle w:val="ListParagraph"/>
        <w:numPr>
          <w:ilvl w:val="0"/>
          <w:numId w:val="1"/>
        </w:numPr>
        <w:spacing w:line="276" w:lineRule="auto"/>
        <w:rPr>
          <w:rStyle w:val="Strong"/>
        </w:rPr>
      </w:pPr>
      <w:r w:rsidRPr="00BD0731">
        <w:rPr>
          <w:rStyle w:val="Strong"/>
        </w:rPr>
        <w:t xml:space="preserve">Funding Category(ies): </w:t>
      </w:r>
      <w:r w:rsidRPr="00BD0731" w:rsidR="00384F43">
        <w:rPr>
          <w:rStyle w:val="Strong"/>
        </w:rPr>
        <w:t>Make Rural Indiana Healthy Again; Workforce Development</w:t>
      </w:r>
    </w:p>
    <w:p w:rsidRPr="00BD0731" w:rsidR="00044605" w:rsidP="00D97217" w:rsidRDefault="00FF0422" w14:paraId="505665DF" w14:textId="0730B62D">
      <w:pPr>
        <w:pStyle w:val="ListParagraph"/>
        <w:numPr>
          <w:ilvl w:val="0"/>
          <w:numId w:val="1"/>
        </w:numPr>
        <w:spacing w:after="0" w:line="276" w:lineRule="auto"/>
        <w:rPr>
          <w:rFonts w:ascii="Open Sans" w:hAnsi="Open Sans" w:eastAsia="Times New Roman" w:cs="Open Sans"/>
          <w:kern w:val="0"/>
          <w14:ligatures w14:val="none"/>
        </w:rPr>
      </w:pPr>
      <w:r w:rsidRPr="00BD0731">
        <w:rPr>
          <w:rFonts w:ascii="Open Sans" w:hAnsi="Open Sans" w:eastAsia="Times New Roman" w:cs="Open Sans"/>
          <w:kern w:val="0"/>
          <w14:ligatures w14:val="none"/>
        </w:rPr>
        <w:t xml:space="preserve">Train Community Health Workers (CHWs) </w:t>
      </w:r>
      <w:proofErr w:type="gramStart"/>
      <w:r w:rsidRPr="00BD0731">
        <w:rPr>
          <w:rFonts w:ascii="Open Sans" w:hAnsi="Open Sans" w:eastAsia="Times New Roman" w:cs="Open Sans"/>
          <w:kern w:val="0"/>
          <w14:ligatures w14:val="none"/>
        </w:rPr>
        <w:t>to provide</w:t>
      </w:r>
      <w:proofErr w:type="gramEnd"/>
      <w:r w:rsidRPr="00BD0731">
        <w:rPr>
          <w:rFonts w:ascii="Open Sans" w:hAnsi="Open Sans" w:eastAsia="Times New Roman" w:cs="Open Sans"/>
          <w:kern w:val="0"/>
          <w14:ligatures w14:val="none"/>
        </w:rPr>
        <w:t xml:space="preserve"> universal screening for food insecurity, transportation challenges, housing instability, and other HRSNs using validated tools. </w:t>
      </w:r>
      <w:proofErr w:type="gramStart"/>
      <w:r w:rsidRPr="00BD0731">
        <w:rPr>
          <w:rFonts w:ascii="Open Sans" w:hAnsi="Open Sans" w:eastAsia="Times New Roman" w:cs="Open Sans"/>
          <w:kern w:val="0"/>
          <w14:ligatures w14:val="none"/>
        </w:rPr>
        <w:t>Screenings</w:t>
      </w:r>
      <w:proofErr w:type="gramEnd"/>
      <w:r w:rsidRPr="00BD0731">
        <w:rPr>
          <w:rFonts w:ascii="Open Sans" w:hAnsi="Open Sans" w:eastAsia="Times New Roman" w:cs="Open Sans"/>
          <w:kern w:val="0"/>
          <w14:ligatures w14:val="none"/>
        </w:rPr>
        <w:t xml:space="preserve"> should occur in settings where regional data indicate the greatest need (e.g., clinics with high missed</w:t>
      </w:r>
      <w:r w:rsidRPr="00BD0731" w:rsidR="5AA6E84F">
        <w:rPr>
          <w:rFonts w:ascii="Open Sans" w:hAnsi="Open Sans" w:eastAsia="Times New Roman" w:cs="Open Sans"/>
          <w:kern w:val="0"/>
          <w14:ligatures w14:val="none"/>
        </w:rPr>
        <w:t xml:space="preserve"> </w:t>
      </w:r>
      <w:r w:rsidRPr="00BD0731">
        <w:rPr>
          <w:rFonts w:ascii="Open Sans" w:hAnsi="Open Sans" w:eastAsia="Times New Roman" w:cs="Open Sans"/>
          <w:kern w:val="0"/>
          <w14:ligatures w14:val="none"/>
        </w:rPr>
        <w:t>appointment</w:t>
      </w:r>
      <w:r w:rsidRPr="00BD0731">
        <w:rPr>
          <w:rFonts w:ascii="Open Sans" w:hAnsi="Open Sans" w:eastAsia="Times New Roman" w:cs="Open Sans"/>
          <w:kern w:val="0"/>
          <w14:ligatures w14:val="none"/>
        </w:rPr>
        <w:noBreakHyphen/>
        <w:t xml:space="preserve"> rates, areas with high food insecurity). CHWs connect individuals to community resources, follow up on referrals, and provide navigation support to ensure successful linkage to services.</w:t>
      </w:r>
      <w:r w:rsidRPr="00BD0731" w:rsidR="00CD5C74">
        <w:rPr>
          <w:rFonts w:ascii="Open Sans" w:hAnsi="Open Sans" w:eastAsia="Times New Roman" w:cs="Open Sans"/>
          <w:kern w:val="0"/>
          <w14:ligatures w14:val="none"/>
        </w:rPr>
        <w:t xml:space="preserve"> </w:t>
      </w:r>
    </w:p>
    <w:p w:rsidR="00044605" w:rsidP="00D97217" w:rsidRDefault="00044605" w14:paraId="25376041" w14:textId="0D755862">
      <w:pPr>
        <w:pStyle w:val="Subtitle"/>
        <w:spacing w:line="276" w:lineRule="auto"/>
      </w:pPr>
      <w:r>
        <w:t xml:space="preserve">Activity 4: </w:t>
      </w:r>
      <w:r w:rsidRPr="004D2085" w:rsidR="004D2085">
        <w:t>Regional Healthy Food Infrastructure Investments</w:t>
      </w:r>
    </w:p>
    <w:p w:rsidRPr="00BD0731" w:rsidR="00044605" w:rsidP="00D97217" w:rsidRDefault="00044605" w14:paraId="778795B8" w14:textId="1FAF166C">
      <w:pPr>
        <w:pStyle w:val="Subtitle"/>
        <w:numPr>
          <w:ilvl w:val="0"/>
          <w:numId w:val="6"/>
        </w:numPr>
        <w:spacing w:before="0" w:line="276" w:lineRule="auto"/>
        <w:rPr>
          <w:rStyle w:val="Strong"/>
          <w:sz w:val="24"/>
          <w:szCs w:val="24"/>
        </w:rPr>
      </w:pPr>
      <w:r w:rsidRPr="00BD0731">
        <w:rPr>
          <w:rStyle w:val="Strong"/>
          <w:sz w:val="24"/>
          <w:szCs w:val="24"/>
        </w:rPr>
        <w:t>Funding Category(</w:t>
      </w:r>
      <w:proofErr w:type="spellStart"/>
      <w:r w:rsidRPr="00BD0731">
        <w:rPr>
          <w:rStyle w:val="Strong"/>
          <w:sz w:val="24"/>
          <w:szCs w:val="24"/>
        </w:rPr>
        <w:t>ies</w:t>
      </w:r>
      <w:proofErr w:type="spellEnd"/>
      <w:r w:rsidRPr="00BD0731">
        <w:rPr>
          <w:rStyle w:val="Strong"/>
          <w:sz w:val="24"/>
          <w:szCs w:val="24"/>
        </w:rPr>
        <w:t xml:space="preserve">): Make Rural Indiana Healthy Again; </w:t>
      </w:r>
      <w:r w:rsidRPr="00BD0731" w:rsidR="00447484">
        <w:rPr>
          <w:rStyle w:val="Strong"/>
          <w:sz w:val="24"/>
          <w:szCs w:val="24"/>
        </w:rPr>
        <w:t>Tech Innovation</w:t>
      </w:r>
    </w:p>
    <w:p w:rsidRPr="00BD0731" w:rsidR="5870A634" w:rsidP="00D97217" w:rsidRDefault="007F2997" w14:paraId="494505DB" w14:textId="713EFB0D">
      <w:pPr>
        <w:pStyle w:val="Body"/>
        <w:numPr>
          <w:ilvl w:val="0"/>
          <w:numId w:val="5"/>
        </w:numPr>
        <w:spacing w:line="276" w:lineRule="auto"/>
        <w:rPr>
          <w:rFonts w:eastAsia="Times New Roman"/>
          <w:kern w:val="0"/>
          <w14:ligatures w14:val="none"/>
        </w:rPr>
      </w:pPr>
      <w:r w:rsidRPr="00BD0731">
        <w:rPr>
          <w:rFonts w:eastAsia="Times New Roman"/>
          <w:kern w:val="0"/>
          <w14:ligatures w14:val="none"/>
        </w:rPr>
        <w:t>Invest in infrastructure projects that address region</w:t>
      </w:r>
      <w:r w:rsidRPr="00BD0731" w:rsidR="6037EBE7">
        <w:rPr>
          <w:rFonts w:eastAsia="Times New Roman"/>
          <w:kern w:val="0"/>
          <w14:ligatures w14:val="none"/>
        </w:rPr>
        <w:t>-</w:t>
      </w:r>
      <w:r w:rsidRPr="00BD0731">
        <w:rPr>
          <w:rFonts w:eastAsia="Times New Roman"/>
          <w:kern w:val="0"/>
          <w14:ligatures w14:val="none"/>
        </w:rPr>
        <w:t>specific food access gaps identified through local assessments. Examples include refrigeration capacity for food pantries, equipment for local farmers to participate in food distribution programs, or technology to coordinate food delivery routes in underserved areas. These targeted, one</w:t>
      </w:r>
      <w:r w:rsidRPr="00BD0731">
        <w:rPr>
          <w:rFonts w:eastAsia="Times New Roman"/>
          <w:kern w:val="0"/>
          <w14:ligatures w14:val="none"/>
        </w:rPr>
        <w:noBreakHyphen/>
        <w:t>time investments support long-term sustainability and improved access to healthy foods.</w:t>
      </w:r>
    </w:p>
    <w:p w:rsidR="00E94E98" w:rsidP="00D97217" w:rsidRDefault="00E94E98" w14:paraId="1612BBD1" w14:textId="23DAC2DE">
      <w:pPr>
        <w:pStyle w:val="Subtitle"/>
        <w:spacing w:line="276" w:lineRule="auto"/>
      </w:pPr>
      <w:r>
        <w:t xml:space="preserve">Activity 5: </w:t>
      </w:r>
      <w:r w:rsidRPr="002D515E" w:rsidR="002D515E">
        <w:t xml:space="preserve">Expand Community Delivery Models for Patients </w:t>
      </w:r>
      <w:proofErr w:type="gramStart"/>
      <w:r w:rsidRPr="002D515E" w:rsidR="002D515E">
        <w:t>With</w:t>
      </w:r>
      <w:proofErr w:type="gramEnd"/>
      <w:r w:rsidRPr="002D515E" w:rsidR="002D515E">
        <w:t xml:space="preserve"> Mobility or Transportation Barriers</w:t>
      </w:r>
    </w:p>
    <w:p w:rsidRPr="00BD0731" w:rsidR="00E94E98" w:rsidP="00D97217" w:rsidRDefault="00E94E98" w14:paraId="67BC0748" w14:textId="6958C55E">
      <w:pPr>
        <w:pStyle w:val="Subtitle"/>
        <w:numPr>
          <w:ilvl w:val="0"/>
          <w:numId w:val="6"/>
        </w:numPr>
        <w:spacing w:before="0" w:line="276" w:lineRule="auto"/>
        <w:rPr>
          <w:rStyle w:val="Strong"/>
          <w:sz w:val="24"/>
          <w:szCs w:val="24"/>
        </w:rPr>
      </w:pPr>
      <w:r w:rsidRPr="00BD0731">
        <w:rPr>
          <w:rStyle w:val="Strong"/>
          <w:sz w:val="24"/>
          <w:szCs w:val="24"/>
        </w:rPr>
        <w:t>Funding Category(</w:t>
      </w:r>
      <w:proofErr w:type="spellStart"/>
      <w:r w:rsidRPr="00BD0731">
        <w:rPr>
          <w:rStyle w:val="Strong"/>
          <w:sz w:val="24"/>
          <w:szCs w:val="24"/>
        </w:rPr>
        <w:t>ies</w:t>
      </w:r>
      <w:proofErr w:type="spellEnd"/>
      <w:r w:rsidRPr="00BD0731">
        <w:rPr>
          <w:rStyle w:val="Strong"/>
          <w:sz w:val="24"/>
          <w:szCs w:val="24"/>
        </w:rPr>
        <w:t>): Make Rural Indiana Healthy Again; Tech Innovation</w:t>
      </w:r>
      <w:r w:rsidRPr="00BD0731" w:rsidR="00630C34">
        <w:rPr>
          <w:rStyle w:val="Strong"/>
          <w:sz w:val="24"/>
          <w:szCs w:val="24"/>
        </w:rPr>
        <w:t>; Sustainable Access</w:t>
      </w:r>
    </w:p>
    <w:p w:rsidRPr="00BD0731" w:rsidR="5870A634" w:rsidP="00D97217" w:rsidRDefault="00630C34" w14:paraId="5BC762D3" w14:textId="4CB125C5">
      <w:pPr>
        <w:pStyle w:val="ListParagraph"/>
        <w:numPr>
          <w:ilvl w:val="0"/>
          <w:numId w:val="6"/>
        </w:numPr>
        <w:spacing w:after="0" w:line="276" w:lineRule="auto"/>
        <w:rPr>
          <w:rFonts w:ascii="Open Sans" w:hAnsi="Open Sans" w:eastAsia="Times New Roman" w:cs="Open Sans"/>
          <w:kern w:val="0"/>
          <w14:ligatures w14:val="none"/>
        </w:rPr>
      </w:pPr>
      <w:r w:rsidRPr="00BD0731">
        <w:rPr>
          <w:rFonts w:ascii="Open Sans" w:hAnsi="Open Sans" w:eastAsia="Times New Roman" w:cs="Open Sans"/>
          <w:kern w:val="0"/>
          <w14:ligatures w14:val="none"/>
        </w:rPr>
        <w:t xml:space="preserve">For regions whose </w:t>
      </w:r>
      <w:r w:rsidR="009966EA">
        <w:rPr>
          <w:rFonts w:ascii="Open Sans" w:hAnsi="Open Sans" w:eastAsia="Times New Roman" w:cs="Open Sans"/>
          <w:kern w:val="0"/>
          <w14:ligatures w14:val="none"/>
        </w:rPr>
        <w:t>N</w:t>
      </w:r>
      <w:r w:rsidRPr="00BD0731">
        <w:rPr>
          <w:rFonts w:ascii="Open Sans" w:hAnsi="Open Sans" w:eastAsia="Times New Roman" w:cs="Open Sans"/>
          <w:kern w:val="0"/>
          <w14:ligatures w14:val="none"/>
        </w:rPr>
        <w:t xml:space="preserve">eeds </w:t>
      </w:r>
      <w:r w:rsidR="009966EA">
        <w:rPr>
          <w:rFonts w:ascii="Open Sans" w:hAnsi="Open Sans" w:eastAsia="Times New Roman" w:cs="Open Sans"/>
          <w:kern w:val="0"/>
          <w14:ligatures w14:val="none"/>
        </w:rPr>
        <w:t>A</w:t>
      </w:r>
      <w:r w:rsidRPr="00BD0731">
        <w:rPr>
          <w:rFonts w:ascii="Open Sans" w:hAnsi="Open Sans" w:eastAsia="Times New Roman" w:cs="Open Sans"/>
          <w:kern w:val="0"/>
          <w14:ligatures w14:val="none"/>
        </w:rPr>
        <w:t>ssessments identify high rates of missed appointments or limited vehicle access, develop delivery-based support such as medication delivery, telehealth support kiosks in trusted community hubs, or home-delivered nutrition boxes for high</w:t>
      </w:r>
      <w:r w:rsidRPr="00BD0731" w:rsidR="4AA8476E">
        <w:rPr>
          <w:rFonts w:ascii="Open Sans" w:hAnsi="Open Sans" w:eastAsia="Times New Roman" w:cs="Open Sans"/>
          <w:kern w:val="0"/>
          <w14:ligatures w14:val="none"/>
        </w:rPr>
        <w:t>-</w:t>
      </w:r>
      <w:r w:rsidRPr="00BD0731">
        <w:rPr>
          <w:rFonts w:ascii="Open Sans" w:hAnsi="Open Sans" w:eastAsia="Times New Roman" w:cs="Open Sans"/>
          <w:kern w:val="0"/>
          <w14:ligatures w14:val="none"/>
        </w:rPr>
        <w:t>risk patients (e.g., postpartum individuals, older adults with chronic conditions). These evidence-based models improve continuity of care and reduce health complications associated with unmet basic needs.</w:t>
      </w:r>
    </w:p>
    <w:p w:rsidR="5870A634" w:rsidP="00D97217" w:rsidRDefault="2D0B1D17" w14:paraId="55D66C9B" w14:textId="1C71BAE6">
      <w:pPr>
        <w:pStyle w:val="Heading2"/>
        <w:spacing w:before="240" w:line="276" w:lineRule="auto"/>
      </w:pPr>
      <w:r w:rsidR="2D0B1D17">
        <w:rPr/>
        <w:t xml:space="preserve">Example </w:t>
      </w:r>
      <w:r w:rsidR="15A07641">
        <w:rPr/>
        <w:t>3</w:t>
      </w:r>
      <w:r w:rsidR="2D0B1D17">
        <w:rPr/>
        <w:t xml:space="preserve"> </w:t>
      </w:r>
      <w:r w:rsidR="2D0B1D17">
        <w:rPr/>
        <w:t xml:space="preserve">– </w:t>
      </w:r>
      <w:r w:rsidR="6267ECF1">
        <w:rPr/>
        <w:t>Tech Innovation</w:t>
      </w:r>
    </w:p>
    <w:p w:rsidR="5870A634" w:rsidP="00D97217" w:rsidRDefault="2D0B1D17" w14:paraId="40F07FBF" w14:textId="6933DB37">
      <w:pPr>
        <w:pStyle w:val="Heading3"/>
        <w:spacing w:line="276" w:lineRule="auto"/>
      </w:pPr>
      <w:r>
        <w:t>Initiative Title: Growing Community Supports to Reduce Food and Transportation Barriers</w:t>
      </w:r>
    </w:p>
    <w:p w:rsidRPr="001B35D5" w:rsidR="5870A634" w:rsidP="00D97217" w:rsidRDefault="2D0B1D17" w14:paraId="35FDA248" w14:textId="37A5396F">
      <w:pPr>
        <w:pStyle w:val="Subtitle"/>
        <w:spacing w:line="276" w:lineRule="auto"/>
      </w:pPr>
      <w:r>
        <w:t xml:space="preserve">Activity 1: </w:t>
      </w:r>
      <w:r w:rsidRPr="77B3EB61" w:rsidR="5B17B549">
        <w:t>Growing Regional Digital Infrastructure for Better Health and Access</w:t>
      </w:r>
    </w:p>
    <w:p w:rsidRPr="00BD0731" w:rsidR="5870A634" w:rsidP="00D97217" w:rsidRDefault="2D0B1D17" w14:paraId="28BE63F3" w14:textId="10875FA2">
      <w:pPr>
        <w:pStyle w:val="ListParagraph"/>
        <w:numPr>
          <w:ilvl w:val="0"/>
          <w:numId w:val="3"/>
        </w:numPr>
        <w:spacing w:line="276" w:lineRule="auto"/>
        <w:rPr>
          <w:rStyle w:val="Strong"/>
        </w:rPr>
      </w:pPr>
      <w:r w:rsidRPr="00BD0731">
        <w:rPr>
          <w:rStyle w:val="Strong"/>
        </w:rPr>
        <w:t xml:space="preserve">Funding Category(ies): </w:t>
      </w:r>
      <w:r w:rsidRPr="00BD0731" w:rsidR="150BB469">
        <w:rPr>
          <w:rStyle w:val="Strong"/>
        </w:rPr>
        <w:t>Tech Innovation</w:t>
      </w:r>
    </w:p>
    <w:p w:rsidRPr="00BD0731" w:rsidR="77B3EB61" w:rsidP="00D97217" w:rsidRDefault="150BB469" w14:paraId="6E49A786" w14:textId="34CEAA08">
      <w:pPr>
        <w:pStyle w:val="ListParagraph"/>
        <w:numPr>
          <w:ilvl w:val="0"/>
          <w:numId w:val="3"/>
        </w:numPr>
        <w:spacing w:after="0" w:line="276" w:lineRule="auto"/>
        <w:rPr>
          <w:rFonts w:ascii="Open Sans" w:hAnsi="Open Sans" w:eastAsia="Segoe UI" w:cs="Open Sans"/>
        </w:rPr>
      </w:pPr>
      <w:r w:rsidRPr="00BD0731">
        <w:rPr>
          <w:rFonts w:ascii="Open Sans" w:hAnsi="Open Sans" w:eastAsia="Segoe UI" w:cs="Open Sans"/>
        </w:rPr>
        <w:t>Conduct region</w:t>
      </w:r>
      <w:r w:rsidRPr="00BD0731">
        <w:rPr>
          <w:rFonts w:ascii="Cambria Math" w:hAnsi="Cambria Math" w:eastAsia="Segoe UI" w:cs="Cambria Math"/>
        </w:rPr>
        <w:t>‑</w:t>
      </w:r>
      <w:r w:rsidRPr="00BD0731">
        <w:rPr>
          <w:rFonts w:ascii="Open Sans" w:hAnsi="Open Sans" w:eastAsia="Segoe UI" w:cs="Open Sans"/>
        </w:rPr>
        <w:t xml:space="preserve">specific IT readiness assessments to identify gaps in EHR functionality, broadband connectivity, interoperability, data sharing, and cybersecurity across rural hospitals, clinics, behavioral health providers, and EMS agencies. Implement targeted </w:t>
      </w:r>
      <w:proofErr w:type="gramStart"/>
      <w:r w:rsidRPr="00BD0731">
        <w:rPr>
          <w:rFonts w:ascii="Open Sans" w:hAnsi="Open Sans" w:eastAsia="Segoe UI" w:cs="Open Sans"/>
        </w:rPr>
        <w:t>upgrades—</w:t>
      </w:r>
      <w:proofErr w:type="gramEnd"/>
      <w:r w:rsidRPr="00BD0731">
        <w:rPr>
          <w:rFonts w:ascii="Open Sans" w:hAnsi="Open Sans" w:eastAsia="Segoe UI" w:cs="Open Sans"/>
        </w:rPr>
        <w:t>including certified EHR modules, broadband expansion within facilities, secure messaging platforms, and evidence-based cybersecurity tools—to ensure all regional providers have the foundational technology needed to improve quality, coordinate care, and expand access to services. Improvements are prioritized according to gaps highlighted in the region’s Needs Assessment to ensure equitable digital capacity across counties.</w:t>
      </w:r>
    </w:p>
    <w:p w:rsidRPr="001B35D5" w:rsidR="77B3EB61" w:rsidP="00D97217" w:rsidRDefault="1DF3816A" w14:paraId="4AE50CE2" w14:textId="35867CB7">
      <w:pPr>
        <w:pStyle w:val="Subtitle"/>
        <w:spacing w:line="276" w:lineRule="auto"/>
      </w:pPr>
      <w:r>
        <w:t xml:space="preserve">Activity 2: </w:t>
      </w:r>
      <w:r w:rsidRPr="77B3EB61">
        <w:t xml:space="preserve">Expand </w:t>
      </w:r>
      <w:r w:rsidRPr="77B3EB61" w:rsidR="670763F0">
        <w:t>Telehealth</w:t>
      </w:r>
      <w:r w:rsidRPr="77B3EB61" w:rsidR="712574E1">
        <w:t xml:space="preserve"> Access Through </w:t>
      </w:r>
      <w:r w:rsidRPr="77B3EB61" w:rsidR="1C64BC92">
        <w:t>Community-Based Access Points and Patient Supports</w:t>
      </w:r>
    </w:p>
    <w:p w:rsidRPr="00BD0731" w:rsidR="1DF3816A" w:rsidP="00D97217" w:rsidRDefault="1DF3816A" w14:paraId="666D2BAC" w14:textId="5966C0D9">
      <w:pPr>
        <w:pStyle w:val="ListParagraph"/>
        <w:numPr>
          <w:ilvl w:val="0"/>
          <w:numId w:val="3"/>
        </w:numPr>
        <w:spacing w:line="276" w:lineRule="auto"/>
        <w:rPr>
          <w:rStyle w:val="Strong"/>
        </w:rPr>
      </w:pPr>
      <w:r w:rsidRPr="00BD0731">
        <w:rPr>
          <w:rStyle w:val="Strong"/>
        </w:rPr>
        <w:t>Funding Category(</w:t>
      </w:r>
      <w:proofErr w:type="spellStart"/>
      <w:r w:rsidRPr="00BD0731">
        <w:rPr>
          <w:rStyle w:val="Strong"/>
        </w:rPr>
        <w:t>ies</w:t>
      </w:r>
      <w:proofErr w:type="spellEnd"/>
      <w:r w:rsidRPr="00BD0731">
        <w:rPr>
          <w:rStyle w:val="Strong"/>
        </w:rPr>
        <w:t>): Tech Innovation</w:t>
      </w:r>
      <w:r w:rsidRPr="00BD0731" w:rsidR="4B8D35CF">
        <w:rPr>
          <w:rStyle w:val="Strong"/>
        </w:rPr>
        <w:t>; Make Rural Indiana Health Again</w:t>
      </w:r>
    </w:p>
    <w:p w:rsidRPr="00BD0731" w:rsidR="77B3EB61" w:rsidP="00D97217" w:rsidRDefault="4B8D35CF" w14:paraId="59F274AE" w14:textId="38F25B65">
      <w:pPr>
        <w:pStyle w:val="ListParagraph"/>
        <w:numPr>
          <w:ilvl w:val="0"/>
          <w:numId w:val="3"/>
        </w:numPr>
        <w:spacing w:after="0" w:line="276" w:lineRule="auto"/>
        <w:rPr>
          <w:rFonts w:ascii="Open Sans" w:hAnsi="Open Sans" w:eastAsia="Segoe UI" w:cs="Open Sans"/>
        </w:rPr>
      </w:pPr>
      <w:r w:rsidRPr="00BD0731">
        <w:rPr>
          <w:rFonts w:ascii="Open Sans" w:hAnsi="Open Sans" w:eastAsia="Segoe UI" w:cs="Open Sans"/>
        </w:rPr>
        <w:t>Expand access to preventive care, chronic disease management, and behavioral health services by establishing telehealth access points in trusted community locations such as libraries, schools, community centers, and county health departments. For patients with limited broadband or devices at home, provide loaner tablets, mobile hotspots, and digital literacy coaching. This activity responds directly to regional data showing transportation barriers, provider shortages, or broadband gaps, improving timely access to care and reducing missed appointments.</w:t>
      </w:r>
    </w:p>
    <w:p w:rsidRPr="001B35D5" w:rsidR="77B3EB61" w:rsidP="00D97217" w:rsidRDefault="4B8D35CF" w14:paraId="2983284F" w14:textId="60C00D31">
      <w:pPr>
        <w:pStyle w:val="Subtitle"/>
        <w:spacing w:line="276" w:lineRule="auto"/>
        <w:rPr>
          <w:rFonts w:eastAsia="Montserrat" w:cs="Montserrat"/>
        </w:rPr>
      </w:pPr>
      <w:r>
        <w:t>Activity 3: Launch Regionwide Remote Patient Monitoring (RPM) to Improve Chronic Disease Outcomes</w:t>
      </w:r>
    </w:p>
    <w:p w:rsidRPr="00BD0731" w:rsidR="4B8D35CF" w:rsidP="00D97217" w:rsidRDefault="4B8D35CF" w14:paraId="5EB7D806" w14:textId="5966C0D9">
      <w:pPr>
        <w:pStyle w:val="ListParagraph"/>
        <w:numPr>
          <w:ilvl w:val="0"/>
          <w:numId w:val="3"/>
        </w:numPr>
        <w:spacing w:line="276" w:lineRule="auto"/>
        <w:rPr>
          <w:rStyle w:val="Strong"/>
        </w:rPr>
      </w:pPr>
      <w:r w:rsidRPr="00BD0731">
        <w:rPr>
          <w:rStyle w:val="Strong"/>
        </w:rPr>
        <w:t>Funding Category(ies): Tech Innovation; Make Rural Indiana Health Again</w:t>
      </w:r>
    </w:p>
    <w:p w:rsidRPr="00BD0731" w:rsidR="77B3EB61" w:rsidP="00D97217" w:rsidRDefault="0E4F414C" w14:paraId="0EE627D1" w14:textId="271C56C5">
      <w:pPr>
        <w:pStyle w:val="ListParagraph"/>
        <w:numPr>
          <w:ilvl w:val="0"/>
          <w:numId w:val="3"/>
        </w:numPr>
        <w:spacing w:after="0" w:line="276" w:lineRule="auto"/>
        <w:rPr>
          <w:rFonts w:ascii="Open Sans" w:hAnsi="Open Sans" w:eastAsia="Segoe UI" w:cs="Open Sans"/>
        </w:rPr>
      </w:pPr>
      <w:r w:rsidRPr="00BD0731">
        <w:rPr>
          <w:rFonts w:ascii="Open Sans" w:hAnsi="Open Sans" w:eastAsia="Segoe UI" w:cs="Open Sans"/>
        </w:rPr>
        <w:t xml:space="preserve">Deploy remote monitoring tools for patients with high-risk chronic conditions such as hypertension, heart failure, COPD, and diabetes. Devices may include connected blood pressure cuffs, glucometers, weight scales, and pulse oximeters. Data </w:t>
      </w:r>
      <w:proofErr w:type="gramStart"/>
      <w:r w:rsidRPr="00BD0731">
        <w:rPr>
          <w:rFonts w:ascii="Open Sans" w:hAnsi="Open Sans" w:eastAsia="Segoe UI" w:cs="Open Sans"/>
        </w:rPr>
        <w:t>feed</w:t>
      </w:r>
      <w:proofErr w:type="gramEnd"/>
      <w:r w:rsidRPr="00BD0731">
        <w:rPr>
          <w:rFonts w:ascii="Open Sans" w:hAnsi="Open Sans" w:eastAsia="Segoe UI" w:cs="Open Sans"/>
        </w:rPr>
        <w:t xml:space="preserve"> into </w:t>
      </w:r>
      <w:proofErr w:type="gramStart"/>
      <w:r w:rsidRPr="00BD0731">
        <w:rPr>
          <w:rFonts w:ascii="Open Sans" w:hAnsi="Open Sans" w:eastAsia="Segoe UI" w:cs="Open Sans"/>
        </w:rPr>
        <w:t>provider</w:t>
      </w:r>
      <w:proofErr w:type="gramEnd"/>
      <w:r w:rsidRPr="00BD0731">
        <w:rPr>
          <w:rFonts w:ascii="Open Sans" w:hAnsi="Open Sans" w:eastAsia="Segoe UI" w:cs="Open Sans"/>
        </w:rPr>
        <w:t xml:space="preserve"> dashboards for real-time monitoring and early intervention. Regions may target counties with the highest burden of uncontrolled chronic disease, as identified in the Needs Assessment, and integrate RPM with CHW outreach to maximize engagement.</w:t>
      </w:r>
    </w:p>
    <w:p w:rsidR="77B3EB61" w:rsidP="00D97217" w:rsidRDefault="0E4F414C" w14:paraId="793A09E3" w14:textId="024D2F1D">
      <w:pPr>
        <w:pStyle w:val="Subtitle"/>
        <w:spacing w:line="276" w:lineRule="auto"/>
      </w:pPr>
      <w:r>
        <w:t xml:space="preserve">Activity </w:t>
      </w:r>
      <w:r w:rsidR="1C2ABC2D">
        <w:t>4</w:t>
      </w:r>
      <w:r>
        <w:t xml:space="preserve">: </w:t>
      </w:r>
      <w:r w:rsidR="2A8542E4">
        <w:t>Deploy Care Management and Population Health Analytics Tools</w:t>
      </w:r>
    </w:p>
    <w:p w:rsidRPr="00BD0731" w:rsidR="0E4F414C" w:rsidP="00D97217" w:rsidRDefault="0E4F414C" w14:paraId="4160172B" w14:textId="12FDDA2A">
      <w:pPr>
        <w:pStyle w:val="ListParagraph"/>
        <w:numPr>
          <w:ilvl w:val="0"/>
          <w:numId w:val="3"/>
        </w:numPr>
        <w:spacing w:line="276" w:lineRule="auto"/>
        <w:rPr>
          <w:rStyle w:val="Strong"/>
        </w:rPr>
      </w:pPr>
      <w:r w:rsidRPr="00BD0731">
        <w:rPr>
          <w:rStyle w:val="Strong"/>
        </w:rPr>
        <w:t>Funding Category(ies): Tech Innovation</w:t>
      </w:r>
    </w:p>
    <w:p w:rsidRPr="00BD0731" w:rsidR="77B3EB61" w:rsidP="00D97217" w:rsidRDefault="254DD289" w14:paraId="257C3951" w14:textId="414767C7">
      <w:pPr>
        <w:pStyle w:val="ListParagraph"/>
        <w:numPr>
          <w:ilvl w:val="0"/>
          <w:numId w:val="3"/>
        </w:numPr>
        <w:spacing w:after="0" w:line="276" w:lineRule="auto"/>
        <w:rPr>
          <w:rFonts w:ascii="Open Sans" w:hAnsi="Open Sans" w:eastAsia="Segoe UI" w:cs="Open Sans"/>
        </w:rPr>
      </w:pPr>
      <w:r w:rsidRPr="203EE13E">
        <w:rPr>
          <w:rFonts w:ascii="Open Sans" w:hAnsi="Open Sans" w:eastAsia="Segoe UI" w:cs="Open Sans"/>
        </w:rPr>
        <w:t>Implement region</w:t>
      </w:r>
      <w:r w:rsidRPr="203EE13E" w:rsidR="2585B623">
        <w:rPr>
          <w:rFonts w:ascii="Open Sans" w:hAnsi="Open Sans" w:eastAsia="Segoe UI" w:cs="Open Sans"/>
        </w:rPr>
        <w:t>-</w:t>
      </w:r>
      <w:r w:rsidRPr="203EE13E">
        <w:rPr>
          <w:rFonts w:ascii="Open Sans" w:hAnsi="Open Sans" w:eastAsia="Segoe UI" w:cs="Open Sans"/>
        </w:rPr>
        <w:t>wide population health tools that integrate claims data, EHR data, and social needs data to identify high-risk patients, geographic hotspots of poor outcomes, and gaps in preventive care. These tools support targeted interventions such as outreach for cancer screenings, chronic disease follow-up, or maternal health services. Priorities are drawn directly from regional needs—such as counties with low screening rates or high emergency department utilization for ambulatory-sensitive conditions.</w:t>
      </w:r>
    </w:p>
    <w:p w:rsidR="77B3EB61" w:rsidP="00D97217" w:rsidRDefault="3B28421C" w14:paraId="117A3A5E" w14:textId="639303ED">
      <w:pPr>
        <w:pStyle w:val="Subtitle"/>
        <w:spacing w:line="276" w:lineRule="auto"/>
      </w:pPr>
      <w:r>
        <w:t>Activity 5: Integrate Digital Tools to Improve Access for Rural Populations</w:t>
      </w:r>
    </w:p>
    <w:p w:rsidRPr="00BD0731" w:rsidR="3B28421C" w:rsidP="00D97217" w:rsidRDefault="3B28421C" w14:paraId="36EB9DF2" w14:textId="7BE0F32F">
      <w:pPr>
        <w:pStyle w:val="ListParagraph"/>
        <w:numPr>
          <w:ilvl w:val="0"/>
          <w:numId w:val="3"/>
        </w:numPr>
        <w:spacing w:line="276" w:lineRule="auto"/>
        <w:rPr>
          <w:rStyle w:val="Strong"/>
        </w:rPr>
      </w:pPr>
      <w:r w:rsidRPr="00BD0731">
        <w:rPr>
          <w:rStyle w:val="Strong"/>
        </w:rPr>
        <w:t>Funding Category(ies): Tech Innovation; Sustainable Access</w:t>
      </w:r>
    </w:p>
    <w:p w:rsidRPr="00BD0731" w:rsidR="00E97FF6" w:rsidP="00D97217" w:rsidRDefault="3B28421C" w14:paraId="57E98879" w14:textId="41F3F6A0">
      <w:pPr>
        <w:pStyle w:val="ListParagraph"/>
        <w:numPr>
          <w:ilvl w:val="0"/>
          <w:numId w:val="3"/>
        </w:numPr>
        <w:spacing w:after="0" w:line="276" w:lineRule="auto"/>
        <w:rPr>
          <w:rFonts w:ascii="Open Sans" w:hAnsi="Open Sans" w:eastAsia="Segoe UI" w:cs="Open Sans"/>
        </w:rPr>
      </w:pPr>
      <w:r w:rsidRPr="203EE13E">
        <w:rPr>
          <w:rFonts w:ascii="Open Sans" w:hAnsi="Open Sans" w:eastAsia="Segoe UI" w:cs="Open Sans"/>
        </w:rPr>
        <w:t xml:space="preserve">Deploy digital tools—such as patient portals, mobile applications, and digital education platforms—that enhance communication, appointment scheduling, medication adherence, and chronic disease self-management. Activities may include partnering with trusted community organizations to support onboarding, offering training in multiple languages, and ensuring accessibility for older adults or individuals with disabilities. Interventions are targeted </w:t>
      </w:r>
      <w:proofErr w:type="gramStart"/>
      <w:r w:rsidRPr="203EE13E">
        <w:rPr>
          <w:rFonts w:ascii="Open Sans" w:hAnsi="Open Sans" w:eastAsia="Segoe UI" w:cs="Open Sans"/>
        </w:rPr>
        <w:t>to</w:t>
      </w:r>
      <w:proofErr w:type="gramEnd"/>
      <w:r w:rsidRPr="203EE13E">
        <w:rPr>
          <w:rFonts w:ascii="Open Sans" w:hAnsi="Open Sans" w:eastAsia="Segoe UI" w:cs="Open Sans"/>
        </w:rPr>
        <w:t xml:space="preserve"> counties and populations identified in the Needs Assessment as having significant access disparities.</w:t>
      </w:r>
    </w:p>
    <w:p w:rsidR="203EE13E" w:rsidP="203EE13E" w:rsidRDefault="203EE13E" w14:paraId="2B2DA465" w14:textId="310CE223">
      <w:pPr>
        <w:spacing w:after="0" w:line="276" w:lineRule="auto"/>
        <w:rPr>
          <w:rFonts w:ascii="Open Sans" w:hAnsi="Open Sans" w:eastAsia="Segoe UI" w:cs="Open Sans"/>
        </w:rPr>
      </w:pPr>
    </w:p>
    <w:p w:rsidR="22F9C21B" w:rsidP="203EE13E" w:rsidRDefault="22F9C21B" w14:paraId="7BABD99F" w14:textId="68963591">
      <w:pPr>
        <w:pStyle w:val="Heading2"/>
        <w:spacing w:line="276" w:lineRule="auto"/>
      </w:pPr>
      <w:r w:rsidR="22F9C21B">
        <w:rPr/>
        <w:t xml:space="preserve">Example </w:t>
      </w:r>
      <w:r w:rsidR="58476784">
        <w:rPr/>
        <w:t>4</w:t>
      </w:r>
      <w:r w:rsidR="22F9C21B">
        <w:rPr/>
        <w:t xml:space="preserve"> – Cancer Screening and Early Detection </w:t>
      </w:r>
    </w:p>
    <w:p w:rsidR="22F9C21B" w:rsidP="203EE13E" w:rsidRDefault="22F9C21B" w14:paraId="45B3F857" w14:textId="168F4BCF">
      <w:pPr>
        <w:pStyle w:val="Heading3"/>
        <w:spacing w:line="276" w:lineRule="auto"/>
      </w:pPr>
      <w:r>
        <w:t>Initiative Title: Growing Regional Capacity for Cancer Screening &amp; Early Detection</w:t>
      </w:r>
    </w:p>
    <w:p w:rsidR="22F9C21B" w:rsidP="203EE13E" w:rsidRDefault="22F9C21B" w14:paraId="7335EEBA" w14:textId="71C32BD5">
      <w:pPr>
        <w:pStyle w:val="Subtitle"/>
        <w:spacing w:line="276" w:lineRule="auto"/>
      </w:pPr>
      <w:r>
        <w:t xml:space="preserve">Activity 1: </w:t>
      </w:r>
      <w:r w:rsidR="4DF9D9D2">
        <w:t>Expand Evidence Based Cancer Screening Services in High Need Counties</w:t>
      </w:r>
    </w:p>
    <w:p w:rsidR="22F9C21B" w:rsidP="203EE13E" w:rsidRDefault="22F9C21B" w14:paraId="73BFFF26" w14:textId="240AF356">
      <w:pPr>
        <w:pStyle w:val="ListParagraph"/>
        <w:numPr>
          <w:ilvl w:val="0"/>
          <w:numId w:val="3"/>
        </w:numPr>
        <w:spacing w:line="276" w:lineRule="auto"/>
        <w:rPr>
          <w:rStyle w:val="Strong"/>
        </w:rPr>
      </w:pPr>
      <w:r w:rsidRPr="203EE13E">
        <w:rPr>
          <w:rStyle w:val="Strong"/>
        </w:rPr>
        <w:t xml:space="preserve">Funding Category(ies): </w:t>
      </w:r>
      <w:r w:rsidRPr="203EE13E" w:rsidR="604E471C">
        <w:rPr>
          <w:rStyle w:val="Strong"/>
        </w:rPr>
        <w:t xml:space="preserve">Sustainable Access; </w:t>
      </w:r>
      <w:r w:rsidRPr="203EE13E">
        <w:rPr>
          <w:rStyle w:val="Strong"/>
        </w:rPr>
        <w:t>Make Rural Indiana Healthy Again</w:t>
      </w:r>
    </w:p>
    <w:p w:rsidR="45060577" w:rsidP="203EE13E" w:rsidRDefault="45060577" w14:paraId="7A046307" w14:textId="6B5D8B16">
      <w:pPr>
        <w:pStyle w:val="ListParagraph"/>
        <w:numPr>
          <w:ilvl w:val="0"/>
          <w:numId w:val="3"/>
        </w:numPr>
        <w:spacing w:after="0" w:line="276" w:lineRule="auto"/>
        <w:rPr>
          <w:rFonts w:ascii="Open Sans" w:hAnsi="Open Sans" w:eastAsia="Times New Roman" w:cs="Open Sans"/>
        </w:rPr>
      </w:pPr>
      <w:r w:rsidRPr="203EE13E">
        <w:rPr>
          <w:rFonts w:ascii="Open Sans" w:hAnsi="Open Sans" w:eastAsia="Times New Roman" w:cs="Open Sans"/>
        </w:rPr>
        <w:t xml:space="preserve">Based on regional </w:t>
      </w:r>
      <w:r w:rsidR="009966EA">
        <w:rPr>
          <w:rFonts w:ascii="Open Sans" w:hAnsi="Open Sans" w:eastAsia="Times New Roman" w:cs="Open Sans"/>
        </w:rPr>
        <w:t>N</w:t>
      </w:r>
      <w:r w:rsidRPr="203EE13E">
        <w:rPr>
          <w:rFonts w:ascii="Open Sans" w:hAnsi="Open Sans" w:eastAsia="Times New Roman" w:cs="Open Sans"/>
        </w:rPr>
        <w:t xml:space="preserve">eeds </w:t>
      </w:r>
      <w:r w:rsidR="009966EA">
        <w:rPr>
          <w:rFonts w:ascii="Open Sans" w:hAnsi="Open Sans" w:eastAsia="Times New Roman" w:cs="Open Sans"/>
        </w:rPr>
        <w:t>A</w:t>
      </w:r>
      <w:r w:rsidRPr="203EE13E">
        <w:rPr>
          <w:rFonts w:ascii="Open Sans" w:hAnsi="Open Sans" w:eastAsia="Times New Roman" w:cs="Open Sans"/>
        </w:rPr>
        <w:t>ssessment findings—such as low colorectal cancer screening rates, limited mammography access, limited colposcopy providers or geographic clusters of late-stage diagnoses—partner with rural clinics, FQHCs, critical access hospitals, and mobile screening providers to expand access to breast, cervical, lung, and colorectal cancer screenings. Activities include mobile mammography days, extended clinic hours, culturally responsive screening outreach, screening access for people with disabilities, scholarships for providers for additional training in colposcopy, HPV self-swab and other early detection screening technologies and skills and integration of USPSTF recommended screening protocols into clinical workflows.</w:t>
      </w:r>
    </w:p>
    <w:p w:rsidR="22F9C21B" w:rsidP="203EE13E" w:rsidRDefault="22F9C21B" w14:paraId="7D92DF4C" w14:textId="373E05F6">
      <w:pPr>
        <w:pStyle w:val="Subtitle"/>
        <w:spacing w:line="276" w:lineRule="auto"/>
      </w:pPr>
      <w:r>
        <w:t xml:space="preserve">Activity 2: </w:t>
      </w:r>
      <w:r w:rsidR="284579C0">
        <w:t>Implement Regionwide Patient Navigation to Increase Screening Completion</w:t>
      </w:r>
      <w:r>
        <w:t xml:space="preserve"> </w:t>
      </w:r>
    </w:p>
    <w:p w:rsidR="22F9C21B" w:rsidP="203EE13E" w:rsidRDefault="22F9C21B" w14:paraId="01AE7E7E" w14:textId="7C859C6B">
      <w:pPr>
        <w:pStyle w:val="ListParagraph"/>
        <w:numPr>
          <w:ilvl w:val="0"/>
          <w:numId w:val="2"/>
        </w:numPr>
        <w:spacing w:line="276" w:lineRule="auto"/>
        <w:rPr>
          <w:rStyle w:val="Strong"/>
        </w:rPr>
      </w:pPr>
      <w:r w:rsidRPr="203EE13E">
        <w:rPr>
          <w:rStyle w:val="Strong"/>
        </w:rPr>
        <w:t>Funding Category(ies): Workforce Development</w:t>
      </w:r>
      <w:r w:rsidRPr="203EE13E" w:rsidR="71C1CBBD">
        <w:rPr>
          <w:rStyle w:val="Strong"/>
        </w:rPr>
        <w:t>; Sustainable Access</w:t>
      </w:r>
    </w:p>
    <w:p w:rsidR="71C1CBBD" w:rsidP="203EE13E" w:rsidRDefault="71C1CBBD" w14:paraId="7E262BD6" w14:textId="11443280">
      <w:pPr>
        <w:pStyle w:val="ListParagraph"/>
        <w:numPr>
          <w:ilvl w:val="0"/>
          <w:numId w:val="2"/>
        </w:numPr>
        <w:spacing w:after="0" w:line="276" w:lineRule="auto"/>
        <w:rPr>
          <w:rFonts w:ascii="Open Sans" w:hAnsi="Open Sans" w:eastAsia="Times New Roman" w:cs="Open Sans"/>
        </w:rPr>
      </w:pPr>
      <w:r w:rsidRPr="203EE13E">
        <w:rPr>
          <w:rFonts w:ascii="Open Sans" w:hAnsi="Open Sans" w:eastAsia="Times New Roman" w:cs="Open Sans"/>
        </w:rPr>
        <w:t xml:space="preserve">Deploy trained patient navigators or Community Health Workers (CHWs) to support residents who face barriers such as transportation, insurance confusion, fear of screening procedures, a disability or low health literacy. Navigators conduct outreach in counties where </w:t>
      </w:r>
      <w:r w:rsidR="009966EA">
        <w:rPr>
          <w:rFonts w:ascii="Open Sans" w:hAnsi="Open Sans" w:eastAsia="Times New Roman" w:cs="Open Sans"/>
        </w:rPr>
        <w:t>N</w:t>
      </w:r>
      <w:r w:rsidRPr="203EE13E">
        <w:rPr>
          <w:rFonts w:ascii="Open Sans" w:hAnsi="Open Sans" w:eastAsia="Times New Roman" w:cs="Open Sans"/>
        </w:rPr>
        <w:t xml:space="preserve">eeds </w:t>
      </w:r>
      <w:r w:rsidR="009966EA">
        <w:rPr>
          <w:rFonts w:ascii="Open Sans" w:hAnsi="Open Sans" w:eastAsia="Times New Roman" w:cs="Open Sans"/>
        </w:rPr>
        <w:t>A</w:t>
      </w:r>
      <w:r w:rsidRPr="203EE13E">
        <w:rPr>
          <w:rFonts w:ascii="Open Sans" w:hAnsi="Open Sans" w:eastAsia="Times New Roman" w:cs="Open Sans"/>
        </w:rPr>
        <w:t xml:space="preserve">ssessments show the lowest screening uptake, schedule appointments, address insurance and copay concerns (when applicable), coordinate transportation </w:t>
      </w:r>
      <w:r w:rsidRPr="203EE13E" w:rsidR="334F8BA4">
        <w:rPr>
          <w:rFonts w:ascii="Open Sans" w:hAnsi="Open Sans" w:eastAsia="Times New Roman" w:cs="Open Sans"/>
        </w:rPr>
        <w:t>supports and</w:t>
      </w:r>
      <w:r w:rsidRPr="203EE13E">
        <w:rPr>
          <w:rFonts w:ascii="Open Sans" w:hAnsi="Open Sans" w:eastAsia="Times New Roman" w:cs="Open Sans"/>
        </w:rPr>
        <w:t xml:space="preserve"> ensure follow-up after abnormal results. This reduces care gaps, improves timely diagnosis and allows for better treatment options. </w:t>
      </w:r>
    </w:p>
    <w:p w:rsidR="71C1CBBD" w:rsidP="203EE13E" w:rsidRDefault="71C1CBBD" w14:paraId="7EBB68D6" w14:textId="755F1062">
      <w:pPr>
        <w:pStyle w:val="ListParagraph"/>
        <w:numPr>
          <w:ilvl w:val="0"/>
          <w:numId w:val="2"/>
        </w:numPr>
        <w:spacing w:after="0" w:line="276" w:lineRule="auto"/>
        <w:rPr>
          <w:rFonts w:ascii="Open Sans" w:hAnsi="Open Sans" w:eastAsia="Times New Roman" w:cs="Open Sans"/>
        </w:rPr>
      </w:pPr>
      <w:r w:rsidRPr="203EE13E">
        <w:rPr>
          <w:rFonts w:ascii="Open Sans" w:hAnsi="Open Sans" w:eastAsia="Times New Roman" w:cs="Open Sans"/>
        </w:rPr>
        <w:t xml:space="preserve">Provide training and </w:t>
      </w:r>
      <w:proofErr w:type="gramStart"/>
      <w:r w:rsidRPr="203EE13E">
        <w:rPr>
          <w:rFonts w:ascii="Open Sans" w:hAnsi="Open Sans" w:eastAsia="Times New Roman" w:cs="Open Sans"/>
        </w:rPr>
        <w:t>supports</w:t>
      </w:r>
      <w:proofErr w:type="gramEnd"/>
      <w:r w:rsidRPr="203EE13E">
        <w:rPr>
          <w:rFonts w:ascii="Open Sans" w:hAnsi="Open Sans" w:eastAsia="Times New Roman" w:cs="Open Sans"/>
        </w:rPr>
        <w:t xml:space="preserve"> from patient navigators and Community Health Workers concerning genetic testing for targeted early detection and preventative treatment options.</w:t>
      </w:r>
    </w:p>
    <w:p w:rsidR="22F9C21B" w:rsidP="203EE13E" w:rsidRDefault="22F9C21B" w14:paraId="53A55274" w14:textId="39425106">
      <w:pPr>
        <w:pStyle w:val="Subtitle"/>
        <w:spacing w:line="276" w:lineRule="auto"/>
      </w:pPr>
      <w:r>
        <w:t xml:space="preserve">Activity 3: </w:t>
      </w:r>
      <w:r w:rsidR="0A0CA922">
        <w:t xml:space="preserve">Introduce At-Home Screening Options and Follow-up Pathways </w:t>
      </w:r>
    </w:p>
    <w:p w:rsidR="22F9C21B" w:rsidP="203EE13E" w:rsidRDefault="22F9C21B" w14:paraId="6613D9A4" w14:textId="14F81194">
      <w:pPr>
        <w:pStyle w:val="ListParagraph"/>
        <w:numPr>
          <w:ilvl w:val="0"/>
          <w:numId w:val="1"/>
        </w:numPr>
        <w:spacing w:line="276" w:lineRule="auto"/>
        <w:rPr>
          <w:rStyle w:val="Strong"/>
        </w:rPr>
      </w:pPr>
      <w:r w:rsidRPr="203EE13E">
        <w:rPr>
          <w:rStyle w:val="Strong"/>
        </w:rPr>
        <w:t xml:space="preserve">Funding Category(ies): </w:t>
      </w:r>
      <w:r w:rsidRPr="203EE13E" w:rsidR="306D6DCB">
        <w:rPr>
          <w:rStyle w:val="Strong"/>
        </w:rPr>
        <w:t xml:space="preserve">Sustainable Access; </w:t>
      </w:r>
      <w:r w:rsidRPr="203EE13E">
        <w:rPr>
          <w:rStyle w:val="Strong"/>
        </w:rPr>
        <w:t>Make Rural Indiana Healthy Again</w:t>
      </w:r>
    </w:p>
    <w:p w:rsidR="52DA80C7" w:rsidP="203EE13E" w:rsidRDefault="52DA80C7" w14:paraId="218A1B4B" w14:textId="040F64B3">
      <w:pPr>
        <w:pStyle w:val="ListParagraph"/>
        <w:numPr>
          <w:ilvl w:val="0"/>
          <w:numId w:val="1"/>
        </w:numPr>
        <w:spacing w:after="0" w:line="276" w:lineRule="auto"/>
        <w:rPr>
          <w:rFonts w:ascii="Open Sans" w:hAnsi="Open Sans" w:eastAsia="Times New Roman" w:cs="Open Sans"/>
        </w:rPr>
      </w:pPr>
      <w:r w:rsidRPr="0B42145C" w:rsidR="52DA80C7">
        <w:rPr>
          <w:rFonts w:ascii="Open Sans" w:hAnsi="Open Sans" w:eastAsia="Times New Roman" w:cs="Open Sans"/>
        </w:rPr>
        <w:t xml:space="preserve">Expand access to evidence-based at home screening tools—such as fecal immunochemical tests (FIT) for colorectal cancer—in counties with limited specialty care or long travel distances. </w:t>
      </w:r>
      <w:r w:rsidRPr="0B42145C" w:rsidR="52DA80C7">
        <w:rPr>
          <w:rFonts w:ascii="Open Sans" w:hAnsi="Open Sans" w:eastAsia="Times New Roman" w:cs="Open Sans"/>
        </w:rPr>
        <w:t>Partner</w:t>
      </w:r>
      <w:r w:rsidRPr="0B42145C" w:rsidR="52DA80C7">
        <w:rPr>
          <w:rFonts w:ascii="Open Sans" w:hAnsi="Open Sans" w:eastAsia="Times New Roman" w:cs="Open Sans"/>
        </w:rPr>
        <w:t xml:space="preserve"> with local pharmacies, food pantries, and community organizations to distribute kits, offer instructions, and </w:t>
      </w:r>
      <w:r w:rsidRPr="0B42145C" w:rsidR="52DA80C7">
        <w:rPr>
          <w:rFonts w:ascii="Open Sans" w:hAnsi="Open Sans" w:eastAsia="Times New Roman" w:cs="Open Sans"/>
        </w:rPr>
        <w:t>assist</w:t>
      </w:r>
      <w:r w:rsidRPr="0B42145C" w:rsidR="52DA80C7">
        <w:rPr>
          <w:rFonts w:ascii="Open Sans" w:hAnsi="Open Sans" w:eastAsia="Times New Roman" w:cs="Open Sans"/>
        </w:rPr>
        <w:t xml:space="preserve"> with returning samples. Establish clear clinical pathways for tracking results, notifying patients, and coordinating follow-up colonoscopy for positive tests (</w:t>
      </w:r>
      <w:r w:rsidRPr="0B42145C" w:rsidR="52DA80C7">
        <w:rPr>
          <w:rFonts w:ascii="Open Sans" w:hAnsi="Open Sans" w:eastAsia="Times New Roman" w:cs="Open Sans"/>
        </w:rPr>
        <w:t>utilizing</w:t>
      </w:r>
      <w:r w:rsidRPr="0B42145C" w:rsidR="52DA80C7">
        <w:rPr>
          <w:rFonts w:ascii="Open Sans" w:hAnsi="Open Sans" w:eastAsia="Times New Roman" w:cs="Open Sans"/>
        </w:rPr>
        <w:t xml:space="preserve"> resources previously employed in the above bullet)</w:t>
      </w:r>
      <w:r w:rsidRPr="0B42145C" w:rsidR="52DA80C7">
        <w:rPr>
          <w:rFonts w:ascii="Open Sans" w:hAnsi="Open Sans" w:eastAsia="Times New Roman" w:cs="Open Sans"/>
        </w:rPr>
        <w:t>.</w:t>
      </w:r>
      <w:r w:rsidRPr="0B42145C" w:rsidR="52DA80C7">
        <w:rPr>
          <w:rFonts w:ascii="Open Sans" w:hAnsi="Open Sans" w:eastAsia="Times New Roman" w:cs="Open Sans"/>
        </w:rPr>
        <w:t xml:space="preserve"> </w:t>
      </w:r>
      <w:r w:rsidRPr="0B42145C" w:rsidR="52DA80C7">
        <w:rPr>
          <w:rFonts w:ascii="Open Sans" w:hAnsi="Open Sans" w:eastAsia="Times New Roman" w:cs="Open Sans"/>
        </w:rPr>
        <w:t>If necessary, develop a claims payment method such as those currently being employed by the Indiana Breast and Cervical Cancer Program.</w:t>
      </w:r>
    </w:p>
    <w:p w:rsidR="22F9C21B" w:rsidP="203EE13E" w:rsidRDefault="22F9C21B" w14:paraId="4F187E29" w14:textId="3F84325B">
      <w:pPr>
        <w:pStyle w:val="Subtitle"/>
        <w:spacing w:line="276" w:lineRule="auto"/>
      </w:pPr>
      <w:r>
        <w:t xml:space="preserve">Activity 4: </w:t>
      </w:r>
      <w:r w:rsidR="12A21EF2">
        <w:t>Strengthen Regional Data Use to Identify Screening Gaps and Priority Populations</w:t>
      </w:r>
    </w:p>
    <w:p w:rsidR="22F9C21B" w:rsidP="203EE13E" w:rsidRDefault="22F9C21B" w14:paraId="3EF5AAFB" w14:textId="3BB9B6E7">
      <w:pPr>
        <w:pStyle w:val="ListParagraph"/>
        <w:numPr>
          <w:ilvl w:val="0"/>
          <w:numId w:val="1"/>
        </w:numPr>
        <w:spacing w:line="276" w:lineRule="auto"/>
        <w:rPr>
          <w:rStyle w:val="Strong"/>
        </w:rPr>
      </w:pPr>
      <w:r w:rsidRPr="203EE13E">
        <w:rPr>
          <w:rStyle w:val="Strong"/>
        </w:rPr>
        <w:t xml:space="preserve">Funding Category(ies): </w:t>
      </w:r>
      <w:r w:rsidRPr="203EE13E" w:rsidR="1412BDBB">
        <w:rPr>
          <w:rStyle w:val="Strong"/>
        </w:rPr>
        <w:t>Tech Innovation</w:t>
      </w:r>
    </w:p>
    <w:p w:rsidR="1412BDBB" w:rsidP="203EE13E" w:rsidRDefault="1412BDBB" w14:paraId="6CCABF6F" w14:textId="5754C6F2">
      <w:pPr>
        <w:pStyle w:val="ListParagraph"/>
        <w:numPr>
          <w:ilvl w:val="0"/>
          <w:numId w:val="1"/>
        </w:numPr>
        <w:spacing w:after="0" w:line="276" w:lineRule="auto"/>
      </w:pPr>
      <w:r w:rsidRPr="203EE13E">
        <w:rPr>
          <w:rFonts w:ascii="Open Sans" w:hAnsi="Open Sans" w:eastAsia="Times New Roman" w:cs="Open Sans"/>
        </w:rPr>
        <w:t xml:space="preserve">Develop or enhance regional data dashboards that integrate EHR data, claims data, and local public health information to identify screening disparities across counties, provider sites, and demographic groups. Data tools help pinpoint high-need geographic areas, guide targeted outreach, and measure improvement over time. Activities may include onboarding providers to HIE networks, creating screening registries, or implementing automated reminders within EHR systems. Provide referral and training support for oncology data specialists and other methods of data collection for appropriate reporting to the Indiana Cancer Registry. </w:t>
      </w:r>
    </w:p>
    <w:p w:rsidR="1412BDBB" w:rsidP="203EE13E" w:rsidRDefault="1412BDBB" w14:paraId="7F917658" w14:textId="0C428FC4">
      <w:pPr>
        <w:pStyle w:val="ListParagraph"/>
        <w:numPr>
          <w:ilvl w:val="0"/>
          <w:numId w:val="1"/>
        </w:numPr>
        <w:spacing w:after="0" w:line="276" w:lineRule="auto"/>
        <w:rPr/>
      </w:pPr>
      <w:r w:rsidRPr="0B42145C" w:rsidR="1412BDBB">
        <w:rPr>
          <w:rStyle w:val="BodyChar"/>
        </w:rPr>
        <w:t>Radon tests, and if necessary, underwriting of testing result costs shall be provided. Local Health Department follow-up and patient education will be given to improve radon mitigation testing</w:t>
      </w:r>
      <w:r w:rsidRPr="0B42145C" w:rsidR="1412BDBB">
        <w:rPr>
          <w:rStyle w:val="BodyChar"/>
        </w:rPr>
        <w:t>.</w:t>
      </w:r>
    </w:p>
    <w:p w:rsidR="22F9C21B" w:rsidP="203EE13E" w:rsidRDefault="22F9C21B" w14:paraId="2737F6BC" w14:textId="4259153D">
      <w:pPr>
        <w:pStyle w:val="Subtitle"/>
        <w:spacing w:line="276" w:lineRule="auto"/>
      </w:pPr>
      <w:r>
        <w:t xml:space="preserve">Activity 5: </w:t>
      </w:r>
      <w:r w:rsidR="59414367">
        <w:t>Deliver Community-Based Education and Outreach Campaigns</w:t>
      </w:r>
    </w:p>
    <w:p w:rsidR="22F9C21B" w:rsidP="203EE13E" w:rsidRDefault="22F9C21B" w14:paraId="4FE8BDA0" w14:textId="09AFDAB2">
      <w:pPr>
        <w:pStyle w:val="ListParagraph"/>
        <w:numPr>
          <w:ilvl w:val="0"/>
          <w:numId w:val="1"/>
        </w:numPr>
        <w:spacing w:line="276" w:lineRule="auto"/>
        <w:rPr>
          <w:rStyle w:val="Strong"/>
        </w:rPr>
      </w:pPr>
      <w:r w:rsidRPr="203EE13E">
        <w:rPr>
          <w:rStyle w:val="Strong"/>
        </w:rPr>
        <w:t>Funding Category(ies): Make Rural Indiana Healthy Again</w:t>
      </w:r>
    </w:p>
    <w:p w:rsidR="6B557372" w:rsidP="203EE13E" w:rsidRDefault="6B557372" w14:paraId="544BD362" w14:textId="10213937">
      <w:pPr>
        <w:pStyle w:val="ListParagraph"/>
        <w:numPr>
          <w:ilvl w:val="0"/>
          <w:numId w:val="1"/>
        </w:numPr>
        <w:spacing w:after="0" w:line="276" w:lineRule="auto"/>
        <w:rPr>
          <w:rFonts w:ascii="Open Sans" w:hAnsi="Open Sans" w:eastAsia="Times New Roman" w:cs="Open Sans"/>
        </w:rPr>
      </w:pPr>
      <w:r w:rsidRPr="0B42145C" w:rsidR="6B557372">
        <w:rPr>
          <w:rFonts w:ascii="Open Sans" w:hAnsi="Open Sans" w:eastAsia="Times New Roman" w:cs="Open Sans"/>
        </w:rPr>
        <w:t>Informed by regional qualitative and quantitative findings—such as mistrust, cultural barriers, or low awareness—partner with faith leaders, schools, libraries, agricultural groups, senior centers, and community ambassadors to deliver tailored education on cancer risk reduction and screening benefits. Activities may include workshops, health fairs, employer-based outreach, farm community events, use of targeted technological channels and materials in multiple languages or literacy levels</w:t>
      </w:r>
      <w:r w:rsidRPr="0B42145C" w:rsidR="6B557372">
        <w:rPr>
          <w:rFonts w:ascii="Open Sans" w:hAnsi="Open Sans" w:eastAsia="Times New Roman" w:cs="Open Sans"/>
        </w:rPr>
        <w:t>.</w:t>
      </w:r>
      <w:r w:rsidRPr="0B42145C" w:rsidR="6B557372">
        <w:rPr>
          <w:rFonts w:ascii="Open Sans" w:hAnsi="Open Sans" w:eastAsia="Times New Roman" w:cs="Open Sans"/>
        </w:rPr>
        <w:t xml:space="preserve"> </w:t>
      </w:r>
      <w:r w:rsidRPr="0B42145C" w:rsidR="6B557372">
        <w:rPr>
          <w:rFonts w:ascii="Open Sans" w:hAnsi="Open Sans" w:eastAsia="Times New Roman" w:cs="Open Sans"/>
        </w:rPr>
        <w:t xml:space="preserve">Emerging information on prevention and risk reduction </w:t>
      </w:r>
      <w:r w:rsidRPr="0B42145C" w:rsidR="6B557372">
        <w:rPr>
          <w:rFonts w:ascii="Open Sans" w:hAnsi="Open Sans" w:eastAsia="Times New Roman" w:cs="Open Sans"/>
        </w:rPr>
        <w:t>in the area of</w:t>
      </w:r>
      <w:r w:rsidRPr="0B42145C" w:rsidR="6B557372">
        <w:rPr>
          <w:rFonts w:ascii="Open Sans" w:hAnsi="Open Sans" w:eastAsia="Times New Roman" w:cs="Open Sans"/>
        </w:rPr>
        <w:t xml:space="preserve"> radon mitigation and genetic biomarkers of risk.</w:t>
      </w:r>
    </w:p>
    <w:p w:rsidR="6B557372" w:rsidP="203EE13E" w:rsidRDefault="6B557372" w14:paraId="3D68F535" w14:textId="7975F33D">
      <w:pPr>
        <w:pStyle w:val="Subtitle"/>
        <w:spacing w:line="276" w:lineRule="auto"/>
      </w:pPr>
      <w:r>
        <w:t>Activity 6: Establish Regional Transportation and Support Services for Screening and Diagnostics</w:t>
      </w:r>
    </w:p>
    <w:p w:rsidR="6B557372" w:rsidP="203EE13E" w:rsidRDefault="6B557372" w14:paraId="1DDCCB0E" w14:textId="01D0E059">
      <w:pPr>
        <w:pStyle w:val="ListParagraph"/>
        <w:numPr>
          <w:ilvl w:val="0"/>
          <w:numId w:val="1"/>
        </w:numPr>
        <w:spacing w:line="276" w:lineRule="auto"/>
        <w:rPr>
          <w:rStyle w:val="Strong"/>
        </w:rPr>
      </w:pPr>
      <w:r w:rsidRPr="203EE13E">
        <w:rPr>
          <w:rStyle w:val="Strong"/>
        </w:rPr>
        <w:t>Funding Category(ies): Sustainable Access; Make Rural Indiana Healthy Again</w:t>
      </w:r>
    </w:p>
    <w:p w:rsidR="6B557372" w:rsidP="203EE13E" w:rsidRDefault="6B557372" w14:paraId="06960FDA" w14:textId="34624148">
      <w:pPr>
        <w:pStyle w:val="ListParagraph"/>
        <w:numPr>
          <w:ilvl w:val="0"/>
          <w:numId w:val="1"/>
        </w:numPr>
        <w:spacing w:after="0" w:line="276" w:lineRule="auto"/>
        <w:rPr>
          <w:rFonts w:ascii="Open Sans" w:hAnsi="Open Sans" w:eastAsia="Times New Roman" w:cs="Open Sans"/>
        </w:rPr>
      </w:pPr>
      <w:r w:rsidRPr="0B42145C" w:rsidR="6B557372">
        <w:rPr>
          <w:rFonts w:ascii="Open Sans" w:hAnsi="Open Sans" w:eastAsia="Times New Roman" w:cs="Open Sans"/>
        </w:rPr>
        <w:t xml:space="preserve">Address transportation barriers </w:t>
      </w:r>
      <w:r w:rsidRPr="0B42145C" w:rsidR="6B557372">
        <w:rPr>
          <w:rFonts w:ascii="Open Sans" w:hAnsi="Open Sans" w:eastAsia="Times New Roman" w:cs="Open Sans"/>
        </w:rPr>
        <w:t>identified</w:t>
      </w:r>
      <w:r w:rsidRPr="0B42145C" w:rsidR="6B557372">
        <w:rPr>
          <w:rFonts w:ascii="Open Sans" w:hAnsi="Open Sans" w:eastAsia="Times New Roman" w:cs="Open Sans"/>
        </w:rPr>
        <w:t xml:space="preserve"> in the </w:t>
      </w:r>
      <w:r w:rsidRPr="0B42145C" w:rsidR="009966EA">
        <w:rPr>
          <w:rFonts w:ascii="Open Sans" w:hAnsi="Open Sans" w:eastAsia="Times New Roman" w:cs="Open Sans"/>
        </w:rPr>
        <w:t>N</w:t>
      </w:r>
      <w:r w:rsidRPr="0B42145C" w:rsidR="6B557372">
        <w:rPr>
          <w:rFonts w:ascii="Open Sans" w:hAnsi="Open Sans" w:eastAsia="Times New Roman" w:cs="Open Sans"/>
        </w:rPr>
        <w:t xml:space="preserve">eeds </w:t>
      </w:r>
      <w:r w:rsidRPr="0B42145C" w:rsidR="009966EA">
        <w:rPr>
          <w:rFonts w:ascii="Open Sans" w:hAnsi="Open Sans" w:eastAsia="Times New Roman" w:cs="Open Sans"/>
        </w:rPr>
        <w:t>A</w:t>
      </w:r>
      <w:r w:rsidRPr="0B42145C" w:rsidR="6B557372">
        <w:rPr>
          <w:rFonts w:ascii="Open Sans" w:hAnsi="Open Sans" w:eastAsia="Times New Roman" w:cs="Open Sans"/>
        </w:rPr>
        <w:t>ssessment by providing ride vouchers, volunteer driver networks, and coordination with rural transit providers for individuals requiring screening or diagnostic follow-up. This activity supports those facing long travel distances to mammography, colonoscopy, or lung screening sites and helps reduce no-show rates that delay diagnosis</w:t>
      </w:r>
      <w:r w:rsidRPr="0B42145C" w:rsidR="6B557372">
        <w:rPr>
          <w:rFonts w:ascii="Open Sans" w:hAnsi="Open Sans" w:eastAsia="Times New Roman" w:cs="Open Sans"/>
        </w:rPr>
        <w:t>.</w:t>
      </w:r>
      <w:r w:rsidRPr="0B42145C" w:rsidR="6B557372">
        <w:rPr>
          <w:rFonts w:ascii="Open Sans" w:hAnsi="Open Sans" w:eastAsia="Times New Roman" w:cs="Open Sans"/>
        </w:rPr>
        <w:t xml:space="preserve"> </w:t>
      </w:r>
      <w:r w:rsidRPr="0B42145C" w:rsidR="6B557372">
        <w:rPr>
          <w:rFonts w:ascii="Open Sans" w:hAnsi="Open Sans" w:eastAsia="Times New Roman" w:cs="Open Sans"/>
        </w:rPr>
        <w:t xml:space="preserve">These services may also be used to support transportation to treatment services. </w:t>
      </w:r>
    </w:p>
    <w:p w:rsidR="6B557372" w:rsidP="203EE13E" w:rsidRDefault="6B557372" w14:paraId="35D58D6D" w14:textId="12077436">
      <w:pPr>
        <w:pStyle w:val="Subtitle"/>
        <w:spacing w:line="276" w:lineRule="auto"/>
      </w:pPr>
      <w:r>
        <w:t>Activity 7: Strengthen Follow-Up and Early Diagnostic Pathways Across Regional Providers</w:t>
      </w:r>
    </w:p>
    <w:p w:rsidR="6B557372" w:rsidP="203EE13E" w:rsidRDefault="6B557372" w14:paraId="5D2C63CC" w14:textId="6A01BF79">
      <w:pPr>
        <w:pStyle w:val="ListParagraph"/>
        <w:numPr>
          <w:ilvl w:val="0"/>
          <w:numId w:val="1"/>
        </w:numPr>
        <w:spacing w:line="276" w:lineRule="auto"/>
        <w:rPr>
          <w:rStyle w:val="Strong"/>
        </w:rPr>
      </w:pPr>
      <w:r w:rsidRPr="203EE13E">
        <w:rPr>
          <w:rStyle w:val="Strong"/>
        </w:rPr>
        <w:t>Funding Category(ies): Tech Innovation</w:t>
      </w:r>
    </w:p>
    <w:p w:rsidR="6B557372" w:rsidP="203EE13E" w:rsidRDefault="6B557372" w14:paraId="28223EE4" w14:textId="2F0A5F21">
      <w:pPr>
        <w:pStyle w:val="ListParagraph"/>
        <w:numPr>
          <w:ilvl w:val="0"/>
          <w:numId w:val="1"/>
        </w:numPr>
        <w:spacing w:after="0" w:line="276" w:lineRule="auto"/>
        <w:rPr>
          <w:rFonts w:ascii="Open Sans" w:hAnsi="Open Sans" w:eastAsia="Times New Roman" w:cs="Open Sans"/>
        </w:rPr>
      </w:pPr>
      <w:r w:rsidRPr="203EE13E">
        <w:rPr>
          <w:rFonts w:ascii="Open Sans" w:hAnsi="Open Sans" w:eastAsia="Times New Roman" w:cs="Open Sans"/>
        </w:rPr>
        <w:t>Improve systems for timely follow-up of abnormal screening results by standardizing referral pathways, enabling secure data exchange between primary care and specialty providers, and creating protocols for tracking diagnostic appointments. Activities may include EHR alerts, centralized referral tracking teams, and partnerships with regional oncology centers. Enhanced care coordination ensures that rural patients receive timely diagnostic evaluation and treatment.</w:t>
      </w:r>
    </w:p>
    <w:p w:rsidR="203EE13E" w:rsidP="2AC2856F" w:rsidRDefault="203EE13E" w14:paraId="5E93080E" w14:textId="4F2A0474">
      <w:pPr>
        <w:pStyle w:val="Normal"/>
        <w:spacing w:after="0" w:line="276" w:lineRule="auto"/>
        <w:rPr>
          <w:rFonts w:ascii="Open Sans" w:hAnsi="Open Sans" w:eastAsia="Times New Roman" w:cs="Open Sans"/>
        </w:rPr>
      </w:pPr>
    </w:p>
    <w:p w:rsidR="3907B51E" w:rsidP="2AC2856F" w:rsidRDefault="3907B51E" w14:paraId="27F91DA9" w14:textId="6B4A1321">
      <w:pPr>
        <w:pStyle w:val="Heading2"/>
        <w:spacing w:line="276" w:lineRule="auto"/>
      </w:pPr>
      <w:r w:rsidR="3907B51E">
        <w:rPr/>
        <w:t xml:space="preserve">Example 5 – Obesity/Chronic Disease </w:t>
      </w:r>
    </w:p>
    <w:p w:rsidR="3907B51E" w:rsidP="2AC2856F" w:rsidRDefault="3907B51E" w14:paraId="7906181B" w14:textId="332E5235">
      <w:pPr>
        <w:pStyle w:val="Heading3"/>
        <w:spacing w:line="276" w:lineRule="auto"/>
      </w:pPr>
      <w:r w:rsidR="3907B51E">
        <w:rPr/>
        <w:t>Initiative Title: Growing Community Capacity to Prevent Chronic Disease</w:t>
      </w:r>
    </w:p>
    <w:p w:rsidR="3907B51E" w:rsidP="2AC2856F" w:rsidRDefault="3907B51E" w14:paraId="51D114C4" w14:textId="4F6975CB">
      <w:pPr>
        <w:pStyle w:val="Subtitle"/>
        <w:spacing w:line="276" w:lineRule="auto"/>
      </w:pPr>
      <w:r w:rsidR="3907B51E">
        <w:rPr/>
        <w:t>Activity 1: Farm to School Expansion</w:t>
      </w:r>
    </w:p>
    <w:p w:rsidR="3907B51E" w:rsidP="2AC2856F" w:rsidRDefault="3907B51E" w14:paraId="4FFB5EEE" w14:textId="0BA026AE">
      <w:pPr>
        <w:pStyle w:val="ListParagraph"/>
        <w:numPr>
          <w:ilvl w:val="0"/>
          <w:numId w:val="3"/>
        </w:numPr>
        <w:spacing w:line="276" w:lineRule="auto"/>
        <w:rPr>
          <w:rStyle w:val="Strong"/>
        </w:rPr>
      </w:pPr>
      <w:r w:rsidRPr="2AC2856F" w:rsidR="3907B51E">
        <w:rPr>
          <w:rStyle w:val="Strong"/>
        </w:rPr>
        <w:t>Funding Category(ies): Make Rural Indiana Healthy Again</w:t>
      </w:r>
    </w:p>
    <w:p w:rsidR="3907B51E" w:rsidP="2AC2856F" w:rsidRDefault="3907B51E" w14:paraId="4149B94D" w14:textId="2CCEEDB0">
      <w:pPr>
        <w:pStyle w:val="ListParagraph"/>
        <w:numPr>
          <w:ilvl w:val="0"/>
          <w:numId w:val="3"/>
        </w:numPr>
        <w:spacing w:after="0" w:line="276" w:lineRule="auto"/>
        <w:rPr>
          <w:rFonts w:ascii="Open Sans" w:hAnsi="Open Sans" w:eastAsia="Times New Roman" w:cs="Open Sans"/>
        </w:rPr>
      </w:pPr>
      <w:r w:rsidRPr="2AC2856F" w:rsidR="3907B51E">
        <w:rPr>
          <w:rFonts w:ascii="Open Sans" w:hAnsi="Open Sans" w:eastAsia="Times New Roman" w:cs="Open Sans"/>
        </w:rPr>
        <w:t>Support local schools in adopting Farm to School models that increase access to fresh, locally grown produce; integrate nutrition education into curricula; and promote healthy eating behaviors among children and families. Activity components may include establishing school gardens, building partnerships with local farmers, organizing taste testing events, and integrating culturally relevant nutrition programming.</w:t>
      </w:r>
    </w:p>
    <w:p w:rsidR="3907B51E" w:rsidP="2AC2856F" w:rsidRDefault="3907B51E" w14:paraId="424D1998" w14:textId="483BE22B">
      <w:pPr>
        <w:pStyle w:val="Subtitle"/>
        <w:spacing w:line="276" w:lineRule="auto"/>
      </w:pPr>
      <w:r w:rsidR="3907B51E">
        <w:rPr/>
        <w:t xml:space="preserve">Activity 2: Community Health Worker-Led Chronic Disease Screening and Referral </w:t>
      </w:r>
    </w:p>
    <w:p w:rsidR="3907B51E" w:rsidP="2AC2856F" w:rsidRDefault="3907B51E" w14:paraId="62E0C831" w14:textId="0900141B">
      <w:pPr>
        <w:pStyle w:val="ListParagraph"/>
        <w:numPr>
          <w:ilvl w:val="0"/>
          <w:numId w:val="2"/>
        </w:numPr>
        <w:spacing w:line="276" w:lineRule="auto"/>
        <w:rPr>
          <w:rStyle w:val="Strong"/>
        </w:rPr>
      </w:pPr>
      <w:r w:rsidRPr="2AC2856F" w:rsidR="3907B51E">
        <w:rPr>
          <w:rStyle w:val="Strong"/>
        </w:rPr>
        <w:t xml:space="preserve">Funding Category(ies): Make Rural Indiana Healthy Again; Workforce Development </w:t>
      </w:r>
    </w:p>
    <w:p w:rsidR="3907B51E" w:rsidP="2AC2856F" w:rsidRDefault="3907B51E" w14:paraId="08CD0A00" w14:textId="367B351D">
      <w:pPr>
        <w:pStyle w:val="ListParagraph"/>
        <w:numPr>
          <w:ilvl w:val="0"/>
          <w:numId w:val="2"/>
        </w:numPr>
        <w:spacing w:after="0" w:line="276" w:lineRule="auto"/>
        <w:rPr>
          <w:rFonts w:ascii="Open Sans" w:hAnsi="Open Sans" w:eastAsia="Times New Roman" w:cs="Open Sans"/>
        </w:rPr>
      </w:pPr>
      <w:r w:rsidRPr="2AC2856F" w:rsidR="3907B51E">
        <w:rPr>
          <w:rFonts w:ascii="Open Sans" w:hAnsi="Open Sans" w:eastAsia="Times New Roman" w:cs="Open Sans"/>
        </w:rPr>
        <w:t>Train and deploy Community Health Workers (CHWs) to conduct outreach, provide evidence-based screenings (e.g., for hypertension, prediabetes, obesity), and facilitate referrals to primary care, diabetes prevention programs, and community services. CHWs will also provide ongoing health coaching and navigation support.</w:t>
      </w:r>
    </w:p>
    <w:p w:rsidR="3907B51E" w:rsidP="2AC2856F" w:rsidRDefault="3907B51E" w14:paraId="68BDF95B" w14:textId="157B7965">
      <w:pPr>
        <w:pStyle w:val="Subtitle"/>
        <w:spacing w:line="276" w:lineRule="auto"/>
      </w:pPr>
      <w:r w:rsidR="3907B51E">
        <w:rPr/>
        <w:t>Activity 3: Diabetes Prevention Program Expansion</w:t>
      </w:r>
    </w:p>
    <w:p w:rsidR="3907B51E" w:rsidP="2AC2856F" w:rsidRDefault="3907B51E" w14:paraId="0FA173B9" w14:textId="55C93A0E">
      <w:pPr>
        <w:pStyle w:val="ListParagraph"/>
        <w:numPr>
          <w:ilvl w:val="0"/>
          <w:numId w:val="1"/>
        </w:numPr>
        <w:spacing w:line="276" w:lineRule="auto"/>
        <w:rPr>
          <w:rStyle w:val="Strong"/>
        </w:rPr>
      </w:pPr>
      <w:r w:rsidRPr="2AC2856F" w:rsidR="3907B51E">
        <w:rPr>
          <w:rStyle w:val="Strong"/>
        </w:rPr>
        <w:t>Funding Category(ies): Make Rural Indiana Healthy Again</w:t>
      </w:r>
    </w:p>
    <w:p w:rsidR="3907B51E" w:rsidP="2AC2856F" w:rsidRDefault="3907B51E" w14:paraId="5B61C101" w14:textId="2653B634">
      <w:pPr>
        <w:pStyle w:val="ListParagraph"/>
        <w:numPr>
          <w:ilvl w:val="0"/>
          <w:numId w:val="1"/>
        </w:numPr>
        <w:spacing w:after="0" w:line="276" w:lineRule="auto"/>
        <w:rPr>
          <w:rFonts w:ascii="Open Sans" w:hAnsi="Open Sans" w:eastAsia="Times New Roman" w:cs="Open Sans"/>
        </w:rPr>
      </w:pPr>
      <w:r w:rsidRPr="2AC2856F" w:rsidR="3907B51E">
        <w:rPr>
          <w:rFonts w:ascii="Open Sans" w:hAnsi="Open Sans" w:eastAsia="Times New Roman" w:cs="Open Sans"/>
        </w:rPr>
        <w:t>Expand the availability and reach of CDC-recognized Diabetes Prevention Programs (DPPs) across rural communities. This includes offering in-person and virtual group-based lifestyle change programs, supporting local organizations to become recognized DPP providers, and embedding DPP referrals into clinical workflows via electronic health record prompts.</w:t>
      </w:r>
    </w:p>
    <w:p w:rsidR="3907B51E" w:rsidP="2AC2856F" w:rsidRDefault="3907B51E" w14:paraId="6CFF4940" w14:textId="66AB988F">
      <w:pPr>
        <w:pStyle w:val="Subtitle"/>
        <w:spacing w:line="276" w:lineRule="auto"/>
      </w:pPr>
      <w:r w:rsidR="3907B51E">
        <w:rPr/>
        <w:t>Activity 4: Hypertension Self-Management &amp; Remote Monitoring Program</w:t>
      </w:r>
    </w:p>
    <w:p w:rsidR="3907B51E" w:rsidP="2AC2856F" w:rsidRDefault="3907B51E" w14:paraId="5726033E" w14:textId="30026AA2">
      <w:pPr>
        <w:pStyle w:val="ListParagraph"/>
        <w:numPr>
          <w:ilvl w:val="0"/>
          <w:numId w:val="1"/>
        </w:numPr>
        <w:spacing w:line="276" w:lineRule="auto"/>
        <w:rPr>
          <w:rStyle w:val="Strong"/>
        </w:rPr>
      </w:pPr>
      <w:r w:rsidRPr="2AC2856F" w:rsidR="3907B51E">
        <w:rPr>
          <w:rStyle w:val="Strong"/>
        </w:rPr>
        <w:t>Funding Category(ies): Make Rural Indiana Healthy Again; Tech Innovation</w:t>
      </w:r>
    </w:p>
    <w:p w:rsidR="3907B51E" w:rsidP="2AC2856F" w:rsidRDefault="3907B51E" w14:paraId="26A9A2DF" w14:textId="2B322496">
      <w:pPr>
        <w:pStyle w:val="ListParagraph"/>
        <w:numPr>
          <w:ilvl w:val="0"/>
          <w:numId w:val="1"/>
        </w:numPr>
        <w:spacing w:after="0" w:line="276" w:lineRule="auto"/>
        <w:rPr>
          <w:rFonts w:ascii="Open Sans" w:hAnsi="Open Sans" w:eastAsia="Times New Roman" w:cs="Open Sans"/>
        </w:rPr>
      </w:pPr>
      <w:r w:rsidRPr="2AC2856F" w:rsidR="3907B51E">
        <w:rPr>
          <w:rFonts w:ascii="Open Sans" w:hAnsi="Open Sans" w:eastAsia="Times New Roman" w:cs="Open Sans"/>
        </w:rPr>
        <w:t>Implement evidence-based hypertension self-management support by providing home blood pressure monitors, training participants on accurate self-measurement techniques, and integrating remote patient monitoring platforms so clinical teams can monitor readings, conduct early interventions, and track long-term improvements in blood pressure control.</w:t>
      </w:r>
    </w:p>
    <w:p w:rsidR="3907B51E" w:rsidP="2AC2856F" w:rsidRDefault="3907B51E" w14:paraId="099D7E43" w14:textId="635794C9">
      <w:pPr>
        <w:pStyle w:val="Subtitle"/>
        <w:spacing w:line="276" w:lineRule="auto"/>
      </w:pPr>
      <w:r w:rsidR="3907B51E">
        <w:rPr/>
        <w:t>Activity 5: Community-Based Movement for Health</w:t>
      </w:r>
    </w:p>
    <w:p w:rsidR="3907B51E" w:rsidP="2AC2856F" w:rsidRDefault="3907B51E" w14:paraId="648207CD" w14:textId="09AFDAB2">
      <w:pPr>
        <w:pStyle w:val="ListParagraph"/>
        <w:numPr>
          <w:ilvl w:val="0"/>
          <w:numId w:val="1"/>
        </w:numPr>
        <w:spacing w:line="276" w:lineRule="auto"/>
        <w:rPr>
          <w:rStyle w:val="Strong"/>
        </w:rPr>
      </w:pPr>
      <w:r w:rsidRPr="2AC2856F" w:rsidR="3907B51E">
        <w:rPr>
          <w:rStyle w:val="Strong"/>
        </w:rPr>
        <w:t>Funding Category(ies): Make Rural Indiana Healthy Again</w:t>
      </w:r>
    </w:p>
    <w:p w:rsidR="3907B51E" w:rsidP="2AC2856F" w:rsidRDefault="3907B51E" w14:paraId="5DD2F7F9" w14:textId="3DB25500">
      <w:pPr>
        <w:pStyle w:val="ListParagraph"/>
        <w:numPr>
          <w:ilvl w:val="0"/>
          <w:numId w:val="1"/>
        </w:numPr>
        <w:spacing w:after="0" w:line="276" w:lineRule="auto"/>
        <w:rPr>
          <w:rFonts w:ascii="Open Sans" w:hAnsi="Open Sans" w:eastAsia="Times New Roman" w:cs="Open Sans"/>
        </w:rPr>
      </w:pPr>
      <w:r w:rsidRPr="2AC2856F" w:rsidR="3907B51E">
        <w:rPr>
          <w:rFonts w:ascii="Open Sans" w:hAnsi="Open Sans" w:eastAsia="Times New Roman" w:cs="Open Sans"/>
        </w:rPr>
        <w:t>Launch evidence-based physical activity programs such as Walk With Ease, active living campaigns, and social support groups that create low-barrier opportunities for adults of all ages to increase movement. Activities may include safe walking route identification, community walking clubs, partnerships with parks departments, and promotion of movement-friendly community design.</w:t>
      </w:r>
    </w:p>
    <w:p w:rsidR="2AC2856F" w:rsidP="2AC2856F" w:rsidRDefault="2AC2856F" w14:paraId="528492AF" w14:textId="45487FA5">
      <w:pPr>
        <w:pStyle w:val="Normal"/>
        <w:spacing w:after="0" w:line="276" w:lineRule="auto"/>
        <w:rPr>
          <w:rFonts w:ascii="Open Sans" w:hAnsi="Open Sans" w:eastAsia="Times New Roman" w:cs="Open Sans"/>
        </w:rPr>
      </w:pPr>
    </w:p>
    <w:p w:rsidR="203EE13E" w:rsidP="203EE13E" w:rsidRDefault="203EE13E" w14:paraId="3AC5ED5F" w14:textId="338CB049">
      <w:pPr>
        <w:spacing w:after="0" w:line="276" w:lineRule="auto"/>
        <w:rPr>
          <w:rFonts w:ascii="Open Sans" w:hAnsi="Open Sans" w:eastAsia="Segoe UI" w:cs="Open Sans"/>
        </w:rPr>
      </w:pPr>
    </w:p>
    <w:sectPr w:rsidR="203EE13E" w:rsidSect="00D15DF7">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63E" w:rsidP="001D02B8" w:rsidRDefault="0070663E" w14:paraId="32F90831" w14:textId="77777777">
      <w:pPr>
        <w:spacing w:after="0" w:line="240" w:lineRule="auto"/>
      </w:pPr>
      <w:r>
        <w:separator/>
      </w:r>
    </w:p>
  </w:endnote>
  <w:endnote w:type="continuationSeparator" w:id="0">
    <w:p w:rsidR="0070663E" w:rsidP="001D02B8" w:rsidRDefault="0070663E" w14:paraId="470E52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A3F" w:rsidRDefault="00A75A3F" w14:paraId="3F32FC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A53AD6" w:rsidR="008C15E9" w:rsidRDefault="00E97FF6" w14:paraId="4051DA30" w14:textId="77777777">
    <w:pPr>
      <w:pStyle w:val="Footer"/>
      <w:jc w:val="right"/>
      <w:rPr>
        <w:rFonts w:ascii="Montserrat" w:hAnsi="Montserrat"/>
        <w:sz w:val="20"/>
        <w:szCs w:val="20"/>
      </w:rPr>
    </w:pPr>
    <w:r>
      <w:rPr>
        <w:noProof/>
        <w:sz w:val="20"/>
        <w:szCs w:val="20"/>
      </w:rPr>
      <mc:AlternateContent>
        <mc:Choice Requires="wps">
          <w:drawing>
            <wp:anchor distT="0" distB="0" distL="114300" distR="114300" simplePos="0" relativeHeight="251658240" behindDoc="0" locked="0" layoutInCell="1" allowOverlap="1" wp14:anchorId="7E9AA885" wp14:editId="77EBA655">
              <wp:simplePos x="0" y="0"/>
              <wp:positionH relativeFrom="column">
                <wp:posOffset>-309367</wp:posOffset>
              </wp:positionH>
              <wp:positionV relativeFrom="paragraph">
                <wp:posOffset>-119993</wp:posOffset>
              </wp:positionV>
              <wp:extent cx="6305550" cy="0"/>
              <wp:effectExtent l="0" t="0" r="0" b="0"/>
              <wp:wrapNone/>
              <wp:docPr id="1536838564" name="Straight Connector 1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1539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1" style="position:absolute;z-index:251461120;visibility:visible;mso-wrap-style:square;mso-wrap-distance-left:9pt;mso-wrap-distance-top:0;mso-wrap-distance-right:9pt;mso-wrap-distance-bottom:0;mso-position-horizontal:absolute;mso-position-horizontal-relative:text;mso-position-vertical:absolute;mso-position-vertical-relative:text" o:spid="_x0000_s1026" strokecolor="#015390" strokeweight="1pt" from="-24.35pt,-9.45pt" to="472.15pt,-9.45pt" w14:anchorId="0CCD3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">
              <v:stroke joinstyle="miter"/>
            </v:line>
          </w:pict>
        </mc:Fallback>
      </mc:AlternateContent>
    </w:r>
    <w:r w:rsidRPr="00A53AD6" w:rsidR="008C15E9">
      <w:rPr>
        <w:sz w:val="20"/>
        <w:szCs w:val="20"/>
      </w:rPr>
      <w:t xml:space="preserve"> </w:t>
    </w:r>
    <w:sdt>
      <w:sdtPr>
        <w:rPr>
          <w:sz w:val="20"/>
          <w:szCs w:val="20"/>
        </w:rPr>
        <w:id w:val="571091466"/>
        <w:docPartObj>
          <w:docPartGallery w:val="Page Numbers (Bottom of Page)"/>
          <w:docPartUnique/>
        </w:docPartObj>
      </w:sdtPr>
      <w:sdtEndPr>
        <w:rPr>
          <w:rFonts w:ascii="Montserrat" w:hAnsi="Montserrat"/>
          <w:noProof/>
        </w:rPr>
      </w:sdtEndPr>
      <w:sdtContent>
        <w:r w:rsidRPr="0007269C" w:rsidR="008C15E9">
          <w:rPr>
            <w:rFonts w:ascii="Montserrat" w:hAnsi="Montserrat"/>
            <w:sz w:val="16"/>
            <w:szCs w:val="16"/>
          </w:rPr>
          <w:fldChar w:fldCharType="begin"/>
        </w:r>
        <w:r w:rsidRPr="0007269C" w:rsidR="008C15E9">
          <w:rPr>
            <w:rFonts w:ascii="Montserrat" w:hAnsi="Montserrat"/>
            <w:sz w:val="16"/>
            <w:szCs w:val="16"/>
          </w:rPr>
          <w:instrText xml:space="preserve"> PAGE   \* MERGEFORMAT </w:instrText>
        </w:r>
        <w:r w:rsidRPr="0007269C" w:rsidR="008C15E9">
          <w:rPr>
            <w:rFonts w:ascii="Montserrat" w:hAnsi="Montserrat"/>
            <w:sz w:val="16"/>
            <w:szCs w:val="16"/>
          </w:rPr>
          <w:fldChar w:fldCharType="separate"/>
        </w:r>
        <w:r w:rsidRPr="0007269C" w:rsidR="008C15E9">
          <w:rPr>
            <w:rFonts w:ascii="Montserrat" w:hAnsi="Montserrat"/>
            <w:noProof/>
            <w:sz w:val="16"/>
            <w:szCs w:val="16"/>
          </w:rPr>
          <w:t>2</w:t>
        </w:r>
        <w:r w:rsidRPr="0007269C" w:rsidR="008C15E9">
          <w:rPr>
            <w:rFonts w:ascii="Montserrat" w:hAnsi="Montserrat"/>
            <w:noProof/>
            <w:sz w:val="16"/>
            <w:szCs w:val="16"/>
          </w:rPr>
          <w:fldChar w:fldCharType="end"/>
        </w:r>
      </w:sdtContent>
    </w:sdt>
  </w:p>
  <w:p w:rsidR="00801116" w:rsidRDefault="00690D3B" w14:paraId="1F2C3184" w14:textId="77777777">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7CF4" w:rsidR="00887CF4" w:rsidRDefault="00887CF4" w14:paraId="729823C8" w14:textId="77777777">
    <w:pPr>
      <w:pStyle w:val="Footer"/>
      <w:jc w:val="right"/>
      <w:rPr>
        <w:rFonts w:ascii="Open Sans" w:hAnsi="Open Sans" w:cs="Open Sans"/>
        <w:sz w:val="22"/>
        <w:szCs w:val="22"/>
      </w:rPr>
    </w:pPr>
  </w:p>
  <w:p w:rsidR="00887CF4" w:rsidRDefault="00887CF4" w14:paraId="51A1B6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63E" w:rsidP="001D02B8" w:rsidRDefault="0070663E" w14:paraId="4FAF552A" w14:textId="77777777">
      <w:pPr>
        <w:spacing w:after="0" w:line="240" w:lineRule="auto"/>
      </w:pPr>
      <w:r>
        <w:separator/>
      </w:r>
    </w:p>
  </w:footnote>
  <w:footnote w:type="continuationSeparator" w:id="0">
    <w:p w:rsidR="0070663E" w:rsidP="001D02B8" w:rsidRDefault="0070663E" w14:paraId="372710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A3F" w:rsidRDefault="00A75A3F" w14:paraId="6F98E3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02B8" w:rsidRDefault="0097089A" w14:paraId="6B844E05" w14:textId="77777777">
    <w:pPr>
      <w:pStyle w:val="Header"/>
    </w:pPr>
    <w:r>
      <w:rPr>
        <w:noProof/>
      </w:rPr>
      <w:drawing>
        <wp:anchor distT="0" distB="0" distL="114300" distR="114300" simplePos="0" relativeHeight="251658246"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189507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5"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526AD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3"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66963420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4"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158532710"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1"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031E0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2"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1B30D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A3F" w:rsidRDefault="00A75A3F" w14:paraId="7EB0C0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0DF5"/>
    <w:multiLevelType w:val="hybridMultilevel"/>
    <w:tmpl w:val="4D621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97D8B3"/>
    <w:multiLevelType w:val="hybridMultilevel"/>
    <w:tmpl w:val="84E47F3E"/>
    <w:lvl w:ilvl="0" w:tplc="12ACC9A4">
      <w:start w:val="1"/>
      <w:numFmt w:val="bullet"/>
      <w:lvlText w:val=""/>
      <w:lvlJc w:val="left"/>
      <w:pPr>
        <w:ind w:left="720" w:hanging="360"/>
      </w:pPr>
      <w:rPr>
        <w:rFonts w:hint="default" w:ascii="Symbol" w:hAnsi="Symbol"/>
      </w:rPr>
    </w:lvl>
    <w:lvl w:ilvl="1" w:tplc="295AD968">
      <w:start w:val="1"/>
      <w:numFmt w:val="bullet"/>
      <w:lvlText w:val="o"/>
      <w:lvlJc w:val="left"/>
      <w:pPr>
        <w:ind w:left="1440" w:hanging="360"/>
      </w:pPr>
      <w:rPr>
        <w:rFonts w:hint="default" w:ascii="Courier New" w:hAnsi="Courier New"/>
      </w:rPr>
    </w:lvl>
    <w:lvl w:ilvl="2" w:tplc="093CA770">
      <w:start w:val="1"/>
      <w:numFmt w:val="bullet"/>
      <w:lvlText w:val=""/>
      <w:lvlJc w:val="left"/>
      <w:pPr>
        <w:ind w:left="2160" w:hanging="360"/>
      </w:pPr>
      <w:rPr>
        <w:rFonts w:hint="default" w:ascii="Wingdings" w:hAnsi="Wingdings"/>
      </w:rPr>
    </w:lvl>
    <w:lvl w:ilvl="3" w:tplc="0F2A20B8">
      <w:start w:val="1"/>
      <w:numFmt w:val="bullet"/>
      <w:lvlText w:val=""/>
      <w:lvlJc w:val="left"/>
      <w:pPr>
        <w:ind w:left="2880" w:hanging="360"/>
      </w:pPr>
      <w:rPr>
        <w:rFonts w:hint="default" w:ascii="Symbol" w:hAnsi="Symbol"/>
      </w:rPr>
    </w:lvl>
    <w:lvl w:ilvl="4" w:tplc="A08A4A1A">
      <w:start w:val="1"/>
      <w:numFmt w:val="bullet"/>
      <w:lvlText w:val="o"/>
      <w:lvlJc w:val="left"/>
      <w:pPr>
        <w:ind w:left="3600" w:hanging="360"/>
      </w:pPr>
      <w:rPr>
        <w:rFonts w:hint="default" w:ascii="Courier New" w:hAnsi="Courier New"/>
      </w:rPr>
    </w:lvl>
    <w:lvl w:ilvl="5" w:tplc="5C2C5964">
      <w:start w:val="1"/>
      <w:numFmt w:val="bullet"/>
      <w:lvlText w:val=""/>
      <w:lvlJc w:val="left"/>
      <w:pPr>
        <w:ind w:left="4320" w:hanging="360"/>
      </w:pPr>
      <w:rPr>
        <w:rFonts w:hint="default" w:ascii="Wingdings" w:hAnsi="Wingdings"/>
      </w:rPr>
    </w:lvl>
    <w:lvl w:ilvl="6" w:tplc="C3229530">
      <w:start w:val="1"/>
      <w:numFmt w:val="bullet"/>
      <w:lvlText w:val=""/>
      <w:lvlJc w:val="left"/>
      <w:pPr>
        <w:ind w:left="5040" w:hanging="360"/>
      </w:pPr>
      <w:rPr>
        <w:rFonts w:hint="default" w:ascii="Symbol" w:hAnsi="Symbol"/>
      </w:rPr>
    </w:lvl>
    <w:lvl w:ilvl="7" w:tplc="CEF876E6">
      <w:start w:val="1"/>
      <w:numFmt w:val="bullet"/>
      <w:lvlText w:val="o"/>
      <w:lvlJc w:val="left"/>
      <w:pPr>
        <w:ind w:left="5760" w:hanging="360"/>
      </w:pPr>
      <w:rPr>
        <w:rFonts w:hint="default" w:ascii="Courier New" w:hAnsi="Courier New"/>
      </w:rPr>
    </w:lvl>
    <w:lvl w:ilvl="8" w:tplc="D3585E28">
      <w:start w:val="1"/>
      <w:numFmt w:val="bullet"/>
      <w:lvlText w:val=""/>
      <w:lvlJc w:val="left"/>
      <w:pPr>
        <w:ind w:left="6480" w:hanging="360"/>
      </w:pPr>
      <w:rPr>
        <w:rFonts w:hint="default" w:ascii="Wingdings" w:hAnsi="Wingdings"/>
      </w:rPr>
    </w:lvl>
  </w:abstractNum>
  <w:abstractNum w:abstractNumId="2" w15:restartNumberingAfterBreak="0">
    <w:nsid w:val="25A61EAF"/>
    <w:multiLevelType w:val="hybridMultilevel"/>
    <w:tmpl w:val="92100BEA"/>
    <w:lvl w:ilvl="0" w:tplc="87A437EE">
      <w:start w:val="1"/>
      <w:numFmt w:val="bullet"/>
      <w:lvlText w:val=""/>
      <w:lvlJc w:val="left"/>
      <w:pPr>
        <w:ind w:left="720" w:hanging="360"/>
      </w:pPr>
      <w:rPr>
        <w:rFonts w:hint="default" w:ascii="Symbol" w:hAnsi="Symbol"/>
      </w:rPr>
    </w:lvl>
    <w:lvl w:ilvl="1" w:tplc="3070C7B2">
      <w:start w:val="1"/>
      <w:numFmt w:val="bullet"/>
      <w:lvlText w:val="o"/>
      <w:lvlJc w:val="left"/>
      <w:pPr>
        <w:ind w:left="1440" w:hanging="360"/>
      </w:pPr>
      <w:rPr>
        <w:rFonts w:hint="default" w:ascii="Courier New" w:hAnsi="Courier New"/>
      </w:rPr>
    </w:lvl>
    <w:lvl w:ilvl="2" w:tplc="A2BA5B74">
      <w:start w:val="1"/>
      <w:numFmt w:val="bullet"/>
      <w:lvlText w:val=""/>
      <w:lvlJc w:val="left"/>
      <w:pPr>
        <w:ind w:left="2160" w:hanging="360"/>
      </w:pPr>
      <w:rPr>
        <w:rFonts w:hint="default" w:ascii="Wingdings" w:hAnsi="Wingdings"/>
      </w:rPr>
    </w:lvl>
    <w:lvl w:ilvl="3" w:tplc="0254BECC">
      <w:start w:val="1"/>
      <w:numFmt w:val="bullet"/>
      <w:lvlText w:val=""/>
      <w:lvlJc w:val="left"/>
      <w:pPr>
        <w:ind w:left="2880" w:hanging="360"/>
      </w:pPr>
      <w:rPr>
        <w:rFonts w:hint="default" w:ascii="Symbol" w:hAnsi="Symbol"/>
      </w:rPr>
    </w:lvl>
    <w:lvl w:ilvl="4" w:tplc="488A5750">
      <w:start w:val="1"/>
      <w:numFmt w:val="bullet"/>
      <w:lvlText w:val="o"/>
      <w:lvlJc w:val="left"/>
      <w:pPr>
        <w:ind w:left="3600" w:hanging="360"/>
      </w:pPr>
      <w:rPr>
        <w:rFonts w:hint="default" w:ascii="Courier New" w:hAnsi="Courier New"/>
      </w:rPr>
    </w:lvl>
    <w:lvl w:ilvl="5" w:tplc="048E3A82">
      <w:start w:val="1"/>
      <w:numFmt w:val="bullet"/>
      <w:lvlText w:val=""/>
      <w:lvlJc w:val="left"/>
      <w:pPr>
        <w:ind w:left="4320" w:hanging="360"/>
      </w:pPr>
      <w:rPr>
        <w:rFonts w:hint="default" w:ascii="Wingdings" w:hAnsi="Wingdings"/>
      </w:rPr>
    </w:lvl>
    <w:lvl w:ilvl="6" w:tplc="175A4EA6">
      <w:start w:val="1"/>
      <w:numFmt w:val="bullet"/>
      <w:lvlText w:val=""/>
      <w:lvlJc w:val="left"/>
      <w:pPr>
        <w:ind w:left="5040" w:hanging="360"/>
      </w:pPr>
      <w:rPr>
        <w:rFonts w:hint="default" w:ascii="Symbol" w:hAnsi="Symbol"/>
      </w:rPr>
    </w:lvl>
    <w:lvl w:ilvl="7" w:tplc="8C2E3CB2">
      <w:start w:val="1"/>
      <w:numFmt w:val="bullet"/>
      <w:lvlText w:val="o"/>
      <w:lvlJc w:val="left"/>
      <w:pPr>
        <w:ind w:left="5760" w:hanging="360"/>
      </w:pPr>
      <w:rPr>
        <w:rFonts w:hint="default" w:ascii="Courier New" w:hAnsi="Courier New"/>
      </w:rPr>
    </w:lvl>
    <w:lvl w:ilvl="8" w:tplc="D86888C4">
      <w:start w:val="1"/>
      <w:numFmt w:val="bullet"/>
      <w:lvlText w:val=""/>
      <w:lvlJc w:val="left"/>
      <w:pPr>
        <w:ind w:left="6480" w:hanging="360"/>
      </w:pPr>
      <w:rPr>
        <w:rFonts w:hint="default" w:ascii="Wingdings" w:hAnsi="Wingdings"/>
      </w:rPr>
    </w:lvl>
  </w:abstractNum>
  <w:abstractNum w:abstractNumId="3" w15:restartNumberingAfterBreak="0">
    <w:nsid w:val="2D2103F4"/>
    <w:multiLevelType w:val="hybridMultilevel"/>
    <w:tmpl w:val="FBBAB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ABA72AA"/>
    <w:multiLevelType w:val="hybridMultilevel"/>
    <w:tmpl w:val="9B127468"/>
    <w:lvl w:ilvl="0" w:tplc="1A266CBC">
      <w:start w:val="1"/>
      <w:numFmt w:val="bullet"/>
      <w:lvlText w:val=""/>
      <w:lvlJc w:val="left"/>
      <w:pPr>
        <w:ind w:left="720" w:hanging="360"/>
      </w:pPr>
      <w:rPr>
        <w:rFonts w:hint="default" w:ascii="Symbol" w:hAnsi="Symbol"/>
      </w:rPr>
    </w:lvl>
    <w:lvl w:ilvl="1" w:tplc="EF4CCE14">
      <w:start w:val="1"/>
      <w:numFmt w:val="bullet"/>
      <w:lvlText w:val="o"/>
      <w:lvlJc w:val="left"/>
      <w:pPr>
        <w:ind w:left="1440" w:hanging="360"/>
      </w:pPr>
      <w:rPr>
        <w:rFonts w:hint="default" w:ascii="Courier New" w:hAnsi="Courier New"/>
      </w:rPr>
    </w:lvl>
    <w:lvl w:ilvl="2" w:tplc="576402FA">
      <w:start w:val="1"/>
      <w:numFmt w:val="bullet"/>
      <w:lvlText w:val=""/>
      <w:lvlJc w:val="left"/>
      <w:pPr>
        <w:ind w:left="2160" w:hanging="360"/>
      </w:pPr>
      <w:rPr>
        <w:rFonts w:hint="default" w:ascii="Wingdings" w:hAnsi="Wingdings"/>
      </w:rPr>
    </w:lvl>
    <w:lvl w:ilvl="3" w:tplc="A04AB7CE">
      <w:start w:val="1"/>
      <w:numFmt w:val="bullet"/>
      <w:lvlText w:val=""/>
      <w:lvlJc w:val="left"/>
      <w:pPr>
        <w:ind w:left="2880" w:hanging="360"/>
      </w:pPr>
      <w:rPr>
        <w:rFonts w:hint="default" w:ascii="Symbol" w:hAnsi="Symbol"/>
      </w:rPr>
    </w:lvl>
    <w:lvl w:ilvl="4" w:tplc="120EEC3E">
      <w:start w:val="1"/>
      <w:numFmt w:val="bullet"/>
      <w:lvlText w:val="o"/>
      <w:lvlJc w:val="left"/>
      <w:pPr>
        <w:ind w:left="3600" w:hanging="360"/>
      </w:pPr>
      <w:rPr>
        <w:rFonts w:hint="default" w:ascii="Courier New" w:hAnsi="Courier New"/>
      </w:rPr>
    </w:lvl>
    <w:lvl w:ilvl="5" w:tplc="918E9DBC">
      <w:start w:val="1"/>
      <w:numFmt w:val="bullet"/>
      <w:lvlText w:val=""/>
      <w:lvlJc w:val="left"/>
      <w:pPr>
        <w:ind w:left="4320" w:hanging="360"/>
      </w:pPr>
      <w:rPr>
        <w:rFonts w:hint="default" w:ascii="Wingdings" w:hAnsi="Wingdings"/>
      </w:rPr>
    </w:lvl>
    <w:lvl w:ilvl="6" w:tplc="AD02B280">
      <w:start w:val="1"/>
      <w:numFmt w:val="bullet"/>
      <w:lvlText w:val=""/>
      <w:lvlJc w:val="left"/>
      <w:pPr>
        <w:ind w:left="5040" w:hanging="360"/>
      </w:pPr>
      <w:rPr>
        <w:rFonts w:hint="default" w:ascii="Symbol" w:hAnsi="Symbol"/>
      </w:rPr>
    </w:lvl>
    <w:lvl w:ilvl="7" w:tplc="786C39F6">
      <w:start w:val="1"/>
      <w:numFmt w:val="bullet"/>
      <w:lvlText w:val="o"/>
      <w:lvlJc w:val="left"/>
      <w:pPr>
        <w:ind w:left="5760" w:hanging="360"/>
      </w:pPr>
      <w:rPr>
        <w:rFonts w:hint="default" w:ascii="Courier New" w:hAnsi="Courier New"/>
      </w:rPr>
    </w:lvl>
    <w:lvl w:ilvl="8" w:tplc="1686795C">
      <w:start w:val="1"/>
      <w:numFmt w:val="bullet"/>
      <w:lvlText w:val=""/>
      <w:lvlJc w:val="left"/>
      <w:pPr>
        <w:ind w:left="6480" w:hanging="360"/>
      </w:pPr>
      <w:rPr>
        <w:rFonts w:hint="default" w:ascii="Wingdings" w:hAnsi="Wingdings"/>
      </w:rPr>
    </w:lvl>
  </w:abstractNum>
  <w:abstractNum w:abstractNumId="5" w15:restartNumberingAfterBreak="0">
    <w:nsid w:val="7D976B7D"/>
    <w:multiLevelType w:val="hybridMultilevel"/>
    <w:tmpl w:val="F21A7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73029418">
    <w:abstractNumId w:val="4"/>
  </w:num>
  <w:num w:numId="2" w16cid:durableId="1074085245">
    <w:abstractNumId w:val="2"/>
  </w:num>
  <w:num w:numId="3" w16cid:durableId="2118333558">
    <w:abstractNumId w:val="1"/>
  </w:num>
  <w:num w:numId="4" w16cid:durableId="937446128">
    <w:abstractNumId w:val="3"/>
  </w:num>
  <w:num w:numId="5" w16cid:durableId="2138328088">
    <w:abstractNumId w:val="5"/>
  </w:num>
  <w:num w:numId="6" w16cid:durableId="2086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F7"/>
    <w:rsid w:val="000365E7"/>
    <w:rsid w:val="00044605"/>
    <w:rsid w:val="0007269C"/>
    <w:rsid w:val="000A31D9"/>
    <w:rsid w:val="000B6428"/>
    <w:rsid w:val="000C658E"/>
    <w:rsid w:val="000D7823"/>
    <w:rsid w:val="00102731"/>
    <w:rsid w:val="001342E3"/>
    <w:rsid w:val="00143FAE"/>
    <w:rsid w:val="00144EAC"/>
    <w:rsid w:val="001613F7"/>
    <w:rsid w:val="00171B4C"/>
    <w:rsid w:val="0018078F"/>
    <w:rsid w:val="001841EC"/>
    <w:rsid w:val="001969B2"/>
    <w:rsid w:val="001B35D5"/>
    <w:rsid w:val="001B60E3"/>
    <w:rsid w:val="001D02B8"/>
    <w:rsid w:val="001D2DA4"/>
    <w:rsid w:val="001D7150"/>
    <w:rsid w:val="001F0AE6"/>
    <w:rsid w:val="001F49BF"/>
    <w:rsid w:val="0022547E"/>
    <w:rsid w:val="00236E7E"/>
    <w:rsid w:val="002461AB"/>
    <w:rsid w:val="00247B97"/>
    <w:rsid w:val="0026220B"/>
    <w:rsid w:val="00271CF4"/>
    <w:rsid w:val="00287206"/>
    <w:rsid w:val="00294A0A"/>
    <w:rsid w:val="00296A79"/>
    <w:rsid w:val="002A1457"/>
    <w:rsid w:val="002B39A3"/>
    <w:rsid w:val="002C4347"/>
    <w:rsid w:val="002D515E"/>
    <w:rsid w:val="002F08C1"/>
    <w:rsid w:val="002F4581"/>
    <w:rsid w:val="00300415"/>
    <w:rsid w:val="003436D9"/>
    <w:rsid w:val="003513FC"/>
    <w:rsid w:val="00355A0F"/>
    <w:rsid w:val="00370BC9"/>
    <w:rsid w:val="00384F43"/>
    <w:rsid w:val="00386228"/>
    <w:rsid w:val="003A2B1C"/>
    <w:rsid w:val="003A62A0"/>
    <w:rsid w:val="003B5409"/>
    <w:rsid w:val="003C1053"/>
    <w:rsid w:val="003F5932"/>
    <w:rsid w:val="00421536"/>
    <w:rsid w:val="00425A42"/>
    <w:rsid w:val="0043479C"/>
    <w:rsid w:val="00441A75"/>
    <w:rsid w:val="00441D5C"/>
    <w:rsid w:val="00447484"/>
    <w:rsid w:val="00447DAB"/>
    <w:rsid w:val="004510F4"/>
    <w:rsid w:val="00460F21"/>
    <w:rsid w:val="00492B70"/>
    <w:rsid w:val="004A19CB"/>
    <w:rsid w:val="004A37A0"/>
    <w:rsid w:val="004D2085"/>
    <w:rsid w:val="004F2DAA"/>
    <w:rsid w:val="004F4377"/>
    <w:rsid w:val="00502BA5"/>
    <w:rsid w:val="0050354C"/>
    <w:rsid w:val="00503FE5"/>
    <w:rsid w:val="00513C2B"/>
    <w:rsid w:val="00514E8C"/>
    <w:rsid w:val="005368F7"/>
    <w:rsid w:val="00555A94"/>
    <w:rsid w:val="00556CFC"/>
    <w:rsid w:val="0056681C"/>
    <w:rsid w:val="0057686A"/>
    <w:rsid w:val="00583708"/>
    <w:rsid w:val="00585F6F"/>
    <w:rsid w:val="00595B55"/>
    <w:rsid w:val="005A27D9"/>
    <w:rsid w:val="005A4C35"/>
    <w:rsid w:val="005B0372"/>
    <w:rsid w:val="005B7ED1"/>
    <w:rsid w:val="005E397C"/>
    <w:rsid w:val="00630C34"/>
    <w:rsid w:val="00631CB3"/>
    <w:rsid w:val="0063265B"/>
    <w:rsid w:val="006400A9"/>
    <w:rsid w:val="00651D37"/>
    <w:rsid w:val="006649A2"/>
    <w:rsid w:val="00672310"/>
    <w:rsid w:val="00687C16"/>
    <w:rsid w:val="00690D3B"/>
    <w:rsid w:val="00694618"/>
    <w:rsid w:val="006963B4"/>
    <w:rsid w:val="006A5955"/>
    <w:rsid w:val="006C37DC"/>
    <w:rsid w:val="006C77F2"/>
    <w:rsid w:val="006E7F1D"/>
    <w:rsid w:val="006F53CF"/>
    <w:rsid w:val="007020B4"/>
    <w:rsid w:val="0070663E"/>
    <w:rsid w:val="00726839"/>
    <w:rsid w:val="00742B2A"/>
    <w:rsid w:val="007F2997"/>
    <w:rsid w:val="007F2AA2"/>
    <w:rsid w:val="00801116"/>
    <w:rsid w:val="008176C1"/>
    <w:rsid w:val="00827939"/>
    <w:rsid w:val="00835ECB"/>
    <w:rsid w:val="00842DB5"/>
    <w:rsid w:val="00865EB2"/>
    <w:rsid w:val="00871A8F"/>
    <w:rsid w:val="0087364A"/>
    <w:rsid w:val="00875B04"/>
    <w:rsid w:val="00875B0A"/>
    <w:rsid w:val="00887CF4"/>
    <w:rsid w:val="00890BB3"/>
    <w:rsid w:val="008B0D35"/>
    <w:rsid w:val="008B581C"/>
    <w:rsid w:val="008C104A"/>
    <w:rsid w:val="008C15E9"/>
    <w:rsid w:val="008F344A"/>
    <w:rsid w:val="008F692D"/>
    <w:rsid w:val="00911B4D"/>
    <w:rsid w:val="00915A89"/>
    <w:rsid w:val="009437CF"/>
    <w:rsid w:val="00950EFF"/>
    <w:rsid w:val="00954589"/>
    <w:rsid w:val="0097089A"/>
    <w:rsid w:val="009944F8"/>
    <w:rsid w:val="009966EA"/>
    <w:rsid w:val="0099761C"/>
    <w:rsid w:val="009A663E"/>
    <w:rsid w:val="009D0341"/>
    <w:rsid w:val="00A23A80"/>
    <w:rsid w:val="00A446DB"/>
    <w:rsid w:val="00A53AD6"/>
    <w:rsid w:val="00A53F56"/>
    <w:rsid w:val="00A67645"/>
    <w:rsid w:val="00A75A3F"/>
    <w:rsid w:val="00A97CB7"/>
    <w:rsid w:val="00AA0EBB"/>
    <w:rsid w:val="00AA1E9F"/>
    <w:rsid w:val="00AC67A5"/>
    <w:rsid w:val="00AD0AD4"/>
    <w:rsid w:val="00AD61B9"/>
    <w:rsid w:val="00AE566F"/>
    <w:rsid w:val="00AF04FC"/>
    <w:rsid w:val="00B011E6"/>
    <w:rsid w:val="00B101E6"/>
    <w:rsid w:val="00B2632E"/>
    <w:rsid w:val="00B344A8"/>
    <w:rsid w:val="00B52457"/>
    <w:rsid w:val="00B52FAF"/>
    <w:rsid w:val="00B87B77"/>
    <w:rsid w:val="00B94937"/>
    <w:rsid w:val="00BC0D07"/>
    <w:rsid w:val="00BC43D9"/>
    <w:rsid w:val="00BC4674"/>
    <w:rsid w:val="00BC62D2"/>
    <w:rsid w:val="00BD0731"/>
    <w:rsid w:val="00BE1A86"/>
    <w:rsid w:val="00C06B16"/>
    <w:rsid w:val="00C13A34"/>
    <w:rsid w:val="00C15279"/>
    <w:rsid w:val="00C24344"/>
    <w:rsid w:val="00C4584C"/>
    <w:rsid w:val="00C464A6"/>
    <w:rsid w:val="00C4679A"/>
    <w:rsid w:val="00C54593"/>
    <w:rsid w:val="00C60FC1"/>
    <w:rsid w:val="00C92A62"/>
    <w:rsid w:val="00CA4EBF"/>
    <w:rsid w:val="00CB1348"/>
    <w:rsid w:val="00CC0701"/>
    <w:rsid w:val="00CD5C74"/>
    <w:rsid w:val="00CE3DA1"/>
    <w:rsid w:val="00CE5D14"/>
    <w:rsid w:val="00CF36DD"/>
    <w:rsid w:val="00D06583"/>
    <w:rsid w:val="00D102C6"/>
    <w:rsid w:val="00D1580B"/>
    <w:rsid w:val="00D15A4C"/>
    <w:rsid w:val="00D15DF7"/>
    <w:rsid w:val="00D24C12"/>
    <w:rsid w:val="00D24F94"/>
    <w:rsid w:val="00D32FFC"/>
    <w:rsid w:val="00D402AF"/>
    <w:rsid w:val="00D57F7A"/>
    <w:rsid w:val="00D60C58"/>
    <w:rsid w:val="00D65174"/>
    <w:rsid w:val="00D84963"/>
    <w:rsid w:val="00D97217"/>
    <w:rsid w:val="00DB1358"/>
    <w:rsid w:val="00DB40D8"/>
    <w:rsid w:val="00DD1A05"/>
    <w:rsid w:val="00DE61BF"/>
    <w:rsid w:val="00E117A3"/>
    <w:rsid w:val="00E31839"/>
    <w:rsid w:val="00E3282B"/>
    <w:rsid w:val="00E34718"/>
    <w:rsid w:val="00E82AEC"/>
    <w:rsid w:val="00E84F70"/>
    <w:rsid w:val="00E94E98"/>
    <w:rsid w:val="00E965C7"/>
    <w:rsid w:val="00E97FF6"/>
    <w:rsid w:val="00EB3A94"/>
    <w:rsid w:val="00EB59C2"/>
    <w:rsid w:val="00EC0EE3"/>
    <w:rsid w:val="00ED6275"/>
    <w:rsid w:val="00EE5FEB"/>
    <w:rsid w:val="00EE6571"/>
    <w:rsid w:val="00F057B0"/>
    <w:rsid w:val="00F068A8"/>
    <w:rsid w:val="00F112BB"/>
    <w:rsid w:val="00F17EA6"/>
    <w:rsid w:val="00F50395"/>
    <w:rsid w:val="00F71937"/>
    <w:rsid w:val="00F979F2"/>
    <w:rsid w:val="00FB4F9D"/>
    <w:rsid w:val="00FC11D1"/>
    <w:rsid w:val="00FC1EAB"/>
    <w:rsid w:val="00FC3FB3"/>
    <w:rsid w:val="00FC63F7"/>
    <w:rsid w:val="00FD5F4C"/>
    <w:rsid w:val="00FF0422"/>
    <w:rsid w:val="00FF337D"/>
    <w:rsid w:val="0165C976"/>
    <w:rsid w:val="034EC6D0"/>
    <w:rsid w:val="0A0CA922"/>
    <w:rsid w:val="0B42145C"/>
    <w:rsid w:val="0BA9FD00"/>
    <w:rsid w:val="0E4F414C"/>
    <w:rsid w:val="12A21EF2"/>
    <w:rsid w:val="131EA543"/>
    <w:rsid w:val="1412BDBB"/>
    <w:rsid w:val="150BB469"/>
    <w:rsid w:val="15A07641"/>
    <w:rsid w:val="194330E1"/>
    <w:rsid w:val="1944136F"/>
    <w:rsid w:val="1A383755"/>
    <w:rsid w:val="1C2ABC2D"/>
    <w:rsid w:val="1C64BC92"/>
    <w:rsid w:val="1D36E7F2"/>
    <w:rsid w:val="1DF3816A"/>
    <w:rsid w:val="1DF5D6F8"/>
    <w:rsid w:val="1E8F4FCB"/>
    <w:rsid w:val="203EE13E"/>
    <w:rsid w:val="204575E3"/>
    <w:rsid w:val="2276F206"/>
    <w:rsid w:val="22F9C21B"/>
    <w:rsid w:val="254DD289"/>
    <w:rsid w:val="2585B623"/>
    <w:rsid w:val="263D71D6"/>
    <w:rsid w:val="281E3E11"/>
    <w:rsid w:val="284579C0"/>
    <w:rsid w:val="2A8542E4"/>
    <w:rsid w:val="2AC2856F"/>
    <w:rsid w:val="2CC25E5C"/>
    <w:rsid w:val="2D0B1D17"/>
    <w:rsid w:val="2E88A886"/>
    <w:rsid w:val="306D6DCB"/>
    <w:rsid w:val="31B19601"/>
    <w:rsid w:val="31CC8580"/>
    <w:rsid w:val="32313254"/>
    <w:rsid w:val="334F8BA4"/>
    <w:rsid w:val="34E3200F"/>
    <w:rsid w:val="35ED6A9E"/>
    <w:rsid w:val="3692C456"/>
    <w:rsid w:val="36F1FE79"/>
    <w:rsid w:val="373E5956"/>
    <w:rsid w:val="37B2DB6F"/>
    <w:rsid w:val="3907B51E"/>
    <w:rsid w:val="3B28421C"/>
    <w:rsid w:val="3BDEE64B"/>
    <w:rsid w:val="3CAC02F8"/>
    <w:rsid w:val="3EE1429C"/>
    <w:rsid w:val="3F9A3A18"/>
    <w:rsid w:val="4250961E"/>
    <w:rsid w:val="42638D10"/>
    <w:rsid w:val="429103BC"/>
    <w:rsid w:val="45060577"/>
    <w:rsid w:val="47847756"/>
    <w:rsid w:val="48D3833E"/>
    <w:rsid w:val="4AA8476E"/>
    <w:rsid w:val="4B8D35CF"/>
    <w:rsid w:val="4C2FC8D6"/>
    <w:rsid w:val="4C89A4E4"/>
    <w:rsid w:val="4DF9D9D2"/>
    <w:rsid w:val="524D3AC5"/>
    <w:rsid w:val="52DA80C7"/>
    <w:rsid w:val="52F16918"/>
    <w:rsid w:val="54627871"/>
    <w:rsid w:val="54E5EE1E"/>
    <w:rsid w:val="58476784"/>
    <w:rsid w:val="5870A634"/>
    <w:rsid w:val="59414367"/>
    <w:rsid w:val="594B8AB1"/>
    <w:rsid w:val="5AA6E84F"/>
    <w:rsid w:val="5B17B549"/>
    <w:rsid w:val="5FBCFB4A"/>
    <w:rsid w:val="6037EBE7"/>
    <w:rsid w:val="604E471C"/>
    <w:rsid w:val="6267ECF1"/>
    <w:rsid w:val="64786020"/>
    <w:rsid w:val="670763F0"/>
    <w:rsid w:val="676030C4"/>
    <w:rsid w:val="69617CCE"/>
    <w:rsid w:val="6990D04B"/>
    <w:rsid w:val="6B557372"/>
    <w:rsid w:val="6B661D6C"/>
    <w:rsid w:val="6F708ADE"/>
    <w:rsid w:val="6FCE5E24"/>
    <w:rsid w:val="712574E1"/>
    <w:rsid w:val="71C1CBBD"/>
    <w:rsid w:val="7219A7A3"/>
    <w:rsid w:val="744B3B24"/>
    <w:rsid w:val="7495703A"/>
    <w:rsid w:val="77A90E4F"/>
    <w:rsid w:val="77B3EB61"/>
    <w:rsid w:val="77F87D8D"/>
    <w:rsid w:val="7A51A4B6"/>
    <w:rsid w:val="7A908F88"/>
    <w:rsid w:val="7B119A2D"/>
    <w:rsid w:val="7E820351"/>
    <w:rsid w:val="7ECE9B4F"/>
    <w:rsid w:val="7ED29DBB"/>
    <w:rsid w:val="7FA09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E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autoRedefine/>
    <w:uiPriority w:val="9"/>
    <w:qFormat/>
    <w:rsid w:val="00687C16"/>
    <w:pPr>
      <w:pBdr>
        <w:bottom w:val="single" w:color="auto" w:sz="4" w:space="1"/>
      </w:pBdr>
      <w:spacing w:before="240"/>
      <w:outlineLvl w:val="0"/>
    </w:pPr>
    <w:rPr>
      <w:rFonts w:ascii="Montserrat" w:hAnsi="Montserrat" w:cs="Arial"/>
      <w:b/>
      <w:bCs/>
      <w:noProof/>
      <w:sz w:val="40"/>
      <w:szCs w:val="40"/>
    </w:rPr>
  </w:style>
  <w:style w:type="paragraph" w:styleId="Heading2">
    <w:name w:val="heading 2"/>
    <w:basedOn w:val="Normal"/>
    <w:next w:val="Normal"/>
    <w:link w:val="Heading2Char"/>
    <w:uiPriority w:val="9"/>
    <w:unhideWhenUsed/>
    <w:qFormat/>
    <w:rsid w:val="00871A8F"/>
    <w:pPr>
      <w:outlineLvl w:val="1"/>
    </w:pPr>
    <w:rPr>
      <w:rFonts w:ascii="Montserrat" w:hAnsi="Montserrat"/>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7C16"/>
    <w:rPr>
      <w:rFonts w:ascii="Montserrat" w:hAnsi="Montserrat" w:cs="Arial"/>
      <w:b/>
      <w:bCs/>
      <w:noProof/>
      <w:sz w:val="40"/>
      <w:szCs w:val="40"/>
    </w:rPr>
  </w:style>
  <w:style w:type="character" w:styleId="Heading2Char" w:customStyle="1">
    <w:name w:val="Heading 2 Char"/>
    <w:basedOn w:val="DefaultParagraphFont"/>
    <w:link w:val="Heading2"/>
    <w:uiPriority w:val="9"/>
    <w:rsid w:val="00871A8F"/>
    <w:rPr>
      <w:rFonts w:ascii="Montserrat" w:hAnsi="Montserrat"/>
      <w:b/>
      <w:bCs/>
      <w:sz w:val="32"/>
      <w:szCs w:val="32"/>
    </w:rPr>
  </w:style>
  <w:style w:type="character" w:styleId="Heading3Char" w:customStyle="1">
    <w:name w:val="Heading 3 Char"/>
    <w:basedOn w:val="DefaultParagraphFont"/>
    <w:link w:val="Heading3"/>
    <w:uiPriority w:val="9"/>
    <w:rsid w:val="003C1053"/>
    <w:rPr>
      <w:rFonts w:ascii="Montserrat" w:hAnsi="Montserrat"/>
      <w:b/>
      <w:bCs/>
      <w:noProof/>
      <w:sz w:val="28"/>
      <w:szCs w:val="28"/>
    </w:rPr>
  </w:style>
  <w:style w:type="character" w:styleId="Heading4Char" w:customStyle="1">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02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02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02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02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styleId="TitleChar" w:customStyle="1">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1B35D5"/>
    <w:pPr>
      <w:spacing w:before="240" w:after="0" w:line="300" w:lineRule="auto"/>
    </w:pPr>
    <w:rPr>
      <w:rFonts w:ascii="Montserrat" w:hAnsi="Montserrat"/>
      <w:color w:val="3A3A3A" w:themeColor="background2" w:themeShade="40"/>
      <w:sz w:val="28"/>
      <w:szCs w:val="28"/>
    </w:rPr>
  </w:style>
  <w:style w:type="character" w:styleId="SubtitleChar" w:customStyle="1">
    <w:name w:val="Subtitle Char"/>
    <w:basedOn w:val="DefaultParagraphFont"/>
    <w:link w:val="Subtitle"/>
    <w:uiPriority w:val="11"/>
    <w:rsid w:val="001B35D5"/>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styleId="QuoteChar" w:customStyle="1">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02B8"/>
  </w:style>
  <w:style w:type="paragraph" w:styleId="Title1" w:customStyle="1">
    <w:name w:val="Title1"/>
    <w:basedOn w:val="Title"/>
    <w:link w:val="TITLEChar0"/>
    <w:rsid w:val="00871A8F"/>
  </w:style>
  <w:style w:type="character" w:styleId="TITLEChar0" w:customStyle="1">
    <w:name w:val="TITLE Char"/>
    <w:basedOn w:val="TitleChar"/>
    <w:link w:val="Title1"/>
    <w:rsid w:val="00871A8F"/>
    <w:rPr>
      <w:rFonts w:ascii="Montserrat" w:hAnsi="Montserrat" w:cs="Open Sans"/>
      <w:b/>
      <w:bCs/>
      <w:sz w:val="48"/>
      <w:szCs w:val="48"/>
    </w:rPr>
  </w:style>
  <w:style w:type="paragraph" w:styleId="Body" w:customStyle="1">
    <w:name w:val="Body"/>
    <w:basedOn w:val="Normal"/>
    <w:link w:val="BodyChar"/>
    <w:qFormat/>
    <w:rsid w:val="00871A8F"/>
    <w:rPr>
      <w:rFonts w:ascii="Open Sans" w:hAnsi="Open Sans" w:cs="Open Sans"/>
    </w:rPr>
  </w:style>
  <w:style w:type="character" w:styleId="BodyChar" w:customStyle="1">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ED6275"/>
    <w:rPr>
      <w:rFonts w:eastAsiaTheme="minorEastAsia"/>
      <w:kern w:val="0"/>
      <w:sz w:val="22"/>
      <w:szCs w:val="22"/>
      <w14:ligatures w14:val="none"/>
    </w:rPr>
  </w:style>
  <w:style w:type="paragraph" w:styleId="TOC1">
    <w:name w:val="toc 1"/>
    <w:basedOn w:val="Normal"/>
    <w:next w:val="Normal"/>
    <w:uiPriority w:val="39"/>
    <w:unhideWhenUsed/>
    <w:rsid w:val="7ECE9B4F"/>
    <w:pPr>
      <w:spacing w:after="100"/>
    </w:pPr>
  </w:style>
  <w:style w:type="character" w:styleId="Hyperlink">
    <w:name w:val="Hyperlink"/>
    <w:basedOn w:val="DefaultParagraphFont"/>
    <w:uiPriority w:val="99"/>
    <w:unhideWhenUsed/>
    <w:rsid w:val="7ECE9B4F"/>
    <w:rPr>
      <w:color w:val="467886"/>
      <w:u w:val="single"/>
    </w:rPr>
  </w:style>
  <w:style w:type="paragraph" w:styleId="TOC2">
    <w:name w:val="toc 2"/>
    <w:basedOn w:val="Normal"/>
    <w:next w:val="Normal"/>
    <w:uiPriority w:val="39"/>
    <w:unhideWhenUsed/>
    <w:rsid w:val="7ECE9B4F"/>
    <w:pPr>
      <w:spacing w:after="100"/>
      <w:ind w:left="220"/>
    </w:pPr>
  </w:style>
  <w:style w:type="paragraph" w:styleId="TOC3">
    <w:name w:val="toc 3"/>
    <w:basedOn w:val="Normal"/>
    <w:next w:val="Normal"/>
    <w:uiPriority w:val="39"/>
    <w:unhideWhenUsed/>
    <w:rsid w:val="7ECE9B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EFE53-EB80-4899-9ACD-391E2D539F05}">
  <ds:schemaRefs>
    <ds:schemaRef ds:uri="0a98568c-12b3-466b-97aa-dbf43d18d4b9"/>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184C897-85B8-4817-A451-46F8CD7390DB}">
  <ds:schemaRefs>
    <ds:schemaRef ds:uri="http://schemas.microsoft.com/sharepoint/v3/contenttype/forms"/>
  </ds:schemaRefs>
</ds:datastoreItem>
</file>

<file path=customXml/itemProps3.xml><?xml version="1.0" encoding="utf-8"?>
<ds:datastoreItem xmlns:ds="http://schemas.openxmlformats.org/officeDocument/2006/customXml" ds:itemID="{1D703108-738D-4468-B577-F7C495757DBA}"/>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Lee, Maya J</cp:lastModifiedBy>
  <cp:revision>6</cp:revision>
  <dcterms:created xsi:type="dcterms:W3CDTF">2026-02-27T20:17:00Z</dcterms:created>
  <dcterms:modified xsi:type="dcterms:W3CDTF">2026-03-02T21:20:37Z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ies>
</file>