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6F4A2" w14:textId="77777777" w:rsidR="00C86A25" w:rsidRDefault="003E756E" w:rsidP="00F6357C">
      <w:pPr>
        <w:spacing w:after="3401" w:line="259" w:lineRule="auto"/>
        <w:ind w:left="1620" w:firstLine="0"/>
        <w:jc w:val="left"/>
      </w:pPr>
      <w:r>
        <w:rPr>
          <w:rFonts w:ascii="Cambria" w:eastAsia="Cambria" w:hAnsi="Cambria" w:cs="Cambria"/>
        </w:rPr>
        <w:t xml:space="preserve">INDIANA FAMILY AND SOCIAL SERVICES ADMINISTRATION </w:t>
      </w:r>
    </w:p>
    <w:p w14:paraId="478F4DD7" w14:textId="645C1E38" w:rsidR="006C198B" w:rsidRDefault="006C198B" w:rsidP="00F6357C">
      <w:pPr>
        <w:spacing w:after="0" w:line="259" w:lineRule="auto"/>
        <w:ind w:left="0" w:right="366" w:firstLine="0"/>
        <w:jc w:val="center"/>
        <w:rPr>
          <w:rFonts w:ascii="Cambria" w:eastAsia="Cambria" w:hAnsi="Cambria" w:cs="Cambria"/>
          <w:sz w:val="56"/>
          <w:szCs w:val="18"/>
        </w:rPr>
      </w:pPr>
      <w:r w:rsidRPr="00F037ED">
        <w:rPr>
          <w:rFonts w:ascii="Cambria" w:eastAsia="Cambria" w:hAnsi="Cambria" w:cs="Cambria"/>
          <w:sz w:val="56"/>
          <w:szCs w:val="18"/>
        </w:rPr>
        <w:t>Renewal Request for the</w:t>
      </w:r>
    </w:p>
    <w:p w14:paraId="6F5FE390" w14:textId="4B3837C9" w:rsidR="006C198B" w:rsidRPr="00F037ED" w:rsidRDefault="006248CD" w:rsidP="00F6357C">
      <w:pPr>
        <w:spacing w:after="0" w:line="259" w:lineRule="auto"/>
        <w:ind w:left="0" w:right="366" w:firstLine="0"/>
        <w:jc w:val="center"/>
        <w:rPr>
          <w:rFonts w:ascii="Cambria" w:eastAsia="Cambria" w:hAnsi="Cambria" w:cs="Cambria"/>
          <w:sz w:val="56"/>
          <w:szCs w:val="18"/>
        </w:rPr>
      </w:pPr>
      <w:r w:rsidRPr="00F037ED">
        <w:rPr>
          <w:rFonts w:ascii="Cambria" w:eastAsia="Cambria" w:hAnsi="Cambria" w:cs="Cambria"/>
          <w:sz w:val="56"/>
          <w:szCs w:val="18"/>
        </w:rPr>
        <w:t>End</w:t>
      </w:r>
      <w:r>
        <w:rPr>
          <w:rFonts w:ascii="Cambria" w:eastAsia="Cambria" w:hAnsi="Cambria" w:cs="Cambria"/>
          <w:sz w:val="56"/>
          <w:szCs w:val="18"/>
        </w:rPr>
        <w:t>-</w:t>
      </w:r>
      <w:r w:rsidR="006C198B" w:rsidRPr="00F037ED">
        <w:rPr>
          <w:rFonts w:ascii="Cambria" w:eastAsia="Cambria" w:hAnsi="Cambria" w:cs="Cambria"/>
          <w:sz w:val="56"/>
          <w:szCs w:val="18"/>
        </w:rPr>
        <w:t>Stage Renal Disease</w:t>
      </w:r>
    </w:p>
    <w:p w14:paraId="6963A704" w14:textId="40CB7094" w:rsidR="00C86A25" w:rsidRPr="00F037ED" w:rsidRDefault="006C198B" w:rsidP="00F6357C">
      <w:pPr>
        <w:spacing w:after="0" w:line="259" w:lineRule="auto"/>
        <w:ind w:left="0" w:right="366" w:firstLine="0"/>
        <w:jc w:val="center"/>
        <w:rPr>
          <w:sz w:val="18"/>
          <w:szCs w:val="18"/>
        </w:rPr>
      </w:pPr>
      <w:r>
        <w:rPr>
          <w:rFonts w:ascii="Cambria" w:eastAsia="Cambria" w:hAnsi="Cambria" w:cs="Cambria"/>
          <w:sz w:val="56"/>
          <w:szCs w:val="18"/>
        </w:rPr>
        <w:t xml:space="preserve">Section </w:t>
      </w:r>
      <w:r w:rsidR="003E756E" w:rsidRPr="00F037ED">
        <w:rPr>
          <w:rFonts w:ascii="Cambria" w:eastAsia="Cambria" w:hAnsi="Cambria" w:cs="Cambria"/>
          <w:sz w:val="56"/>
          <w:szCs w:val="18"/>
        </w:rPr>
        <w:t>1115 Waiver</w:t>
      </w:r>
    </w:p>
    <w:p w14:paraId="2F0B3F30" w14:textId="77777777" w:rsidR="00C86A25" w:rsidRDefault="003E756E">
      <w:pPr>
        <w:spacing w:after="177" w:line="259" w:lineRule="auto"/>
        <w:ind w:left="0" w:firstLine="0"/>
        <w:jc w:val="left"/>
      </w:pPr>
      <w:r>
        <w:rPr>
          <w:noProof/>
        </w:rPr>
        <mc:AlternateContent>
          <mc:Choice Requires="wpg">
            <w:drawing>
              <wp:inline distT="0" distB="0" distL="0" distR="0" wp14:anchorId="1B1F19B1" wp14:editId="13296AA7">
                <wp:extent cx="5944871" cy="6096"/>
                <wp:effectExtent l="0" t="0" r="0" b="0"/>
                <wp:docPr id="26895" name="Group 26895"/>
                <wp:cNvGraphicFramePr/>
                <a:graphic xmlns:a="http://schemas.openxmlformats.org/drawingml/2006/main">
                  <a:graphicData uri="http://schemas.microsoft.com/office/word/2010/wordprocessingGroup">
                    <wpg:wgp>
                      <wpg:cNvGrpSpPr/>
                      <wpg:grpSpPr>
                        <a:xfrm>
                          <a:off x="0" y="0"/>
                          <a:ext cx="5944871" cy="6096"/>
                          <a:chOff x="0" y="0"/>
                          <a:chExt cx="5944871" cy="6096"/>
                        </a:xfrm>
                      </wpg:grpSpPr>
                      <wps:wsp>
                        <wps:cNvPr id="33215" name="Shape 33215"/>
                        <wps:cNvSpPr/>
                        <wps:spPr>
                          <a:xfrm>
                            <a:off x="0" y="0"/>
                            <a:ext cx="5944871" cy="9144"/>
                          </a:xfrm>
                          <a:custGeom>
                            <a:avLst/>
                            <a:gdLst/>
                            <a:ahLst/>
                            <a:cxnLst/>
                            <a:rect l="0" t="0" r="0" b="0"/>
                            <a:pathLst>
                              <a:path w="5944871" h="9144">
                                <a:moveTo>
                                  <a:pt x="0" y="0"/>
                                </a:moveTo>
                                <a:lnTo>
                                  <a:pt x="5944871" y="0"/>
                                </a:lnTo>
                                <a:lnTo>
                                  <a:pt x="5944871"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6895" style="width:468.1pt;height:0.480011pt;mso-position-horizontal-relative:char;mso-position-vertical-relative:line" coordsize="59448,60">
                <v:shape id="Shape 33216" style="position:absolute;width:59448;height:91;left:0;top:0;" coordsize="5944871,9144" path="m0,0l5944871,0l5944871,9144l0,9144l0,0">
                  <v:stroke weight="0pt" endcap="flat" joinstyle="miter" miterlimit="10" on="false" color="#000000" opacity="0"/>
                  <v:fill on="true" color="#4f81bd"/>
                </v:shape>
              </v:group>
            </w:pict>
          </mc:Fallback>
        </mc:AlternateContent>
      </w:r>
    </w:p>
    <w:p w14:paraId="5D83DC24" w14:textId="4017AB40" w:rsidR="00C86A25" w:rsidRDefault="00F037ED" w:rsidP="00F6357C">
      <w:pPr>
        <w:spacing w:after="0" w:line="259" w:lineRule="auto"/>
        <w:ind w:left="180"/>
      </w:pPr>
      <w:r>
        <w:rPr>
          <w:rFonts w:ascii="Cambria" w:eastAsia="Cambria" w:hAnsi="Cambria" w:cs="Cambria"/>
          <w:sz w:val="44"/>
        </w:rPr>
        <w:t xml:space="preserve">            </w:t>
      </w:r>
      <w:r w:rsidR="00340541">
        <w:rPr>
          <w:rFonts w:ascii="Cambria" w:eastAsia="Cambria" w:hAnsi="Cambria" w:cs="Cambria"/>
          <w:sz w:val="44"/>
        </w:rPr>
        <w:t>[Project Number 11-W-00237/5]</w:t>
      </w:r>
    </w:p>
    <w:p w14:paraId="26A14AC3" w14:textId="46C1064A" w:rsidR="00C86A25" w:rsidRPr="001D639D" w:rsidRDefault="000F630A" w:rsidP="00F6357C">
      <w:pPr>
        <w:pStyle w:val="Heading3"/>
        <w:spacing w:after="26" w:line="259" w:lineRule="auto"/>
        <w:ind w:left="-450" w:right="3"/>
        <w:jc w:val="center"/>
        <w:rPr>
          <w:sz w:val="28"/>
        </w:rPr>
      </w:pPr>
      <w:r w:rsidRPr="001D639D">
        <w:rPr>
          <w:color w:val="000000"/>
          <w:sz w:val="28"/>
        </w:rPr>
        <w:t>05</w:t>
      </w:r>
      <w:r w:rsidR="003E756E" w:rsidRPr="001D639D">
        <w:rPr>
          <w:color w:val="000000"/>
          <w:sz w:val="28"/>
        </w:rPr>
        <w:t>/</w:t>
      </w:r>
      <w:r w:rsidR="00465219" w:rsidRPr="001D639D">
        <w:rPr>
          <w:color w:val="000000"/>
          <w:sz w:val="28"/>
        </w:rPr>
        <w:t>13</w:t>
      </w:r>
      <w:r w:rsidR="003E756E" w:rsidRPr="001D639D">
        <w:rPr>
          <w:color w:val="000000"/>
          <w:sz w:val="28"/>
        </w:rPr>
        <w:t>/20</w:t>
      </w:r>
      <w:r w:rsidR="003E6A62" w:rsidRPr="001D639D">
        <w:rPr>
          <w:color w:val="000000"/>
          <w:sz w:val="28"/>
        </w:rPr>
        <w:t>20</w:t>
      </w:r>
      <w:r w:rsidR="003E756E" w:rsidRPr="001D639D">
        <w:rPr>
          <w:color w:val="000000"/>
          <w:sz w:val="28"/>
        </w:rPr>
        <w:t xml:space="preserve"> </w:t>
      </w:r>
    </w:p>
    <w:p w14:paraId="14BDF415" w14:textId="77777777" w:rsidR="00C86A25" w:rsidRDefault="003E756E">
      <w:pPr>
        <w:spacing w:after="218" w:line="259" w:lineRule="auto"/>
        <w:ind w:left="0" w:firstLine="0"/>
        <w:jc w:val="left"/>
      </w:pPr>
      <w:r>
        <w:t xml:space="preserve"> </w:t>
      </w:r>
    </w:p>
    <w:p w14:paraId="564989EB" w14:textId="77777777" w:rsidR="00C86A25" w:rsidRDefault="003E756E">
      <w:pPr>
        <w:spacing w:after="218" w:line="259" w:lineRule="auto"/>
        <w:ind w:left="0" w:firstLine="0"/>
        <w:jc w:val="left"/>
      </w:pPr>
      <w:r>
        <w:t xml:space="preserve"> </w:t>
      </w:r>
    </w:p>
    <w:p w14:paraId="5E3CD05D" w14:textId="77777777" w:rsidR="00C86A25" w:rsidRDefault="003E756E">
      <w:pPr>
        <w:spacing w:after="232" w:line="259" w:lineRule="auto"/>
        <w:ind w:left="0" w:firstLine="0"/>
        <w:jc w:val="left"/>
      </w:pPr>
      <w:r>
        <w:t xml:space="preserve"> </w:t>
      </w:r>
    </w:p>
    <w:p w14:paraId="5E127160" w14:textId="4DD039C6" w:rsidR="00C86A25" w:rsidRDefault="003E756E" w:rsidP="00F037ED">
      <w:pPr>
        <w:tabs>
          <w:tab w:val="left" w:pos="720"/>
          <w:tab w:val="left" w:pos="9291"/>
          <w:tab w:val="right" w:pos="9366"/>
        </w:tabs>
        <w:spacing w:after="5194" w:line="259" w:lineRule="auto"/>
        <w:ind w:left="0" w:firstLine="0"/>
        <w:jc w:val="left"/>
      </w:pPr>
      <w:r>
        <w:t xml:space="preserve"> </w:t>
      </w:r>
      <w:r>
        <w:tab/>
        <w:t xml:space="preserve"> </w:t>
      </w:r>
      <w:r w:rsidR="00F037ED">
        <w:tab/>
      </w:r>
      <w:r w:rsidR="00F037ED">
        <w:tab/>
      </w:r>
    </w:p>
    <w:sdt>
      <w:sdtPr>
        <w:id w:val="-751498288"/>
        <w:docPartObj>
          <w:docPartGallery w:val="Table of Contents"/>
        </w:docPartObj>
      </w:sdtPr>
      <w:sdtContent>
        <w:p w14:paraId="76ED4C00" w14:textId="77777777" w:rsidR="00C86A25" w:rsidRDefault="003E756E">
          <w:pPr>
            <w:spacing w:after="0" w:line="259" w:lineRule="auto"/>
            <w:ind w:left="0" w:firstLine="0"/>
            <w:jc w:val="left"/>
          </w:pPr>
          <w:r>
            <w:rPr>
              <w:rFonts w:ascii="Cambria" w:eastAsia="Cambria" w:hAnsi="Cambria" w:cs="Cambria"/>
              <w:b/>
              <w:color w:val="365F91"/>
              <w:sz w:val="28"/>
            </w:rPr>
            <w:t xml:space="preserve">Table of Contents </w:t>
          </w:r>
        </w:p>
        <w:p w14:paraId="742E0DB6" w14:textId="361A9108" w:rsidR="008100ED" w:rsidRDefault="003E756E">
          <w:pPr>
            <w:pStyle w:val="TOC1"/>
            <w:tabs>
              <w:tab w:val="right" w:leader="dot" w:pos="9356"/>
            </w:tabs>
            <w:rPr>
              <w:rFonts w:asciiTheme="minorHAnsi" w:eastAsiaTheme="minorEastAsia" w:hAnsiTheme="minorHAnsi" w:cstheme="minorBidi"/>
              <w:noProof/>
              <w:color w:val="auto"/>
            </w:rPr>
          </w:pPr>
          <w:r>
            <w:fldChar w:fldCharType="begin"/>
          </w:r>
          <w:r>
            <w:instrText xml:space="preserve"> TOC \o "1-2" \h \z \u </w:instrText>
          </w:r>
          <w:r>
            <w:fldChar w:fldCharType="separate"/>
          </w:r>
          <w:hyperlink w:anchor="_Toc40259510" w:history="1">
            <w:r w:rsidR="008100ED" w:rsidRPr="00662CE8">
              <w:rPr>
                <w:rStyle w:val="Hyperlink"/>
                <w:noProof/>
              </w:rPr>
              <w:t>Section 1: Summa</w:t>
            </w:r>
            <w:bookmarkStart w:id="0" w:name="_GoBack"/>
            <w:bookmarkEnd w:id="0"/>
            <w:r w:rsidR="008100ED" w:rsidRPr="00662CE8">
              <w:rPr>
                <w:rStyle w:val="Hyperlink"/>
                <w:noProof/>
              </w:rPr>
              <w:t>ry of the Request</w:t>
            </w:r>
            <w:r w:rsidR="008100ED">
              <w:rPr>
                <w:noProof/>
                <w:webHidden/>
              </w:rPr>
              <w:tab/>
            </w:r>
            <w:r w:rsidR="008100ED">
              <w:rPr>
                <w:noProof/>
                <w:webHidden/>
              </w:rPr>
              <w:fldChar w:fldCharType="begin"/>
            </w:r>
            <w:r w:rsidR="008100ED">
              <w:rPr>
                <w:noProof/>
                <w:webHidden/>
              </w:rPr>
              <w:instrText xml:space="preserve"> PAGEREF _Toc40259510 \h </w:instrText>
            </w:r>
            <w:r w:rsidR="008100ED">
              <w:rPr>
                <w:noProof/>
                <w:webHidden/>
              </w:rPr>
            </w:r>
            <w:r w:rsidR="008100ED">
              <w:rPr>
                <w:noProof/>
                <w:webHidden/>
              </w:rPr>
              <w:fldChar w:fldCharType="separate"/>
            </w:r>
            <w:r w:rsidR="00A505B5">
              <w:rPr>
                <w:noProof/>
                <w:webHidden/>
              </w:rPr>
              <w:t>3</w:t>
            </w:r>
            <w:r w:rsidR="008100ED">
              <w:rPr>
                <w:noProof/>
                <w:webHidden/>
              </w:rPr>
              <w:fldChar w:fldCharType="end"/>
            </w:r>
          </w:hyperlink>
        </w:p>
        <w:p w14:paraId="25D10730" w14:textId="25C89F85" w:rsidR="008100ED" w:rsidRDefault="008100ED">
          <w:pPr>
            <w:pStyle w:val="TOC1"/>
            <w:tabs>
              <w:tab w:val="right" w:leader="dot" w:pos="9356"/>
            </w:tabs>
            <w:rPr>
              <w:rFonts w:asciiTheme="minorHAnsi" w:eastAsiaTheme="minorEastAsia" w:hAnsiTheme="minorHAnsi" w:cstheme="minorBidi"/>
              <w:noProof/>
              <w:color w:val="auto"/>
            </w:rPr>
          </w:pPr>
          <w:hyperlink w:anchor="_Toc40259511" w:history="1">
            <w:r w:rsidRPr="00662CE8">
              <w:rPr>
                <w:rStyle w:val="Hyperlink"/>
                <w:noProof/>
              </w:rPr>
              <w:t>Section 2: Historical Narrative</w:t>
            </w:r>
            <w:r>
              <w:rPr>
                <w:noProof/>
                <w:webHidden/>
              </w:rPr>
              <w:tab/>
            </w:r>
            <w:r>
              <w:rPr>
                <w:noProof/>
                <w:webHidden/>
              </w:rPr>
              <w:fldChar w:fldCharType="begin"/>
            </w:r>
            <w:r>
              <w:rPr>
                <w:noProof/>
                <w:webHidden/>
              </w:rPr>
              <w:instrText xml:space="preserve"> PAGEREF _Toc40259511 \h </w:instrText>
            </w:r>
            <w:r>
              <w:rPr>
                <w:noProof/>
                <w:webHidden/>
              </w:rPr>
            </w:r>
            <w:r>
              <w:rPr>
                <w:noProof/>
                <w:webHidden/>
              </w:rPr>
              <w:fldChar w:fldCharType="separate"/>
            </w:r>
            <w:r w:rsidR="00A505B5">
              <w:rPr>
                <w:noProof/>
                <w:webHidden/>
              </w:rPr>
              <w:t>3</w:t>
            </w:r>
            <w:r>
              <w:rPr>
                <w:noProof/>
                <w:webHidden/>
              </w:rPr>
              <w:fldChar w:fldCharType="end"/>
            </w:r>
          </w:hyperlink>
        </w:p>
        <w:p w14:paraId="5F0D90E1" w14:textId="0C279BEB" w:rsidR="008100ED" w:rsidRDefault="008100ED">
          <w:pPr>
            <w:pStyle w:val="TOC2"/>
            <w:tabs>
              <w:tab w:val="right" w:leader="dot" w:pos="9356"/>
            </w:tabs>
            <w:rPr>
              <w:rFonts w:asciiTheme="minorHAnsi" w:eastAsiaTheme="minorEastAsia" w:hAnsiTheme="minorHAnsi" w:cstheme="minorBidi"/>
              <w:noProof/>
              <w:color w:val="auto"/>
            </w:rPr>
          </w:pPr>
          <w:hyperlink w:anchor="_Toc40259512" w:history="1">
            <w:r w:rsidRPr="00662CE8">
              <w:rPr>
                <w:rStyle w:val="Hyperlink"/>
                <w:noProof/>
              </w:rPr>
              <w:t>2.1 Original Objectives</w:t>
            </w:r>
            <w:r>
              <w:rPr>
                <w:noProof/>
                <w:webHidden/>
              </w:rPr>
              <w:tab/>
            </w:r>
            <w:r>
              <w:rPr>
                <w:noProof/>
                <w:webHidden/>
              </w:rPr>
              <w:fldChar w:fldCharType="begin"/>
            </w:r>
            <w:r>
              <w:rPr>
                <w:noProof/>
                <w:webHidden/>
              </w:rPr>
              <w:instrText xml:space="preserve"> PAGEREF _Toc40259512 \h </w:instrText>
            </w:r>
            <w:r>
              <w:rPr>
                <w:noProof/>
                <w:webHidden/>
              </w:rPr>
            </w:r>
            <w:r>
              <w:rPr>
                <w:noProof/>
                <w:webHidden/>
              </w:rPr>
              <w:fldChar w:fldCharType="separate"/>
            </w:r>
            <w:r w:rsidR="00A505B5">
              <w:rPr>
                <w:noProof/>
                <w:webHidden/>
              </w:rPr>
              <w:t>5</w:t>
            </w:r>
            <w:r>
              <w:rPr>
                <w:noProof/>
                <w:webHidden/>
              </w:rPr>
              <w:fldChar w:fldCharType="end"/>
            </w:r>
          </w:hyperlink>
        </w:p>
        <w:p w14:paraId="267BFCC7" w14:textId="575ABEF0" w:rsidR="008100ED" w:rsidRDefault="008100ED">
          <w:pPr>
            <w:pStyle w:val="TOC2"/>
            <w:tabs>
              <w:tab w:val="left" w:pos="660"/>
              <w:tab w:val="right" w:leader="dot" w:pos="9356"/>
            </w:tabs>
            <w:rPr>
              <w:rFonts w:asciiTheme="minorHAnsi" w:eastAsiaTheme="minorEastAsia" w:hAnsiTheme="minorHAnsi" w:cstheme="minorBidi"/>
              <w:noProof/>
              <w:color w:val="auto"/>
            </w:rPr>
          </w:pPr>
          <w:hyperlink w:anchor="_Toc40259513" w:history="1">
            <w:r>
              <w:rPr>
                <w:rFonts w:asciiTheme="minorHAnsi" w:eastAsiaTheme="minorEastAsia" w:hAnsiTheme="minorHAnsi" w:cstheme="minorBidi"/>
                <w:noProof/>
                <w:color w:val="auto"/>
              </w:rPr>
              <w:tab/>
            </w:r>
            <w:r w:rsidRPr="00662CE8">
              <w:rPr>
                <w:rStyle w:val="Hyperlink"/>
                <w:noProof/>
              </w:rPr>
              <w:t>Progress Toward Achievement of Objectives</w:t>
            </w:r>
            <w:r>
              <w:rPr>
                <w:noProof/>
                <w:webHidden/>
              </w:rPr>
              <w:tab/>
            </w:r>
            <w:r>
              <w:rPr>
                <w:noProof/>
                <w:webHidden/>
              </w:rPr>
              <w:fldChar w:fldCharType="begin"/>
            </w:r>
            <w:r>
              <w:rPr>
                <w:noProof/>
                <w:webHidden/>
              </w:rPr>
              <w:instrText xml:space="preserve"> PAGEREF _Toc40259513 \h </w:instrText>
            </w:r>
            <w:r>
              <w:rPr>
                <w:noProof/>
                <w:webHidden/>
              </w:rPr>
            </w:r>
            <w:r>
              <w:rPr>
                <w:noProof/>
                <w:webHidden/>
              </w:rPr>
              <w:fldChar w:fldCharType="separate"/>
            </w:r>
            <w:r w:rsidR="00A505B5">
              <w:rPr>
                <w:noProof/>
                <w:webHidden/>
              </w:rPr>
              <w:t>5</w:t>
            </w:r>
            <w:r>
              <w:rPr>
                <w:noProof/>
                <w:webHidden/>
              </w:rPr>
              <w:fldChar w:fldCharType="end"/>
            </w:r>
          </w:hyperlink>
        </w:p>
        <w:p w14:paraId="7D9D2D7D" w14:textId="3E4D9839" w:rsidR="008100ED" w:rsidRDefault="008100ED">
          <w:pPr>
            <w:pStyle w:val="TOC2"/>
            <w:tabs>
              <w:tab w:val="right" w:leader="dot" w:pos="9356"/>
            </w:tabs>
            <w:rPr>
              <w:rFonts w:asciiTheme="minorHAnsi" w:eastAsiaTheme="minorEastAsia" w:hAnsiTheme="minorHAnsi" w:cstheme="minorBidi"/>
              <w:noProof/>
              <w:color w:val="auto"/>
            </w:rPr>
          </w:pPr>
          <w:hyperlink w:anchor="_Toc40259514" w:history="1">
            <w:r w:rsidRPr="00662CE8">
              <w:rPr>
                <w:rStyle w:val="Hyperlink"/>
                <w:noProof/>
              </w:rPr>
              <w:t>2.3 Renewal Objectives</w:t>
            </w:r>
            <w:r>
              <w:rPr>
                <w:noProof/>
                <w:webHidden/>
              </w:rPr>
              <w:tab/>
            </w:r>
            <w:r>
              <w:rPr>
                <w:noProof/>
                <w:webHidden/>
              </w:rPr>
              <w:fldChar w:fldCharType="begin"/>
            </w:r>
            <w:r>
              <w:rPr>
                <w:noProof/>
                <w:webHidden/>
              </w:rPr>
              <w:instrText xml:space="preserve"> PAGEREF _Toc40259514 \h </w:instrText>
            </w:r>
            <w:r>
              <w:rPr>
                <w:noProof/>
                <w:webHidden/>
              </w:rPr>
            </w:r>
            <w:r>
              <w:rPr>
                <w:noProof/>
                <w:webHidden/>
              </w:rPr>
              <w:fldChar w:fldCharType="separate"/>
            </w:r>
            <w:r w:rsidR="00A505B5">
              <w:rPr>
                <w:noProof/>
                <w:webHidden/>
              </w:rPr>
              <w:t>7</w:t>
            </w:r>
            <w:r>
              <w:rPr>
                <w:noProof/>
                <w:webHidden/>
              </w:rPr>
              <w:fldChar w:fldCharType="end"/>
            </w:r>
          </w:hyperlink>
        </w:p>
        <w:p w14:paraId="11E71464" w14:textId="02A90A50" w:rsidR="008100ED" w:rsidRDefault="008100ED">
          <w:pPr>
            <w:pStyle w:val="TOC1"/>
            <w:tabs>
              <w:tab w:val="right" w:leader="dot" w:pos="9356"/>
            </w:tabs>
            <w:rPr>
              <w:rFonts w:asciiTheme="minorHAnsi" w:eastAsiaTheme="minorEastAsia" w:hAnsiTheme="minorHAnsi" w:cstheme="minorBidi"/>
              <w:noProof/>
              <w:color w:val="auto"/>
            </w:rPr>
          </w:pPr>
          <w:hyperlink w:anchor="_Toc40259515" w:history="1">
            <w:r w:rsidRPr="00662CE8">
              <w:rPr>
                <w:rStyle w:val="Hyperlink"/>
                <w:noProof/>
              </w:rPr>
              <w:t>Section 3: Demonstration Components and Operations</w:t>
            </w:r>
            <w:r>
              <w:rPr>
                <w:noProof/>
                <w:webHidden/>
              </w:rPr>
              <w:tab/>
            </w:r>
            <w:r>
              <w:rPr>
                <w:noProof/>
                <w:webHidden/>
              </w:rPr>
              <w:fldChar w:fldCharType="begin"/>
            </w:r>
            <w:r>
              <w:rPr>
                <w:noProof/>
                <w:webHidden/>
              </w:rPr>
              <w:instrText xml:space="preserve"> PAGEREF _Toc40259515 \h </w:instrText>
            </w:r>
            <w:r>
              <w:rPr>
                <w:noProof/>
                <w:webHidden/>
              </w:rPr>
            </w:r>
            <w:r>
              <w:rPr>
                <w:noProof/>
                <w:webHidden/>
              </w:rPr>
              <w:fldChar w:fldCharType="separate"/>
            </w:r>
            <w:r w:rsidR="00A505B5">
              <w:rPr>
                <w:noProof/>
                <w:webHidden/>
              </w:rPr>
              <w:t>7</w:t>
            </w:r>
            <w:r>
              <w:rPr>
                <w:noProof/>
                <w:webHidden/>
              </w:rPr>
              <w:fldChar w:fldCharType="end"/>
            </w:r>
          </w:hyperlink>
        </w:p>
        <w:p w14:paraId="6905FD18" w14:textId="66D21E9D" w:rsidR="008100ED" w:rsidRDefault="008100ED">
          <w:pPr>
            <w:pStyle w:val="TOC2"/>
            <w:tabs>
              <w:tab w:val="right" w:leader="dot" w:pos="9356"/>
            </w:tabs>
            <w:rPr>
              <w:rFonts w:asciiTheme="minorHAnsi" w:eastAsiaTheme="minorEastAsia" w:hAnsiTheme="minorHAnsi" w:cstheme="minorBidi"/>
              <w:noProof/>
              <w:color w:val="auto"/>
            </w:rPr>
          </w:pPr>
          <w:hyperlink w:anchor="_Toc40259516" w:history="1">
            <w:r w:rsidRPr="00662CE8">
              <w:rPr>
                <w:rStyle w:val="Hyperlink"/>
                <w:noProof/>
              </w:rPr>
              <w:t>3.1 Demonstration Area</w:t>
            </w:r>
            <w:r>
              <w:rPr>
                <w:noProof/>
                <w:webHidden/>
              </w:rPr>
              <w:tab/>
            </w:r>
            <w:r>
              <w:rPr>
                <w:noProof/>
                <w:webHidden/>
              </w:rPr>
              <w:fldChar w:fldCharType="begin"/>
            </w:r>
            <w:r>
              <w:rPr>
                <w:noProof/>
                <w:webHidden/>
              </w:rPr>
              <w:instrText xml:space="preserve"> PAGEREF _Toc40259516 \h </w:instrText>
            </w:r>
            <w:r>
              <w:rPr>
                <w:noProof/>
                <w:webHidden/>
              </w:rPr>
            </w:r>
            <w:r>
              <w:rPr>
                <w:noProof/>
                <w:webHidden/>
              </w:rPr>
              <w:fldChar w:fldCharType="separate"/>
            </w:r>
            <w:r w:rsidR="00A505B5">
              <w:rPr>
                <w:noProof/>
                <w:webHidden/>
              </w:rPr>
              <w:t>7</w:t>
            </w:r>
            <w:r>
              <w:rPr>
                <w:noProof/>
                <w:webHidden/>
              </w:rPr>
              <w:fldChar w:fldCharType="end"/>
            </w:r>
          </w:hyperlink>
        </w:p>
        <w:p w14:paraId="25CB6779" w14:textId="782838DC" w:rsidR="008100ED" w:rsidRDefault="008100ED">
          <w:pPr>
            <w:pStyle w:val="TOC2"/>
            <w:tabs>
              <w:tab w:val="right" w:leader="dot" w:pos="9356"/>
            </w:tabs>
            <w:rPr>
              <w:rFonts w:asciiTheme="minorHAnsi" w:eastAsiaTheme="minorEastAsia" w:hAnsiTheme="minorHAnsi" w:cstheme="minorBidi"/>
              <w:noProof/>
              <w:color w:val="auto"/>
            </w:rPr>
          </w:pPr>
          <w:hyperlink w:anchor="_Toc40259517" w:history="1">
            <w:r w:rsidRPr="00662CE8">
              <w:rPr>
                <w:rStyle w:val="Hyperlink"/>
                <w:noProof/>
              </w:rPr>
              <w:t>3.2 Demonstration Timeframe</w:t>
            </w:r>
            <w:r>
              <w:rPr>
                <w:noProof/>
                <w:webHidden/>
              </w:rPr>
              <w:tab/>
            </w:r>
            <w:r>
              <w:rPr>
                <w:noProof/>
                <w:webHidden/>
              </w:rPr>
              <w:fldChar w:fldCharType="begin"/>
            </w:r>
            <w:r>
              <w:rPr>
                <w:noProof/>
                <w:webHidden/>
              </w:rPr>
              <w:instrText xml:space="preserve"> PAGEREF _Toc40259517 \h </w:instrText>
            </w:r>
            <w:r>
              <w:rPr>
                <w:noProof/>
                <w:webHidden/>
              </w:rPr>
            </w:r>
            <w:r>
              <w:rPr>
                <w:noProof/>
                <w:webHidden/>
              </w:rPr>
              <w:fldChar w:fldCharType="separate"/>
            </w:r>
            <w:r w:rsidR="00A505B5">
              <w:rPr>
                <w:noProof/>
                <w:webHidden/>
              </w:rPr>
              <w:t>7</w:t>
            </w:r>
            <w:r>
              <w:rPr>
                <w:noProof/>
                <w:webHidden/>
              </w:rPr>
              <w:fldChar w:fldCharType="end"/>
            </w:r>
          </w:hyperlink>
        </w:p>
        <w:p w14:paraId="074D5A10" w14:textId="16B46AF9" w:rsidR="008100ED" w:rsidRDefault="008100ED">
          <w:pPr>
            <w:pStyle w:val="TOC2"/>
            <w:tabs>
              <w:tab w:val="right" w:leader="dot" w:pos="9356"/>
            </w:tabs>
            <w:rPr>
              <w:rFonts w:asciiTheme="minorHAnsi" w:eastAsiaTheme="minorEastAsia" w:hAnsiTheme="minorHAnsi" w:cstheme="minorBidi"/>
              <w:noProof/>
              <w:color w:val="auto"/>
            </w:rPr>
          </w:pPr>
          <w:hyperlink w:anchor="_Toc40259518" w:history="1">
            <w:r w:rsidRPr="00662CE8">
              <w:rPr>
                <w:rStyle w:val="Hyperlink"/>
                <w:noProof/>
              </w:rPr>
              <w:t>3.3 Demonstration Impact to Medicaid and CHIP</w:t>
            </w:r>
            <w:r>
              <w:rPr>
                <w:noProof/>
                <w:webHidden/>
              </w:rPr>
              <w:tab/>
            </w:r>
            <w:r>
              <w:rPr>
                <w:noProof/>
                <w:webHidden/>
              </w:rPr>
              <w:fldChar w:fldCharType="begin"/>
            </w:r>
            <w:r>
              <w:rPr>
                <w:noProof/>
                <w:webHidden/>
              </w:rPr>
              <w:instrText xml:space="preserve"> PAGEREF _Toc40259518 \h </w:instrText>
            </w:r>
            <w:r>
              <w:rPr>
                <w:noProof/>
                <w:webHidden/>
              </w:rPr>
            </w:r>
            <w:r>
              <w:rPr>
                <w:noProof/>
                <w:webHidden/>
              </w:rPr>
              <w:fldChar w:fldCharType="separate"/>
            </w:r>
            <w:r w:rsidR="00A505B5">
              <w:rPr>
                <w:noProof/>
                <w:webHidden/>
              </w:rPr>
              <w:t>8</w:t>
            </w:r>
            <w:r>
              <w:rPr>
                <w:noProof/>
                <w:webHidden/>
              </w:rPr>
              <w:fldChar w:fldCharType="end"/>
            </w:r>
          </w:hyperlink>
        </w:p>
        <w:p w14:paraId="3D84C7C4" w14:textId="03A1D40F" w:rsidR="008100ED" w:rsidRDefault="008100ED">
          <w:pPr>
            <w:pStyle w:val="TOC2"/>
            <w:tabs>
              <w:tab w:val="right" w:leader="dot" w:pos="9356"/>
            </w:tabs>
            <w:rPr>
              <w:rFonts w:asciiTheme="minorHAnsi" w:eastAsiaTheme="minorEastAsia" w:hAnsiTheme="minorHAnsi" w:cstheme="minorBidi"/>
              <w:noProof/>
              <w:color w:val="auto"/>
            </w:rPr>
          </w:pPr>
          <w:hyperlink w:anchor="_Toc40259519" w:history="1">
            <w:r w:rsidRPr="00662CE8">
              <w:rPr>
                <w:rStyle w:val="Hyperlink"/>
                <w:noProof/>
              </w:rPr>
              <w:t>3.4 Projected Eligibility and Enrollment</w:t>
            </w:r>
            <w:r>
              <w:rPr>
                <w:noProof/>
                <w:webHidden/>
              </w:rPr>
              <w:tab/>
            </w:r>
            <w:r>
              <w:rPr>
                <w:noProof/>
                <w:webHidden/>
              </w:rPr>
              <w:fldChar w:fldCharType="begin"/>
            </w:r>
            <w:r>
              <w:rPr>
                <w:noProof/>
                <w:webHidden/>
              </w:rPr>
              <w:instrText xml:space="preserve"> PAGEREF _Toc40259519 \h </w:instrText>
            </w:r>
            <w:r>
              <w:rPr>
                <w:noProof/>
                <w:webHidden/>
              </w:rPr>
            </w:r>
            <w:r>
              <w:rPr>
                <w:noProof/>
                <w:webHidden/>
              </w:rPr>
              <w:fldChar w:fldCharType="separate"/>
            </w:r>
            <w:r w:rsidR="00A505B5">
              <w:rPr>
                <w:noProof/>
                <w:webHidden/>
              </w:rPr>
              <w:t>8</w:t>
            </w:r>
            <w:r>
              <w:rPr>
                <w:noProof/>
                <w:webHidden/>
              </w:rPr>
              <w:fldChar w:fldCharType="end"/>
            </w:r>
          </w:hyperlink>
        </w:p>
        <w:p w14:paraId="29F08DA2" w14:textId="16103130" w:rsidR="008100ED" w:rsidRDefault="008100ED">
          <w:pPr>
            <w:pStyle w:val="TOC2"/>
            <w:tabs>
              <w:tab w:val="right" w:leader="dot" w:pos="9356"/>
            </w:tabs>
            <w:rPr>
              <w:rFonts w:asciiTheme="minorHAnsi" w:eastAsiaTheme="minorEastAsia" w:hAnsiTheme="minorHAnsi" w:cstheme="minorBidi"/>
              <w:noProof/>
              <w:color w:val="auto"/>
            </w:rPr>
          </w:pPr>
          <w:hyperlink w:anchor="_Toc40259520" w:history="1">
            <w:r w:rsidRPr="00662CE8">
              <w:rPr>
                <w:rStyle w:val="Hyperlink"/>
                <w:noProof/>
              </w:rPr>
              <w:t>3.5 Cost-sharing and Benefits</w:t>
            </w:r>
            <w:r>
              <w:rPr>
                <w:noProof/>
                <w:webHidden/>
              </w:rPr>
              <w:tab/>
            </w:r>
            <w:r>
              <w:rPr>
                <w:noProof/>
                <w:webHidden/>
              </w:rPr>
              <w:fldChar w:fldCharType="begin"/>
            </w:r>
            <w:r>
              <w:rPr>
                <w:noProof/>
                <w:webHidden/>
              </w:rPr>
              <w:instrText xml:space="preserve"> PAGEREF _Toc40259520 \h </w:instrText>
            </w:r>
            <w:r>
              <w:rPr>
                <w:noProof/>
                <w:webHidden/>
              </w:rPr>
            </w:r>
            <w:r>
              <w:rPr>
                <w:noProof/>
                <w:webHidden/>
              </w:rPr>
              <w:fldChar w:fldCharType="separate"/>
            </w:r>
            <w:r w:rsidR="00A505B5">
              <w:rPr>
                <w:noProof/>
                <w:webHidden/>
              </w:rPr>
              <w:t>8</w:t>
            </w:r>
            <w:r>
              <w:rPr>
                <w:noProof/>
                <w:webHidden/>
              </w:rPr>
              <w:fldChar w:fldCharType="end"/>
            </w:r>
          </w:hyperlink>
        </w:p>
        <w:p w14:paraId="0C765B1E" w14:textId="6276881D" w:rsidR="008100ED" w:rsidRDefault="008100ED">
          <w:pPr>
            <w:pStyle w:val="TOC2"/>
            <w:tabs>
              <w:tab w:val="right" w:leader="dot" w:pos="9356"/>
            </w:tabs>
            <w:rPr>
              <w:rFonts w:asciiTheme="minorHAnsi" w:eastAsiaTheme="minorEastAsia" w:hAnsiTheme="minorHAnsi" w:cstheme="minorBidi"/>
              <w:noProof/>
              <w:color w:val="auto"/>
            </w:rPr>
          </w:pPr>
          <w:hyperlink w:anchor="_Toc40259521" w:history="1">
            <w:r w:rsidRPr="00662CE8">
              <w:rPr>
                <w:rStyle w:val="Hyperlink"/>
                <w:noProof/>
              </w:rPr>
              <w:t>3.7 Premiums</w:t>
            </w:r>
            <w:r>
              <w:rPr>
                <w:noProof/>
                <w:webHidden/>
              </w:rPr>
              <w:tab/>
            </w:r>
            <w:r>
              <w:rPr>
                <w:noProof/>
                <w:webHidden/>
              </w:rPr>
              <w:fldChar w:fldCharType="begin"/>
            </w:r>
            <w:r>
              <w:rPr>
                <w:noProof/>
                <w:webHidden/>
              </w:rPr>
              <w:instrText xml:space="preserve"> PAGEREF _Toc40259521 \h </w:instrText>
            </w:r>
            <w:r>
              <w:rPr>
                <w:noProof/>
                <w:webHidden/>
              </w:rPr>
            </w:r>
            <w:r>
              <w:rPr>
                <w:noProof/>
                <w:webHidden/>
              </w:rPr>
              <w:fldChar w:fldCharType="separate"/>
            </w:r>
            <w:r w:rsidR="00A505B5">
              <w:rPr>
                <w:noProof/>
                <w:webHidden/>
              </w:rPr>
              <w:t>8</w:t>
            </w:r>
            <w:r>
              <w:rPr>
                <w:noProof/>
                <w:webHidden/>
              </w:rPr>
              <w:fldChar w:fldCharType="end"/>
            </w:r>
          </w:hyperlink>
        </w:p>
        <w:p w14:paraId="33924A84" w14:textId="09CEC899" w:rsidR="008100ED" w:rsidRDefault="008100ED">
          <w:pPr>
            <w:pStyle w:val="TOC2"/>
            <w:tabs>
              <w:tab w:val="right" w:leader="dot" w:pos="9356"/>
            </w:tabs>
            <w:rPr>
              <w:rFonts w:asciiTheme="minorHAnsi" w:eastAsiaTheme="minorEastAsia" w:hAnsiTheme="minorHAnsi" w:cstheme="minorBidi"/>
              <w:noProof/>
              <w:color w:val="auto"/>
            </w:rPr>
          </w:pPr>
          <w:hyperlink w:anchor="_Toc40259522" w:history="1">
            <w:r w:rsidRPr="00662CE8">
              <w:rPr>
                <w:rStyle w:val="Hyperlink"/>
                <w:noProof/>
              </w:rPr>
              <w:t>3.8 Copayments, Coinsurance and Deductibles</w:t>
            </w:r>
            <w:r>
              <w:rPr>
                <w:noProof/>
                <w:webHidden/>
              </w:rPr>
              <w:tab/>
            </w:r>
            <w:r>
              <w:rPr>
                <w:noProof/>
                <w:webHidden/>
              </w:rPr>
              <w:fldChar w:fldCharType="begin"/>
            </w:r>
            <w:r>
              <w:rPr>
                <w:noProof/>
                <w:webHidden/>
              </w:rPr>
              <w:instrText xml:space="preserve"> PAGEREF _Toc40259522 \h </w:instrText>
            </w:r>
            <w:r>
              <w:rPr>
                <w:noProof/>
                <w:webHidden/>
              </w:rPr>
            </w:r>
            <w:r>
              <w:rPr>
                <w:noProof/>
                <w:webHidden/>
              </w:rPr>
              <w:fldChar w:fldCharType="separate"/>
            </w:r>
            <w:r w:rsidR="00A505B5">
              <w:rPr>
                <w:noProof/>
                <w:webHidden/>
              </w:rPr>
              <w:t>8</w:t>
            </w:r>
            <w:r>
              <w:rPr>
                <w:noProof/>
                <w:webHidden/>
              </w:rPr>
              <w:fldChar w:fldCharType="end"/>
            </w:r>
          </w:hyperlink>
        </w:p>
        <w:p w14:paraId="0E4181C6" w14:textId="0B37C05F" w:rsidR="008100ED" w:rsidRDefault="008100ED">
          <w:pPr>
            <w:pStyle w:val="TOC2"/>
            <w:tabs>
              <w:tab w:val="right" w:leader="dot" w:pos="9356"/>
            </w:tabs>
            <w:rPr>
              <w:rFonts w:asciiTheme="minorHAnsi" w:eastAsiaTheme="minorEastAsia" w:hAnsiTheme="minorHAnsi" w:cstheme="minorBidi"/>
              <w:noProof/>
              <w:color w:val="auto"/>
            </w:rPr>
          </w:pPr>
          <w:hyperlink w:anchor="_Toc40259523" w:history="1">
            <w:r w:rsidRPr="00662CE8">
              <w:rPr>
                <w:rStyle w:val="Hyperlink"/>
                <w:noProof/>
              </w:rPr>
              <w:t>3.9 Cost Sharing Justification</w:t>
            </w:r>
            <w:r>
              <w:rPr>
                <w:noProof/>
                <w:webHidden/>
              </w:rPr>
              <w:tab/>
            </w:r>
            <w:r>
              <w:rPr>
                <w:noProof/>
                <w:webHidden/>
              </w:rPr>
              <w:fldChar w:fldCharType="begin"/>
            </w:r>
            <w:r>
              <w:rPr>
                <w:noProof/>
                <w:webHidden/>
              </w:rPr>
              <w:instrText xml:space="preserve"> PAGEREF _Toc40259523 \h </w:instrText>
            </w:r>
            <w:r>
              <w:rPr>
                <w:noProof/>
                <w:webHidden/>
              </w:rPr>
            </w:r>
            <w:r>
              <w:rPr>
                <w:noProof/>
                <w:webHidden/>
              </w:rPr>
              <w:fldChar w:fldCharType="separate"/>
            </w:r>
            <w:r w:rsidR="00A505B5">
              <w:rPr>
                <w:noProof/>
                <w:webHidden/>
              </w:rPr>
              <w:t>9</w:t>
            </w:r>
            <w:r>
              <w:rPr>
                <w:noProof/>
                <w:webHidden/>
              </w:rPr>
              <w:fldChar w:fldCharType="end"/>
            </w:r>
          </w:hyperlink>
        </w:p>
        <w:p w14:paraId="021C37EA" w14:textId="12650088" w:rsidR="008100ED" w:rsidRDefault="008100ED">
          <w:pPr>
            <w:pStyle w:val="TOC2"/>
            <w:tabs>
              <w:tab w:val="right" w:leader="dot" w:pos="9356"/>
            </w:tabs>
            <w:rPr>
              <w:rFonts w:asciiTheme="minorHAnsi" w:eastAsiaTheme="minorEastAsia" w:hAnsiTheme="minorHAnsi" w:cstheme="minorBidi"/>
              <w:noProof/>
              <w:color w:val="auto"/>
            </w:rPr>
          </w:pPr>
          <w:hyperlink w:anchor="_Toc40259524" w:history="1">
            <w:r w:rsidRPr="00662CE8">
              <w:rPr>
                <w:rStyle w:val="Hyperlink"/>
                <w:noProof/>
              </w:rPr>
              <w:t>3.10 Cost Sharing Exemptions</w:t>
            </w:r>
            <w:r>
              <w:rPr>
                <w:noProof/>
                <w:webHidden/>
              </w:rPr>
              <w:tab/>
            </w:r>
            <w:r>
              <w:rPr>
                <w:noProof/>
                <w:webHidden/>
              </w:rPr>
              <w:fldChar w:fldCharType="begin"/>
            </w:r>
            <w:r>
              <w:rPr>
                <w:noProof/>
                <w:webHidden/>
              </w:rPr>
              <w:instrText xml:space="preserve"> PAGEREF _Toc40259524 \h </w:instrText>
            </w:r>
            <w:r>
              <w:rPr>
                <w:noProof/>
                <w:webHidden/>
              </w:rPr>
            </w:r>
            <w:r>
              <w:rPr>
                <w:noProof/>
                <w:webHidden/>
              </w:rPr>
              <w:fldChar w:fldCharType="separate"/>
            </w:r>
            <w:r w:rsidR="00A505B5">
              <w:rPr>
                <w:noProof/>
                <w:webHidden/>
              </w:rPr>
              <w:t>9</w:t>
            </w:r>
            <w:r>
              <w:rPr>
                <w:noProof/>
                <w:webHidden/>
              </w:rPr>
              <w:fldChar w:fldCharType="end"/>
            </w:r>
          </w:hyperlink>
        </w:p>
        <w:p w14:paraId="0F99BB37" w14:textId="520C4EC0" w:rsidR="008100ED" w:rsidRDefault="008100ED">
          <w:pPr>
            <w:pStyle w:val="TOC2"/>
            <w:tabs>
              <w:tab w:val="right" w:leader="dot" w:pos="9356"/>
            </w:tabs>
            <w:rPr>
              <w:rFonts w:asciiTheme="minorHAnsi" w:eastAsiaTheme="minorEastAsia" w:hAnsiTheme="minorHAnsi" w:cstheme="minorBidi"/>
              <w:noProof/>
              <w:color w:val="auto"/>
            </w:rPr>
          </w:pPr>
          <w:hyperlink w:anchor="_Toc40259525" w:history="1">
            <w:r w:rsidRPr="00662CE8">
              <w:rPr>
                <w:rStyle w:val="Hyperlink"/>
                <w:noProof/>
              </w:rPr>
              <w:t>3.11 Long-Term Services and Supports</w:t>
            </w:r>
            <w:r>
              <w:rPr>
                <w:noProof/>
                <w:webHidden/>
              </w:rPr>
              <w:tab/>
            </w:r>
            <w:r>
              <w:rPr>
                <w:noProof/>
                <w:webHidden/>
              </w:rPr>
              <w:fldChar w:fldCharType="begin"/>
            </w:r>
            <w:r>
              <w:rPr>
                <w:noProof/>
                <w:webHidden/>
              </w:rPr>
              <w:instrText xml:space="preserve"> PAGEREF _Toc40259525 \h </w:instrText>
            </w:r>
            <w:r>
              <w:rPr>
                <w:noProof/>
                <w:webHidden/>
              </w:rPr>
            </w:r>
            <w:r>
              <w:rPr>
                <w:noProof/>
                <w:webHidden/>
              </w:rPr>
              <w:fldChar w:fldCharType="separate"/>
            </w:r>
            <w:r w:rsidR="00A505B5">
              <w:rPr>
                <w:noProof/>
                <w:webHidden/>
              </w:rPr>
              <w:t>9</w:t>
            </w:r>
            <w:r>
              <w:rPr>
                <w:noProof/>
                <w:webHidden/>
              </w:rPr>
              <w:fldChar w:fldCharType="end"/>
            </w:r>
          </w:hyperlink>
        </w:p>
        <w:p w14:paraId="17AFF118" w14:textId="6EF0B8AE" w:rsidR="008100ED" w:rsidRDefault="008100ED">
          <w:pPr>
            <w:pStyle w:val="TOC1"/>
            <w:tabs>
              <w:tab w:val="right" w:leader="dot" w:pos="9356"/>
            </w:tabs>
            <w:rPr>
              <w:rFonts w:asciiTheme="minorHAnsi" w:eastAsiaTheme="minorEastAsia" w:hAnsiTheme="minorHAnsi" w:cstheme="minorBidi"/>
              <w:noProof/>
              <w:color w:val="auto"/>
            </w:rPr>
          </w:pPr>
          <w:hyperlink w:anchor="_Toc40259526" w:history="1">
            <w:r w:rsidRPr="00662CE8">
              <w:rPr>
                <w:rStyle w:val="Hyperlink"/>
                <w:noProof/>
              </w:rPr>
              <w:t>Section 4: Changes Requested</w:t>
            </w:r>
            <w:r>
              <w:rPr>
                <w:noProof/>
                <w:webHidden/>
              </w:rPr>
              <w:tab/>
            </w:r>
            <w:r>
              <w:rPr>
                <w:noProof/>
                <w:webHidden/>
              </w:rPr>
              <w:fldChar w:fldCharType="begin"/>
            </w:r>
            <w:r>
              <w:rPr>
                <w:noProof/>
                <w:webHidden/>
              </w:rPr>
              <w:instrText xml:space="preserve"> PAGEREF _Toc40259526 \h </w:instrText>
            </w:r>
            <w:r>
              <w:rPr>
                <w:noProof/>
                <w:webHidden/>
              </w:rPr>
            </w:r>
            <w:r>
              <w:rPr>
                <w:noProof/>
                <w:webHidden/>
              </w:rPr>
              <w:fldChar w:fldCharType="separate"/>
            </w:r>
            <w:r w:rsidR="00A505B5">
              <w:rPr>
                <w:noProof/>
                <w:webHidden/>
              </w:rPr>
              <w:t>9</w:t>
            </w:r>
            <w:r>
              <w:rPr>
                <w:noProof/>
                <w:webHidden/>
              </w:rPr>
              <w:fldChar w:fldCharType="end"/>
            </w:r>
          </w:hyperlink>
        </w:p>
        <w:p w14:paraId="53C0F478" w14:textId="2428FE3F" w:rsidR="008100ED" w:rsidRDefault="008100ED">
          <w:pPr>
            <w:pStyle w:val="TOC1"/>
            <w:tabs>
              <w:tab w:val="right" w:leader="dot" w:pos="9356"/>
            </w:tabs>
            <w:rPr>
              <w:rFonts w:asciiTheme="minorHAnsi" w:eastAsiaTheme="minorEastAsia" w:hAnsiTheme="minorHAnsi" w:cstheme="minorBidi"/>
              <w:noProof/>
              <w:color w:val="auto"/>
            </w:rPr>
          </w:pPr>
          <w:hyperlink w:anchor="_Toc40259527" w:history="1">
            <w:r w:rsidRPr="00662CE8">
              <w:rPr>
                <w:rStyle w:val="Hyperlink"/>
                <w:noProof/>
              </w:rPr>
              <w:t>Section 5: List of Proposed Waivers and Expenditure Authorities</w:t>
            </w:r>
            <w:r>
              <w:rPr>
                <w:noProof/>
                <w:webHidden/>
              </w:rPr>
              <w:tab/>
            </w:r>
            <w:r>
              <w:rPr>
                <w:noProof/>
                <w:webHidden/>
              </w:rPr>
              <w:fldChar w:fldCharType="begin"/>
            </w:r>
            <w:r>
              <w:rPr>
                <w:noProof/>
                <w:webHidden/>
              </w:rPr>
              <w:instrText xml:space="preserve"> PAGEREF _Toc40259527 \h </w:instrText>
            </w:r>
            <w:r>
              <w:rPr>
                <w:noProof/>
                <w:webHidden/>
              </w:rPr>
            </w:r>
            <w:r>
              <w:rPr>
                <w:noProof/>
                <w:webHidden/>
              </w:rPr>
              <w:fldChar w:fldCharType="separate"/>
            </w:r>
            <w:r w:rsidR="00A505B5">
              <w:rPr>
                <w:noProof/>
                <w:webHidden/>
              </w:rPr>
              <w:t>10</w:t>
            </w:r>
            <w:r>
              <w:rPr>
                <w:noProof/>
                <w:webHidden/>
              </w:rPr>
              <w:fldChar w:fldCharType="end"/>
            </w:r>
          </w:hyperlink>
        </w:p>
        <w:p w14:paraId="2C6F75C3" w14:textId="7D6B3A9E" w:rsidR="008100ED" w:rsidRDefault="008100ED">
          <w:pPr>
            <w:pStyle w:val="TOC1"/>
            <w:tabs>
              <w:tab w:val="right" w:leader="dot" w:pos="9356"/>
            </w:tabs>
            <w:rPr>
              <w:rFonts w:asciiTheme="minorHAnsi" w:eastAsiaTheme="minorEastAsia" w:hAnsiTheme="minorHAnsi" w:cstheme="minorBidi"/>
              <w:noProof/>
              <w:color w:val="auto"/>
            </w:rPr>
          </w:pPr>
          <w:hyperlink w:anchor="_Toc40259528" w:history="1">
            <w:r w:rsidRPr="00662CE8">
              <w:rPr>
                <w:rStyle w:val="Hyperlink"/>
                <w:noProof/>
              </w:rPr>
              <w:t>Section 6: External Quality Review Organization (EQRO) Reports</w:t>
            </w:r>
            <w:r>
              <w:rPr>
                <w:noProof/>
                <w:webHidden/>
              </w:rPr>
              <w:tab/>
            </w:r>
            <w:r>
              <w:rPr>
                <w:noProof/>
                <w:webHidden/>
              </w:rPr>
              <w:fldChar w:fldCharType="begin"/>
            </w:r>
            <w:r>
              <w:rPr>
                <w:noProof/>
                <w:webHidden/>
              </w:rPr>
              <w:instrText xml:space="preserve"> PAGEREF _Toc40259528 \h </w:instrText>
            </w:r>
            <w:r>
              <w:rPr>
                <w:noProof/>
                <w:webHidden/>
              </w:rPr>
            </w:r>
            <w:r>
              <w:rPr>
                <w:noProof/>
                <w:webHidden/>
              </w:rPr>
              <w:fldChar w:fldCharType="separate"/>
            </w:r>
            <w:r w:rsidR="00A505B5">
              <w:rPr>
                <w:noProof/>
                <w:webHidden/>
              </w:rPr>
              <w:t>10</w:t>
            </w:r>
            <w:r>
              <w:rPr>
                <w:noProof/>
                <w:webHidden/>
              </w:rPr>
              <w:fldChar w:fldCharType="end"/>
            </w:r>
          </w:hyperlink>
        </w:p>
        <w:p w14:paraId="4B058F55" w14:textId="70E6346C" w:rsidR="008100ED" w:rsidRDefault="008100ED">
          <w:pPr>
            <w:pStyle w:val="TOC1"/>
            <w:tabs>
              <w:tab w:val="right" w:leader="dot" w:pos="9356"/>
            </w:tabs>
            <w:rPr>
              <w:rFonts w:asciiTheme="minorHAnsi" w:eastAsiaTheme="minorEastAsia" w:hAnsiTheme="minorHAnsi" w:cstheme="minorBidi"/>
              <w:noProof/>
              <w:color w:val="auto"/>
            </w:rPr>
          </w:pPr>
          <w:hyperlink w:anchor="_Toc40259529" w:history="1">
            <w:r w:rsidRPr="00662CE8">
              <w:rPr>
                <w:rStyle w:val="Hyperlink"/>
                <w:noProof/>
              </w:rPr>
              <w:t>Section 7: Financial Data</w:t>
            </w:r>
            <w:r>
              <w:rPr>
                <w:noProof/>
                <w:webHidden/>
              </w:rPr>
              <w:tab/>
            </w:r>
            <w:r>
              <w:rPr>
                <w:noProof/>
                <w:webHidden/>
              </w:rPr>
              <w:fldChar w:fldCharType="begin"/>
            </w:r>
            <w:r>
              <w:rPr>
                <w:noProof/>
                <w:webHidden/>
              </w:rPr>
              <w:instrText xml:space="preserve"> PAGEREF _Toc40259529 \h </w:instrText>
            </w:r>
            <w:r>
              <w:rPr>
                <w:noProof/>
                <w:webHidden/>
              </w:rPr>
            </w:r>
            <w:r>
              <w:rPr>
                <w:noProof/>
                <w:webHidden/>
              </w:rPr>
              <w:fldChar w:fldCharType="separate"/>
            </w:r>
            <w:r w:rsidR="00A505B5">
              <w:rPr>
                <w:noProof/>
                <w:webHidden/>
              </w:rPr>
              <w:t>10</w:t>
            </w:r>
            <w:r>
              <w:rPr>
                <w:noProof/>
                <w:webHidden/>
              </w:rPr>
              <w:fldChar w:fldCharType="end"/>
            </w:r>
          </w:hyperlink>
        </w:p>
        <w:p w14:paraId="2F589363" w14:textId="34ECBE32" w:rsidR="008100ED" w:rsidRDefault="008100ED">
          <w:pPr>
            <w:pStyle w:val="TOC1"/>
            <w:tabs>
              <w:tab w:val="right" w:leader="dot" w:pos="9356"/>
            </w:tabs>
            <w:rPr>
              <w:rFonts w:asciiTheme="minorHAnsi" w:eastAsiaTheme="minorEastAsia" w:hAnsiTheme="minorHAnsi" w:cstheme="minorBidi"/>
              <w:noProof/>
              <w:color w:val="auto"/>
            </w:rPr>
          </w:pPr>
          <w:hyperlink w:anchor="_Toc40259530" w:history="1">
            <w:r w:rsidRPr="00662CE8">
              <w:rPr>
                <w:rStyle w:val="Hyperlink"/>
                <w:noProof/>
              </w:rPr>
              <w:t>Section 8: Evaluation Report</w:t>
            </w:r>
            <w:r>
              <w:rPr>
                <w:noProof/>
                <w:webHidden/>
              </w:rPr>
              <w:tab/>
            </w:r>
            <w:r>
              <w:rPr>
                <w:noProof/>
                <w:webHidden/>
              </w:rPr>
              <w:fldChar w:fldCharType="begin"/>
            </w:r>
            <w:r>
              <w:rPr>
                <w:noProof/>
                <w:webHidden/>
              </w:rPr>
              <w:instrText xml:space="preserve"> PAGEREF _Toc40259530 \h </w:instrText>
            </w:r>
            <w:r>
              <w:rPr>
                <w:noProof/>
                <w:webHidden/>
              </w:rPr>
            </w:r>
            <w:r>
              <w:rPr>
                <w:noProof/>
                <w:webHidden/>
              </w:rPr>
              <w:fldChar w:fldCharType="separate"/>
            </w:r>
            <w:r w:rsidR="00A505B5">
              <w:rPr>
                <w:noProof/>
                <w:webHidden/>
              </w:rPr>
              <w:t>11</w:t>
            </w:r>
            <w:r>
              <w:rPr>
                <w:noProof/>
                <w:webHidden/>
              </w:rPr>
              <w:fldChar w:fldCharType="end"/>
            </w:r>
          </w:hyperlink>
        </w:p>
        <w:p w14:paraId="741AF8D4" w14:textId="398D0C69" w:rsidR="008100ED" w:rsidRDefault="008100ED">
          <w:pPr>
            <w:pStyle w:val="TOC1"/>
            <w:tabs>
              <w:tab w:val="right" w:leader="dot" w:pos="9356"/>
            </w:tabs>
            <w:rPr>
              <w:rFonts w:asciiTheme="minorHAnsi" w:eastAsiaTheme="minorEastAsia" w:hAnsiTheme="minorHAnsi" w:cstheme="minorBidi"/>
              <w:noProof/>
              <w:color w:val="auto"/>
            </w:rPr>
          </w:pPr>
          <w:hyperlink w:anchor="_Toc40259531" w:history="1">
            <w:r w:rsidRPr="00662CE8">
              <w:rPr>
                <w:rStyle w:val="Hyperlink"/>
                <w:noProof/>
              </w:rPr>
              <w:t>Section 9: Public Comment Period</w:t>
            </w:r>
            <w:r>
              <w:rPr>
                <w:noProof/>
                <w:webHidden/>
              </w:rPr>
              <w:tab/>
            </w:r>
            <w:r>
              <w:rPr>
                <w:noProof/>
                <w:webHidden/>
              </w:rPr>
              <w:fldChar w:fldCharType="begin"/>
            </w:r>
            <w:r>
              <w:rPr>
                <w:noProof/>
                <w:webHidden/>
              </w:rPr>
              <w:instrText xml:space="preserve"> PAGEREF _Toc40259531 \h </w:instrText>
            </w:r>
            <w:r>
              <w:rPr>
                <w:noProof/>
                <w:webHidden/>
              </w:rPr>
            </w:r>
            <w:r>
              <w:rPr>
                <w:noProof/>
                <w:webHidden/>
              </w:rPr>
              <w:fldChar w:fldCharType="separate"/>
            </w:r>
            <w:r w:rsidR="00A505B5">
              <w:rPr>
                <w:noProof/>
                <w:webHidden/>
              </w:rPr>
              <w:t>11</w:t>
            </w:r>
            <w:r>
              <w:rPr>
                <w:noProof/>
                <w:webHidden/>
              </w:rPr>
              <w:fldChar w:fldCharType="end"/>
            </w:r>
          </w:hyperlink>
        </w:p>
        <w:p w14:paraId="49C8E23D" w14:textId="6DEC4E71" w:rsidR="008100ED" w:rsidRDefault="008100ED">
          <w:pPr>
            <w:pStyle w:val="TOC2"/>
            <w:tabs>
              <w:tab w:val="right" w:leader="dot" w:pos="9356"/>
            </w:tabs>
            <w:rPr>
              <w:rFonts w:asciiTheme="minorHAnsi" w:eastAsiaTheme="minorEastAsia" w:hAnsiTheme="minorHAnsi" w:cstheme="minorBidi"/>
              <w:noProof/>
              <w:color w:val="auto"/>
            </w:rPr>
          </w:pPr>
          <w:hyperlink w:anchor="_Toc40259532" w:history="1">
            <w:r w:rsidRPr="00662CE8">
              <w:rPr>
                <w:rStyle w:val="Hyperlink"/>
                <w:noProof/>
              </w:rPr>
              <w:t>9.1 Summary of Public Comments</w:t>
            </w:r>
            <w:r>
              <w:rPr>
                <w:noProof/>
                <w:webHidden/>
              </w:rPr>
              <w:tab/>
            </w:r>
            <w:r>
              <w:rPr>
                <w:noProof/>
                <w:webHidden/>
              </w:rPr>
              <w:fldChar w:fldCharType="begin"/>
            </w:r>
            <w:r>
              <w:rPr>
                <w:noProof/>
                <w:webHidden/>
              </w:rPr>
              <w:instrText xml:space="preserve"> PAGEREF _Toc40259532 \h </w:instrText>
            </w:r>
            <w:r>
              <w:rPr>
                <w:noProof/>
                <w:webHidden/>
              </w:rPr>
            </w:r>
            <w:r>
              <w:rPr>
                <w:noProof/>
                <w:webHidden/>
              </w:rPr>
              <w:fldChar w:fldCharType="separate"/>
            </w:r>
            <w:r w:rsidR="00A505B5">
              <w:rPr>
                <w:noProof/>
                <w:webHidden/>
              </w:rPr>
              <w:t>11</w:t>
            </w:r>
            <w:r>
              <w:rPr>
                <w:noProof/>
                <w:webHidden/>
              </w:rPr>
              <w:fldChar w:fldCharType="end"/>
            </w:r>
          </w:hyperlink>
        </w:p>
        <w:p w14:paraId="3A9C1680" w14:textId="40ABC8CD" w:rsidR="008100ED" w:rsidRDefault="008100ED">
          <w:pPr>
            <w:pStyle w:val="TOC2"/>
            <w:tabs>
              <w:tab w:val="right" w:leader="dot" w:pos="9356"/>
            </w:tabs>
            <w:rPr>
              <w:rFonts w:asciiTheme="minorHAnsi" w:eastAsiaTheme="minorEastAsia" w:hAnsiTheme="minorHAnsi" w:cstheme="minorBidi"/>
              <w:noProof/>
              <w:color w:val="auto"/>
            </w:rPr>
          </w:pPr>
          <w:hyperlink w:anchor="_Toc40259533" w:history="1">
            <w:r w:rsidRPr="00662CE8">
              <w:rPr>
                <w:rStyle w:val="Hyperlink"/>
                <w:noProof/>
              </w:rPr>
              <w:t>9.2 Tribal Consultation</w:t>
            </w:r>
            <w:r>
              <w:rPr>
                <w:noProof/>
                <w:webHidden/>
              </w:rPr>
              <w:tab/>
            </w:r>
            <w:r>
              <w:rPr>
                <w:noProof/>
                <w:webHidden/>
              </w:rPr>
              <w:fldChar w:fldCharType="begin"/>
            </w:r>
            <w:r>
              <w:rPr>
                <w:noProof/>
                <w:webHidden/>
              </w:rPr>
              <w:instrText xml:space="preserve"> PAGEREF _Toc40259533 \h </w:instrText>
            </w:r>
            <w:r>
              <w:rPr>
                <w:noProof/>
                <w:webHidden/>
              </w:rPr>
            </w:r>
            <w:r>
              <w:rPr>
                <w:noProof/>
                <w:webHidden/>
              </w:rPr>
              <w:fldChar w:fldCharType="separate"/>
            </w:r>
            <w:r w:rsidR="00A505B5">
              <w:rPr>
                <w:noProof/>
                <w:webHidden/>
              </w:rPr>
              <w:t>11</w:t>
            </w:r>
            <w:r>
              <w:rPr>
                <w:noProof/>
                <w:webHidden/>
              </w:rPr>
              <w:fldChar w:fldCharType="end"/>
            </w:r>
          </w:hyperlink>
        </w:p>
        <w:p w14:paraId="11180C43" w14:textId="2429BC89" w:rsidR="008100ED" w:rsidRDefault="008100ED">
          <w:pPr>
            <w:pStyle w:val="TOC2"/>
            <w:tabs>
              <w:tab w:val="right" w:leader="dot" w:pos="9356"/>
            </w:tabs>
            <w:rPr>
              <w:rFonts w:asciiTheme="minorHAnsi" w:eastAsiaTheme="minorEastAsia" w:hAnsiTheme="minorHAnsi" w:cstheme="minorBidi"/>
              <w:noProof/>
              <w:color w:val="auto"/>
            </w:rPr>
          </w:pPr>
          <w:hyperlink w:anchor="_Toc40259534" w:history="1">
            <w:r w:rsidRPr="00662CE8">
              <w:rPr>
                <w:rStyle w:val="Hyperlink"/>
                <w:noProof/>
              </w:rPr>
              <w:t>9.3 State Response</w:t>
            </w:r>
            <w:r>
              <w:rPr>
                <w:noProof/>
                <w:webHidden/>
              </w:rPr>
              <w:tab/>
            </w:r>
            <w:r>
              <w:rPr>
                <w:noProof/>
                <w:webHidden/>
              </w:rPr>
              <w:fldChar w:fldCharType="begin"/>
            </w:r>
            <w:r>
              <w:rPr>
                <w:noProof/>
                <w:webHidden/>
              </w:rPr>
              <w:instrText xml:space="preserve"> PAGEREF _Toc40259534 \h </w:instrText>
            </w:r>
            <w:r>
              <w:rPr>
                <w:noProof/>
                <w:webHidden/>
              </w:rPr>
            </w:r>
            <w:r>
              <w:rPr>
                <w:noProof/>
                <w:webHidden/>
              </w:rPr>
              <w:fldChar w:fldCharType="separate"/>
            </w:r>
            <w:r w:rsidR="00A505B5">
              <w:rPr>
                <w:noProof/>
                <w:webHidden/>
              </w:rPr>
              <w:t>12</w:t>
            </w:r>
            <w:r>
              <w:rPr>
                <w:noProof/>
                <w:webHidden/>
              </w:rPr>
              <w:fldChar w:fldCharType="end"/>
            </w:r>
          </w:hyperlink>
        </w:p>
        <w:p w14:paraId="629B1F0F" w14:textId="5AD885BA" w:rsidR="008100ED" w:rsidRDefault="008100ED">
          <w:pPr>
            <w:pStyle w:val="TOC1"/>
            <w:tabs>
              <w:tab w:val="right" w:leader="dot" w:pos="9356"/>
            </w:tabs>
            <w:rPr>
              <w:rFonts w:asciiTheme="minorHAnsi" w:eastAsiaTheme="minorEastAsia" w:hAnsiTheme="minorHAnsi" w:cstheme="minorBidi"/>
              <w:noProof/>
              <w:color w:val="auto"/>
            </w:rPr>
          </w:pPr>
          <w:hyperlink w:anchor="_Toc40259535" w:history="1">
            <w:r w:rsidRPr="00662CE8">
              <w:rPr>
                <w:rStyle w:val="Hyperlink"/>
                <w:noProof/>
              </w:rPr>
              <w:t>Demonstration Administration</w:t>
            </w:r>
            <w:r>
              <w:rPr>
                <w:noProof/>
                <w:webHidden/>
              </w:rPr>
              <w:tab/>
            </w:r>
            <w:r>
              <w:rPr>
                <w:noProof/>
                <w:webHidden/>
              </w:rPr>
              <w:fldChar w:fldCharType="begin"/>
            </w:r>
            <w:r>
              <w:rPr>
                <w:noProof/>
                <w:webHidden/>
              </w:rPr>
              <w:instrText xml:space="preserve"> PAGEREF _Toc40259535 \h </w:instrText>
            </w:r>
            <w:r>
              <w:rPr>
                <w:noProof/>
                <w:webHidden/>
              </w:rPr>
            </w:r>
            <w:r>
              <w:rPr>
                <w:noProof/>
                <w:webHidden/>
              </w:rPr>
              <w:fldChar w:fldCharType="separate"/>
            </w:r>
            <w:r w:rsidR="00A505B5">
              <w:rPr>
                <w:noProof/>
                <w:webHidden/>
              </w:rPr>
              <w:t>12</w:t>
            </w:r>
            <w:r>
              <w:rPr>
                <w:noProof/>
                <w:webHidden/>
              </w:rPr>
              <w:fldChar w:fldCharType="end"/>
            </w:r>
          </w:hyperlink>
        </w:p>
        <w:p w14:paraId="74036F8B" w14:textId="7B1F56F3" w:rsidR="008100ED" w:rsidRDefault="008100ED">
          <w:pPr>
            <w:pStyle w:val="TOC1"/>
            <w:tabs>
              <w:tab w:val="right" w:leader="dot" w:pos="9356"/>
            </w:tabs>
            <w:rPr>
              <w:rFonts w:asciiTheme="minorHAnsi" w:eastAsiaTheme="minorEastAsia" w:hAnsiTheme="minorHAnsi" w:cstheme="minorBidi"/>
              <w:noProof/>
              <w:color w:val="auto"/>
            </w:rPr>
          </w:pPr>
          <w:hyperlink w:anchor="_Toc40259536" w:history="1">
            <w:r w:rsidRPr="00662CE8">
              <w:rPr>
                <w:rStyle w:val="Hyperlink"/>
                <w:noProof/>
              </w:rPr>
              <w:t>Appendix A: Long Public Notice</w:t>
            </w:r>
            <w:r>
              <w:rPr>
                <w:noProof/>
                <w:webHidden/>
              </w:rPr>
              <w:tab/>
            </w:r>
            <w:r>
              <w:rPr>
                <w:noProof/>
                <w:webHidden/>
              </w:rPr>
              <w:fldChar w:fldCharType="begin"/>
            </w:r>
            <w:r>
              <w:rPr>
                <w:noProof/>
                <w:webHidden/>
              </w:rPr>
              <w:instrText xml:space="preserve"> PAGEREF _Toc40259536 \h </w:instrText>
            </w:r>
            <w:r>
              <w:rPr>
                <w:noProof/>
                <w:webHidden/>
              </w:rPr>
            </w:r>
            <w:r>
              <w:rPr>
                <w:noProof/>
                <w:webHidden/>
              </w:rPr>
              <w:fldChar w:fldCharType="separate"/>
            </w:r>
            <w:r w:rsidR="00A505B5">
              <w:rPr>
                <w:noProof/>
                <w:webHidden/>
              </w:rPr>
              <w:t>13</w:t>
            </w:r>
            <w:r>
              <w:rPr>
                <w:noProof/>
                <w:webHidden/>
              </w:rPr>
              <w:fldChar w:fldCharType="end"/>
            </w:r>
          </w:hyperlink>
        </w:p>
        <w:p w14:paraId="42DB1351" w14:textId="16FA8F1B" w:rsidR="008100ED" w:rsidRDefault="008100ED">
          <w:pPr>
            <w:pStyle w:val="TOC1"/>
            <w:tabs>
              <w:tab w:val="right" w:leader="dot" w:pos="9356"/>
            </w:tabs>
            <w:rPr>
              <w:rFonts w:asciiTheme="minorHAnsi" w:eastAsiaTheme="minorEastAsia" w:hAnsiTheme="minorHAnsi" w:cstheme="minorBidi"/>
              <w:noProof/>
              <w:color w:val="auto"/>
            </w:rPr>
          </w:pPr>
          <w:hyperlink w:anchor="_Toc40259537" w:history="1">
            <w:r w:rsidRPr="00662CE8">
              <w:rPr>
                <w:rStyle w:val="Hyperlink"/>
                <w:noProof/>
              </w:rPr>
              <w:t>Appendix B: Abbreviated Public Notice</w:t>
            </w:r>
            <w:r>
              <w:rPr>
                <w:noProof/>
                <w:webHidden/>
              </w:rPr>
              <w:tab/>
            </w:r>
            <w:r>
              <w:rPr>
                <w:noProof/>
                <w:webHidden/>
              </w:rPr>
              <w:fldChar w:fldCharType="begin"/>
            </w:r>
            <w:r>
              <w:rPr>
                <w:noProof/>
                <w:webHidden/>
              </w:rPr>
              <w:instrText xml:space="preserve"> PAGEREF _Toc40259537 \h </w:instrText>
            </w:r>
            <w:r>
              <w:rPr>
                <w:noProof/>
                <w:webHidden/>
              </w:rPr>
            </w:r>
            <w:r>
              <w:rPr>
                <w:noProof/>
                <w:webHidden/>
              </w:rPr>
              <w:fldChar w:fldCharType="separate"/>
            </w:r>
            <w:r w:rsidR="00A505B5">
              <w:rPr>
                <w:noProof/>
                <w:webHidden/>
              </w:rPr>
              <w:t>19</w:t>
            </w:r>
            <w:r>
              <w:rPr>
                <w:noProof/>
                <w:webHidden/>
              </w:rPr>
              <w:fldChar w:fldCharType="end"/>
            </w:r>
          </w:hyperlink>
        </w:p>
        <w:p w14:paraId="6980F2F3" w14:textId="6FA95944" w:rsidR="008100ED" w:rsidRDefault="008100ED">
          <w:pPr>
            <w:pStyle w:val="TOC1"/>
            <w:tabs>
              <w:tab w:val="right" w:leader="dot" w:pos="9356"/>
            </w:tabs>
            <w:rPr>
              <w:rFonts w:asciiTheme="minorHAnsi" w:eastAsiaTheme="minorEastAsia" w:hAnsiTheme="minorHAnsi" w:cstheme="minorBidi"/>
              <w:noProof/>
              <w:color w:val="auto"/>
            </w:rPr>
          </w:pPr>
          <w:hyperlink w:anchor="_Toc40259538" w:history="1">
            <w:r w:rsidRPr="00662CE8">
              <w:rPr>
                <w:rStyle w:val="Hyperlink"/>
                <w:noProof/>
              </w:rPr>
              <w:t>Appendix C: Tribal Consultation Public Notice</w:t>
            </w:r>
            <w:r>
              <w:rPr>
                <w:noProof/>
                <w:webHidden/>
              </w:rPr>
              <w:tab/>
            </w:r>
            <w:r>
              <w:rPr>
                <w:noProof/>
                <w:webHidden/>
              </w:rPr>
              <w:fldChar w:fldCharType="begin"/>
            </w:r>
            <w:r>
              <w:rPr>
                <w:noProof/>
                <w:webHidden/>
              </w:rPr>
              <w:instrText xml:space="preserve"> PAGEREF _Toc40259538 \h </w:instrText>
            </w:r>
            <w:r>
              <w:rPr>
                <w:noProof/>
                <w:webHidden/>
              </w:rPr>
            </w:r>
            <w:r>
              <w:rPr>
                <w:noProof/>
                <w:webHidden/>
              </w:rPr>
              <w:fldChar w:fldCharType="separate"/>
            </w:r>
            <w:r w:rsidR="00A505B5">
              <w:rPr>
                <w:noProof/>
                <w:webHidden/>
              </w:rPr>
              <w:t>21</w:t>
            </w:r>
            <w:r>
              <w:rPr>
                <w:noProof/>
                <w:webHidden/>
              </w:rPr>
              <w:fldChar w:fldCharType="end"/>
            </w:r>
          </w:hyperlink>
        </w:p>
        <w:p w14:paraId="12F53D08" w14:textId="37D1B1D4" w:rsidR="008100ED" w:rsidRDefault="008100ED">
          <w:pPr>
            <w:pStyle w:val="TOC1"/>
            <w:tabs>
              <w:tab w:val="right" w:leader="dot" w:pos="9356"/>
            </w:tabs>
            <w:rPr>
              <w:rFonts w:asciiTheme="minorHAnsi" w:eastAsiaTheme="minorEastAsia" w:hAnsiTheme="minorHAnsi" w:cstheme="minorBidi"/>
              <w:noProof/>
              <w:color w:val="auto"/>
            </w:rPr>
          </w:pPr>
          <w:hyperlink w:anchor="_Toc40259539" w:history="1">
            <w:r w:rsidRPr="00662CE8">
              <w:rPr>
                <w:rStyle w:val="Hyperlink"/>
                <w:noProof/>
              </w:rPr>
              <w:t>Attachment D: Draft Evaluation Design</w:t>
            </w:r>
            <w:r>
              <w:rPr>
                <w:noProof/>
                <w:webHidden/>
              </w:rPr>
              <w:tab/>
            </w:r>
            <w:r>
              <w:rPr>
                <w:noProof/>
                <w:webHidden/>
              </w:rPr>
              <w:fldChar w:fldCharType="begin"/>
            </w:r>
            <w:r>
              <w:rPr>
                <w:noProof/>
                <w:webHidden/>
              </w:rPr>
              <w:instrText xml:space="preserve"> PAGEREF _Toc40259539 \h </w:instrText>
            </w:r>
            <w:r>
              <w:rPr>
                <w:noProof/>
                <w:webHidden/>
              </w:rPr>
            </w:r>
            <w:r>
              <w:rPr>
                <w:noProof/>
                <w:webHidden/>
              </w:rPr>
              <w:fldChar w:fldCharType="separate"/>
            </w:r>
            <w:r w:rsidR="00A505B5">
              <w:rPr>
                <w:noProof/>
                <w:webHidden/>
              </w:rPr>
              <w:t>22</w:t>
            </w:r>
            <w:r>
              <w:rPr>
                <w:noProof/>
                <w:webHidden/>
              </w:rPr>
              <w:fldChar w:fldCharType="end"/>
            </w:r>
          </w:hyperlink>
        </w:p>
        <w:p w14:paraId="48C24217" w14:textId="70ACE586" w:rsidR="00D32DF9" w:rsidRDefault="003E756E" w:rsidP="001D639D">
          <w:pPr>
            <w:rPr>
              <w:b/>
              <w:color w:val="17365D"/>
            </w:rPr>
          </w:pPr>
          <w:r>
            <w:fldChar w:fldCharType="end"/>
          </w:r>
        </w:p>
      </w:sdtContent>
    </w:sdt>
    <w:p w14:paraId="45CEA240" w14:textId="0F165A19" w:rsidR="006C198B" w:rsidRDefault="006C198B" w:rsidP="001D639D">
      <w:pPr>
        <w:pStyle w:val="Heading1"/>
        <w:ind w:left="0" w:right="13" w:firstLine="0"/>
        <w:jc w:val="both"/>
      </w:pPr>
      <w:bookmarkStart w:id="1" w:name="_Toc40259510"/>
      <w:r>
        <w:lastRenderedPageBreak/>
        <w:t>Section 1: Summary of the Request</w:t>
      </w:r>
      <w:bookmarkEnd w:id="1"/>
    </w:p>
    <w:p w14:paraId="3DA18F2F" w14:textId="492107B0" w:rsidR="006C198B" w:rsidRDefault="006C198B" w:rsidP="001D639D">
      <w:pPr>
        <w:spacing w:after="0"/>
        <w:ind w:left="0" w:right="14" w:firstLine="0"/>
        <w:contextualSpacing/>
      </w:pPr>
      <w:r>
        <w:t xml:space="preserve">The ERSD </w:t>
      </w:r>
      <w:r w:rsidR="00340541">
        <w:t>§</w:t>
      </w:r>
      <w:r>
        <w:t xml:space="preserve">1115 Demonstration has </w:t>
      </w:r>
      <w:r w:rsidR="00340541">
        <w:t xml:space="preserve">ensured </w:t>
      </w:r>
      <w:r>
        <w:t xml:space="preserve">access to </w:t>
      </w:r>
      <w:r w:rsidR="00340541">
        <w:t xml:space="preserve">supplemental </w:t>
      </w:r>
      <w:r>
        <w:t xml:space="preserve">transplant coverage for a total of 760 unique enrollees since </w:t>
      </w:r>
      <w:r w:rsidR="00340541">
        <w:t>its inception</w:t>
      </w:r>
      <w:r>
        <w:t xml:space="preserve"> in May 2014.  </w:t>
      </w:r>
      <w:r w:rsidR="00D32DF9">
        <w:t xml:space="preserve">Without access to the coverage provided by this demonstration, covered individuals </w:t>
      </w:r>
      <w:r w:rsidR="00340541">
        <w:t>might not have been able</w:t>
      </w:r>
      <w:r w:rsidR="00D32DF9">
        <w:t xml:space="preserve"> to access </w:t>
      </w:r>
      <w:r w:rsidR="00340541">
        <w:t xml:space="preserve">needed </w:t>
      </w:r>
      <w:r w:rsidR="00D32DF9">
        <w:t>kidney transplan</w:t>
      </w:r>
      <w:r w:rsidR="00F037ED">
        <w:t>t</w:t>
      </w:r>
      <w:r w:rsidR="00D32DF9">
        <w:t xml:space="preserve"> services</w:t>
      </w:r>
      <w:r w:rsidR="00AD767F">
        <w:t xml:space="preserve"> and wraparound coverage</w:t>
      </w:r>
      <w:r w:rsidR="00D32DF9">
        <w:t xml:space="preserve">.  </w:t>
      </w:r>
      <w:r>
        <w:t xml:space="preserve">This </w:t>
      </w:r>
      <w:r w:rsidR="00340541">
        <w:t>§</w:t>
      </w:r>
      <w:r>
        <w:t xml:space="preserve">1115 Demonstration waiver renewal requests </w:t>
      </w:r>
      <w:r w:rsidR="00AD767F">
        <w:t xml:space="preserve">a </w:t>
      </w:r>
      <w:r>
        <w:t xml:space="preserve">continuation of the current authority to cover individuals with </w:t>
      </w:r>
      <w:r w:rsidR="00340541">
        <w:t>end-</w:t>
      </w:r>
      <w:r>
        <w:t xml:space="preserve">stage renal disease who meet the applicable eligibility criteria.   </w:t>
      </w:r>
    </w:p>
    <w:p w14:paraId="164365C0" w14:textId="77777777" w:rsidR="0056445F" w:rsidRDefault="0056445F" w:rsidP="001D639D">
      <w:pPr>
        <w:spacing w:after="0"/>
        <w:ind w:left="0" w:right="14" w:firstLine="0"/>
        <w:contextualSpacing/>
      </w:pPr>
    </w:p>
    <w:p w14:paraId="57B5D1E8" w14:textId="636C5DE5" w:rsidR="00C86A25" w:rsidRDefault="003E756E">
      <w:pPr>
        <w:pStyle w:val="Heading1"/>
        <w:ind w:left="-5" w:right="13"/>
        <w:jc w:val="both"/>
      </w:pPr>
      <w:bookmarkStart w:id="2" w:name="_Toc40259511"/>
      <w:r>
        <w:t xml:space="preserve">Section </w:t>
      </w:r>
      <w:r w:rsidR="00D32DF9">
        <w:t>2</w:t>
      </w:r>
      <w:r>
        <w:t xml:space="preserve">: </w:t>
      </w:r>
      <w:r w:rsidR="001821BF">
        <w:t>Historical Narrative</w:t>
      </w:r>
      <w:bookmarkEnd w:id="2"/>
      <w:r>
        <w:t xml:space="preserve"> </w:t>
      </w:r>
    </w:p>
    <w:p w14:paraId="57A5EA46" w14:textId="32255A28" w:rsidR="00F4707B" w:rsidRDefault="007A6EC7" w:rsidP="00F46CEB">
      <w:pPr>
        <w:spacing w:after="204"/>
        <w:ind w:left="-5" w:right="13"/>
      </w:pPr>
      <w:r>
        <w:t xml:space="preserve">Indiana’s </w:t>
      </w:r>
      <w:r w:rsidR="00340541">
        <w:t xml:space="preserve">current </w:t>
      </w:r>
      <w:r>
        <w:t xml:space="preserve">End Stage Renal Disease (ESRD) </w:t>
      </w:r>
      <w:r w:rsidR="00C2372E">
        <w:t>program</w:t>
      </w:r>
      <w:r w:rsidR="00DC4654">
        <w:t xml:space="preserve"> began in </w:t>
      </w:r>
      <w:r w:rsidR="00983B67">
        <w:t xml:space="preserve">May </w:t>
      </w:r>
      <w:r w:rsidR="00DC4654">
        <w:t xml:space="preserve">2014, when CMS </w:t>
      </w:r>
      <w:r w:rsidR="00DC4654" w:rsidRPr="00DC4654">
        <w:t xml:space="preserve">approved an amendment to include former </w:t>
      </w:r>
      <w:r w:rsidR="00340541" w:rsidRPr="00DC4654">
        <w:t>spend</w:t>
      </w:r>
      <w:r w:rsidR="00340541">
        <w:t>-</w:t>
      </w:r>
      <w:r w:rsidR="00DC4654" w:rsidRPr="00DC4654">
        <w:t xml:space="preserve">down enrollees diagnosed with </w:t>
      </w:r>
      <w:r w:rsidR="00DC4654">
        <w:t xml:space="preserve">ESRD </w:t>
      </w:r>
      <w:r w:rsidR="00DC4654" w:rsidRPr="00DC4654">
        <w:t xml:space="preserve">as a </w:t>
      </w:r>
      <w:r w:rsidR="00C2372E">
        <w:t xml:space="preserve">covered population within the Healthy Indiana Plan (HIP) </w:t>
      </w:r>
      <w:r w:rsidR="00340541">
        <w:t>§</w:t>
      </w:r>
      <w:r w:rsidR="00C2372E">
        <w:t xml:space="preserve">1115(a) Medicaid </w:t>
      </w:r>
      <w:r w:rsidR="00F0553C">
        <w:t>d</w:t>
      </w:r>
      <w:r w:rsidR="00C2372E">
        <w:t xml:space="preserve">emonstration.  </w:t>
      </w:r>
      <w:r w:rsidR="00C2372E" w:rsidRPr="00C2372E">
        <w:t xml:space="preserve">ESRD enrollees are Medicare beneficiaries </w:t>
      </w:r>
      <w:r w:rsidR="0072354A">
        <w:t>without any alternative means of access to</w:t>
      </w:r>
      <w:r w:rsidR="00C2372E" w:rsidRPr="00C2372E">
        <w:t xml:space="preserve"> supplemental health care coverage</w:t>
      </w:r>
      <w:r w:rsidR="00F4707B">
        <w:t xml:space="preserve">.  </w:t>
      </w:r>
      <w:r w:rsidR="00F4707B" w:rsidRPr="00AE4B25">
        <w:t>By providing supplemental coverage, including costs associated with transplants, this waiver allows individuals to remain on transplant lists and thus retain access to kidney transplants.</w:t>
      </w:r>
      <w:r w:rsidR="00F4707B" w:rsidRPr="00AE4B25" w:rsidDel="00AE4B25">
        <w:t xml:space="preserve"> </w:t>
      </w:r>
    </w:p>
    <w:p w14:paraId="7F86FABB" w14:textId="36FE274C" w:rsidR="00983B67" w:rsidRDefault="00983B67" w:rsidP="00F46CEB">
      <w:pPr>
        <w:spacing w:after="204"/>
        <w:ind w:left="-5" w:right="13"/>
      </w:pPr>
      <w:r>
        <w:t xml:space="preserve">In January 2015, CMS approved </w:t>
      </w:r>
      <w:r w:rsidR="00E03AEA">
        <w:t>Indiana’s</w:t>
      </w:r>
      <w:r>
        <w:t xml:space="preserve"> </w:t>
      </w:r>
      <w:r w:rsidR="00F46CEB">
        <w:t xml:space="preserve">HIP </w:t>
      </w:r>
      <w:r>
        <w:t>2.0 demonstration</w:t>
      </w:r>
      <w:r w:rsidR="00E03AEA">
        <w:t xml:space="preserve">, </w:t>
      </w:r>
      <w:r w:rsidR="00465219">
        <w:t xml:space="preserve">to which </w:t>
      </w:r>
      <w:r w:rsidR="00E03AEA">
        <w:t xml:space="preserve">the State subsequently transitioned most </w:t>
      </w:r>
      <w:r w:rsidR="00465219">
        <w:t xml:space="preserve">of its </w:t>
      </w:r>
      <w:r>
        <w:t>former HIP enrollee</w:t>
      </w:r>
      <w:r w:rsidR="00465219">
        <w:t xml:space="preserve">s.  </w:t>
      </w:r>
      <w:r>
        <w:t>ESRD enrollees were</w:t>
      </w:r>
      <w:r w:rsidR="00F46CEB">
        <w:t xml:space="preserve"> </w:t>
      </w:r>
      <w:r w:rsidR="00F0553C" w:rsidRPr="00F0553C">
        <w:t xml:space="preserve">the only population remaining in the </w:t>
      </w:r>
      <w:r w:rsidR="00F0553C">
        <w:t>original HIP</w:t>
      </w:r>
      <w:r w:rsidR="00F0553C" w:rsidRPr="00F0553C">
        <w:t xml:space="preserve"> demonstration</w:t>
      </w:r>
      <w:r w:rsidR="00DD1944">
        <w:t xml:space="preserve">. </w:t>
      </w:r>
      <w:r w:rsidR="006E51E2">
        <w:t>The demonstration</w:t>
      </w:r>
      <w:r w:rsidR="00F0553C" w:rsidRPr="00F0553C">
        <w:t xml:space="preserve"> </w:t>
      </w:r>
      <w:r w:rsidR="00465219">
        <w:t xml:space="preserve">continued to operate </w:t>
      </w:r>
      <w:r w:rsidR="006E51E2">
        <w:t xml:space="preserve">this way </w:t>
      </w:r>
      <w:r w:rsidR="00465219">
        <w:t>under</w:t>
      </w:r>
      <w:r w:rsidR="00F0553C" w:rsidRPr="00F0553C">
        <w:t xml:space="preserve"> a temporary extension</w:t>
      </w:r>
      <w:r w:rsidR="006E51E2">
        <w:t xml:space="preserve"> until</w:t>
      </w:r>
      <w:r w:rsidR="00465219">
        <w:t xml:space="preserve"> </w:t>
      </w:r>
      <w:r w:rsidR="00F0553C">
        <w:t>July</w:t>
      </w:r>
      <w:r w:rsidR="00F0553C" w:rsidRPr="00F0553C">
        <w:t xml:space="preserve"> 2016</w:t>
      </w:r>
      <w:r w:rsidR="00F0553C">
        <w:t xml:space="preserve">, </w:t>
      </w:r>
      <w:r w:rsidR="006E51E2">
        <w:t>when it</w:t>
      </w:r>
      <w:r w:rsidR="00F0553C">
        <w:t xml:space="preserve"> was </w:t>
      </w:r>
      <w:r w:rsidR="00373116">
        <w:t>renewed</w:t>
      </w:r>
      <w:r w:rsidR="002A1937">
        <w:t xml:space="preserve"> and renamed “End-Stage Renal Disease §1115 Waiver</w:t>
      </w:r>
      <w:r w:rsidR="00465219">
        <w:t>.”</w:t>
      </w:r>
    </w:p>
    <w:p w14:paraId="1207C7AA" w14:textId="4CE97984" w:rsidR="00EB3206" w:rsidRDefault="00712176" w:rsidP="00EB3206">
      <w:pPr>
        <w:ind w:left="0" w:firstLine="0"/>
      </w:pPr>
      <w:r>
        <w:t>Indiana’s</w:t>
      </w:r>
      <w:r w:rsidR="0066443F" w:rsidRPr="0066443F">
        <w:t xml:space="preserve"> ESRD</w:t>
      </w:r>
      <w:r>
        <w:t xml:space="preserve"> </w:t>
      </w:r>
      <w:r w:rsidR="0066443F">
        <w:t>d</w:t>
      </w:r>
      <w:r w:rsidR="0066443F" w:rsidRPr="0066443F">
        <w:t xml:space="preserve">emonstration continues to provide coverage for individuals with ESRD that are not </w:t>
      </w:r>
      <w:r w:rsidR="002A1937">
        <w:t>otherwise eligible for Medicaid coverage</w:t>
      </w:r>
      <w:r w:rsidR="0066443F" w:rsidRPr="0066443F">
        <w:t xml:space="preserve">. </w:t>
      </w:r>
      <w:r>
        <w:t xml:space="preserve"> </w:t>
      </w:r>
      <w:r w:rsidR="00EB3206">
        <w:t xml:space="preserve">There are currently two distinct eligibility groups enrolled </w:t>
      </w:r>
      <w:r w:rsidR="006E51E2">
        <w:t>that receive</w:t>
      </w:r>
      <w:r w:rsidR="00EB3206">
        <w:t xml:space="preserve"> coverage through the ESRD </w:t>
      </w:r>
      <w:r w:rsidR="002A1937">
        <w:t>§</w:t>
      </w:r>
      <w:r w:rsidR="00EB3206">
        <w:t>1115 authority</w:t>
      </w:r>
      <w:r w:rsidR="00465219">
        <w:t>:</w:t>
      </w:r>
      <w:r w:rsidR="00EB3206">
        <w:t xml:space="preserve">  </w:t>
      </w:r>
    </w:p>
    <w:p w14:paraId="3219482F" w14:textId="7372BB96" w:rsidR="00EB3206" w:rsidRDefault="00EB3206" w:rsidP="00EB3206">
      <w:pPr>
        <w:spacing w:after="16" w:line="259" w:lineRule="auto"/>
        <w:ind w:left="0" w:firstLine="0"/>
        <w:jc w:val="left"/>
      </w:pPr>
    </w:p>
    <w:p w14:paraId="6A632037" w14:textId="55E8260A" w:rsidR="00C51390" w:rsidRPr="00C51390" w:rsidRDefault="00C51390" w:rsidP="00C51390">
      <w:pPr>
        <w:spacing w:after="16" w:line="259" w:lineRule="auto"/>
        <w:ind w:left="710" w:firstLine="0"/>
        <w:jc w:val="left"/>
      </w:pPr>
      <w:r w:rsidRPr="001D639D">
        <w:rPr>
          <w:b/>
          <w:bCs/>
          <w:u w:val="single"/>
        </w:rPr>
        <w:t>Population 1</w:t>
      </w:r>
      <w:r w:rsidR="002A1937" w:rsidRPr="001D639D">
        <w:rPr>
          <w:b/>
          <w:bCs/>
          <w:u w:val="single"/>
        </w:rPr>
        <w:t xml:space="preserve"> [</w:t>
      </w:r>
      <w:r w:rsidR="00972C01" w:rsidRPr="001D639D">
        <w:rPr>
          <w:b/>
          <w:bCs/>
          <w:u w:val="single"/>
        </w:rPr>
        <w:t xml:space="preserve">Former </w:t>
      </w:r>
      <w:r w:rsidR="002A1937" w:rsidRPr="001D639D">
        <w:rPr>
          <w:b/>
          <w:bCs/>
          <w:u w:val="single"/>
        </w:rPr>
        <w:t>Spend-</w:t>
      </w:r>
      <w:r w:rsidR="00972C01" w:rsidRPr="001D639D">
        <w:rPr>
          <w:b/>
          <w:bCs/>
          <w:u w:val="single"/>
        </w:rPr>
        <w:t>Down</w:t>
      </w:r>
      <w:r w:rsidR="002A1937" w:rsidRPr="001D639D">
        <w:rPr>
          <w:b/>
          <w:bCs/>
          <w:u w:val="single"/>
        </w:rPr>
        <w:t xml:space="preserve"> Enrollees]</w:t>
      </w:r>
      <w:r w:rsidRPr="00C51390">
        <w:rPr>
          <w:b/>
          <w:bCs/>
        </w:rPr>
        <w:t>:</w:t>
      </w:r>
      <w:r>
        <w:t xml:space="preserve"> </w:t>
      </w:r>
      <w:r w:rsidRPr="00C51390">
        <w:t xml:space="preserve">The first group includes individuals </w:t>
      </w:r>
      <w:r w:rsidR="00867440">
        <w:t xml:space="preserve">with income over 150 percent of the Federal Poverty Limit (FPL) </w:t>
      </w:r>
      <w:r w:rsidR="002A1937">
        <w:t xml:space="preserve">who were </w:t>
      </w:r>
      <w:r w:rsidRPr="00C51390">
        <w:t xml:space="preserve">enrolled in </w:t>
      </w:r>
      <w:r w:rsidR="00867440">
        <w:t xml:space="preserve">both </w:t>
      </w:r>
      <w:r w:rsidR="002A1937">
        <w:t xml:space="preserve">Medicare and </w:t>
      </w:r>
      <w:r w:rsidR="00867440">
        <w:t xml:space="preserve">the State’s </w:t>
      </w:r>
      <w:r w:rsidRPr="00C51390">
        <w:t xml:space="preserve">Medicaid </w:t>
      </w:r>
      <w:r w:rsidR="002A1937">
        <w:t>S</w:t>
      </w:r>
      <w:r w:rsidR="002A1937" w:rsidRPr="00C51390">
        <w:t>pend</w:t>
      </w:r>
      <w:r w:rsidR="002A1937">
        <w:t>-</w:t>
      </w:r>
      <w:r w:rsidRPr="00C51390">
        <w:t xml:space="preserve">down </w:t>
      </w:r>
      <w:r w:rsidR="002A1937">
        <w:t xml:space="preserve">program as of </w:t>
      </w:r>
      <w:r w:rsidRPr="00C51390">
        <w:t>May 31, 201</w:t>
      </w:r>
      <w:r w:rsidR="00867440">
        <w:t>4</w:t>
      </w:r>
      <w:r w:rsidR="00E90F31">
        <w:t xml:space="preserve"> (</w:t>
      </w:r>
      <w:r w:rsidR="00824B35">
        <w:t xml:space="preserve">the last day the State operated under 209(b) </w:t>
      </w:r>
      <w:r w:rsidR="006051D5">
        <w:t>status</w:t>
      </w:r>
      <w:r w:rsidR="00E90F31">
        <w:t>)</w:t>
      </w:r>
      <w:r w:rsidR="00867440">
        <w:t>.</w:t>
      </w:r>
      <w:r w:rsidRPr="00C51390">
        <w:t xml:space="preserve"> </w:t>
      </w:r>
      <w:r w:rsidR="00867440">
        <w:t xml:space="preserve"> </w:t>
      </w:r>
      <w:r w:rsidRPr="00C51390">
        <w:t xml:space="preserve">This </w:t>
      </w:r>
      <w:r w:rsidR="00E90F31">
        <w:t>population</w:t>
      </w:r>
      <w:r w:rsidR="00E90F31" w:rsidRPr="00C51390">
        <w:t xml:space="preserve"> </w:t>
      </w:r>
      <w:r w:rsidRPr="00C51390">
        <w:t xml:space="preserve">met the </w:t>
      </w:r>
      <w:r w:rsidR="00E90F31" w:rsidRPr="00C51390">
        <w:t>spend</w:t>
      </w:r>
      <w:r w:rsidR="00E90F31">
        <w:t>-</w:t>
      </w:r>
      <w:r w:rsidRPr="00C51390">
        <w:t xml:space="preserve">down eligibility requirements in effect under the State’s 209(b) rules as of May 31, 2014, </w:t>
      </w:r>
      <w:r w:rsidR="00E90F31">
        <w:t>and were not subject to</w:t>
      </w:r>
      <w:r w:rsidRPr="00C51390">
        <w:t xml:space="preserve"> an upper income limit.  </w:t>
      </w:r>
      <w:r w:rsidR="00E90F31">
        <w:t>These enrollees would have lost access to supplemental ESRD coverage as a result of the State’s transition</w:t>
      </w:r>
      <w:r w:rsidR="006051D5">
        <w:t xml:space="preserve"> to a 1634 state</w:t>
      </w:r>
      <w:r w:rsidR="00E90F31" w:rsidRPr="00C51390">
        <w:t xml:space="preserve">.  </w:t>
      </w:r>
      <w:r w:rsidRPr="00C51390">
        <w:t xml:space="preserve">These individuals are referred to as “former spend down enrollees” in this waiver renewal request. </w:t>
      </w:r>
    </w:p>
    <w:p w14:paraId="77D7D843" w14:textId="77777777" w:rsidR="00C51390" w:rsidRPr="00C51390" w:rsidRDefault="00C51390" w:rsidP="00C51390">
      <w:pPr>
        <w:spacing w:after="16" w:line="259" w:lineRule="auto"/>
        <w:ind w:left="0" w:firstLine="0"/>
        <w:jc w:val="left"/>
      </w:pPr>
      <w:r w:rsidRPr="00C51390">
        <w:t xml:space="preserve"> </w:t>
      </w:r>
    </w:p>
    <w:p w14:paraId="7182C0EE" w14:textId="6DCCE818" w:rsidR="00C51390" w:rsidRDefault="00C51390" w:rsidP="00C51390">
      <w:pPr>
        <w:spacing w:after="16" w:line="259" w:lineRule="auto"/>
        <w:ind w:left="720"/>
        <w:jc w:val="left"/>
      </w:pPr>
      <w:r w:rsidRPr="001D639D">
        <w:rPr>
          <w:b/>
          <w:bCs/>
          <w:u w:val="single"/>
        </w:rPr>
        <w:t>Population 2</w:t>
      </w:r>
      <w:r w:rsidR="002A1937" w:rsidRPr="001D639D">
        <w:rPr>
          <w:b/>
          <w:bCs/>
          <w:u w:val="single"/>
        </w:rPr>
        <w:t xml:space="preserve"> [</w:t>
      </w:r>
      <w:r w:rsidR="00972C01" w:rsidRPr="001D639D">
        <w:rPr>
          <w:b/>
          <w:bCs/>
          <w:u w:val="single"/>
        </w:rPr>
        <w:t>New Enrollee</w:t>
      </w:r>
      <w:r w:rsidR="002A1937" w:rsidRPr="001D639D">
        <w:rPr>
          <w:b/>
          <w:bCs/>
          <w:u w:val="single"/>
        </w:rPr>
        <w:t>s]</w:t>
      </w:r>
      <w:r w:rsidRPr="00C51390">
        <w:rPr>
          <w:b/>
          <w:bCs/>
        </w:rPr>
        <w:t>:</w:t>
      </w:r>
      <w:r>
        <w:t xml:space="preserve"> </w:t>
      </w:r>
      <w:r w:rsidRPr="00C51390">
        <w:t xml:space="preserve">In addition to transitioning former </w:t>
      </w:r>
      <w:r w:rsidR="00E90F31" w:rsidRPr="00C51390">
        <w:t>spend</w:t>
      </w:r>
      <w:r w:rsidR="00E90F31">
        <w:t>-</w:t>
      </w:r>
      <w:r w:rsidRPr="00C51390">
        <w:t xml:space="preserve">down enrollees to the ESRD </w:t>
      </w:r>
      <w:r w:rsidR="00E90F31">
        <w:t>§</w:t>
      </w:r>
      <w:r w:rsidRPr="00C51390">
        <w:t xml:space="preserve">1115 effective June 1, 2014, new enrollees were also permitted. However, </w:t>
      </w:r>
      <w:r w:rsidR="00E90F31">
        <w:t>the ESRD waiver applied an</w:t>
      </w:r>
      <w:r w:rsidRPr="00C51390">
        <w:t xml:space="preserve"> income limit of 300 percent FPL </w:t>
      </w:r>
      <w:r w:rsidR="00AD767F">
        <w:t>to</w:t>
      </w:r>
      <w:r w:rsidR="00E90F31">
        <w:t xml:space="preserve"> this population</w:t>
      </w:r>
      <w:r w:rsidRPr="00C51390">
        <w:t xml:space="preserve">.  This income limit applies to all ESRD </w:t>
      </w:r>
      <w:r w:rsidR="00E90F31">
        <w:t>§</w:t>
      </w:r>
      <w:r w:rsidRPr="00C51390">
        <w:t xml:space="preserve">1115 enrollees who were not </w:t>
      </w:r>
      <w:r w:rsidR="00E90F31">
        <w:t>enrolled in the Indiana</w:t>
      </w:r>
      <w:r w:rsidR="00E90F31" w:rsidRPr="00C51390">
        <w:t xml:space="preserve"> spend</w:t>
      </w:r>
      <w:r w:rsidR="00E90F31">
        <w:t>-</w:t>
      </w:r>
      <w:r w:rsidRPr="00C51390">
        <w:t xml:space="preserve">down </w:t>
      </w:r>
      <w:r w:rsidR="00E90F31">
        <w:t xml:space="preserve">program </w:t>
      </w:r>
      <w:r w:rsidRPr="00C51390">
        <w:t xml:space="preserve">as of May 31, 2014.  Such enrollees are referred to as “new enrollees” in this waiver request.   </w:t>
      </w:r>
    </w:p>
    <w:p w14:paraId="3B9BE06E" w14:textId="77777777" w:rsidR="00C51390" w:rsidRDefault="00C51390" w:rsidP="00C51390">
      <w:pPr>
        <w:spacing w:after="16" w:line="259" w:lineRule="auto"/>
        <w:ind w:left="720"/>
        <w:jc w:val="left"/>
      </w:pPr>
    </w:p>
    <w:p w14:paraId="0EF30A5E" w14:textId="58EBB89A" w:rsidR="00EB3206" w:rsidRDefault="00EB3206" w:rsidP="00C51390">
      <w:pPr>
        <w:spacing w:after="204"/>
        <w:ind w:left="-5" w:right="13"/>
      </w:pPr>
      <w:r>
        <w:t xml:space="preserve">As of March 2020, there are </w:t>
      </w:r>
      <w:r w:rsidR="00972C01">
        <w:t xml:space="preserve">39 </w:t>
      </w:r>
      <w:r w:rsidR="00E90F31">
        <w:t xml:space="preserve">members enrolled in </w:t>
      </w:r>
      <w:r>
        <w:t xml:space="preserve">Population 1 and </w:t>
      </w:r>
      <w:r w:rsidR="00972C01">
        <w:t>286</w:t>
      </w:r>
      <w:r w:rsidR="00E90F31">
        <w:t xml:space="preserve"> members </w:t>
      </w:r>
      <w:r w:rsidR="006051D5">
        <w:t xml:space="preserve">enrolled </w:t>
      </w:r>
      <w:r w:rsidR="00E90F31">
        <w:t xml:space="preserve">in </w:t>
      </w:r>
      <w:r>
        <w:t>Population 2</w:t>
      </w:r>
      <w:r w:rsidR="00E90F31">
        <w:t>.</w:t>
      </w:r>
    </w:p>
    <w:p w14:paraId="74EFEF99" w14:textId="6EEE2397" w:rsidR="00EB3206" w:rsidRDefault="00EB3206" w:rsidP="00C51390">
      <w:pPr>
        <w:ind w:left="-5" w:right="13"/>
      </w:pPr>
      <w:r>
        <w:lastRenderedPageBreak/>
        <w:t xml:space="preserve">To </w:t>
      </w:r>
      <w:r w:rsidR="00465219">
        <w:t>gain</w:t>
      </w:r>
      <w:r w:rsidR="006051D5">
        <w:t xml:space="preserve"> </w:t>
      </w:r>
      <w:r>
        <w:t xml:space="preserve">full </w:t>
      </w:r>
      <w:r w:rsidR="006051D5">
        <w:t xml:space="preserve">Medicaid </w:t>
      </w:r>
      <w:r>
        <w:t xml:space="preserve">coverage </w:t>
      </w:r>
      <w:r w:rsidR="00465219">
        <w:t xml:space="preserve">through </w:t>
      </w:r>
      <w:r>
        <w:t xml:space="preserve">the ESRD </w:t>
      </w:r>
      <w:r w:rsidR="006051D5">
        <w:t>§</w:t>
      </w:r>
      <w:r>
        <w:t>1115</w:t>
      </w:r>
      <w:r w:rsidR="006051D5">
        <w:t xml:space="preserve"> demonstration</w:t>
      </w:r>
      <w:r>
        <w:t>, all enrolled individuals</w:t>
      </w:r>
      <w:r w:rsidR="006051D5">
        <w:t xml:space="preserve"> (</w:t>
      </w:r>
      <w:r>
        <w:t xml:space="preserve">regardless of </w:t>
      </w:r>
      <w:r w:rsidR="006051D5">
        <w:t>population)</w:t>
      </w:r>
      <w:r>
        <w:t xml:space="preserve"> must incur</w:t>
      </w:r>
      <w:r w:rsidR="006051D5">
        <w:t xml:space="preserve"> sufficient </w:t>
      </w:r>
      <w:r>
        <w:t xml:space="preserve">medical expenses </w:t>
      </w:r>
      <w:r w:rsidR="006051D5">
        <w:t xml:space="preserve">to </w:t>
      </w:r>
      <w:r>
        <w:t xml:space="preserve">bring their income </w:t>
      </w:r>
      <w:r w:rsidR="006051D5">
        <w:t xml:space="preserve">down </w:t>
      </w:r>
      <w:r>
        <w:t>to the Supplemental Security Income (SSI) federal benefit rate (FBR).</w:t>
      </w:r>
      <w:r w:rsidR="006051D5">
        <w:t xml:space="preserve">  All </w:t>
      </w:r>
      <w:r w:rsidR="00465219">
        <w:t>enrollees must repeat this same</w:t>
      </w:r>
      <w:r w:rsidR="006051D5">
        <w:t xml:space="preserve"> process each month in order to meet their respective ESRD </w:t>
      </w:r>
      <w:r w:rsidR="00A45B18">
        <w:t>liabilities.</w:t>
      </w:r>
    </w:p>
    <w:p w14:paraId="6E1E4FC3" w14:textId="77777777" w:rsidR="00C51390" w:rsidRDefault="00C51390" w:rsidP="00C51390">
      <w:pPr>
        <w:ind w:left="-5" w:right="13"/>
      </w:pPr>
    </w:p>
    <w:p w14:paraId="12B0ADCE" w14:textId="4A383569" w:rsidR="006B22C6" w:rsidRDefault="00D43695" w:rsidP="006B22C6">
      <w:pPr>
        <w:spacing w:after="204"/>
        <w:ind w:left="-5" w:right="13"/>
      </w:pPr>
      <w:r>
        <w:t xml:space="preserve">In order to qualify for the ESRD demonstration, </w:t>
      </w:r>
      <w:r w:rsidR="0073651F">
        <w:t xml:space="preserve">new </w:t>
      </w:r>
      <w:r>
        <w:t xml:space="preserve">enrollees must meet the following eligibility requirements: </w:t>
      </w:r>
    </w:p>
    <w:p w14:paraId="06042E2F" w14:textId="40D85BF4" w:rsidR="006B22C6" w:rsidRPr="008645FC" w:rsidRDefault="006B22C6" w:rsidP="006B22C6">
      <w:pPr>
        <w:pStyle w:val="ListParagraph"/>
        <w:numPr>
          <w:ilvl w:val="0"/>
          <w:numId w:val="15"/>
        </w:numPr>
        <w:spacing w:after="0" w:line="240" w:lineRule="auto"/>
        <w:jc w:val="left"/>
        <w:rPr>
          <w:bCs/>
        </w:rPr>
      </w:pPr>
      <w:r>
        <w:rPr>
          <w:bCs/>
        </w:rPr>
        <w:t>Enrollee has a c</w:t>
      </w:r>
      <w:r w:rsidRPr="008645FC">
        <w:rPr>
          <w:bCs/>
        </w:rPr>
        <w:t>urrent diagnosis of End-Stage Renal Disease</w:t>
      </w:r>
      <w:r w:rsidR="006051D5">
        <w:rPr>
          <w:bCs/>
        </w:rPr>
        <w:t>;</w:t>
      </w:r>
    </w:p>
    <w:p w14:paraId="696C7D3D" w14:textId="474C8279" w:rsidR="006B22C6" w:rsidRPr="008645FC" w:rsidRDefault="006B22C6" w:rsidP="006B22C6">
      <w:pPr>
        <w:pStyle w:val="ListParagraph"/>
        <w:numPr>
          <w:ilvl w:val="0"/>
          <w:numId w:val="15"/>
        </w:numPr>
        <w:spacing w:after="0" w:line="240" w:lineRule="auto"/>
        <w:jc w:val="left"/>
        <w:rPr>
          <w:bCs/>
        </w:rPr>
      </w:pPr>
      <w:r>
        <w:rPr>
          <w:bCs/>
        </w:rPr>
        <w:t>Enrollee is a</w:t>
      </w:r>
      <w:r w:rsidRPr="008645FC">
        <w:rPr>
          <w:bCs/>
        </w:rPr>
        <w:t>pproved to receive Medicare part A and B</w:t>
      </w:r>
      <w:r w:rsidR="006051D5">
        <w:rPr>
          <w:bCs/>
        </w:rPr>
        <w:t>;</w:t>
      </w:r>
    </w:p>
    <w:p w14:paraId="020D87E6" w14:textId="5D3625D6" w:rsidR="006B22C6" w:rsidRPr="008645FC" w:rsidRDefault="006B22C6" w:rsidP="006B22C6">
      <w:pPr>
        <w:pStyle w:val="ListParagraph"/>
        <w:numPr>
          <w:ilvl w:val="0"/>
          <w:numId w:val="15"/>
        </w:numPr>
        <w:spacing w:after="0" w:line="240" w:lineRule="auto"/>
        <w:jc w:val="left"/>
        <w:rPr>
          <w:bCs/>
        </w:rPr>
      </w:pPr>
      <w:r>
        <w:rPr>
          <w:bCs/>
        </w:rPr>
        <w:t>Enrollee has r</w:t>
      </w:r>
      <w:r w:rsidRPr="008645FC">
        <w:rPr>
          <w:bCs/>
        </w:rPr>
        <w:t>esources under $</w:t>
      </w:r>
      <w:r>
        <w:rPr>
          <w:bCs/>
        </w:rPr>
        <w:t>2,250</w:t>
      </w:r>
      <w:r w:rsidRPr="008645FC">
        <w:rPr>
          <w:bCs/>
        </w:rPr>
        <w:t xml:space="preserve"> for an individual, under $</w:t>
      </w:r>
      <w:r>
        <w:rPr>
          <w:bCs/>
        </w:rPr>
        <w:t>3,000</w:t>
      </w:r>
      <w:r w:rsidRPr="008645FC">
        <w:rPr>
          <w:bCs/>
        </w:rPr>
        <w:t xml:space="preserve"> for a couple</w:t>
      </w:r>
      <w:r w:rsidR="006051D5">
        <w:rPr>
          <w:bCs/>
        </w:rPr>
        <w:t>;</w:t>
      </w:r>
    </w:p>
    <w:p w14:paraId="5C2323E5" w14:textId="01566055" w:rsidR="006B22C6" w:rsidRPr="008645FC" w:rsidRDefault="006B22C6" w:rsidP="006B22C6">
      <w:pPr>
        <w:pStyle w:val="ListParagraph"/>
        <w:numPr>
          <w:ilvl w:val="0"/>
          <w:numId w:val="15"/>
        </w:numPr>
        <w:spacing w:after="0" w:line="240" w:lineRule="auto"/>
        <w:jc w:val="left"/>
        <w:rPr>
          <w:bCs/>
        </w:rPr>
      </w:pPr>
      <w:r>
        <w:rPr>
          <w:bCs/>
        </w:rPr>
        <w:t>Enrollee is n</w:t>
      </w:r>
      <w:r w:rsidRPr="008645FC">
        <w:rPr>
          <w:bCs/>
        </w:rPr>
        <w:t>ot institutionalized</w:t>
      </w:r>
      <w:r w:rsidR="006051D5">
        <w:rPr>
          <w:bCs/>
        </w:rPr>
        <w:t>;</w:t>
      </w:r>
    </w:p>
    <w:p w14:paraId="4B2501E0" w14:textId="69BA4B55" w:rsidR="006B22C6" w:rsidRDefault="006B22C6" w:rsidP="006B22C6">
      <w:pPr>
        <w:pStyle w:val="ListParagraph"/>
        <w:numPr>
          <w:ilvl w:val="0"/>
          <w:numId w:val="15"/>
        </w:numPr>
        <w:spacing w:after="0" w:line="240" w:lineRule="auto"/>
        <w:jc w:val="left"/>
        <w:rPr>
          <w:bCs/>
        </w:rPr>
      </w:pPr>
      <w:r>
        <w:rPr>
          <w:bCs/>
        </w:rPr>
        <w:t>Enrollee meets</w:t>
      </w:r>
      <w:r w:rsidRPr="008645FC">
        <w:rPr>
          <w:bCs/>
        </w:rPr>
        <w:t xml:space="preserve"> all non-financial Medicaid eligibility requirements</w:t>
      </w:r>
      <w:r w:rsidR="006051D5">
        <w:rPr>
          <w:bCs/>
        </w:rPr>
        <w:t xml:space="preserve">; </w:t>
      </w:r>
      <w:r>
        <w:rPr>
          <w:bCs/>
        </w:rPr>
        <w:t>and</w:t>
      </w:r>
    </w:p>
    <w:p w14:paraId="65C5DE9E" w14:textId="77777777" w:rsidR="006B22C6" w:rsidRDefault="006B22C6" w:rsidP="006B22C6">
      <w:pPr>
        <w:pStyle w:val="ListParagraph"/>
        <w:numPr>
          <w:ilvl w:val="0"/>
          <w:numId w:val="15"/>
        </w:numPr>
        <w:spacing w:after="204"/>
        <w:ind w:right="13"/>
      </w:pPr>
      <w:r>
        <w:rPr>
          <w:bCs/>
        </w:rPr>
        <w:t>Enrollee is not eligible for any other Medicaid</w:t>
      </w:r>
      <w:r>
        <w:t xml:space="preserve"> category.</w:t>
      </w:r>
    </w:p>
    <w:p w14:paraId="1ADC682C" w14:textId="3B6B0BFD" w:rsidR="0084425D" w:rsidRDefault="0084425D" w:rsidP="0084425D">
      <w:pPr>
        <w:spacing w:after="204"/>
        <w:ind w:left="0" w:right="13" w:firstLine="0"/>
      </w:pPr>
      <w:r>
        <w:t>A summary of the ESRD eligibility criteria by population group is illustrated in Table 1 below.</w:t>
      </w:r>
    </w:p>
    <w:p w14:paraId="73ADFA02" w14:textId="1738526A" w:rsidR="0084425D" w:rsidRPr="008F09A0" w:rsidRDefault="008F09A0" w:rsidP="008F09A0">
      <w:pPr>
        <w:ind w:left="0" w:firstLine="0"/>
        <w:rPr>
          <w:b/>
          <w:bCs/>
        </w:rPr>
      </w:pPr>
      <w:r w:rsidRPr="00EA2F6D">
        <w:rPr>
          <w:b/>
          <w:bCs/>
        </w:rPr>
        <w:t xml:space="preserve">Table </w:t>
      </w:r>
      <w:r w:rsidR="009E247F">
        <w:rPr>
          <w:b/>
          <w:bCs/>
        </w:rPr>
        <w:t>1</w:t>
      </w:r>
      <w:r w:rsidR="00EC3304">
        <w:rPr>
          <w:b/>
          <w:bCs/>
        </w:rPr>
        <w:t>:</w:t>
      </w:r>
      <w:r w:rsidR="00EC3304" w:rsidRPr="00EA2F6D">
        <w:rPr>
          <w:b/>
          <w:bCs/>
        </w:rPr>
        <w:t xml:space="preserve"> </w:t>
      </w:r>
      <w:r>
        <w:rPr>
          <w:b/>
          <w:bCs/>
        </w:rPr>
        <w:t>Summary of ESRD 1115 demonstration eligibility</w:t>
      </w:r>
      <w:r w:rsidRPr="00EA2F6D">
        <w:rPr>
          <w:b/>
          <w:bCs/>
        </w:rPr>
        <w:t xml:space="preserve">. </w:t>
      </w:r>
    </w:p>
    <w:tbl>
      <w:tblPr>
        <w:tblStyle w:val="TableGrid"/>
        <w:tblW w:w="8869" w:type="dxa"/>
        <w:tblInd w:w="6"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top w:w="23" w:type="dxa"/>
          <w:bottom w:w="7" w:type="dxa"/>
          <w:right w:w="82" w:type="dxa"/>
        </w:tblCellMar>
        <w:tblLook w:val="04A0" w:firstRow="1" w:lastRow="0" w:firstColumn="1" w:lastColumn="0" w:noHBand="0" w:noVBand="1"/>
      </w:tblPr>
      <w:tblGrid>
        <w:gridCol w:w="2283"/>
        <w:gridCol w:w="6586"/>
      </w:tblGrid>
      <w:tr w:rsidR="00CD6EE8" w14:paraId="3930CB4E" w14:textId="77777777" w:rsidTr="001D639D">
        <w:trPr>
          <w:trHeight w:val="262"/>
        </w:trPr>
        <w:tc>
          <w:tcPr>
            <w:tcW w:w="2283" w:type="dxa"/>
            <w:tcBorders>
              <w:top w:val="single" w:sz="4" w:space="0" w:color="8EAADB" w:themeColor="accent1" w:themeTint="99"/>
              <w:left w:val="single" w:sz="4" w:space="0" w:color="8EAADB" w:themeColor="accent1" w:themeTint="99"/>
              <w:bottom w:val="single" w:sz="4" w:space="0" w:color="8EAADB" w:themeColor="accent1" w:themeTint="99"/>
              <w:right w:val="nil"/>
            </w:tcBorders>
            <w:shd w:val="clear" w:color="auto" w:fill="4472C4" w:themeFill="accent1"/>
          </w:tcPr>
          <w:p w14:paraId="1304B148" w14:textId="77777777" w:rsidR="00CD6EE8" w:rsidRPr="0084425D" w:rsidRDefault="00CD6EE8" w:rsidP="0084425D">
            <w:pPr>
              <w:spacing w:after="0" w:line="240" w:lineRule="auto"/>
              <w:ind w:left="82" w:firstLine="0"/>
              <w:jc w:val="center"/>
              <w:rPr>
                <w:color w:val="FFFFFF" w:themeColor="background1"/>
              </w:rPr>
            </w:pPr>
            <w:r w:rsidRPr="0084425D">
              <w:rPr>
                <w:b/>
                <w:color w:val="FFFFFF" w:themeColor="background1"/>
              </w:rPr>
              <w:t xml:space="preserve">Group </w:t>
            </w:r>
          </w:p>
        </w:tc>
        <w:tc>
          <w:tcPr>
            <w:tcW w:w="6586" w:type="dxa"/>
            <w:tcBorders>
              <w:top w:val="single" w:sz="4" w:space="0" w:color="8EAADB" w:themeColor="accent1" w:themeTint="99"/>
              <w:left w:val="nil"/>
              <w:bottom w:val="single" w:sz="4" w:space="0" w:color="8EAADB" w:themeColor="accent1" w:themeTint="99"/>
              <w:right w:val="single" w:sz="4" w:space="0" w:color="8EAADB" w:themeColor="accent1" w:themeTint="99"/>
            </w:tcBorders>
            <w:shd w:val="clear" w:color="auto" w:fill="4472C4" w:themeFill="accent1"/>
          </w:tcPr>
          <w:p w14:paraId="63AE84FD" w14:textId="77777777" w:rsidR="00CD6EE8" w:rsidRPr="0084425D" w:rsidRDefault="00CD6EE8" w:rsidP="0084425D">
            <w:pPr>
              <w:spacing w:after="0" w:line="240" w:lineRule="auto"/>
              <w:ind w:left="624" w:firstLine="0"/>
              <w:jc w:val="left"/>
              <w:rPr>
                <w:color w:val="FFFFFF" w:themeColor="background1"/>
              </w:rPr>
            </w:pPr>
            <w:r w:rsidRPr="0084425D">
              <w:rPr>
                <w:b/>
                <w:color w:val="FFFFFF" w:themeColor="background1"/>
              </w:rPr>
              <w:t xml:space="preserve">Eligibility Criteria </w:t>
            </w:r>
          </w:p>
        </w:tc>
      </w:tr>
      <w:tr w:rsidR="008734C5" w14:paraId="3CAD890A" w14:textId="77777777" w:rsidTr="001D639D">
        <w:trPr>
          <w:trHeight w:val="2608"/>
        </w:trPr>
        <w:tc>
          <w:tcPr>
            <w:tcW w:w="22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1FF450AC" w14:textId="1689BE6A" w:rsidR="008734C5" w:rsidRPr="0084425D" w:rsidRDefault="008734C5" w:rsidP="008734C5">
            <w:pPr>
              <w:spacing w:after="0" w:line="240" w:lineRule="auto"/>
              <w:ind w:left="108" w:firstLine="0"/>
              <w:jc w:val="left"/>
              <w:rPr>
                <w:b/>
                <w:bCs/>
              </w:rPr>
            </w:pPr>
            <w:r>
              <w:rPr>
                <w:b/>
                <w:bCs/>
              </w:rPr>
              <w:t xml:space="preserve">Population 1 – </w:t>
            </w:r>
            <w:r w:rsidRPr="0084425D">
              <w:rPr>
                <w:b/>
                <w:bCs/>
              </w:rPr>
              <w:t xml:space="preserve">Former Spend Down </w:t>
            </w:r>
          </w:p>
          <w:p w14:paraId="7AC78815" w14:textId="77777777" w:rsidR="008734C5" w:rsidRPr="0084425D" w:rsidRDefault="008734C5" w:rsidP="008734C5">
            <w:pPr>
              <w:spacing w:after="0" w:line="240" w:lineRule="auto"/>
              <w:ind w:left="108" w:firstLine="0"/>
              <w:jc w:val="left"/>
              <w:rPr>
                <w:b/>
                <w:bCs/>
              </w:rPr>
            </w:pPr>
            <w:r w:rsidRPr="0084425D">
              <w:rPr>
                <w:b/>
                <w:bCs/>
              </w:rPr>
              <w:t xml:space="preserve">Enrollees </w:t>
            </w:r>
          </w:p>
        </w:tc>
        <w:tc>
          <w:tcPr>
            <w:tcW w:w="658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158637E3" w14:textId="77777777" w:rsidR="008734C5" w:rsidRPr="008645FC" w:rsidRDefault="008734C5" w:rsidP="00360C44">
            <w:pPr>
              <w:pStyle w:val="ListParagraph"/>
              <w:numPr>
                <w:ilvl w:val="0"/>
                <w:numId w:val="20"/>
              </w:numPr>
              <w:spacing w:after="0" w:line="240" w:lineRule="auto"/>
              <w:jc w:val="left"/>
              <w:rPr>
                <w:b/>
              </w:rPr>
            </w:pPr>
            <w:r w:rsidRPr="008645FC">
              <w:rPr>
                <w:b/>
              </w:rPr>
              <w:t>On Medicaid before May 31, 2014</w:t>
            </w:r>
          </w:p>
          <w:p w14:paraId="591ABDF4" w14:textId="3BAA1AF7" w:rsidR="008734C5" w:rsidRPr="008645FC" w:rsidRDefault="008734C5" w:rsidP="00360C44">
            <w:pPr>
              <w:pStyle w:val="ListParagraph"/>
              <w:numPr>
                <w:ilvl w:val="0"/>
                <w:numId w:val="20"/>
              </w:numPr>
              <w:spacing w:after="0" w:line="240" w:lineRule="auto"/>
              <w:jc w:val="left"/>
              <w:rPr>
                <w:b/>
              </w:rPr>
            </w:pPr>
            <w:r w:rsidRPr="008645FC">
              <w:rPr>
                <w:b/>
              </w:rPr>
              <w:t>Non-MAGI income is over 150% FPL, with no upper limit</w:t>
            </w:r>
          </w:p>
          <w:p w14:paraId="71F62636" w14:textId="77777777" w:rsidR="008734C5" w:rsidRPr="008645FC" w:rsidRDefault="008734C5" w:rsidP="006E4957">
            <w:pPr>
              <w:pStyle w:val="ListParagraph"/>
              <w:numPr>
                <w:ilvl w:val="0"/>
                <w:numId w:val="20"/>
              </w:numPr>
              <w:spacing w:after="0" w:line="240" w:lineRule="auto"/>
              <w:jc w:val="left"/>
              <w:rPr>
                <w:bCs/>
              </w:rPr>
            </w:pPr>
            <w:r w:rsidRPr="008645FC">
              <w:rPr>
                <w:bCs/>
              </w:rPr>
              <w:t>Current diagnosis of End-Stage Renal Disease</w:t>
            </w:r>
          </w:p>
          <w:p w14:paraId="0B24C707" w14:textId="77777777" w:rsidR="008734C5" w:rsidRPr="008645FC" w:rsidRDefault="008734C5">
            <w:pPr>
              <w:pStyle w:val="ListParagraph"/>
              <w:numPr>
                <w:ilvl w:val="0"/>
                <w:numId w:val="20"/>
              </w:numPr>
              <w:spacing w:after="0" w:line="240" w:lineRule="auto"/>
              <w:jc w:val="left"/>
              <w:rPr>
                <w:bCs/>
              </w:rPr>
            </w:pPr>
            <w:r w:rsidRPr="008645FC">
              <w:rPr>
                <w:bCs/>
              </w:rPr>
              <w:t>Approved to receive Medicare part A and B</w:t>
            </w:r>
          </w:p>
          <w:p w14:paraId="1CF4101E" w14:textId="77777777" w:rsidR="008734C5" w:rsidRPr="008645FC" w:rsidRDefault="008734C5">
            <w:pPr>
              <w:pStyle w:val="ListParagraph"/>
              <w:numPr>
                <w:ilvl w:val="0"/>
                <w:numId w:val="20"/>
              </w:numPr>
              <w:spacing w:after="0" w:line="240" w:lineRule="auto"/>
              <w:jc w:val="left"/>
              <w:rPr>
                <w:bCs/>
              </w:rPr>
            </w:pPr>
            <w:r w:rsidRPr="008645FC">
              <w:rPr>
                <w:bCs/>
              </w:rPr>
              <w:t>Resources under $</w:t>
            </w:r>
            <w:r>
              <w:rPr>
                <w:bCs/>
              </w:rPr>
              <w:t>2,250</w:t>
            </w:r>
            <w:r w:rsidRPr="008645FC">
              <w:rPr>
                <w:bCs/>
              </w:rPr>
              <w:t xml:space="preserve"> for an individual, under $</w:t>
            </w:r>
            <w:r>
              <w:rPr>
                <w:bCs/>
              </w:rPr>
              <w:t>3,000</w:t>
            </w:r>
            <w:r w:rsidRPr="008645FC">
              <w:rPr>
                <w:bCs/>
              </w:rPr>
              <w:t xml:space="preserve"> for a couple</w:t>
            </w:r>
          </w:p>
          <w:p w14:paraId="5A1B07B1" w14:textId="77777777" w:rsidR="008734C5" w:rsidRPr="008645FC" w:rsidRDefault="008734C5">
            <w:pPr>
              <w:pStyle w:val="ListParagraph"/>
              <w:numPr>
                <w:ilvl w:val="0"/>
                <w:numId w:val="20"/>
              </w:numPr>
              <w:spacing w:after="0" w:line="240" w:lineRule="auto"/>
              <w:jc w:val="left"/>
              <w:rPr>
                <w:bCs/>
              </w:rPr>
            </w:pPr>
            <w:r w:rsidRPr="008645FC">
              <w:rPr>
                <w:bCs/>
              </w:rPr>
              <w:t>Not institutionalized</w:t>
            </w:r>
          </w:p>
          <w:p w14:paraId="5A03055D" w14:textId="77777777" w:rsidR="008734C5" w:rsidRDefault="008734C5">
            <w:pPr>
              <w:pStyle w:val="ListParagraph"/>
              <w:numPr>
                <w:ilvl w:val="0"/>
                <w:numId w:val="20"/>
              </w:numPr>
              <w:spacing w:after="0" w:line="240" w:lineRule="auto"/>
              <w:jc w:val="left"/>
              <w:rPr>
                <w:bCs/>
              </w:rPr>
            </w:pPr>
            <w:r w:rsidRPr="008645FC">
              <w:rPr>
                <w:bCs/>
              </w:rPr>
              <w:t>Meet all non-financial Medicaid eligibility requirements</w:t>
            </w:r>
          </w:p>
          <w:p w14:paraId="22E4C02F" w14:textId="40F1A87C" w:rsidR="008734C5" w:rsidRPr="00CD6EE8" w:rsidRDefault="008734C5">
            <w:pPr>
              <w:pStyle w:val="ListParagraph"/>
              <w:numPr>
                <w:ilvl w:val="0"/>
                <w:numId w:val="20"/>
              </w:numPr>
              <w:spacing w:after="0" w:line="240" w:lineRule="auto"/>
              <w:jc w:val="left"/>
              <w:rPr>
                <w:bCs/>
              </w:rPr>
            </w:pPr>
            <w:r>
              <w:rPr>
                <w:bCs/>
              </w:rPr>
              <w:t>Not eligible for any other Medicaid</w:t>
            </w:r>
          </w:p>
        </w:tc>
      </w:tr>
      <w:tr w:rsidR="008734C5" w14:paraId="5EC0FECB" w14:textId="77777777" w:rsidTr="001D639D">
        <w:trPr>
          <w:trHeight w:val="2734"/>
        </w:trPr>
        <w:tc>
          <w:tcPr>
            <w:tcW w:w="228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vAlign w:val="center"/>
          </w:tcPr>
          <w:p w14:paraId="686F26C9" w14:textId="0F8F7B53" w:rsidR="008734C5" w:rsidRPr="0084425D" w:rsidRDefault="008734C5" w:rsidP="008734C5">
            <w:pPr>
              <w:spacing w:after="0" w:line="240" w:lineRule="auto"/>
              <w:ind w:left="108" w:firstLine="0"/>
              <w:jc w:val="left"/>
              <w:rPr>
                <w:b/>
                <w:bCs/>
              </w:rPr>
            </w:pPr>
            <w:r>
              <w:rPr>
                <w:b/>
                <w:bCs/>
              </w:rPr>
              <w:t xml:space="preserve">Population 2 – </w:t>
            </w:r>
            <w:r w:rsidRPr="0084425D">
              <w:rPr>
                <w:b/>
                <w:bCs/>
              </w:rPr>
              <w:t xml:space="preserve">New Enrollees </w:t>
            </w:r>
          </w:p>
        </w:tc>
        <w:tc>
          <w:tcPr>
            <w:tcW w:w="658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vAlign w:val="center"/>
          </w:tcPr>
          <w:p w14:paraId="11D985E0" w14:textId="5B296CAE" w:rsidR="008734C5" w:rsidRPr="008645FC" w:rsidRDefault="008734C5" w:rsidP="00360C44">
            <w:pPr>
              <w:pStyle w:val="ListParagraph"/>
              <w:numPr>
                <w:ilvl w:val="0"/>
                <w:numId w:val="20"/>
              </w:numPr>
              <w:spacing w:after="0" w:line="240" w:lineRule="auto"/>
              <w:jc w:val="left"/>
              <w:rPr>
                <w:b/>
              </w:rPr>
            </w:pPr>
            <w:r w:rsidRPr="008645FC">
              <w:rPr>
                <w:b/>
              </w:rPr>
              <w:t xml:space="preserve">On Medicaid </w:t>
            </w:r>
            <w:r>
              <w:rPr>
                <w:b/>
              </w:rPr>
              <w:t>after</w:t>
            </w:r>
            <w:r w:rsidRPr="008645FC">
              <w:rPr>
                <w:b/>
              </w:rPr>
              <w:t xml:space="preserve"> May 31, 2014</w:t>
            </w:r>
          </w:p>
          <w:p w14:paraId="60F19A45" w14:textId="77777777" w:rsidR="008734C5" w:rsidRPr="008645FC" w:rsidRDefault="008734C5" w:rsidP="00360C44">
            <w:pPr>
              <w:pStyle w:val="ListParagraph"/>
              <w:numPr>
                <w:ilvl w:val="0"/>
                <w:numId w:val="20"/>
              </w:numPr>
              <w:spacing w:after="0" w:line="240" w:lineRule="auto"/>
              <w:jc w:val="left"/>
              <w:rPr>
                <w:b/>
              </w:rPr>
            </w:pPr>
            <w:r w:rsidRPr="008645FC">
              <w:rPr>
                <w:b/>
              </w:rPr>
              <w:t xml:space="preserve">Non-MAGI income is between 150% and 300% FPL </w:t>
            </w:r>
          </w:p>
          <w:p w14:paraId="2FB8363D" w14:textId="77777777" w:rsidR="008734C5" w:rsidRPr="008645FC" w:rsidRDefault="008734C5" w:rsidP="006E4957">
            <w:pPr>
              <w:pStyle w:val="ListParagraph"/>
              <w:numPr>
                <w:ilvl w:val="0"/>
                <w:numId w:val="20"/>
              </w:numPr>
              <w:spacing w:after="0" w:line="240" w:lineRule="auto"/>
              <w:jc w:val="left"/>
              <w:rPr>
                <w:bCs/>
              </w:rPr>
            </w:pPr>
            <w:r w:rsidRPr="008645FC">
              <w:rPr>
                <w:bCs/>
              </w:rPr>
              <w:t>Current diagnosis of End-Stage Renal Disease</w:t>
            </w:r>
          </w:p>
          <w:p w14:paraId="49058E96" w14:textId="77777777" w:rsidR="008734C5" w:rsidRPr="008645FC" w:rsidRDefault="008734C5">
            <w:pPr>
              <w:pStyle w:val="ListParagraph"/>
              <w:numPr>
                <w:ilvl w:val="0"/>
                <w:numId w:val="20"/>
              </w:numPr>
              <w:spacing w:after="0" w:line="240" w:lineRule="auto"/>
              <w:jc w:val="left"/>
              <w:rPr>
                <w:bCs/>
              </w:rPr>
            </w:pPr>
            <w:r w:rsidRPr="008645FC">
              <w:rPr>
                <w:bCs/>
              </w:rPr>
              <w:t>Approved to receive Medicare part A and B</w:t>
            </w:r>
          </w:p>
          <w:p w14:paraId="753BF4D1" w14:textId="77777777" w:rsidR="008734C5" w:rsidRPr="008645FC" w:rsidRDefault="008734C5">
            <w:pPr>
              <w:pStyle w:val="ListParagraph"/>
              <w:numPr>
                <w:ilvl w:val="0"/>
                <w:numId w:val="20"/>
              </w:numPr>
              <w:spacing w:after="0" w:line="240" w:lineRule="auto"/>
              <w:jc w:val="left"/>
              <w:rPr>
                <w:bCs/>
              </w:rPr>
            </w:pPr>
            <w:r w:rsidRPr="008645FC">
              <w:rPr>
                <w:bCs/>
              </w:rPr>
              <w:t>Resources under $</w:t>
            </w:r>
            <w:r>
              <w:rPr>
                <w:bCs/>
              </w:rPr>
              <w:t>2,250</w:t>
            </w:r>
            <w:r w:rsidRPr="008645FC">
              <w:rPr>
                <w:bCs/>
              </w:rPr>
              <w:t xml:space="preserve"> for an individual, under $</w:t>
            </w:r>
            <w:r>
              <w:rPr>
                <w:bCs/>
              </w:rPr>
              <w:t>3,000</w:t>
            </w:r>
            <w:r w:rsidRPr="008645FC">
              <w:rPr>
                <w:bCs/>
              </w:rPr>
              <w:t xml:space="preserve"> for a couple</w:t>
            </w:r>
          </w:p>
          <w:p w14:paraId="182BFE73" w14:textId="77777777" w:rsidR="008734C5" w:rsidRPr="008645FC" w:rsidRDefault="008734C5">
            <w:pPr>
              <w:pStyle w:val="ListParagraph"/>
              <w:numPr>
                <w:ilvl w:val="0"/>
                <w:numId w:val="20"/>
              </w:numPr>
              <w:spacing w:after="0" w:line="240" w:lineRule="auto"/>
              <w:jc w:val="left"/>
              <w:rPr>
                <w:bCs/>
              </w:rPr>
            </w:pPr>
            <w:r w:rsidRPr="008645FC">
              <w:rPr>
                <w:bCs/>
              </w:rPr>
              <w:t>Not institutionalized</w:t>
            </w:r>
          </w:p>
          <w:p w14:paraId="6ACD3374" w14:textId="77777777" w:rsidR="008734C5" w:rsidRDefault="008734C5">
            <w:pPr>
              <w:pStyle w:val="ListParagraph"/>
              <w:numPr>
                <w:ilvl w:val="0"/>
                <w:numId w:val="20"/>
              </w:numPr>
              <w:spacing w:after="0" w:line="240" w:lineRule="auto"/>
              <w:jc w:val="left"/>
              <w:rPr>
                <w:bCs/>
              </w:rPr>
            </w:pPr>
            <w:r w:rsidRPr="008645FC">
              <w:rPr>
                <w:bCs/>
              </w:rPr>
              <w:t>Meet all non-financial Medicaid eligibility requirements</w:t>
            </w:r>
          </w:p>
          <w:p w14:paraId="464BA335" w14:textId="5D3BD363" w:rsidR="008734C5" w:rsidRPr="00CD6EE8" w:rsidRDefault="008734C5">
            <w:pPr>
              <w:pStyle w:val="ListParagraph"/>
              <w:numPr>
                <w:ilvl w:val="0"/>
                <w:numId w:val="21"/>
              </w:numPr>
              <w:spacing w:after="0" w:line="240" w:lineRule="auto"/>
              <w:jc w:val="left"/>
              <w:rPr>
                <w:bCs/>
              </w:rPr>
            </w:pPr>
            <w:r>
              <w:rPr>
                <w:bCs/>
              </w:rPr>
              <w:t>Not eligible for any other Medicaid</w:t>
            </w:r>
          </w:p>
        </w:tc>
      </w:tr>
    </w:tbl>
    <w:p w14:paraId="4069E3A5" w14:textId="77777777" w:rsidR="00EB3206" w:rsidRDefault="00EB3206" w:rsidP="00EB3206">
      <w:pPr>
        <w:spacing w:after="0"/>
        <w:ind w:left="0" w:right="13" w:firstLine="0"/>
      </w:pPr>
    </w:p>
    <w:p w14:paraId="1812E4DB" w14:textId="43BDC8D5" w:rsidR="00225D85" w:rsidRDefault="00225D85" w:rsidP="00225D85">
      <w:pPr>
        <w:spacing w:after="204"/>
        <w:ind w:left="0" w:right="13" w:firstLine="0"/>
      </w:pPr>
      <w:r w:rsidRPr="00225D85">
        <w:t xml:space="preserve">The ESRD demonstration currently provides Medicare-enrolled individuals, who are otherwise ineligible for Medicaid, with wraparound coverage, </w:t>
      </w:r>
      <w:r w:rsidR="00A45B18">
        <w:t xml:space="preserve">which includes </w:t>
      </w:r>
      <w:r w:rsidRPr="00225D85">
        <w:t>supplemental coverage for kidney transplant services. The participants in the demonstration receive services through a fee-for-service (FFS) delivery system and</w:t>
      </w:r>
      <w:r w:rsidR="00CD6EE8">
        <w:t xml:space="preserve"> once they meet their required </w:t>
      </w:r>
      <w:r w:rsidR="00EE2942">
        <w:t>ESRD liability</w:t>
      </w:r>
      <w:r w:rsidR="00CD6EE8">
        <w:t xml:space="preserve"> </w:t>
      </w:r>
      <w:r w:rsidRPr="00225D85">
        <w:t xml:space="preserve">are subject to the same </w:t>
      </w:r>
      <w:r w:rsidR="00A45B18" w:rsidRPr="00225D85">
        <w:t>cost</w:t>
      </w:r>
      <w:r w:rsidR="00A45B18">
        <w:t>-</w:t>
      </w:r>
      <w:r w:rsidRPr="00225D85">
        <w:t xml:space="preserve">sharing as described in </w:t>
      </w:r>
      <w:r w:rsidR="00A45B18">
        <w:t xml:space="preserve">Indiana’s </w:t>
      </w:r>
      <w:r w:rsidRPr="00225D85">
        <w:t>approved Medicaid state plan.</w:t>
      </w:r>
    </w:p>
    <w:p w14:paraId="283F2F68" w14:textId="62CE6E7D" w:rsidR="002526A5" w:rsidRDefault="002526A5" w:rsidP="002526A5">
      <w:pPr>
        <w:spacing w:after="204"/>
        <w:ind w:left="0" w:right="13" w:firstLine="0"/>
      </w:pPr>
      <w:r>
        <w:lastRenderedPageBreak/>
        <w:t>ESRD demonstration enrollees also receive access to Non-Emergency Medical Transportation (NEMT</w:t>
      </w:r>
      <w:r w:rsidR="004C7250">
        <w:t>)</w:t>
      </w:r>
      <w:r>
        <w:t xml:space="preserve">, in the form of an administrative activity or service to </w:t>
      </w:r>
      <w:r w:rsidR="005A7D49">
        <w:t xml:space="preserve">ensure </w:t>
      </w:r>
      <w:r>
        <w:t>non-emergency transportation to and from providers.</w:t>
      </w:r>
    </w:p>
    <w:p w14:paraId="5C0A017F" w14:textId="3201C65F" w:rsidR="00C53532" w:rsidRDefault="00127A96" w:rsidP="00C53532">
      <w:pPr>
        <w:pStyle w:val="Heading2"/>
        <w:ind w:left="-5"/>
      </w:pPr>
      <w:bookmarkStart w:id="3" w:name="_Toc40259512"/>
      <w:r>
        <w:t>2</w:t>
      </w:r>
      <w:r w:rsidR="00C53532">
        <w:t>.</w:t>
      </w:r>
      <w:r w:rsidR="00D32DF9">
        <w:t>1</w:t>
      </w:r>
      <w:r w:rsidR="00C53532">
        <w:t xml:space="preserve"> Original Objectives</w:t>
      </w:r>
      <w:bookmarkEnd w:id="3"/>
      <w:r w:rsidR="00C53532">
        <w:t xml:space="preserve"> </w:t>
      </w:r>
    </w:p>
    <w:p w14:paraId="2D22CCCF" w14:textId="57F676AF" w:rsidR="00FD3FC6" w:rsidRDefault="00FD3FC6" w:rsidP="00FD3FC6">
      <w:pPr>
        <w:spacing w:after="204"/>
        <w:ind w:left="-5" w:right="13"/>
      </w:pPr>
      <w:bookmarkStart w:id="4" w:name="_Hlk36022769"/>
      <w:r>
        <w:t>The original objectives of this demonstration were to:</w:t>
      </w:r>
    </w:p>
    <w:bookmarkEnd w:id="4"/>
    <w:p w14:paraId="2B17E6E2" w14:textId="0A62AE70" w:rsidR="00FD3FC6" w:rsidRDefault="00FD3FC6" w:rsidP="005A7D49">
      <w:pPr>
        <w:pStyle w:val="ListParagraph"/>
        <w:numPr>
          <w:ilvl w:val="0"/>
          <w:numId w:val="9"/>
        </w:numPr>
        <w:spacing w:after="204"/>
        <w:ind w:right="13"/>
      </w:pPr>
      <w:r>
        <w:t>Increase overall coverage of low-income individuals with a diagnosis of ESRD; and</w:t>
      </w:r>
    </w:p>
    <w:p w14:paraId="14ABD4AB" w14:textId="25D3B707" w:rsidR="005E584F" w:rsidRDefault="00FD3FC6" w:rsidP="00FD3FC6">
      <w:pPr>
        <w:pStyle w:val="ListParagraph"/>
        <w:numPr>
          <w:ilvl w:val="0"/>
          <w:numId w:val="9"/>
        </w:numPr>
        <w:spacing w:after="204"/>
        <w:ind w:right="13"/>
      </w:pPr>
      <w:r>
        <w:t>Ensure access to comprehensive coverage for low-income individuals with a diagnosis of ESRD and primary coverage through Medicare.</w:t>
      </w:r>
    </w:p>
    <w:p w14:paraId="01CBD63F" w14:textId="63E11CA9" w:rsidR="005A7D49" w:rsidRPr="001D639D" w:rsidRDefault="004C7250" w:rsidP="001D639D">
      <w:pPr>
        <w:pStyle w:val="Heading2"/>
        <w:spacing w:line="269" w:lineRule="auto"/>
        <w:ind w:left="0" w:firstLine="0"/>
        <w:rPr>
          <w:u w:val="single"/>
        </w:rPr>
      </w:pPr>
      <w:bookmarkStart w:id="5" w:name="_Toc40259513"/>
      <w:r>
        <w:t xml:space="preserve">Progress </w:t>
      </w:r>
      <w:r w:rsidR="005A7D49">
        <w:t>Toward</w:t>
      </w:r>
      <w:r>
        <w:t xml:space="preserve"> Achievement </w:t>
      </w:r>
      <w:r w:rsidR="00DC58CC">
        <w:t xml:space="preserve">of </w:t>
      </w:r>
      <w:r w:rsidR="008275ED">
        <w:t>Objectives</w:t>
      </w:r>
      <w:bookmarkEnd w:id="5"/>
    </w:p>
    <w:p w14:paraId="4CDED736" w14:textId="56B9AC60" w:rsidR="005A7D49" w:rsidRPr="001D639D" w:rsidRDefault="005A7D49" w:rsidP="001D639D">
      <w:pPr>
        <w:spacing w:after="0" w:line="240" w:lineRule="auto"/>
        <w:ind w:left="0" w:right="14" w:firstLine="0"/>
        <w:contextualSpacing/>
        <w:rPr>
          <w:i/>
          <w:u w:val="single"/>
        </w:rPr>
      </w:pPr>
      <w:r w:rsidRPr="005A7D49">
        <w:rPr>
          <w:u w:val="single"/>
        </w:rPr>
        <w:t>1)</w:t>
      </w:r>
      <w:r w:rsidRPr="001D639D">
        <w:t xml:space="preserve">   </w:t>
      </w:r>
      <w:r w:rsidR="00EA2F6D" w:rsidRPr="001D639D">
        <w:rPr>
          <w:i/>
          <w:u w:val="single"/>
        </w:rPr>
        <w:t>Increase overall coverage of low-income individuals with a diagnosis of ESRD</w:t>
      </w:r>
    </w:p>
    <w:p w14:paraId="20E1CF94" w14:textId="77777777" w:rsidR="005A7D49" w:rsidRDefault="005A7D49" w:rsidP="001D639D">
      <w:pPr>
        <w:spacing w:after="0" w:line="240" w:lineRule="auto"/>
        <w:ind w:left="0" w:firstLine="0"/>
        <w:contextualSpacing/>
      </w:pPr>
    </w:p>
    <w:p w14:paraId="43D5E1BC" w14:textId="49F5668F" w:rsidR="00D57F82" w:rsidRDefault="00430368" w:rsidP="001D639D">
      <w:pPr>
        <w:spacing w:after="0" w:line="240" w:lineRule="auto"/>
        <w:ind w:left="0" w:firstLine="0"/>
        <w:contextualSpacing/>
      </w:pPr>
      <w:r w:rsidRPr="00430368">
        <w:t>From May 1, 2014 through March 31, 2020, there</w:t>
      </w:r>
      <w:r w:rsidR="00AD767F">
        <w:t xml:space="preserve"> is</w:t>
      </w:r>
      <w:r w:rsidR="00AD767F" w:rsidRPr="00430368">
        <w:t xml:space="preserve"> </w:t>
      </w:r>
      <w:r w:rsidRPr="00430368">
        <w:t xml:space="preserve">a total of 760 unique ESRD waiver enrollees ever enrolled in this program. </w:t>
      </w:r>
      <w:r w:rsidR="00D32DF9">
        <w:t xml:space="preserve"> </w:t>
      </w:r>
      <w:r w:rsidR="00127A96">
        <w:t xml:space="preserve">Total annual </w:t>
      </w:r>
      <w:r w:rsidR="00127A96" w:rsidRPr="00F037ED">
        <w:t xml:space="preserve">enrollment of unique enrollees </w:t>
      </w:r>
      <w:r w:rsidRPr="00F037ED">
        <w:t xml:space="preserve">has decreased by </w:t>
      </w:r>
      <w:r w:rsidR="00127A96" w:rsidRPr="00F037ED">
        <w:t xml:space="preserve">approximately </w:t>
      </w:r>
      <w:r w:rsidRPr="00F037ED">
        <w:t>2</w:t>
      </w:r>
      <w:r w:rsidR="00127A96" w:rsidRPr="00F037ED">
        <w:t>0</w:t>
      </w:r>
      <w:r w:rsidRPr="00F037ED">
        <w:t>% over the course of the waiver period</w:t>
      </w:r>
      <w:r w:rsidR="001F407D" w:rsidRPr="00F037ED">
        <w:t xml:space="preserve">, however the number of new individuals enrolled has remained </w:t>
      </w:r>
      <w:r w:rsidR="00143D37" w:rsidRPr="00F037ED">
        <w:t>consistent</w:t>
      </w:r>
      <w:r w:rsidR="001F407D" w:rsidRPr="00F037ED">
        <w:t>, so this decrease represents program attrition, not a lack of program access for new enrollees</w:t>
      </w:r>
      <w:r w:rsidR="00EE2942">
        <w:t>.</w:t>
      </w:r>
      <w:r w:rsidR="001F407D" w:rsidRPr="00F037ED">
        <w:t xml:space="preserve"> </w:t>
      </w:r>
      <w:r w:rsidR="00D57F82" w:rsidRPr="00F037ED">
        <w:t xml:space="preserve">A summary of </w:t>
      </w:r>
      <w:r w:rsidRPr="00F037ED">
        <w:t xml:space="preserve">annual </w:t>
      </w:r>
      <w:r w:rsidR="00D57F82" w:rsidRPr="00F037ED">
        <w:t>enrollment is presented</w:t>
      </w:r>
      <w:r w:rsidR="00EA2F6D" w:rsidRPr="00F037ED">
        <w:t xml:space="preserve"> in Table </w:t>
      </w:r>
      <w:r w:rsidR="0084425D" w:rsidRPr="00F037ED">
        <w:t>2</w:t>
      </w:r>
      <w:r w:rsidR="00D57F82" w:rsidRPr="00F037ED">
        <w:t>.</w:t>
      </w:r>
    </w:p>
    <w:p w14:paraId="56D6CB8D" w14:textId="094BBE30" w:rsidR="00EA2F6D" w:rsidRDefault="00EA2F6D" w:rsidP="00FD3FC6">
      <w:pPr>
        <w:ind w:left="0" w:firstLine="0"/>
      </w:pPr>
    </w:p>
    <w:p w14:paraId="39CBE25F" w14:textId="5A05052B" w:rsidR="00EA2F6D" w:rsidRPr="00EA2F6D" w:rsidRDefault="00EA2F6D" w:rsidP="00FD3FC6">
      <w:pPr>
        <w:ind w:left="0" w:firstLine="0"/>
        <w:rPr>
          <w:b/>
          <w:bCs/>
        </w:rPr>
      </w:pPr>
      <w:bookmarkStart w:id="6" w:name="_Hlk40182360"/>
      <w:r w:rsidRPr="00EA2F6D">
        <w:rPr>
          <w:b/>
          <w:bCs/>
        </w:rPr>
        <w:t xml:space="preserve">Table </w:t>
      </w:r>
      <w:r w:rsidR="009E247F">
        <w:rPr>
          <w:b/>
          <w:bCs/>
        </w:rPr>
        <w:t>2</w:t>
      </w:r>
      <w:r w:rsidR="00EC3304">
        <w:rPr>
          <w:b/>
          <w:bCs/>
        </w:rPr>
        <w:t>:</w:t>
      </w:r>
      <w:r w:rsidRPr="00EA2F6D">
        <w:rPr>
          <w:b/>
          <w:bCs/>
        </w:rPr>
        <w:t xml:space="preserve"> ESRD Demonstration Enrollment by Year, 2014 – 2020. </w:t>
      </w:r>
    </w:p>
    <w:tbl>
      <w:tblPr>
        <w:tblStyle w:val="GridTable4-Accent1"/>
        <w:tblW w:w="0" w:type="auto"/>
        <w:tblLayout w:type="fixed"/>
        <w:tblLook w:val="04A0" w:firstRow="1" w:lastRow="0" w:firstColumn="1" w:lastColumn="0" w:noHBand="0" w:noVBand="1"/>
      </w:tblPr>
      <w:tblGrid>
        <w:gridCol w:w="3145"/>
        <w:gridCol w:w="905"/>
        <w:gridCol w:w="805"/>
        <w:gridCol w:w="720"/>
        <w:gridCol w:w="720"/>
        <w:gridCol w:w="720"/>
        <w:gridCol w:w="720"/>
        <w:gridCol w:w="810"/>
      </w:tblGrid>
      <w:tr w:rsidR="00AD703C" w14:paraId="786828E8" w14:textId="77777777" w:rsidTr="001D639D">
        <w:trPr>
          <w:cnfStyle w:val="100000000000" w:firstRow="1" w:lastRow="0" w:firstColumn="0" w:lastColumn="0" w:oddVBand="0" w:evenVBand="0" w:oddHBand="0" w:evenHBand="0" w:firstRowFirstColumn="0" w:firstRowLastColumn="0" w:lastRowFirstColumn="0" w:lastRowLastColumn="0"/>
          <w:trHeight w:val="894"/>
        </w:trPr>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8EAADB" w:themeColor="accent1" w:themeTint="99"/>
              <w:left w:val="single" w:sz="4" w:space="0" w:color="8EAADB" w:themeColor="accent1" w:themeTint="99"/>
              <w:bottom w:val="single" w:sz="4" w:space="0" w:color="8EAADB" w:themeColor="accent1" w:themeTint="99"/>
            </w:tcBorders>
            <w:vAlign w:val="bottom"/>
          </w:tcPr>
          <w:p w14:paraId="7660C8C7" w14:textId="6EA64705" w:rsidR="00EA2F6D" w:rsidRPr="0079772F" w:rsidRDefault="00EA2F6D" w:rsidP="0056445F">
            <w:pPr>
              <w:spacing w:after="0" w:line="240" w:lineRule="auto"/>
              <w:ind w:left="0" w:right="14" w:firstLine="0"/>
              <w:jc w:val="center"/>
              <w:rPr>
                <w:color w:val="FFFFFF" w:themeColor="background1"/>
              </w:rPr>
            </w:pPr>
            <w:r w:rsidRPr="0079772F">
              <w:rPr>
                <w:color w:val="FFFFFF" w:themeColor="background1"/>
              </w:rPr>
              <w:t>Population</w:t>
            </w:r>
          </w:p>
        </w:tc>
        <w:tc>
          <w:tcPr>
            <w:tcW w:w="905" w:type="dxa"/>
            <w:tcBorders>
              <w:top w:val="single" w:sz="4" w:space="0" w:color="8EAADB" w:themeColor="accent1" w:themeTint="99"/>
              <w:bottom w:val="single" w:sz="4" w:space="0" w:color="8EAADB" w:themeColor="accent1" w:themeTint="99"/>
            </w:tcBorders>
            <w:vAlign w:val="bottom"/>
          </w:tcPr>
          <w:p w14:paraId="7A03838F" w14:textId="478FC10F" w:rsidR="00EA2F6D" w:rsidRPr="0079772F" w:rsidRDefault="00127A96" w:rsidP="00F92E37">
            <w:pPr>
              <w:spacing w:after="0" w:line="240" w:lineRule="auto"/>
              <w:ind w:left="-103" w:right="-108" w:firstLine="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 xml:space="preserve">May 1- Dec 31 </w:t>
            </w:r>
            <w:r w:rsidR="00EA2F6D" w:rsidRPr="0079772F">
              <w:rPr>
                <w:color w:val="FFFFFF" w:themeColor="background1"/>
              </w:rPr>
              <w:t>2014</w:t>
            </w:r>
          </w:p>
        </w:tc>
        <w:tc>
          <w:tcPr>
            <w:tcW w:w="805" w:type="dxa"/>
            <w:tcBorders>
              <w:top w:val="single" w:sz="4" w:space="0" w:color="8EAADB" w:themeColor="accent1" w:themeTint="99"/>
              <w:bottom w:val="single" w:sz="4" w:space="0" w:color="8EAADB" w:themeColor="accent1" w:themeTint="99"/>
            </w:tcBorders>
            <w:vAlign w:val="bottom"/>
          </w:tcPr>
          <w:p w14:paraId="57DE201F" w14:textId="01C64BA4" w:rsidR="00EA2F6D" w:rsidRPr="0079772F" w:rsidRDefault="00EA2F6D" w:rsidP="0079772F">
            <w:pPr>
              <w:spacing w:after="0" w:line="240" w:lineRule="auto"/>
              <w:ind w:left="0" w:right="14" w:firstLine="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79772F">
              <w:rPr>
                <w:color w:val="FFFFFF" w:themeColor="background1"/>
              </w:rPr>
              <w:t>2015</w:t>
            </w:r>
          </w:p>
        </w:tc>
        <w:tc>
          <w:tcPr>
            <w:tcW w:w="720" w:type="dxa"/>
            <w:tcBorders>
              <w:top w:val="single" w:sz="4" w:space="0" w:color="8EAADB" w:themeColor="accent1" w:themeTint="99"/>
              <w:bottom w:val="single" w:sz="4" w:space="0" w:color="8EAADB" w:themeColor="accent1" w:themeTint="99"/>
            </w:tcBorders>
            <w:vAlign w:val="bottom"/>
          </w:tcPr>
          <w:p w14:paraId="73DAFC28" w14:textId="2F5083F5" w:rsidR="00EA2F6D" w:rsidRPr="0079772F" w:rsidRDefault="00EA2F6D" w:rsidP="0079772F">
            <w:pPr>
              <w:spacing w:after="0" w:line="240" w:lineRule="auto"/>
              <w:ind w:left="0" w:right="14" w:firstLine="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79772F">
              <w:rPr>
                <w:color w:val="FFFFFF" w:themeColor="background1"/>
              </w:rPr>
              <w:t>2016</w:t>
            </w:r>
          </w:p>
        </w:tc>
        <w:tc>
          <w:tcPr>
            <w:tcW w:w="720" w:type="dxa"/>
            <w:tcBorders>
              <w:top w:val="single" w:sz="4" w:space="0" w:color="8EAADB" w:themeColor="accent1" w:themeTint="99"/>
              <w:bottom w:val="single" w:sz="4" w:space="0" w:color="8EAADB" w:themeColor="accent1" w:themeTint="99"/>
            </w:tcBorders>
            <w:vAlign w:val="bottom"/>
          </w:tcPr>
          <w:p w14:paraId="33088A6F" w14:textId="3EE31C62" w:rsidR="00EA2F6D" w:rsidRPr="0079772F" w:rsidRDefault="00EA2F6D" w:rsidP="0079772F">
            <w:pPr>
              <w:spacing w:after="0" w:line="240" w:lineRule="auto"/>
              <w:ind w:left="0" w:right="14" w:firstLine="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79772F">
              <w:rPr>
                <w:color w:val="FFFFFF" w:themeColor="background1"/>
              </w:rPr>
              <w:t>2017</w:t>
            </w:r>
          </w:p>
        </w:tc>
        <w:tc>
          <w:tcPr>
            <w:tcW w:w="720" w:type="dxa"/>
            <w:tcBorders>
              <w:top w:val="single" w:sz="4" w:space="0" w:color="8EAADB" w:themeColor="accent1" w:themeTint="99"/>
              <w:bottom w:val="single" w:sz="4" w:space="0" w:color="8EAADB" w:themeColor="accent1" w:themeTint="99"/>
            </w:tcBorders>
            <w:vAlign w:val="bottom"/>
          </w:tcPr>
          <w:p w14:paraId="69B3A08F" w14:textId="29C4A5EF" w:rsidR="00EA2F6D" w:rsidRPr="0079772F" w:rsidRDefault="00EA2F6D" w:rsidP="0079772F">
            <w:pPr>
              <w:spacing w:after="0" w:line="240" w:lineRule="auto"/>
              <w:ind w:left="0" w:right="14" w:firstLine="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79772F">
              <w:rPr>
                <w:color w:val="FFFFFF" w:themeColor="background1"/>
              </w:rPr>
              <w:t>2018</w:t>
            </w:r>
          </w:p>
        </w:tc>
        <w:tc>
          <w:tcPr>
            <w:tcW w:w="720" w:type="dxa"/>
            <w:tcBorders>
              <w:top w:val="single" w:sz="4" w:space="0" w:color="8EAADB" w:themeColor="accent1" w:themeTint="99"/>
              <w:bottom w:val="single" w:sz="4" w:space="0" w:color="8EAADB" w:themeColor="accent1" w:themeTint="99"/>
            </w:tcBorders>
            <w:vAlign w:val="bottom"/>
          </w:tcPr>
          <w:p w14:paraId="2B237ECB" w14:textId="781E7C7D" w:rsidR="00EA2F6D" w:rsidRPr="0079772F" w:rsidRDefault="00EA2F6D" w:rsidP="0079772F">
            <w:pPr>
              <w:spacing w:after="0" w:line="240" w:lineRule="auto"/>
              <w:ind w:left="0" w:right="14" w:firstLine="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79772F">
              <w:rPr>
                <w:color w:val="FFFFFF" w:themeColor="background1"/>
              </w:rPr>
              <w:t>2019</w:t>
            </w:r>
          </w:p>
        </w:tc>
        <w:tc>
          <w:tcPr>
            <w:tcW w:w="810" w:type="dxa"/>
            <w:tcBorders>
              <w:top w:val="single" w:sz="4" w:space="0" w:color="8EAADB" w:themeColor="accent1" w:themeTint="99"/>
              <w:bottom w:val="single" w:sz="4" w:space="0" w:color="8EAADB" w:themeColor="accent1" w:themeTint="99"/>
              <w:right w:val="single" w:sz="4" w:space="0" w:color="8EAADB" w:themeColor="accent1" w:themeTint="99"/>
            </w:tcBorders>
            <w:vAlign w:val="bottom"/>
          </w:tcPr>
          <w:p w14:paraId="0BC3FA5B" w14:textId="20E7F1E2" w:rsidR="00EA2F6D" w:rsidRPr="0079772F" w:rsidRDefault="00127A96" w:rsidP="0079772F">
            <w:pPr>
              <w:spacing w:after="0" w:line="240" w:lineRule="auto"/>
              <w:ind w:left="0" w:right="14" w:firstLine="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 xml:space="preserve">Q1 </w:t>
            </w:r>
            <w:r w:rsidR="00EA2F6D" w:rsidRPr="0079772F">
              <w:rPr>
                <w:color w:val="FFFFFF" w:themeColor="background1"/>
              </w:rPr>
              <w:t>2020</w:t>
            </w:r>
          </w:p>
        </w:tc>
      </w:tr>
      <w:tr w:rsidR="00F92E37" w14:paraId="309267EF" w14:textId="77777777" w:rsidTr="001D639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8EAADB" w:themeColor="accent1" w:themeTint="99"/>
            </w:tcBorders>
            <w:vAlign w:val="center"/>
          </w:tcPr>
          <w:p w14:paraId="4EF640CB" w14:textId="56209AE8" w:rsidR="00127A96" w:rsidRDefault="00127A96" w:rsidP="00127A96">
            <w:pPr>
              <w:spacing w:after="0" w:line="240" w:lineRule="auto"/>
              <w:ind w:left="0" w:right="14" w:firstLine="0"/>
              <w:jc w:val="left"/>
            </w:pPr>
            <w:r w:rsidRPr="00EA2F6D">
              <w:t>Demonstration Population 1 – Former Spend Down</w:t>
            </w:r>
            <w:r>
              <w:t xml:space="preserve"> Enrollees</w:t>
            </w:r>
          </w:p>
        </w:tc>
        <w:tc>
          <w:tcPr>
            <w:tcW w:w="905" w:type="dxa"/>
            <w:tcBorders>
              <w:top w:val="single" w:sz="4" w:space="0" w:color="8EAADB" w:themeColor="accent1" w:themeTint="99"/>
            </w:tcBorders>
            <w:vAlign w:val="center"/>
          </w:tcPr>
          <w:p w14:paraId="582096F8" w14:textId="0DA42049" w:rsidR="00127A96" w:rsidRDefault="00127A96" w:rsidP="006E4957">
            <w:pPr>
              <w:spacing w:after="0" w:line="240" w:lineRule="auto"/>
              <w:ind w:left="0" w:right="14" w:firstLine="0"/>
              <w:jc w:val="center"/>
              <w:cnfStyle w:val="000000100000" w:firstRow="0" w:lastRow="0" w:firstColumn="0" w:lastColumn="0" w:oddVBand="0" w:evenVBand="0" w:oddHBand="1" w:evenHBand="0" w:firstRowFirstColumn="0" w:firstRowLastColumn="0" w:lastRowFirstColumn="0" w:lastRowLastColumn="0"/>
            </w:pPr>
            <w:r>
              <w:t>37</w:t>
            </w:r>
          </w:p>
        </w:tc>
        <w:tc>
          <w:tcPr>
            <w:tcW w:w="805" w:type="dxa"/>
            <w:tcBorders>
              <w:top w:val="single" w:sz="4" w:space="0" w:color="8EAADB" w:themeColor="accent1" w:themeTint="99"/>
            </w:tcBorders>
            <w:vAlign w:val="center"/>
          </w:tcPr>
          <w:p w14:paraId="66B9DE2E" w14:textId="6C7745F1" w:rsidR="00127A96" w:rsidRDefault="00127A96" w:rsidP="006E4957">
            <w:pPr>
              <w:spacing w:after="0" w:line="240" w:lineRule="auto"/>
              <w:ind w:left="0" w:right="14" w:firstLine="0"/>
              <w:jc w:val="center"/>
              <w:cnfStyle w:val="000000100000" w:firstRow="0" w:lastRow="0" w:firstColumn="0" w:lastColumn="0" w:oddVBand="0" w:evenVBand="0" w:oddHBand="1" w:evenHBand="0" w:firstRowFirstColumn="0" w:firstRowLastColumn="0" w:lastRowFirstColumn="0" w:lastRowLastColumn="0"/>
            </w:pPr>
            <w:r>
              <w:t>40</w:t>
            </w:r>
          </w:p>
        </w:tc>
        <w:tc>
          <w:tcPr>
            <w:tcW w:w="720" w:type="dxa"/>
            <w:tcBorders>
              <w:top w:val="single" w:sz="4" w:space="0" w:color="8EAADB" w:themeColor="accent1" w:themeTint="99"/>
            </w:tcBorders>
            <w:vAlign w:val="center"/>
          </w:tcPr>
          <w:p w14:paraId="754C7F28" w14:textId="36C31BF2" w:rsidR="00127A96" w:rsidRDefault="00127A96" w:rsidP="006E4957">
            <w:pPr>
              <w:spacing w:after="0" w:line="240" w:lineRule="auto"/>
              <w:ind w:left="0" w:right="14" w:firstLine="0"/>
              <w:jc w:val="center"/>
              <w:cnfStyle w:val="000000100000" w:firstRow="0" w:lastRow="0" w:firstColumn="0" w:lastColumn="0" w:oddVBand="0" w:evenVBand="0" w:oddHBand="1" w:evenHBand="0" w:firstRowFirstColumn="0" w:firstRowLastColumn="0" w:lastRowFirstColumn="0" w:lastRowLastColumn="0"/>
            </w:pPr>
            <w:r>
              <w:t>42</w:t>
            </w:r>
          </w:p>
        </w:tc>
        <w:tc>
          <w:tcPr>
            <w:tcW w:w="720" w:type="dxa"/>
            <w:tcBorders>
              <w:top w:val="single" w:sz="4" w:space="0" w:color="8EAADB" w:themeColor="accent1" w:themeTint="99"/>
            </w:tcBorders>
            <w:vAlign w:val="center"/>
          </w:tcPr>
          <w:p w14:paraId="12B72449" w14:textId="7613F43E" w:rsidR="00127A96" w:rsidRDefault="00127A96" w:rsidP="006E4957">
            <w:pPr>
              <w:spacing w:after="0" w:line="240" w:lineRule="auto"/>
              <w:ind w:left="0" w:right="14" w:firstLine="0"/>
              <w:jc w:val="center"/>
              <w:cnfStyle w:val="000000100000" w:firstRow="0" w:lastRow="0" w:firstColumn="0" w:lastColumn="0" w:oddVBand="0" w:evenVBand="0" w:oddHBand="1" w:evenHBand="0" w:firstRowFirstColumn="0" w:firstRowLastColumn="0" w:lastRowFirstColumn="0" w:lastRowLastColumn="0"/>
            </w:pPr>
            <w:r>
              <w:t>42</w:t>
            </w:r>
          </w:p>
        </w:tc>
        <w:tc>
          <w:tcPr>
            <w:tcW w:w="720" w:type="dxa"/>
            <w:tcBorders>
              <w:top w:val="single" w:sz="4" w:space="0" w:color="8EAADB" w:themeColor="accent1" w:themeTint="99"/>
            </w:tcBorders>
            <w:vAlign w:val="center"/>
          </w:tcPr>
          <w:p w14:paraId="16F7B6A6" w14:textId="768DECD9" w:rsidR="00127A96" w:rsidRDefault="00127A96" w:rsidP="006E4957">
            <w:pPr>
              <w:spacing w:after="0" w:line="240" w:lineRule="auto"/>
              <w:ind w:left="0" w:right="14" w:firstLine="0"/>
              <w:jc w:val="center"/>
              <w:cnfStyle w:val="000000100000" w:firstRow="0" w:lastRow="0" w:firstColumn="0" w:lastColumn="0" w:oddVBand="0" w:evenVBand="0" w:oddHBand="1" w:evenHBand="0" w:firstRowFirstColumn="0" w:firstRowLastColumn="0" w:lastRowFirstColumn="0" w:lastRowLastColumn="0"/>
            </w:pPr>
            <w:r>
              <w:t>42</w:t>
            </w:r>
          </w:p>
        </w:tc>
        <w:tc>
          <w:tcPr>
            <w:tcW w:w="720" w:type="dxa"/>
            <w:tcBorders>
              <w:top w:val="single" w:sz="4" w:space="0" w:color="8EAADB" w:themeColor="accent1" w:themeTint="99"/>
            </w:tcBorders>
            <w:vAlign w:val="center"/>
          </w:tcPr>
          <w:p w14:paraId="3826C5A3" w14:textId="3DC44AA0" w:rsidR="00127A96" w:rsidRDefault="00127A96" w:rsidP="006E4957">
            <w:pPr>
              <w:spacing w:after="0" w:line="240" w:lineRule="auto"/>
              <w:ind w:left="0" w:right="14" w:firstLine="0"/>
              <w:jc w:val="center"/>
              <w:cnfStyle w:val="000000100000" w:firstRow="0" w:lastRow="0" w:firstColumn="0" w:lastColumn="0" w:oddVBand="0" w:evenVBand="0" w:oddHBand="1" w:evenHBand="0" w:firstRowFirstColumn="0" w:firstRowLastColumn="0" w:lastRowFirstColumn="0" w:lastRowLastColumn="0"/>
            </w:pPr>
            <w:r>
              <w:t>42</w:t>
            </w:r>
          </w:p>
        </w:tc>
        <w:tc>
          <w:tcPr>
            <w:tcW w:w="810" w:type="dxa"/>
            <w:tcBorders>
              <w:top w:val="single" w:sz="4" w:space="0" w:color="8EAADB" w:themeColor="accent1" w:themeTint="99"/>
            </w:tcBorders>
            <w:vAlign w:val="center"/>
          </w:tcPr>
          <w:p w14:paraId="4278D50F" w14:textId="2E6FB777" w:rsidR="00127A96" w:rsidRDefault="00127A96" w:rsidP="006E4957">
            <w:pPr>
              <w:spacing w:after="0" w:line="240" w:lineRule="auto"/>
              <w:ind w:left="0" w:right="14" w:firstLine="0"/>
              <w:jc w:val="center"/>
              <w:cnfStyle w:val="000000100000" w:firstRow="0" w:lastRow="0" w:firstColumn="0" w:lastColumn="0" w:oddVBand="0" w:evenVBand="0" w:oddHBand="1" w:evenHBand="0" w:firstRowFirstColumn="0" w:firstRowLastColumn="0" w:lastRowFirstColumn="0" w:lastRowLastColumn="0"/>
            </w:pPr>
            <w:r>
              <w:t>39</w:t>
            </w:r>
          </w:p>
        </w:tc>
      </w:tr>
      <w:tr w:rsidR="00F92E37" w14:paraId="3A2A307F" w14:textId="77777777" w:rsidTr="001D639D">
        <w:trPr>
          <w:trHeight w:val="615"/>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7BA9FA3C" w14:textId="313CCF21" w:rsidR="00127A96" w:rsidRDefault="00127A96" w:rsidP="00127A96">
            <w:pPr>
              <w:spacing w:after="0" w:line="240" w:lineRule="auto"/>
              <w:ind w:left="0" w:right="14" w:firstLine="0"/>
              <w:jc w:val="left"/>
            </w:pPr>
            <w:r w:rsidRPr="00EA2F6D">
              <w:t xml:space="preserve">Demonstration Population 2 </w:t>
            </w:r>
            <w:r>
              <w:t xml:space="preserve">– </w:t>
            </w:r>
            <w:r w:rsidRPr="00EA2F6D">
              <w:t>New Enrollees</w:t>
            </w:r>
          </w:p>
        </w:tc>
        <w:tc>
          <w:tcPr>
            <w:tcW w:w="905" w:type="dxa"/>
            <w:vAlign w:val="center"/>
          </w:tcPr>
          <w:p w14:paraId="42F1DBC3" w14:textId="0EDE13D2" w:rsidR="00127A96" w:rsidRDefault="00127A96" w:rsidP="006E4957">
            <w:pPr>
              <w:spacing w:after="0" w:line="240" w:lineRule="auto"/>
              <w:ind w:left="0" w:right="14" w:firstLine="0"/>
              <w:jc w:val="center"/>
              <w:cnfStyle w:val="000000000000" w:firstRow="0" w:lastRow="0" w:firstColumn="0" w:lastColumn="0" w:oddVBand="0" w:evenVBand="0" w:oddHBand="0" w:evenHBand="0" w:firstRowFirstColumn="0" w:firstRowLastColumn="0" w:lastRowFirstColumn="0" w:lastRowLastColumn="0"/>
            </w:pPr>
            <w:r>
              <w:t>372</w:t>
            </w:r>
          </w:p>
        </w:tc>
        <w:tc>
          <w:tcPr>
            <w:tcW w:w="805" w:type="dxa"/>
            <w:vAlign w:val="center"/>
          </w:tcPr>
          <w:p w14:paraId="66E092A5" w14:textId="78AB0C9E" w:rsidR="00127A96" w:rsidRDefault="00127A96" w:rsidP="006E4957">
            <w:pPr>
              <w:spacing w:after="0" w:line="240" w:lineRule="auto"/>
              <w:ind w:left="0" w:right="14" w:firstLine="0"/>
              <w:jc w:val="center"/>
              <w:cnfStyle w:val="000000000000" w:firstRow="0" w:lastRow="0" w:firstColumn="0" w:lastColumn="0" w:oddVBand="0" w:evenVBand="0" w:oddHBand="0" w:evenHBand="0" w:firstRowFirstColumn="0" w:firstRowLastColumn="0" w:lastRowFirstColumn="0" w:lastRowLastColumn="0"/>
            </w:pPr>
            <w:r>
              <w:t>354</w:t>
            </w:r>
          </w:p>
        </w:tc>
        <w:tc>
          <w:tcPr>
            <w:tcW w:w="720" w:type="dxa"/>
            <w:vAlign w:val="center"/>
          </w:tcPr>
          <w:p w14:paraId="5388AD5E" w14:textId="5510057B" w:rsidR="00127A96" w:rsidRDefault="00127A96" w:rsidP="006E4957">
            <w:pPr>
              <w:spacing w:after="0" w:line="240" w:lineRule="auto"/>
              <w:ind w:left="0" w:right="14" w:firstLine="0"/>
              <w:jc w:val="center"/>
              <w:cnfStyle w:val="000000000000" w:firstRow="0" w:lastRow="0" w:firstColumn="0" w:lastColumn="0" w:oddVBand="0" w:evenVBand="0" w:oddHBand="0" w:evenHBand="0" w:firstRowFirstColumn="0" w:firstRowLastColumn="0" w:lastRowFirstColumn="0" w:lastRowLastColumn="0"/>
            </w:pPr>
            <w:r>
              <w:t>354</w:t>
            </w:r>
          </w:p>
        </w:tc>
        <w:tc>
          <w:tcPr>
            <w:tcW w:w="720" w:type="dxa"/>
            <w:vAlign w:val="center"/>
          </w:tcPr>
          <w:p w14:paraId="3D6FCDB5" w14:textId="62AF11BA" w:rsidR="00127A96" w:rsidRDefault="00127A96" w:rsidP="006E4957">
            <w:pPr>
              <w:spacing w:after="0" w:line="240" w:lineRule="auto"/>
              <w:ind w:left="0" w:right="14" w:firstLine="0"/>
              <w:jc w:val="center"/>
              <w:cnfStyle w:val="000000000000" w:firstRow="0" w:lastRow="0" w:firstColumn="0" w:lastColumn="0" w:oddVBand="0" w:evenVBand="0" w:oddHBand="0" w:evenHBand="0" w:firstRowFirstColumn="0" w:firstRowLastColumn="0" w:lastRowFirstColumn="0" w:lastRowLastColumn="0"/>
            </w:pPr>
            <w:r>
              <w:t>357</w:t>
            </w:r>
          </w:p>
        </w:tc>
        <w:tc>
          <w:tcPr>
            <w:tcW w:w="720" w:type="dxa"/>
            <w:vAlign w:val="center"/>
          </w:tcPr>
          <w:p w14:paraId="05337B70" w14:textId="714808CC" w:rsidR="00127A96" w:rsidRDefault="00127A96" w:rsidP="006E4957">
            <w:pPr>
              <w:spacing w:after="0" w:line="240" w:lineRule="auto"/>
              <w:ind w:left="0" w:right="14" w:firstLine="0"/>
              <w:jc w:val="center"/>
              <w:cnfStyle w:val="000000000000" w:firstRow="0" w:lastRow="0" w:firstColumn="0" w:lastColumn="0" w:oddVBand="0" w:evenVBand="0" w:oddHBand="0" w:evenHBand="0" w:firstRowFirstColumn="0" w:firstRowLastColumn="0" w:lastRowFirstColumn="0" w:lastRowLastColumn="0"/>
            </w:pPr>
            <w:r>
              <w:t>339</w:t>
            </w:r>
          </w:p>
        </w:tc>
        <w:tc>
          <w:tcPr>
            <w:tcW w:w="720" w:type="dxa"/>
            <w:vAlign w:val="center"/>
          </w:tcPr>
          <w:p w14:paraId="231333A2" w14:textId="73868074" w:rsidR="00127A96" w:rsidRDefault="00127A96" w:rsidP="006E4957">
            <w:pPr>
              <w:spacing w:after="0" w:line="240" w:lineRule="auto"/>
              <w:ind w:left="0" w:right="14" w:firstLine="0"/>
              <w:jc w:val="center"/>
              <w:cnfStyle w:val="000000000000" w:firstRow="0" w:lastRow="0" w:firstColumn="0" w:lastColumn="0" w:oddVBand="0" w:evenVBand="0" w:oddHBand="0" w:evenHBand="0" w:firstRowFirstColumn="0" w:firstRowLastColumn="0" w:lastRowFirstColumn="0" w:lastRowLastColumn="0"/>
            </w:pPr>
            <w:r>
              <w:t>314</w:t>
            </w:r>
          </w:p>
        </w:tc>
        <w:tc>
          <w:tcPr>
            <w:tcW w:w="810" w:type="dxa"/>
            <w:vAlign w:val="center"/>
          </w:tcPr>
          <w:p w14:paraId="32B08D51" w14:textId="09FAD635" w:rsidR="00127A96" w:rsidRDefault="00127A96" w:rsidP="006E4957">
            <w:pPr>
              <w:spacing w:after="0" w:line="240" w:lineRule="auto"/>
              <w:ind w:left="0" w:right="14" w:firstLine="0"/>
              <w:jc w:val="center"/>
              <w:cnfStyle w:val="000000000000" w:firstRow="0" w:lastRow="0" w:firstColumn="0" w:lastColumn="0" w:oddVBand="0" w:evenVBand="0" w:oddHBand="0" w:evenHBand="0" w:firstRowFirstColumn="0" w:firstRowLastColumn="0" w:lastRowFirstColumn="0" w:lastRowLastColumn="0"/>
            </w:pPr>
            <w:r>
              <w:t>286</w:t>
            </w:r>
          </w:p>
        </w:tc>
      </w:tr>
      <w:tr w:rsidR="00F92E37" w14:paraId="661326C2" w14:textId="77777777" w:rsidTr="001D639D">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7F934A54" w14:textId="3F0D762E" w:rsidR="00127A96" w:rsidRDefault="00127A96" w:rsidP="00127A96">
            <w:pPr>
              <w:spacing w:after="0" w:line="240" w:lineRule="auto"/>
              <w:ind w:left="0" w:right="14" w:firstLine="0"/>
              <w:jc w:val="left"/>
            </w:pPr>
            <w:r w:rsidRPr="00EA2F6D">
              <w:t xml:space="preserve">Total Number of </w:t>
            </w:r>
            <w:r>
              <w:t xml:space="preserve">Demonstration </w:t>
            </w:r>
            <w:r w:rsidRPr="00EA2F6D">
              <w:t>Enrollees</w:t>
            </w:r>
          </w:p>
        </w:tc>
        <w:tc>
          <w:tcPr>
            <w:tcW w:w="905" w:type="dxa"/>
            <w:vAlign w:val="center"/>
          </w:tcPr>
          <w:p w14:paraId="509782AF" w14:textId="76F870AA" w:rsidR="00127A96" w:rsidRDefault="00127A96" w:rsidP="006E4957">
            <w:pPr>
              <w:spacing w:after="0" w:line="240" w:lineRule="auto"/>
              <w:ind w:left="0" w:right="14" w:firstLine="0"/>
              <w:jc w:val="center"/>
              <w:cnfStyle w:val="000000100000" w:firstRow="0" w:lastRow="0" w:firstColumn="0" w:lastColumn="0" w:oddVBand="0" w:evenVBand="0" w:oddHBand="1" w:evenHBand="0" w:firstRowFirstColumn="0" w:firstRowLastColumn="0" w:lastRowFirstColumn="0" w:lastRowLastColumn="0"/>
            </w:pPr>
            <w:r>
              <w:t>409</w:t>
            </w:r>
          </w:p>
        </w:tc>
        <w:tc>
          <w:tcPr>
            <w:tcW w:w="805" w:type="dxa"/>
            <w:vAlign w:val="center"/>
          </w:tcPr>
          <w:p w14:paraId="0F23EC46" w14:textId="3407198D" w:rsidR="00127A96" w:rsidRDefault="00127A96" w:rsidP="006E4957">
            <w:pPr>
              <w:spacing w:after="0" w:line="240" w:lineRule="auto"/>
              <w:ind w:left="0" w:right="14" w:firstLine="0"/>
              <w:jc w:val="center"/>
              <w:cnfStyle w:val="000000100000" w:firstRow="0" w:lastRow="0" w:firstColumn="0" w:lastColumn="0" w:oddVBand="0" w:evenVBand="0" w:oddHBand="1" w:evenHBand="0" w:firstRowFirstColumn="0" w:firstRowLastColumn="0" w:lastRowFirstColumn="0" w:lastRowLastColumn="0"/>
            </w:pPr>
            <w:r>
              <w:t>394</w:t>
            </w:r>
          </w:p>
        </w:tc>
        <w:tc>
          <w:tcPr>
            <w:tcW w:w="720" w:type="dxa"/>
            <w:vAlign w:val="center"/>
          </w:tcPr>
          <w:p w14:paraId="5F7D4B50" w14:textId="0F6C105D" w:rsidR="00127A96" w:rsidRDefault="00127A96" w:rsidP="006E4957">
            <w:pPr>
              <w:spacing w:after="0" w:line="240" w:lineRule="auto"/>
              <w:ind w:left="0" w:right="14" w:firstLine="0"/>
              <w:jc w:val="center"/>
              <w:cnfStyle w:val="000000100000" w:firstRow="0" w:lastRow="0" w:firstColumn="0" w:lastColumn="0" w:oddVBand="0" w:evenVBand="0" w:oddHBand="1" w:evenHBand="0" w:firstRowFirstColumn="0" w:firstRowLastColumn="0" w:lastRowFirstColumn="0" w:lastRowLastColumn="0"/>
            </w:pPr>
            <w:r>
              <w:t>396</w:t>
            </w:r>
          </w:p>
        </w:tc>
        <w:tc>
          <w:tcPr>
            <w:tcW w:w="720" w:type="dxa"/>
            <w:vAlign w:val="center"/>
          </w:tcPr>
          <w:p w14:paraId="64BF30CD" w14:textId="3FBC86F8" w:rsidR="00127A96" w:rsidRDefault="00127A96" w:rsidP="006E4957">
            <w:pPr>
              <w:spacing w:after="0" w:line="240" w:lineRule="auto"/>
              <w:ind w:left="0" w:right="14" w:firstLine="0"/>
              <w:jc w:val="center"/>
              <w:cnfStyle w:val="000000100000" w:firstRow="0" w:lastRow="0" w:firstColumn="0" w:lastColumn="0" w:oddVBand="0" w:evenVBand="0" w:oddHBand="1" w:evenHBand="0" w:firstRowFirstColumn="0" w:firstRowLastColumn="0" w:lastRowFirstColumn="0" w:lastRowLastColumn="0"/>
            </w:pPr>
            <w:r>
              <w:t>399</w:t>
            </w:r>
          </w:p>
        </w:tc>
        <w:tc>
          <w:tcPr>
            <w:tcW w:w="720" w:type="dxa"/>
            <w:vAlign w:val="center"/>
          </w:tcPr>
          <w:p w14:paraId="15C0022A" w14:textId="3E92A100" w:rsidR="00127A96" w:rsidRDefault="00127A96" w:rsidP="006E4957">
            <w:pPr>
              <w:spacing w:after="0" w:line="240" w:lineRule="auto"/>
              <w:ind w:left="0" w:right="14" w:firstLine="0"/>
              <w:jc w:val="center"/>
              <w:cnfStyle w:val="000000100000" w:firstRow="0" w:lastRow="0" w:firstColumn="0" w:lastColumn="0" w:oddVBand="0" w:evenVBand="0" w:oddHBand="1" w:evenHBand="0" w:firstRowFirstColumn="0" w:firstRowLastColumn="0" w:lastRowFirstColumn="0" w:lastRowLastColumn="0"/>
            </w:pPr>
            <w:r>
              <w:t>381</w:t>
            </w:r>
          </w:p>
        </w:tc>
        <w:tc>
          <w:tcPr>
            <w:tcW w:w="720" w:type="dxa"/>
            <w:vAlign w:val="center"/>
          </w:tcPr>
          <w:p w14:paraId="021FC8FF" w14:textId="1A374CBA" w:rsidR="00127A96" w:rsidRDefault="00127A96" w:rsidP="006E4957">
            <w:pPr>
              <w:spacing w:after="0" w:line="240" w:lineRule="auto"/>
              <w:ind w:left="0" w:right="14" w:firstLine="0"/>
              <w:jc w:val="center"/>
              <w:cnfStyle w:val="000000100000" w:firstRow="0" w:lastRow="0" w:firstColumn="0" w:lastColumn="0" w:oddVBand="0" w:evenVBand="0" w:oddHBand="1" w:evenHBand="0" w:firstRowFirstColumn="0" w:firstRowLastColumn="0" w:lastRowFirstColumn="0" w:lastRowLastColumn="0"/>
            </w:pPr>
            <w:r>
              <w:t>356</w:t>
            </w:r>
          </w:p>
        </w:tc>
        <w:tc>
          <w:tcPr>
            <w:tcW w:w="810" w:type="dxa"/>
            <w:vAlign w:val="center"/>
          </w:tcPr>
          <w:p w14:paraId="186E99E8" w14:textId="5687393C" w:rsidR="00127A96" w:rsidRDefault="00127A96" w:rsidP="006E4957">
            <w:pPr>
              <w:spacing w:after="0" w:line="240" w:lineRule="auto"/>
              <w:ind w:left="0" w:right="14" w:firstLine="0"/>
              <w:jc w:val="center"/>
              <w:cnfStyle w:val="000000100000" w:firstRow="0" w:lastRow="0" w:firstColumn="0" w:lastColumn="0" w:oddVBand="0" w:evenVBand="0" w:oddHBand="1" w:evenHBand="0" w:firstRowFirstColumn="0" w:firstRowLastColumn="0" w:lastRowFirstColumn="0" w:lastRowLastColumn="0"/>
            </w:pPr>
            <w:r>
              <w:t>325</w:t>
            </w:r>
          </w:p>
        </w:tc>
      </w:tr>
    </w:tbl>
    <w:p w14:paraId="421B8CA2" w14:textId="3CA744C1" w:rsidR="00875358" w:rsidRDefault="00875358" w:rsidP="00875358">
      <w:pPr>
        <w:spacing w:after="204"/>
        <w:ind w:left="0" w:right="13" w:firstLine="0"/>
      </w:pPr>
    </w:p>
    <w:bookmarkEnd w:id="6"/>
    <w:p w14:paraId="6D1FE1C1" w14:textId="4F310C3C" w:rsidR="00EA2F6D" w:rsidRPr="001D639D" w:rsidRDefault="00EA2F6D" w:rsidP="001D639D">
      <w:pPr>
        <w:pStyle w:val="ListParagraph"/>
        <w:numPr>
          <w:ilvl w:val="0"/>
          <w:numId w:val="28"/>
        </w:numPr>
        <w:spacing w:after="0" w:line="240" w:lineRule="auto"/>
        <w:ind w:left="360" w:right="13"/>
        <w:rPr>
          <w:i/>
          <w:u w:val="single"/>
        </w:rPr>
      </w:pPr>
      <w:r w:rsidRPr="001D639D">
        <w:rPr>
          <w:i/>
          <w:u w:val="single"/>
        </w:rPr>
        <w:t>Ensure access to comprehensive coverage for low-income individuals with a diagnosis of ESRD and primary coverage through Medicare.</w:t>
      </w:r>
    </w:p>
    <w:p w14:paraId="1B0F7D13" w14:textId="77777777" w:rsidR="005A7D49" w:rsidRDefault="005A7D49" w:rsidP="001D639D">
      <w:pPr>
        <w:spacing w:after="0" w:line="240" w:lineRule="auto"/>
        <w:ind w:left="0" w:right="14" w:firstLine="0"/>
        <w:contextualSpacing/>
      </w:pPr>
      <w:bookmarkStart w:id="7" w:name="_Hlk36020756"/>
    </w:p>
    <w:p w14:paraId="34E55986" w14:textId="42C5837E" w:rsidR="00C95ECD" w:rsidRDefault="00296624" w:rsidP="001D639D">
      <w:pPr>
        <w:spacing w:after="0" w:line="240" w:lineRule="auto"/>
        <w:ind w:left="0" w:right="14" w:firstLine="0"/>
        <w:contextualSpacing/>
        <w:sectPr w:rsidR="00C95ECD" w:rsidSect="00F037ED">
          <w:headerReference w:type="default" r:id="rId8"/>
          <w:footerReference w:type="even" r:id="rId9"/>
          <w:footerReference w:type="default" r:id="rId10"/>
          <w:footerReference w:type="first" r:id="rId11"/>
          <w:pgSz w:w="12240" w:h="15840"/>
          <w:pgMar w:top="1445" w:right="1434" w:bottom="721" w:left="1440" w:header="720" w:footer="720" w:gutter="0"/>
          <w:pgNumType w:start="1"/>
          <w:cols w:space="720"/>
          <w:titlePg/>
        </w:sectPr>
      </w:pPr>
      <w:r>
        <w:t>A summary of health care utilization among ESRD enrollees</w:t>
      </w:r>
      <w:r w:rsidR="00A45B18">
        <w:t xml:space="preserve"> </w:t>
      </w:r>
      <w:r>
        <w:t>from 2014 through 2020</w:t>
      </w:r>
      <w:r w:rsidR="00A45B18">
        <w:t xml:space="preserve"> </w:t>
      </w:r>
      <w:r w:rsidR="000C378A">
        <w:t xml:space="preserve">is </w:t>
      </w:r>
      <w:r>
        <w:t>presented in Table</w:t>
      </w:r>
      <w:r w:rsidR="000C378A">
        <w:t xml:space="preserve"> 3</w:t>
      </w:r>
      <w:r>
        <w:t>.</w:t>
      </w:r>
      <w:r w:rsidR="00C95ECD">
        <w:t xml:space="preserve">  This table shows the number of enrollees with various claim types per year and the claims total for these expenditure categories.  </w:t>
      </w:r>
      <w:r w:rsidR="001F407D">
        <w:t xml:space="preserve">The total number of enrollees per year with transplant claims has increased over the course of the program and the number of enrollees with dialysis claims has decreased over the course of the program.  </w:t>
      </w:r>
      <w:r w:rsidR="000C378A">
        <w:t xml:space="preserve">This is an expected result of providing supplemental coverage to ensure access to transplants for this population.  </w:t>
      </w:r>
      <w:r w:rsidR="00C95ECD">
        <w:t>Note that enrollees that receive a transplant will continue to have follow-up transplant claims</w:t>
      </w:r>
      <w:r w:rsidR="001F407D">
        <w:t xml:space="preserve">, and transplant claim in any year does not indicate that a transplant procedure was performed for that enrollee in the year. </w:t>
      </w:r>
    </w:p>
    <w:p w14:paraId="1A5CF46C" w14:textId="77777777" w:rsidR="00C95ECD" w:rsidRDefault="00C95ECD" w:rsidP="00894DF5">
      <w:pPr>
        <w:spacing w:after="204"/>
        <w:ind w:left="0" w:right="14" w:firstLine="0"/>
      </w:pPr>
    </w:p>
    <w:p w14:paraId="1ADE30E9" w14:textId="110918A3" w:rsidR="00C95ECD" w:rsidRDefault="00C95ECD" w:rsidP="001D639D">
      <w:pPr>
        <w:spacing w:after="0" w:line="240" w:lineRule="auto"/>
        <w:ind w:left="0" w:right="14" w:firstLine="0"/>
        <w:contextualSpacing/>
        <w:rPr>
          <w:b/>
          <w:bCs/>
        </w:rPr>
      </w:pPr>
      <w:r>
        <w:rPr>
          <w:b/>
          <w:bCs/>
        </w:rPr>
        <w:t xml:space="preserve">Table </w:t>
      </w:r>
      <w:r w:rsidR="000C378A">
        <w:rPr>
          <w:b/>
          <w:bCs/>
        </w:rPr>
        <w:t>3</w:t>
      </w:r>
      <w:r>
        <w:rPr>
          <w:b/>
          <w:bCs/>
        </w:rPr>
        <w:t>: ESRD Health Care Utilization May 1, 2014 – December 31, 2019</w:t>
      </w:r>
    </w:p>
    <w:tbl>
      <w:tblPr>
        <w:tblW w:w="1367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CellMar>
          <w:left w:w="0" w:type="dxa"/>
          <w:right w:w="0" w:type="dxa"/>
        </w:tblCellMar>
        <w:tblLook w:val="04A0" w:firstRow="1" w:lastRow="0" w:firstColumn="1" w:lastColumn="0" w:noHBand="0" w:noVBand="1"/>
      </w:tblPr>
      <w:tblGrid>
        <w:gridCol w:w="1435"/>
        <w:gridCol w:w="720"/>
        <w:gridCol w:w="1260"/>
        <w:gridCol w:w="810"/>
        <w:gridCol w:w="1350"/>
        <w:gridCol w:w="810"/>
        <w:gridCol w:w="1260"/>
        <w:gridCol w:w="810"/>
        <w:gridCol w:w="1260"/>
        <w:gridCol w:w="810"/>
        <w:gridCol w:w="1080"/>
        <w:gridCol w:w="720"/>
        <w:gridCol w:w="1350"/>
      </w:tblGrid>
      <w:tr w:rsidR="00657492" w14:paraId="1D5776E3" w14:textId="77777777" w:rsidTr="002A256A">
        <w:trPr>
          <w:trHeight w:val="503"/>
        </w:trPr>
        <w:tc>
          <w:tcPr>
            <w:tcW w:w="14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F75B5"/>
            <w:noWrap/>
            <w:tcMar>
              <w:top w:w="0" w:type="dxa"/>
              <w:left w:w="108" w:type="dxa"/>
              <w:bottom w:w="0" w:type="dxa"/>
              <w:right w:w="108" w:type="dxa"/>
            </w:tcMar>
            <w:vAlign w:val="bottom"/>
          </w:tcPr>
          <w:p w14:paraId="51520F8C" w14:textId="77777777" w:rsidR="00140F2C" w:rsidRDefault="00140F2C" w:rsidP="00140F2C">
            <w:pPr>
              <w:jc w:val="right"/>
              <w:rPr>
                <w:b/>
                <w:bCs/>
                <w:color w:val="FFFFFF"/>
              </w:rPr>
            </w:pPr>
          </w:p>
        </w:tc>
        <w:tc>
          <w:tcPr>
            <w:tcW w:w="19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F75B5"/>
            <w:tcMar>
              <w:top w:w="0" w:type="dxa"/>
              <w:left w:w="108" w:type="dxa"/>
              <w:bottom w:w="0" w:type="dxa"/>
              <w:right w:w="108" w:type="dxa"/>
            </w:tcMar>
            <w:vAlign w:val="center"/>
          </w:tcPr>
          <w:p w14:paraId="1D6738D0" w14:textId="354853A9" w:rsidR="00140F2C" w:rsidRPr="00140F2C" w:rsidRDefault="00140F2C" w:rsidP="001925E3">
            <w:pPr>
              <w:jc w:val="center"/>
              <w:rPr>
                <w:b/>
                <w:bCs/>
                <w:color w:val="FFFFFF" w:themeColor="background1"/>
              </w:rPr>
            </w:pPr>
            <w:r w:rsidRPr="00140F2C">
              <w:rPr>
                <w:b/>
                <w:bCs/>
                <w:color w:val="FFFFFF" w:themeColor="background1"/>
              </w:rPr>
              <w:t>May 1- Dec. 31, 2014</w:t>
            </w:r>
          </w:p>
        </w:tc>
        <w:tc>
          <w:tcPr>
            <w:tcW w:w="21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F75B5"/>
            <w:tcMar>
              <w:top w:w="0" w:type="dxa"/>
              <w:left w:w="108" w:type="dxa"/>
              <w:bottom w:w="0" w:type="dxa"/>
              <w:right w:w="108" w:type="dxa"/>
            </w:tcMar>
            <w:vAlign w:val="center"/>
          </w:tcPr>
          <w:p w14:paraId="0F55EDFD" w14:textId="55A025DC" w:rsidR="00140F2C" w:rsidRPr="00140F2C" w:rsidRDefault="00140F2C" w:rsidP="001925E3">
            <w:pPr>
              <w:jc w:val="center"/>
              <w:rPr>
                <w:b/>
                <w:bCs/>
                <w:color w:val="FFFFFF" w:themeColor="background1"/>
              </w:rPr>
            </w:pPr>
            <w:r w:rsidRPr="00140F2C">
              <w:rPr>
                <w:b/>
                <w:bCs/>
                <w:color w:val="FFFFFF" w:themeColor="background1"/>
              </w:rPr>
              <w:t>2015</w:t>
            </w:r>
          </w:p>
        </w:tc>
        <w:tc>
          <w:tcPr>
            <w:tcW w:w="20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F75B5"/>
            <w:tcMar>
              <w:top w:w="0" w:type="dxa"/>
              <w:left w:w="108" w:type="dxa"/>
              <w:bottom w:w="0" w:type="dxa"/>
              <w:right w:w="108" w:type="dxa"/>
            </w:tcMar>
            <w:vAlign w:val="center"/>
          </w:tcPr>
          <w:p w14:paraId="4F730C29" w14:textId="59E77BBF" w:rsidR="00140F2C" w:rsidRPr="00140F2C" w:rsidRDefault="00140F2C" w:rsidP="001925E3">
            <w:pPr>
              <w:jc w:val="center"/>
              <w:rPr>
                <w:b/>
                <w:bCs/>
                <w:color w:val="FFFFFF" w:themeColor="background1"/>
              </w:rPr>
            </w:pPr>
            <w:r w:rsidRPr="00140F2C">
              <w:rPr>
                <w:b/>
                <w:bCs/>
                <w:color w:val="FFFFFF" w:themeColor="background1"/>
              </w:rPr>
              <w:t>2016</w:t>
            </w:r>
          </w:p>
        </w:tc>
        <w:tc>
          <w:tcPr>
            <w:tcW w:w="20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F75B5"/>
            <w:tcMar>
              <w:top w:w="0" w:type="dxa"/>
              <w:left w:w="108" w:type="dxa"/>
              <w:bottom w:w="0" w:type="dxa"/>
              <w:right w:w="108" w:type="dxa"/>
            </w:tcMar>
            <w:vAlign w:val="center"/>
          </w:tcPr>
          <w:p w14:paraId="06F6BB5A" w14:textId="513BD398" w:rsidR="00140F2C" w:rsidRPr="00140F2C" w:rsidRDefault="00140F2C" w:rsidP="001925E3">
            <w:pPr>
              <w:jc w:val="center"/>
              <w:rPr>
                <w:b/>
                <w:bCs/>
                <w:color w:val="FFFFFF" w:themeColor="background1"/>
              </w:rPr>
            </w:pPr>
            <w:r w:rsidRPr="00140F2C">
              <w:rPr>
                <w:b/>
                <w:bCs/>
                <w:color w:val="FFFFFF" w:themeColor="background1"/>
              </w:rPr>
              <w:t>2017</w:t>
            </w:r>
          </w:p>
        </w:tc>
        <w:tc>
          <w:tcPr>
            <w:tcW w:w="18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F75B5"/>
            <w:tcMar>
              <w:top w:w="0" w:type="dxa"/>
              <w:left w:w="108" w:type="dxa"/>
              <w:bottom w:w="0" w:type="dxa"/>
              <w:right w:w="108" w:type="dxa"/>
            </w:tcMar>
            <w:vAlign w:val="center"/>
          </w:tcPr>
          <w:p w14:paraId="7E084F6D" w14:textId="43FC6449" w:rsidR="00140F2C" w:rsidRDefault="00140F2C" w:rsidP="001925E3">
            <w:pPr>
              <w:jc w:val="center"/>
              <w:rPr>
                <w:b/>
                <w:bCs/>
                <w:color w:val="FFFFFF"/>
              </w:rPr>
            </w:pPr>
            <w:r>
              <w:rPr>
                <w:b/>
                <w:bCs/>
                <w:color w:val="FFFFFF"/>
              </w:rPr>
              <w:t>2018</w:t>
            </w:r>
          </w:p>
        </w:tc>
        <w:tc>
          <w:tcPr>
            <w:tcW w:w="20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F75B5"/>
            <w:tcMar>
              <w:top w:w="0" w:type="dxa"/>
              <w:left w:w="108" w:type="dxa"/>
              <w:bottom w:w="0" w:type="dxa"/>
              <w:right w:w="108" w:type="dxa"/>
            </w:tcMar>
            <w:vAlign w:val="center"/>
          </w:tcPr>
          <w:p w14:paraId="55A1055C" w14:textId="5D3BE1F5" w:rsidR="00140F2C" w:rsidRDefault="00140F2C" w:rsidP="001925E3">
            <w:pPr>
              <w:jc w:val="center"/>
              <w:rPr>
                <w:b/>
                <w:bCs/>
                <w:color w:val="FFFFFF"/>
              </w:rPr>
            </w:pPr>
            <w:r>
              <w:rPr>
                <w:b/>
                <w:bCs/>
                <w:color w:val="FFFFFF"/>
              </w:rPr>
              <w:t>2019</w:t>
            </w:r>
          </w:p>
        </w:tc>
      </w:tr>
      <w:tr w:rsidR="002A256A" w14:paraId="3032F05B" w14:textId="77777777" w:rsidTr="002A256A">
        <w:trPr>
          <w:cantSplit/>
          <w:trHeight w:val="1465"/>
        </w:trPr>
        <w:tc>
          <w:tcPr>
            <w:tcW w:w="14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F75B5"/>
            <w:noWrap/>
            <w:tcMar>
              <w:top w:w="0" w:type="dxa"/>
              <w:left w:w="108" w:type="dxa"/>
              <w:bottom w:w="0" w:type="dxa"/>
              <w:right w:w="108" w:type="dxa"/>
            </w:tcMar>
            <w:textDirection w:val="btLr"/>
            <w:vAlign w:val="center"/>
            <w:hideMark/>
          </w:tcPr>
          <w:p w14:paraId="5717F6DE" w14:textId="385DC0AD" w:rsidR="00BC44E1" w:rsidRDefault="00BC44E1" w:rsidP="002A256A">
            <w:pPr>
              <w:spacing w:after="0" w:line="240" w:lineRule="auto"/>
              <w:ind w:right="113"/>
              <w:contextualSpacing/>
              <w:jc w:val="left"/>
              <w:rPr>
                <w:b/>
                <w:bCs/>
                <w:color w:val="FFFFFF"/>
              </w:rPr>
            </w:pPr>
            <w:r>
              <w:rPr>
                <w:b/>
                <w:bCs/>
                <w:color w:val="FFFFFF"/>
              </w:rPr>
              <w:t>Claims Category</w:t>
            </w:r>
          </w:p>
        </w:tc>
        <w:tc>
          <w:tcPr>
            <w:tcW w:w="7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F75B5"/>
            <w:tcMar>
              <w:top w:w="0" w:type="dxa"/>
              <w:left w:w="108" w:type="dxa"/>
              <w:bottom w:w="0" w:type="dxa"/>
              <w:right w:w="108" w:type="dxa"/>
            </w:tcMar>
            <w:textDirection w:val="btLr"/>
            <w:vAlign w:val="center"/>
            <w:hideMark/>
          </w:tcPr>
          <w:p w14:paraId="4D668C12" w14:textId="6D44B9FF" w:rsidR="00BC44E1" w:rsidRDefault="00BC44E1" w:rsidP="002C4300">
            <w:pPr>
              <w:spacing w:after="0" w:line="240" w:lineRule="auto"/>
              <w:ind w:left="115" w:right="115" w:hanging="14"/>
              <w:contextualSpacing/>
              <w:jc w:val="left"/>
              <w:rPr>
                <w:b/>
                <w:bCs/>
                <w:color w:val="FFFFFF"/>
              </w:rPr>
            </w:pPr>
            <w:r>
              <w:rPr>
                <w:b/>
                <w:bCs/>
                <w:color w:val="FFFFFF"/>
              </w:rPr>
              <w:t>Unique Enrollment</w:t>
            </w: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F75B5"/>
            <w:tcMar>
              <w:top w:w="0" w:type="dxa"/>
              <w:left w:w="108" w:type="dxa"/>
              <w:bottom w:w="0" w:type="dxa"/>
              <w:right w:w="108" w:type="dxa"/>
            </w:tcMar>
            <w:textDirection w:val="btLr"/>
            <w:vAlign w:val="center"/>
            <w:hideMark/>
          </w:tcPr>
          <w:p w14:paraId="72187E2E" w14:textId="60A97318" w:rsidR="00BC44E1" w:rsidRDefault="00BC44E1" w:rsidP="002A256A">
            <w:pPr>
              <w:spacing w:after="0" w:line="240" w:lineRule="auto"/>
              <w:ind w:left="113" w:right="113" w:firstLine="0"/>
              <w:contextualSpacing/>
              <w:jc w:val="left"/>
              <w:rPr>
                <w:b/>
                <w:bCs/>
                <w:color w:val="FFFFFF"/>
              </w:rPr>
            </w:pPr>
            <w:r>
              <w:rPr>
                <w:b/>
                <w:bCs/>
                <w:color w:val="FFFFFF"/>
              </w:rPr>
              <w:t>Expenditures</w:t>
            </w: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F75B5"/>
            <w:tcMar>
              <w:top w:w="0" w:type="dxa"/>
              <w:left w:w="108" w:type="dxa"/>
              <w:bottom w:w="0" w:type="dxa"/>
              <w:right w:w="108" w:type="dxa"/>
            </w:tcMar>
            <w:textDirection w:val="btLr"/>
            <w:vAlign w:val="center"/>
            <w:hideMark/>
          </w:tcPr>
          <w:p w14:paraId="30AD9D47" w14:textId="49925679" w:rsidR="00BC44E1" w:rsidRDefault="00BC44E1" w:rsidP="002A256A">
            <w:pPr>
              <w:spacing w:after="0" w:line="240" w:lineRule="auto"/>
              <w:ind w:right="113"/>
              <w:contextualSpacing/>
              <w:jc w:val="left"/>
              <w:rPr>
                <w:b/>
                <w:bCs/>
                <w:color w:val="FFFFFF"/>
              </w:rPr>
            </w:pPr>
            <w:r>
              <w:rPr>
                <w:b/>
                <w:bCs/>
                <w:color w:val="FFFFFF"/>
              </w:rPr>
              <w:t>Unique Enrollment</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F75B5"/>
            <w:tcMar>
              <w:top w:w="0" w:type="dxa"/>
              <w:left w:w="108" w:type="dxa"/>
              <w:bottom w:w="0" w:type="dxa"/>
              <w:right w:w="108" w:type="dxa"/>
            </w:tcMar>
            <w:textDirection w:val="btLr"/>
            <w:vAlign w:val="center"/>
            <w:hideMark/>
          </w:tcPr>
          <w:p w14:paraId="0F777C4C" w14:textId="062917C0" w:rsidR="00BC44E1" w:rsidRDefault="00BC44E1" w:rsidP="002A256A">
            <w:pPr>
              <w:spacing w:after="0" w:line="240" w:lineRule="auto"/>
              <w:ind w:right="113"/>
              <w:contextualSpacing/>
              <w:jc w:val="left"/>
              <w:rPr>
                <w:b/>
                <w:bCs/>
                <w:color w:val="FFFFFF"/>
              </w:rPr>
            </w:pPr>
            <w:r>
              <w:rPr>
                <w:b/>
                <w:bCs/>
                <w:color w:val="FFFFFF"/>
              </w:rPr>
              <w:t>Expenditures</w:t>
            </w: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F75B5"/>
            <w:tcMar>
              <w:top w:w="0" w:type="dxa"/>
              <w:left w:w="108" w:type="dxa"/>
              <w:bottom w:w="0" w:type="dxa"/>
              <w:right w:w="108" w:type="dxa"/>
            </w:tcMar>
            <w:textDirection w:val="btLr"/>
            <w:vAlign w:val="center"/>
            <w:hideMark/>
          </w:tcPr>
          <w:p w14:paraId="75E8185E" w14:textId="1F8D904A" w:rsidR="00BC44E1" w:rsidRDefault="00BC44E1" w:rsidP="002A256A">
            <w:pPr>
              <w:spacing w:after="0" w:line="240" w:lineRule="auto"/>
              <w:ind w:right="113"/>
              <w:contextualSpacing/>
              <w:jc w:val="left"/>
              <w:rPr>
                <w:b/>
                <w:bCs/>
                <w:color w:val="FFFFFF"/>
              </w:rPr>
            </w:pPr>
            <w:r>
              <w:rPr>
                <w:b/>
                <w:bCs/>
                <w:color w:val="FFFFFF"/>
              </w:rPr>
              <w:t>Unique Enrollment</w:t>
            </w: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F75B5"/>
            <w:tcMar>
              <w:top w:w="0" w:type="dxa"/>
              <w:left w:w="108" w:type="dxa"/>
              <w:bottom w:w="0" w:type="dxa"/>
              <w:right w:w="108" w:type="dxa"/>
            </w:tcMar>
            <w:textDirection w:val="btLr"/>
            <w:vAlign w:val="center"/>
            <w:hideMark/>
          </w:tcPr>
          <w:p w14:paraId="63FBC728" w14:textId="35F738A9" w:rsidR="00BC44E1" w:rsidRDefault="00BC44E1" w:rsidP="002A256A">
            <w:pPr>
              <w:spacing w:after="0" w:line="240" w:lineRule="auto"/>
              <w:ind w:right="113"/>
              <w:contextualSpacing/>
              <w:jc w:val="left"/>
              <w:rPr>
                <w:b/>
                <w:bCs/>
                <w:color w:val="FFFFFF"/>
              </w:rPr>
            </w:pPr>
            <w:r>
              <w:rPr>
                <w:b/>
                <w:bCs/>
                <w:color w:val="FFFFFF"/>
              </w:rPr>
              <w:t>Expenditures</w:t>
            </w: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F75B5"/>
            <w:tcMar>
              <w:top w:w="0" w:type="dxa"/>
              <w:left w:w="108" w:type="dxa"/>
              <w:bottom w:w="0" w:type="dxa"/>
              <w:right w:w="108" w:type="dxa"/>
            </w:tcMar>
            <w:textDirection w:val="btLr"/>
            <w:vAlign w:val="center"/>
            <w:hideMark/>
          </w:tcPr>
          <w:p w14:paraId="4D1430DB" w14:textId="2E524DAB" w:rsidR="00BC44E1" w:rsidRDefault="00657492" w:rsidP="002A256A">
            <w:pPr>
              <w:spacing w:after="0" w:line="240" w:lineRule="auto"/>
              <w:ind w:right="113"/>
              <w:contextualSpacing/>
              <w:jc w:val="left"/>
              <w:rPr>
                <w:b/>
                <w:bCs/>
                <w:color w:val="FFFFFF"/>
              </w:rPr>
            </w:pPr>
            <w:r>
              <w:rPr>
                <w:b/>
                <w:bCs/>
                <w:color w:val="FFFFFF"/>
              </w:rPr>
              <w:t>Unique Enrollment</w:t>
            </w: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F75B5"/>
            <w:tcMar>
              <w:top w:w="0" w:type="dxa"/>
              <w:left w:w="108" w:type="dxa"/>
              <w:bottom w:w="0" w:type="dxa"/>
              <w:right w:w="108" w:type="dxa"/>
            </w:tcMar>
            <w:textDirection w:val="btLr"/>
            <w:vAlign w:val="center"/>
            <w:hideMark/>
          </w:tcPr>
          <w:p w14:paraId="1AA32DE8" w14:textId="40397EC5" w:rsidR="00BC44E1" w:rsidRDefault="002C4300" w:rsidP="002A256A">
            <w:pPr>
              <w:spacing w:after="0" w:line="240" w:lineRule="auto"/>
              <w:ind w:right="113"/>
              <w:contextualSpacing/>
              <w:jc w:val="left"/>
              <w:rPr>
                <w:b/>
                <w:bCs/>
                <w:color w:val="FFFFFF"/>
              </w:rPr>
            </w:pPr>
            <w:r>
              <w:rPr>
                <w:b/>
                <w:bCs/>
                <w:color w:val="FFFFFF"/>
              </w:rPr>
              <w:t>Expenditures</w:t>
            </w:r>
          </w:p>
        </w:tc>
        <w:tc>
          <w:tcPr>
            <w:tcW w:w="8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F75B5"/>
            <w:tcMar>
              <w:top w:w="0" w:type="dxa"/>
              <w:left w:w="108" w:type="dxa"/>
              <w:bottom w:w="0" w:type="dxa"/>
              <w:right w:w="108" w:type="dxa"/>
            </w:tcMar>
            <w:textDirection w:val="btLr"/>
            <w:vAlign w:val="center"/>
            <w:hideMark/>
          </w:tcPr>
          <w:p w14:paraId="0124E9CA" w14:textId="267A6B3F" w:rsidR="00BC44E1" w:rsidRDefault="00657492" w:rsidP="002A256A">
            <w:pPr>
              <w:spacing w:after="0" w:line="240" w:lineRule="auto"/>
              <w:ind w:right="113"/>
              <w:contextualSpacing/>
              <w:jc w:val="left"/>
              <w:rPr>
                <w:b/>
                <w:bCs/>
                <w:color w:val="FFFFFF"/>
              </w:rPr>
            </w:pPr>
            <w:r>
              <w:rPr>
                <w:b/>
                <w:bCs/>
                <w:color w:val="FFFFFF"/>
              </w:rPr>
              <w:t>Unique Enrollment</w:t>
            </w:r>
          </w:p>
        </w:t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F75B5"/>
            <w:tcMar>
              <w:top w:w="0" w:type="dxa"/>
              <w:left w:w="108" w:type="dxa"/>
              <w:bottom w:w="0" w:type="dxa"/>
              <w:right w:w="108" w:type="dxa"/>
            </w:tcMar>
            <w:textDirection w:val="btLr"/>
            <w:vAlign w:val="center"/>
            <w:hideMark/>
          </w:tcPr>
          <w:p w14:paraId="002988F5" w14:textId="220A57E2" w:rsidR="00BC44E1" w:rsidRDefault="002C4300" w:rsidP="002A256A">
            <w:pPr>
              <w:spacing w:after="0" w:line="240" w:lineRule="auto"/>
              <w:ind w:right="113"/>
              <w:contextualSpacing/>
              <w:jc w:val="left"/>
              <w:rPr>
                <w:b/>
                <w:bCs/>
                <w:color w:val="FFFFFF"/>
              </w:rPr>
            </w:pPr>
            <w:r>
              <w:rPr>
                <w:b/>
                <w:bCs/>
                <w:color w:val="FFFFFF"/>
              </w:rPr>
              <w:t>Expenditures</w:t>
            </w:r>
          </w:p>
        </w:tc>
        <w:tc>
          <w:tcPr>
            <w:tcW w:w="7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F75B5"/>
            <w:tcMar>
              <w:top w:w="0" w:type="dxa"/>
              <w:left w:w="108" w:type="dxa"/>
              <w:bottom w:w="0" w:type="dxa"/>
              <w:right w:w="108" w:type="dxa"/>
            </w:tcMar>
            <w:textDirection w:val="btLr"/>
            <w:vAlign w:val="center"/>
            <w:hideMark/>
          </w:tcPr>
          <w:p w14:paraId="5477D6AD" w14:textId="4171065C" w:rsidR="00BC44E1" w:rsidRDefault="00657492" w:rsidP="002A256A">
            <w:pPr>
              <w:spacing w:after="0" w:line="240" w:lineRule="auto"/>
              <w:ind w:right="113"/>
              <w:contextualSpacing/>
              <w:jc w:val="left"/>
              <w:rPr>
                <w:b/>
                <w:bCs/>
                <w:color w:val="FFFFFF"/>
              </w:rPr>
            </w:pPr>
            <w:r>
              <w:rPr>
                <w:b/>
                <w:bCs/>
                <w:color w:val="FFFFFF"/>
              </w:rPr>
              <w:t>Unique Enrollment</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F75B5"/>
            <w:tcMar>
              <w:top w:w="0" w:type="dxa"/>
              <w:left w:w="108" w:type="dxa"/>
              <w:bottom w:w="0" w:type="dxa"/>
              <w:right w:w="108" w:type="dxa"/>
            </w:tcMar>
            <w:textDirection w:val="btLr"/>
            <w:vAlign w:val="center"/>
            <w:hideMark/>
          </w:tcPr>
          <w:p w14:paraId="14738E9E" w14:textId="2A76F53B" w:rsidR="00BC44E1" w:rsidRDefault="002C4300" w:rsidP="002A256A">
            <w:pPr>
              <w:spacing w:after="0" w:line="240" w:lineRule="auto"/>
              <w:ind w:right="113"/>
              <w:contextualSpacing/>
              <w:jc w:val="left"/>
              <w:rPr>
                <w:b/>
                <w:bCs/>
                <w:color w:val="FFFFFF"/>
              </w:rPr>
            </w:pPr>
            <w:r>
              <w:rPr>
                <w:b/>
                <w:bCs/>
                <w:color w:val="FFFFFF"/>
              </w:rPr>
              <w:t>Expenditures</w:t>
            </w:r>
          </w:p>
        </w:tc>
      </w:tr>
      <w:tr w:rsidR="002A256A" w14:paraId="1DF91ADD" w14:textId="77777777" w:rsidTr="002A256A">
        <w:trPr>
          <w:trHeight w:val="377"/>
        </w:trPr>
        <w:tc>
          <w:tcPr>
            <w:tcW w:w="1435" w:type="dxa"/>
            <w:tcBorders>
              <w:top w:val="single" w:sz="4" w:space="0" w:color="BFBFBF" w:themeColor="background1" w:themeShade="BF"/>
            </w:tcBorders>
            <w:shd w:val="clear" w:color="auto" w:fill="DDEBF7"/>
            <w:noWrap/>
            <w:tcMar>
              <w:top w:w="0" w:type="dxa"/>
              <w:left w:w="108" w:type="dxa"/>
              <w:bottom w:w="0" w:type="dxa"/>
              <w:right w:w="108" w:type="dxa"/>
            </w:tcMar>
            <w:vAlign w:val="center"/>
            <w:hideMark/>
          </w:tcPr>
          <w:p w14:paraId="2D3BAC4D" w14:textId="77777777" w:rsidR="000C63AD" w:rsidRDefault="000C63AD" w:rsidP="002A256A">
            <w:pPr>
              <w:spacing w:after="0" w:line="240" w:lineRule="auto"/>
              <w:contextualSpacing/>
              <w:jc w:val="left"/>
              <w:rPr>
                <w:b/>
                <w:bCs/>
              </w:rPr>
            </w:pPr>
            <w:r>
              <w:rPr>
                <w:b/>
                <w:bCs/>
              </w:rPr>
              <w:t>Transplants</w:t>
            </w:r>
          </w:p>
        </w:tc>
        <w:tc>
          <w:tcPr>
            <w:tcW w:w="720" w:type="dxa"/>
            <w:tcBorders>
              <w:top w:val="single" w:sz="4" w:space="0" w:color="BFBFBF" w:themeColor="background1" w:themeShade="BF"/>
            </w:tcBorders>
            <w:shd w:val="clear" w:color="auto" w:fill="DDEBF7"/>
            <w:noWrap/>
            <w:tcMar>
              <w:top w:w="0" w:type="dxa"/>
              <w:left w:w="108" w:type="dxa"/>
              <w:bottom w:w="0" w:type="dxa"/>
              <w:right w:w="108" w:type="dxa"/>
            </w:tcMar>
            <w:vAlign w:val="center"/>
            <w:hideMark/>
          </w:tcPr>
          <w:p w14:paraId="654DC642" w14:textId="77777777" w:rsidR="000C63AD" w:rsidRPr="001925E3" w:rsidRDefault="000C63AD" w:rsidP="002A256A">
            <w:pPr>
              <w:spacing w:after="0" w:line="240" w:lineRule="auto"/>
              <w:contextualSpacing/>
              <w:jc w:val="center"/>
              <w:rPr>
                <w:sz w:val="20"/>
                <w:szCs w:val="20"/>
              </w:rPr>
            </w:pPr>
            <w:r w:rsidRPr="001925E3">
              <w:rPr>
                <w:sz w:val="20"/>
                <w:szCs w:val="20"/>
              </w:rPr>
              <w:t>51</w:t>
            </w:r>
          </w:p>
        </w:tc>
        <w:tc>
          <w:tcPr>
            <w:tcW w:w="1260" w:type="dxa"/>
            <w:tcBorders>
              <w:top w:val="single" w:sz="4" w:space="0" w:color="BFBFBF" w:themeColor="background1" w:themeShade="BF"/>
            </w:tcBorders>
            <w:shd w:val="clear" w:color="auto" w:fill="DDEBF7"/>
            <w:noWrap/>
            <w:tcMar>
              <w:top w:w="0" w:type="dxa"/>
              <w:left w:w="108" w:type="dxa"/>
              <w:bottom w:w="0" w:type="dxa"/>
              <w:right w:w="108" w:type="dxa"/>
            </w:tcMar>
            <w:vAlign w:val="center"/>
            <w:hideMark/>
          </w:tcPr>
          <w:p w14:paraId="73BBCC55" w14:textId="271B65FB" w:rsidR="000C63AD" w:rsidRPr="001925E3" w:rsidRDefault="000C63AD" w:rsidP="002A256A">
            <w:pPr>
              <w:spacing w:after="0" w:line="240" w:lineRule="auto"/>
              <w:contextualSpacing/>
              <w:jc w:val="center"/>
              <w:rPr>
                <w:sz w:val="20"/>
                <w:szCs w:val="20"/>
              </w:rPr>
            </w:pPr>
            <w:r w:rsidRPr="001925E3">
              <w:rPr>
                <w:sz w:val="20"/>
                <w:szCs w:val="20"/>
              </w:rPr>
              <w:t>$27,162</w:t>
            </w:r>
          </w:p>
        </w:tc>
        <w:tc>
          <w:tcPr>
            <w:tcW w:w="810" w:type="dxa"/>
            <w:tcBorders>
              <w:top w:val="single" w:sz="4" w:space="0" w:color="BFBFBF" w:themeColor="background1" w:themeShade="BF"/>
            </w:tcBorders>
            <w:shd w:val="clear" w:color="auto" w:fill="DDEBF7"/>
            <w:noWrap/>
            <w:tcMar>
              <w:top w:w="0" w:type="dxa"/>
              <w:left w:w="108" w:type="dxa"/>
              <w:bottom w:w="0" w:type="dxa"/>
              <w:right w:w="108" w:type="dxa"/>
            </w:tcMar>
            <w:vAlign w:val="center"/>
            <w:hideMark/>
          </w:tcPr>
          <w:p w14:paraId="069ACA79" w14:textId="77777777" w:rsidR="000C63AD" w:rsidRPr="001925E3" w:rsidRDefault="000C63AD" w:rsidP="002A256A">
            <w:pPr>
              <w:spacing w:after="0" w:line="240" w:lineRule="auto"/>
              <w:contextualSpacing/>
              <w:jc w:val="center"/>
              <w:rPr>
                <w:sz w:val="20"/>
                <w:szCs w:val="20"/>
              </w:rPr>
            </w:pPr>
            <w:r w:rsidRPr="001925E3">
              <w:rPr>
                <w:sz w:val="20"/>
                <w:szCs w:val="20"/>
              </w:rPr>
              <w:t>62</w:t>
            </w:r>
          </w:p>
        </w:tc>
        <w:tc>
          <w:tcPr>
            <w:tcW w:w="1350" w:type="dxa"/>
            <w:tcBorders>
              <w:top w:val="single" w:sz="4" w:space="0" w:color="BFBFBF" w:themeColor="background1" w:themeShade="BF"/>
            </w:tcBorders>
            <w:shd w:val="clear" w:color="auto" w:fill="DDEBF7"/>
            <w:noWrap/>
            <w:tcMar>
              <w:top w:w="0" w:type="dxa"/>
              <w:left w:w="108" w:type="dxa"/>
              <w:bottom w:w="0" w:type="dxa"/>
              <w:right w:w="108" w:type="dxa"/>
            </w:tcMar>
            <w:vAlign w:val="center"/>
            <w:hideMark/>
          </w:tcPr>
          <w:p w14:paraId="7B564584" w14:textId="6124239A" w:rsidR="000C63AD" w:rsidRPr="001925E3" w:rsidRDefault="000C63AD" w:rsidP="002A256A">
            <w:pPr>
              <w:spacing w:after="0" w:line="240" w:lineRule="auto"/>
              <w:contextualSpacing/>
              <w:jc w:val="center"/>
              <w:rPr>
                <w:sz w:val="20"/>
                <w:szCs w:val="20"/>
              </w:rPr>
            </w:pPr>
            <w:r w:rsidRPr="001925E3">
              <w:rPr>
                <w:sz w:val="20"/>
                <w:szCs w:val="20"/>
              </w:rPr>
              <w:t>$64,186</w:t>
            </w:r>
          </w:p>
        </w:tc>
        <w:tc>
          <w:tcPr>
            <w:tcW w:w="810" w:type="dxa"/>
            <w:tcBorders>
              <w:top w:val="single" w:sz="4" w:space="0" w:color="BFBFBF" w:themeColor="background1" w:themeShade="BF"/>
            </w:tcBorders>
            <w:shd w:val="clear" w:color="auto" w:fill="DDEBF7"/>
            <w:noWrap/>
            <w:tcMar>
              <w:top w:w="0" w:type="dxa"/>
              <w:left w:w="108" w:type="dxa"/>
              <w:bottom w:w="0" w:type="dxa"/>
              <w:right w:w="108" w:type="dxa"/>
            </w:tcMar>
            <w:vAlign w:val="center"/>
            <w:hideMark/>
          </w:tcPr>
          <w:p w14:paraId="37B5D6AF" w14:textId="77777777" w:rsidR="000C63AD" w:rsidRPr="001925E3" w:rsidRDefault="000C63AD" w:rsidP="002A256A">
            <w:pPr>
              <w:spacing w:after="0" w:line="240" w:lineRule="auto"/>
              <w:contextualSpacing/>
              <w:jc w:val="center"/>
              <w:rPr>
                <w:sz w:val="20"/>
                <w:szCs w:val="20"/>
              </w:rPr>
            </w:pPr>
            <w:r w:rsidRPr="001925E3">
              <w:rPr>
                <w:sz w:val="20"/>
                <w:szCs w:val="20"/>
              </w:rPr>
              <w:t>55</w:t>
            </w:r>
          </w:p>
        </w:tc>
        <w:tc>
          <w:tcPr>
            <w:tcW w:w="1260" w:type="dxa"/>
            <w:tcBorders>
              <w:top w:val="single" w:sz="4" w:space="0" w:color="BFBFBF" w:themeColor="background1" w:themeShade="BF"/>
            </w:tcBorders>
            <w:shd w:val="clear" w:color="auto" w:fill="DDEBF7"/>
            <w:noWrap/>
            <w:tcMar>
              <w:top w:w="0" w:type="dxa"/>
              <w:left w:w="108" w:type="dxa"/>
              <w:bottom w:w="0" w:type="dxa"/>
              <w:right w:w="108" w:type="dxa"/>
            </w:tcMar>
            <w:vAlign w:val="center"/>
            <w:hideMark/>
          </w:tcPr>
          <w:p w14:paraId="55F9C99F" w14:textId="4276A77B" w:rsidR="000C63AD" w:rsidRPr="001925E3" w:rsidRDefault="000C63AD" w:rsidP="002A256A">
            <w:pPr>
              <w:spacing w:after="0" w:line="240" w:lineRule="auto"/>
              <w:contextualSpacing/>
              <w:jc w:val="center"/>
              <w:rPr>
                <w:sz w:val="20"/>
                <w:szCs w:val="20"/>
              </w:rPr>
            </w:pPr>
            <w:r w:rsidRPr="001925E3">
              <w:rPr>
                <w:sz w:val="20"/>
                <w:szCs w:val="20"/>
              </w:rPr>
              <w:t>$56,824</w:t>
            </w:r>
          </w:p>
        </w:tc>
        <w:tc>
          <w:tcPr>
            <w:tcW w:w="810" w:type="dxa"/>
            <w:tcBorders>
              <w:top w:val="single" w:sz="4" w:space="0" w:color="BFBFBF" w:themeColor="background1" w:themeShade="BF"/>
            </w:tcBorders>
            <w:shd w:val="clear" w:color="auto" w:fill="DDEBF7"/>
            <w:noWrap/>
            <w:tcMar>
              <w:top w:w="0" w:type="dxa"/>
              <w:left w:w="108" w:type="dxa"/>
              <w:bottom w:w="0" w:type="dxa"/>
              <w:right w:w="108" w:type="dxa"/>
            </w:tcMar>
            <w:vAlign w:val="center"/>
            <w:hideMark/>
          </w:tcPr>
          <w:p w14:paraId="6AB8AEA1" w14:textId="77777777" w:rsidR="000C63AD" w:rsidRPr="001925E3" w:rsidRDefault="000C63AD" w:rsidP="002A256A">
            <w:pPr>
              <w:spacing w:after="0" w:line="240" w:lineRule="auto"/>
              <w:contextualSpacing/>
              <w:jc w:val="center"/>
              <w:rPr>
                <w:sz w:val="20"/>
                <w:szCs w:val="20"/>
              </w:rPr>
            </w:pPr>
            <w:r w:rsidRPr="001925E3">
              <w:rPr>
                <w:sz w:val="20"/>
                <w:szCs w:val="20"/>
              </w:rPr>
              <w:t>67</w:t>
            </w:r>
          </w:p>
        </w:tc>
        <w:tc>
          <w:tcPr>
            <w:tcW w:w="1260" w:type="dxa"/>
            <w:tcBorders>
              <w:top w:val="single" w:sz="4" w:space="0" w:color="BFBFBF" w:themeColor="background1" w:themeShade="BF"/>
            </w:tcBorders>
            <w:shd w:val="clear" w:color="auto" w:fill="DDEBF7"/>
            <w:noWrap/>
            <w:tcMar>
              <w:top w:w="0" w:type="dxa"/>
              <w:left w:w="108" w:type="dxa"/>
              <w:bottom w:w="0" w:type="dxa"/>
              <w:right w:w="108" w:type="dxa"/>
            </w:tcMar>
            <w:vAlign w:val="center"/>
            <w:hideMark/>
          </w:tcPr>
          <w:p w14:paraId="4A103679" w14:textId="5D040009" w:rsidR="000C63AD" w:rsidRPr="001925E3" w:rsidRDefault="000C63AD" w:rsidP="002A256A">
            <w:pPr>
              <w:spacing w:after="0" w:line="240" w:lineRule="auto"/>
              <w:contextualSpacing/>
              <w:jc w:val="center"/>
              <w:rPr>
                <w:sz w:val="20"/>
                <w:szCs w:val="20"/>
              </w:rPr>
            </w:pPr>
            <w:r w:rsidRPr="001925E3">
              <w:rPr>
                <w:sz w:val="20"/>
                <w:szCs w:val="20"/>
              </w:rPr>
              <w:t>$54,337</w:t>
            </w:r>
          </w:p>
        </w:tc>
        <w:tc>
          <w:tcPr>
            <w:tcW w:w="810" w:type="dxa"/>
            <w:tcBorders>
              <w:top w:val="single" w:sz="4" w:space="0" w:color="BFBFBF" w:themeColor="background1" w:themeShade="BF"/>
            </w:tcBorders>
            <w:shd w:val="clear" w:color="auto" w:fill="DDEBF7"/>
            <w:noWrap/>
            <w:tcMar>
              <w:top w:w="0" w:type="dxa"/>
              <w:left w:w="108" w:type="dxa"/>
              <w:bottom w:w="0" w:type="dxa"/>
              <w:right w:w="108" w:type="dxa"/>
            </w:tcMar>
            <w:vAlign w:val="center"/>
            <w:hideMark/>
          </w:tcPr>
          <w:p w14:paraId="6B068D95" w14:textId="77777777" w:rsidR="000C63AD" w:rsidRPr="001925E3" w:rsidRDefault="000C63AD" w:rsidP="002A256A">
            <w:pPr>
              <w:spacing w:after="0" w:line="240" w:lineRule="auto"/>
              <w:contextualSpacing/>
              <w:jc w:val="center"/>
              <w:rPr>
                <w:sz w:val="20"/>
                <w:szCs w:val="20"/>
              </w:rPr>
            </w:pPr>
            <w:r w:rsidRPr="001925E3">
              <w:rPr>
                <w:sz w:val="20"/>
                <w:szCs w:val="20"/>
              </w:rPr>
              <w:t>80</w:t>
            </w:r>
          </w:p>
        </w:tc>
        <w:tc>
          <w:tcPr>
            <w:tcW w:w="1080" w:type="dxa"/>
            <w:tcBorders>
              <w:top w:val="single" w:sz="4" w:space="0" w:color="BFBFBF" w:themeColor="background1" w:themeShade="BF"/>
            </w:tcBorders>
            <w:shd w:val="clear" w:color="auto" w:fill="DDEBF7"/>
            <w:noWrap/>
            <w:tcMar>
              <w:top w:w="0" w:type="dxa"/>
              <w:left w:w="108" w:type="dxa"/>
              <w:bottom w:w="0" w:type="dxa"/>
              <w:right w:w="108" w:type="dxa"/>
            </w:tcMar>
            <w:vAlign w:val="center"/>
            <w:hideMark/>
          </w:tcPr>
          <w:p w14:paraId="75726DDC" w14:textId="7D8237C0" w:rsidR="000C63AD" w:rsidRPr="001925E3" w:rsidRDefault="000C63AD" w:rsidP="002A256A">
            <w:pPr>
              <w:spacing w:after="0" w:line="240" w:lineRule="auto"/>
              <w:contextualSpacing/>
              <w:jc w:val="center"/>
              <w:rPr>
                <w:sz w:val="20"/>
                <w:szCs w:val="20"/>
              </w:rPr>
            </w:pPr>
            <w:r w:rsidRPr="001925E3">
              <w:rPr>
                <w:sz w:val="20"/>
                <w:szCs w:val="20"/>
              </w:rPr>
              <w:t>$59,711</w:t>
            </w:r>
          </w:p>
        </w:tc>
        <w:tc>
          <w:tcPr>
            <w:tcW w:w="720" w:type="dxa"/>
            <w:tcBorders>
              <w:top w:val="single" w:sz="4" w:space="0" w:color="BFBFBF" w:themeColor="background1" w:themeShade="BF"/>
            </w:tcBorders>
            <w:shd w:val="clear" w:color="auto" w:fill="DDEBF7"/>
            <w:noWrap/>
            <w:tcMar>
              <w:top w:w="0" w:type="dxa"/>
              <w:left w:w="108" w:type="dxa"/>
              <w:bottom w:w="0" w:type="dxa"/>
              <w:right w:w="108" w:type="dxa"/>
            </w:tcMar>
            <w:vAlign w:val="center"/>
            <w:hideMark/>
          </w:tcPr>
          <w:p w14:paraId="41ED7DF1" w14:textId="77777777" w:rsidR="000C63AD" w:rsidRPr="001925E3" w:rsidRDefault="000C63AD" w:rsidP="002A256A">
            <w:pPr>
              <w:spacing w:after="0" w:line="240" w:lineRule="auto"/>
              <w:contextualSpacing/>
              <w:jc w:val="center"/>
              <w:rPr>
                <w:sz w:val="20"/>
                <w:szCs w:val="20"/>
              </w:rPr>
            </w:pPr>
            <w:r w:rsidRPr="001925E3">
              <w:rPr>
                <w:sz w:val="20"/>
                <w:szCs w:val="20"/>
              </w:rPr>
              <w:t>82</w:t>
            </w:r>
          </w:p>
        </w:tc>
        <w:tc>
          <w:tcPr>
            <w:tcW w:w="1350" w:type="dxa"/>
            <w:tcBorders>
              <w:top w:val="single" w:sz="4" w:space="0" w:color="BFBFBF" w:themeColor="background1" w:themeShade="BF"/>
            </w:tcBorders>
            <w:shd w:val="clear" w:color="auto" w:fill="DDEBF7"/>
            <w:noWrap/>
            <w:tcMar>
              <w:top w:w="0" w:type="dxa"/>
              <w:left w:w="108" w:type="dxa"/>
              <w:bottom w:w="0" w:type="dxa"/>
              <w:right w:w="108" w:type="dxa"/>
            </w:tcMar>
            <w:vAlign w:val="center"/>
            <w:hideMark/>
          </w:tcPr>
          <w:p w14:paraId="4F056B7B" w14:textId="280DD349" w:rsidR="000C63AD" w:rsidRPr="001925E3" w:rsidRDefault="000C63AD" w:rsidP="002A256A">
            <w:pPr>
              <w:spacing w:after="0" w:line="240" w:lineRule="auto"/>
              <w:contextualSpacing/>
              <w:jc w:val="center"/>
              <w:rPr>
                <w:sz w:val="20"/>
                <w:szCs w:val="20"/>
              </w:rPr>
            </w:pPr>
            <w:r w:rsidRPr="001925E3">
              <w:rPr>
                <w:sz w:val="20"/>
                <w:szCs w:val="20"/>
              </w:rPr>
              <w:t>$60,202</w:t>
            </w:r>
          </w:p>
        </w:tc>
      </w:tr>
      <w:tr w:rsidR="002A256A" w14:paraId="1E1D3E9B" w14:textId="77777777" w:rsidTr="002A256A">
        <w:trPr>
          <w:trHeight w:val="440"/>
        </w:trPr>
        <w:tc>
          <w:tcPr>
            <w:tcW w:w="1435" w:type="dxa"/>
            <w:shd w:val="clear" w:color="auto" w:fill="9BC2E6"/>
            <w:noWrap/>
            <w:tcMar>
              <w:top w:w="0" w:type="dxa"/>
              <w:left w:w="108" w:type="dxa"/>
              <w:bottom w:w="0" w:type="dxa"/>
              <w:right w:w="108" w:type="dxa"/>
            </w:tcMar>
            <w:vAlign w:val="center"/>
            <w:hideMark/>
          </w:tcPr>
          <w:p w14:paraId="78884734" w14:textId="77777777" w:rsidR="000C63AD" w:rsidRDefault="000C63AD" w:rsidP="002A256A">
            <w:pPr>
              <w:spacing w:after="0" w:line="240" w:lineRule="auto"/>
              <w:contextualSpacing/>
              <w:jc w:val="left"/>
              <w:rPr>
                <w:b/>
                <w:bCs/>
              </w:rPr>
            </w:pPr>
            <w:r>
              <w:rPr>
                <w:b/>
                <w:bCs/>
              </w:rPr>
              <w:t>Dialysis</w:t>
            </w:r>
          </w:p>
        </w:tc>
        <w:tc>
          <w:tcPr>
            <w:tcW w:w="720" w:type="dxa"/>
            <w:shd w:val="clear" w:color="auto" w:fill="9BC2E6"/>
            <w:noWrap/>
            <w:tcMar>
              <w:top w:w="0" w:type="dxa"/>
              <w:left w:w="108" w:type="dxa"/>
              <w:bottom w:w="0" w:type="dxa"/>
              <w:right w:w="108" w:type="dxa"/>
            </w:tcMar>
            <w:vAlign w:val="center"/>
            <w:hideMark/>
          </w:tcPr>
          <w:p w14:paraId="1F209B91" w14:textId="77777777" w:rsidR="000C63AD" w:rsidRPr="001925E3" w:rsidRDefault="000C63AD" w:rsidP="002A256A">
            <w:pPr>
              <w:spacing w:after="0" w:line="240" w:lineRule="auto"/>
              <w:contextualSpacing/>
              <w:jc w:val="center"/>
              <w:rPr>
                <w:sz w:val="20"/>
                <w:szCs w:val="20"/>
              </w:rPr>
            </w:pPr>
            <w:r w:rsidRPr="001925E3">
              <w:rPr>
                <w:sz w:val="20"/>
                <w:szCs w:val="20"/>
              </w:rPr>
              <w:t>442</w:t>
            </w:r>
          </w:p>
        </w:tc>
        <w:tc>
          <w:tcPr>
            <w:tcW w:w="1260" w:type="dxa"/>
            <w:shd w:val="clear" w:color="auto" w:fill="9BC2E6"/>
            <w:noWrap/>
            <w:tcMar>
              <w:top w:w="0" w:type="dxa"/>
              <w:left w:w="108" w:type="dxa"/>
              <w:bottom w:w="0" w:type="dxa"/>
              <w:right w:w="108" w:type="dxa"/>
            </w:tcMar>
            <w:vAlign w:val="center"/>
            <w:hideMark/>
          </w:tcPr>
          <w:p w14:paraId="40FCBEF3" w14:textId="63BBFF14" w:rsidR="000C63AD" w:rsidRPr="001925E3" w:rsidRDefault="000C63AD" w:rsidP="002A256A">
            <w:pPr>
              <w:spacing w:after="0" w:line="240" w:lineRule="auto"/>
              <w:contextualSpacing/>
              <w:jc w:val="center"/>
              <w:rPr>
                <w:sz w:val="20"/>
                <w:szCs w:val="20"/>
              </w:rPr>
            </w:pPr>
            <w:r w:rsidRPr="001925E3">
              <w:rPr>
                <w:sz w:val="20"/>
                <w:szCs w:val="20"/>
              </w:rPr>
              <w:t>$679,031</w:t>
            </w:r>
          </w:p>
        </w:tc>
        <w:tc>
          <w:tcPr>
            <w:tcW w:w="810" w:type="dxa"/>
            <w:shd w:val="clear" w:color="auto" w:fill="9BC2E6"/>
            <w:noWrap/>
            <w:tcMar>
              <w:top w:w="0" w:type="dxa"/>
              <w:left w:w="108" w:type="dxa"/>
              <w:bottom w:w="0" w:type="dxa"/>
              <w:right w:w="108" w:type="dxa"/>
            </w:tcMar>
            <w:vAlign w:val="center"/>
            <w:hideMark/>
          </w:tcPr>
          <w:p w14:paraId="3B364FBD" w14:textId="77777777" w:rsidR="000C63AD" w:rsidRPr="001925E3" w:rsidRDefault="000C63AD" w:rsidP="002A256A">
            <w:pPr>
              <w:spacing w:after="0" w:line="240" w:lineRule="auto"/>
              <w:contextualSpacing/>
              <w:jc w:val="center"/>
              <w:rPr>
                <w:sz w:val="20"/>
                <w:szCs w:val="20"/>
              </w:rPr>
            </w:pPr>
            <w:r w:rsidRPr="001925E3">
              <w:rPr>
                <w:sz w:val="20"/>
                <w:szCs w:val="20"/>
              </w:rPr>
              <w:t>418</w:t>
            </w:r>
          </w:p>
        </w:tc>
        <w:tc>
          <w:tcPr>
            <w:tcW w:w="1350" w:type="dxa"/>
            <w:shd w:val="clear" w:color="auto" w:fill="9BC2E6"/>
            <w:noWrap/>
            <w:tcMar>
              <w:top w:w="0" w:type="dxa"/>
              <w:left w:w="108" w:type="dxa"/>
              <w:bottom w:w="0" w:type="dxa"/>
              <w:right w:w="108" w:type="dxa"/>
            </w:tcMar>
            <w:vAlign w:val="center"/>
            <w:hideMark/>
          </w:tcPr>
          <w:p w14:paraId="2D9DC8DF" w14:textId="3E3587B8" w:rsidR="000C63AD" w:rsidRPr="001925E3" w:rsidRDefault="000C63AD" w:rsidP="002A256A">
            <w:pPr>
              <w:spacing w:after="0" w:line="240" w:lineRule="auto"/>
              <w:contextualSpacing/>
              <w:jc w:val="center"/>
              <w:rPr>
                <w:sz w:val="20"/>
                <w:szCs w:val="20"/>
              </w:rPr>
            </w:pPr>
            <w:r w:rsidRPr="001925E3">
              <w:rPr>
                <w:sz w:val="20"/>
                <w:szCs w:val="20"/>
              </w:rPr>
              <w:t>$718,374</w:t>
            </w:r>
          </w:p>
        </w:tc>
        <w:tc>
          <w:tcPr>
            <w:tcW w:w="810" w:type="dxa"/>
            <w:shd w:val="clear" w:color="auto" w:fill="9BC2E6"/>
            <w:noWrap/>
            <w:tcMar>
              <w:top w:w="0" w:type="dxa"/>
              <w:left w:w="108" w:type="dxa"/>
              <w:bottom w:w="0" w:type="dxa"/>
              <w:right w:w="108" w:type="dxa"/>
            </w:tcMar>
            <w:vAlign w:val="center"/>
            <w:hideMark/>
          </w:tcPr>
          <w:p w14:paraId="192FEA3B" w14:textId="77777777" w:rsidR="000C63AD" w:rsidRPr="001925E3" w:rsidRDefault="000C63AD" w:rsidP="002A256A">
            <w:pPr>
              <w:spacing w:after="0" w:line="240" w:lineRule="auto"/>
              <w:contextualSpacing/>
              <w:jc w:val="center"/>
              <w:rPr>
                <w:sz w:val="20"/>
                <w:szCs w:val="20"/>
              </w:rPr>
            </w:pPr>
            <w:r w:rsidRPr="001925E3">
              <w:rPr>
                <w:sz w:val="20"/>
                <w:szCs w:val="20"/>
              </w:rPr>
              <w:t>370</w:t>
            </w:r>
          </w:p>
        </w:tc>
        <w:tc>
          <w:tcPr>
            <w:tcW w:w="1260" w:type="dxa"/>
            <w:shd w:val="clear" w:color="auto" w:fill="9BC2E6"/>
            <w:noWrap/>
            <w:tcMar>
              <w:top w:w="0" w:type="dxa"/>
              <w:left w:w="108" w:type="dxa"/>
              <w:bottom w:w="0" w:type="dxa"/>
              <w:right w:w="108" w:type="dxa"/>
            </w:tcMar>
            <w:vAlign w:val="center"/>
            <w:hideMark/>
          </w:tcPr>
          <w:p w14:paraId="5E399D64" w14:textId="26A47570" w:rsidR="000C63AD" w:rsidRPr="001925E3" w:rsidRDefault="000C63AD" w:rsidP="002A256A">
            <w:pPr>
              <w:spacing w:after="0" w:line="240" w:lineRule="auto"/>
              <w:contextualSpacing/>
              <w:jc w:val="center"/>
              <w:rPr>
                <w:sz w:val="20"/>
                <w:szCs w:val="20"/>
              </w:rPr>
            </w:pPr>
            <w:r w:rsidRPr="001925E3">
              <w:rPr>
                <w:sz w:val="20"/>
                <w:szCs w:val="20"/>
              </w:rPr>
              <w:t>$553,834</w:t>
            </w:r>
          </w:p>
        </w:tc>
        <w:tc>
          <w:tcPr>
            <w:tcW w:w="810" w:type="dxa"/>
            <w:shd w:val="clear" w:color="auto" w:fill="9BC2E6"/>
            <w:noWrap/>
            <w:tcMar>
              <w:top w:w="0" w:type="dxa"/>
              <w:left w:w="108" w:type="dxa"/>
              <w:bottom w:w="0" w:type="dxa"/>
              <w:right w:w="108" w:type="dxa"/>
            </w:tcMar>
            <w:vAlign w:val="center"/>
            <w:hideMark/>
          </w:tcPr>
          <w:p w14:paraId="6357FBDD" w14:textId="77777777" w:rsidR="000C63AD" w:rsidRPr="001925E3" w:rsidRDefault="000C63AD" w:rsidP="002A256A">
            <w:pPr>
              <w:spacing w:after="0" w:line="240" w:lineRule="auto"/>
              <w:contextualSpacing/>
              <w:jc w:val="center"/>
              <w:rPr>
                <w:sz w:val="20"/>
                <w:szCs w:val="20"/>
              </w:rPr>
            </w:pPr>
            <w:r w:rsidRPr="001925E3">
              <w:rPr>
                <w:sz w:val="20"/>
                <w:szCs w:val="20"/>
              </w:rPr>
              <w:t>379</w:t>
            </w:r>
          </w:p>
        </w:tc>
        <w:tc>
          <w:tcPr>
            <w:tcW w:w="1260" w:type="dxa"/>
            <w:shd w:val="clear" w:color="auto" w:fill="9BC2E6"/>
            <w:noWrap/>
            <w:tcMar>
              <w:top w:w="0" w:type="dxa"/>
              <w:left w:w="108" w:type="dxa"/>
              <w:bottom w:w="0" w:type="dxa"/>
              <w:right w:w="108" w:type="dxa"/>
            </w:tcMar>
            <w:vAlign w:val="center"/>
            <w:hideMark/>
          </w:tcPr>
          <w:p w14:paraId="416634C3" w14:textId="0E3A0A21" w:rsidR="000C63AD" w:rsidRPr="001925E3" w:rsidRDefault="000C63AD" w:rsidP="002A256A">
            <w:pPr>
              <w:spacing w:after="0" w:line="240" w:lineRule="auto"/>
              <w:contextualSpacing/>
              <w:jc w:val="center"/>
              <w:rPr>
                <w:sz w:val="20"/>
                <w:szCs w:val="20"/>
              </w:rPr>
            </w:pPr>
            <w:r w:rsidRPr="001925E3">
              <w:rPr>
                <w:sz w:val="20"/>
                <w:szCs w:val="20"/>
              </w:rPr>
              <w:t>$575,545</w:t>
            </w:r>
          </w:p>
        </w:tc>
        <w:tc>
          <w:tcPr>
            <w:tcW w:w="810" w:type="dxa"/>
            <w:shd w:val="clear" w:color="auto" w:fill="9BC2E6"/>
            <w:noWrap/>
            <w:tcMar>
              <w:top w:w="0" w:type="dxa"/>
              <w:left w:w="108" w:type="dxa"/>
              <w:bottom w:w="0" w:type="dxa"/>
              <w:right w:w="108" w:type="dxa"/>
            </w:tcMar>
            <w:vAlign w:val="center"/>
            <w:hideMark/>
          </w:tcPr>
          <w:p w14:paraId="0902F0C3" w14:textId="77777777" w:rsidR="000C63AD" w:rsidRPr="001925E3" w:rsidRDefault="000C63AD" w:rsidP="002A256A">
            <w:pPr>
              <w:spacing w:after="0" w:line="240" w:lineRule="auto"/>
              <w:contextualSpacing/>
              <w:jc w:val="center"/>
              <w:rPr>
                <w:sz w:val="20"/>
                <w:szCs w:val="20"/>
              </w:rPr>
            </w:pPr>
            <w:r w:rsidRPr="001925E3">
              <w:rPr>
                <w:sz w:val="20"/>
                <w:szCs w:val="20"/>
              </w:rPr>
              <w:t>380</w:t>
            </w:r>
          </w:p>
        </w:tc>
        <w:tc>
          <w:tcPr>
            <w:tcW w:w="1080" w:type="dxa"/>
            <w:shd w:val="clear" w:color="auto" w:fill="9BC2E6"/>
            <w:noWrap/>
            <w:tcMar>
              <w:top w:w="0" w:type="dxa"/>
              <w:left w:w="108" w:type="dxa"/>
              <w:bottom w:w="0" w:type="dxa"/>
              <w:right w:w="108" w:type="dxa"/>
            </w:tcMar>
            <w:vAlign w:val="center"/>
            <w:hideMark/>
          </w:tcPr>
          <w:p w14:paraId="50DB2D19" w14:textId="63A34F8E" w:rsidR="000C63AD" w:rsidRPr="001925E3" w:rsidRDefault="000C63AD" w:rsidP="002A256A">
            <w:pPr>
              <w:spacing w:after="0" w:line="240" w:lineRule="auto"/>
              <w:contextualSpacing/>
              <w:jc w:val="center"/>
              <w:rPr>
                <w:sz w:val="20"/>
                <w:szCs w:val="20"/>
              </w:rPr>
            </w:pPr>
            <w:r w:rsidRPr="001925E3">
              <w:rPr>
                <w:sz w:val="20"/>
                <w:szCs w:val="20"/>
              </w:rPr>
              <w:t>$779,804</w:t>
            </w:r>
          </w:p>
        </w:tc>
        <w:tc>
          <w:tcPr>
            <w:tcW w:w="720" w:type="dxa"/>
            <w:shd w:val="clear" w:color="auto" w:fill="9BC2E6"/>
            <w:noWrap/>
            <w:tcMar>
              <w:top w:w="0" w:type="dxa"/>
              <w:left w:w="108" w:type="dxa"/>
              <w:bottom w:w="0" w:type="dxa"/>
              <w:right w:w="108" w:type="dxa"/>
            </w:tcMar>
            <w:vAlign w:val="center"/>
            <w:hideMark/>
          </w:tcPr>
          <w:p w14:paraId="035E0422" w14:textId="77777777" w:rsidR="000C63AD" w:rsidRPr="001925E3" w:rsidRDefault="000C63AD" w:rsidP="002A256A">
            <w:pPr>
              <w:spacing w:after="0" w:line="240" w:lineRule="auto"/>
              <w:contextualSpacing/>
              <w:jc w:val="center"/>
              <w:rPr>
                <w:sz w:val="20"/>
                <w:szCs w:val="20"/>
              </w:rPr>
            </w:pPr>
            <w:r w:rsidRPr="001925E3">
              <w:rPr>
                <w:sz w:val="20"/>
                <w:szCs w:val="20"/>
              </w:rPr>
              <w:t>353</w:t>
            </w:r>
          </w:p>
        </w:tc>
        <w:tc>
          <w:tcPr>
            <w:tcW w:w="1350" w:type="dxa"/>
            <w:shd w:val="clear" w:color="auto" w:fill="9BC2E6"/>
            <w:noWrap/>
            <w:tcMar>
              <w:top w:w="0" w:type="dxa"/>
              <w:left w:w="108" w:type="dxa"/>
              <w:bottom w:w="0" w:type="dxa"/>
              <w:right w:w="108" w:type="dxa"/>
            </w:tcMar>
            <w:vAlign w:val="center"/>
            <w:hideMark/>
          </w:tcPr>
          <w:p w14:paraId="48D13CFB" w14:textId="356F6585" w:rsidR="000C63AD" w:rsidRPr="001925E3" w:rsidRDefault="000C63AD" w:rsidP="002A256A">
            <w:pPr>
              <w:spacing w:after="0" w:line="240" w:lineRule="auto"/>
              <w:contextualSpacing/>
              <w:jc w:val="center"/>
              <w:rPr>
                <w:sz w:val="20"/>
                <w:szCs w:val="20"/>
              </w:rPr>
            </w:pPr>
            <w:r w:rsidRPr="001925E3">
              <w:rPr>
                <w:sz w:val="20"/>
                <w:szCs w:val="20"/>
              </w:rPr>
              <w:t>$735,523</w:t>
            </w:r>
          </w:p>
        </w:tc>
      </w:tr>
      <w:tr w:rsidR="002A256A" w14:paraId="4B0566A4" w14:textId="77777777" w:rsidTr="002A256A">
        <w:trPr>
          <w:trHeight w:val="377"/>
        </w:trPr>
        <w:tc>
          <w:tcPr>
            <w:tcW w:w="1435" w:type="dxa"/>
            <w:shd w:val="clear" w:color="auto" w:fill="DDEBF7"/>
            <w:noWrap/>
            <w:tcMar>
              <w:top w:w="0" w:type="dxa"/>
              <w:left w:w="108" w:type="dxa"/>
              <w:bottom w:w="0" w:type="dxa"/>
              <w:right w:w="108" w:type="dxa"/>
            </w:tcMar>
            <w:vAlign w:val="center"/>
            <w:hideMark/>
          </w:tcPr>
          <w:p w14:paraId="62F7767B" w14:textId="77777777" w:rsidR="000C63AD" w:rsidRDefault="000C63AD" w:rsidP="002A256A">
            <w:pPr>
              <w:spacing w:after="0" w:line="240" w:lineRule="auto"/>
              <w:contextualSpacing/>
              <w:jc w:val="left"/>
              <w:rPr>
                <w:b/>
                <w:bCs/>
              </w:rPr>
            </w:pPr>
            <w:r>
              <w:rPr>
                <w:b/>
                <w:bCs/>
              </w:rPr>
              <w:t xml:space="preserve">Dental </w:t>
            </w:r>
          </w:p>
        </w:tc>
        <w:tc>
          <w:tcPr>
            <w:tcW w:w="720" w:type="dxa"/>
            <w:shd w:val="clear" w:color="auto" w:fill="DDEBF7"/>
            <w:noWrap/>
            <w:tcMar>
              <w:top w:w="0" w:type="dxa"/>
              <w:left w:w="108" w:type="dxa"/>
              <w:bottom w:w="0" w:type="dxa"/>
              <w:right w:w="108" w:type="dxa"/>
            </w:tcMar>
            <w:vAlign w:val="center"/>
            <w:hideMark/>
          </w:tcPr>
          <w:p w14:paraId="4A893309" w14:textId="77777777" w:rsidR="000C63AD" w:rsidRPr="001925E3" w:rsidRDefault="000C63AD" w:rsidP="002A256A">
            <w:pPr>
              <w:spacing w:after="0" w:line="240" w:lineRule="auto"/>
              <w:contextualSpacing/>
              <w:jc w:val="center"/>
              <w:rPr>
                <w:sz w:val="20"/>
                <w:szCs w:val="20"/>
              </w:rPr>
            </w:pPr>
            <w:r w:rsidRPr="001925E3">
              <w:rPr>
                <w:sz w:val="20"/>
                <w:szCs w:val="20"/>
              </w:rPr>
              <w:t>72</w:t>
            </w:r>
          </w:p>
        </w:tc>
        <w:tc>
          <w:tcPr>
            <w:tcW w:w="1260" w:type="dxa"/>
            <w:shd w:val="clear" w:color="auto" w:fill="DDEBF7"/>
            <w:noWrap/>
            <w:tcMar>
              <w:top w:w="0" w:type="dxa"/>
              <w:left w:w="108" w:type="dxa"/>
              <w:bottom w:w="0" w:type="dxa"/>
              <w:right w:w="108" w:type="dxa"/>
            </w:tcMar>
            <w:vAlign w:val="center"/>
            <w:hideMark/>
          </w:tcPr>
          <w:p w14:paraId="0C77BEC2" w14:textId="47483080" w:rsidR="000C63AD" w:rsidRPr="001925E3" w:rsidRDefault="000C63AD" w:rsidP="002A256A">
            <w:pPr>
              <w:spacing w:after="0" w:line="240" w:lineRule="auto"/>
              <w:contextualSpacing/>
              <w:jc w:val="center"/>
              <w:rPr>
                <w:sz w:val="20"/>
                <w:szCs w:val="20"/>
              </w:rPr>
            </w:pPr>
            <w:r w:rsidRPr="001925E3">
              <w:rPr>
                <w:sz w:val="20"/>
                <w:szCs w:val="20"/>
              </w:rPr>
              <w:t>$26,111</w:t>
            </w:r>
          </w:p>
        </w:tc>
        <w:tc>
          <w:tcPr>
            <w:tcW w:w="810" w:type="dxa"/>
            <w:shd w:val="clear" w:color="auto" w:fill="DDEBF7"/>
            <w:noWrap/>
            <w:tcMar>
              <w:top w:w="0" w:type="dxa"/>
              <w:left w:w="108" w:type="dxa"/>
              <w:bottom w:w="0" w:type="dxa"/>
              <w:right w:w="108" w:type="dxa"/>
            </w:tcMar>
            <w:vAlign w:val="center"/>
            <w:hideMark/>
          </w:tcPr>
          <w:p w14:paraId="68DDCDD3" w14:textId="77777777" w:rsidR="000C63AD" w:rsidRPr="001925E3" w:rsidRDefault="000C63AD" w:rsidP="002A256A">
            <w:pPr>
              <w:spacing w:after="0" w:line="240" w:lineRule="auto"/>
              <w:contextualSpacing/>
              <w:jc w:val="center"/>
              <w:rPr>
                <w:sz w:val="20"/>
                <w:szCs w:val="20"/>
              </w:rPr>
            </w:pPr>
            <w:r w:rsidRPr="001925E3">
              <w:rPr>
                <w:sz w:val="20"/>
                <w:szCs w:val="20"/>
              </w:rPr>
              <w:t>64</w:t>
            </w:r>
          </w:p>
        </w:tc>
        <w:tc>
          <w:tcPr>
            <w:tcW w:w="1350" w:type="dxa"/>
            <w:shd w:val="clear" w:color="auto" w:fill="DDEBF7"/>
            <w:noWrap/>
            <w:tcMar>
              <w:top w:w="0" w:type="dxa"/>
              <w:left w:w="108" w:type="dxa"/>
              <w:bottom w:w="0" w:type="dxa"/>
              <w:right w:w="108" w:type="dxa"/>
            </w:tcMar>
            <w:vAlign w:val="center"/>
            <w:hideMark/>
          </w:tcPr>
          <w:p w14:paraId="202DFE15" w14:textId="37796ED3" w:rsidR="000C63AD" w:rsidRPr="001925E3" w:rsidRDefault="000C63AD" w:rsidP="002A256A">
            <w:pPr>
              <w:spacing w:after="0" w:line="240" w:lineRule="auto"/>
              <w:contextualSpacing/>
              <w:jc w:val="center"/>
              <w:rPr>
                <w:sz w:val="20"/>
                <w:szCs w:val="20"/>
              </w:rPr>
            </w:pPr>
            <w:r w:rsidRPr="001925E3">
              <w:rPr>
                <w:sz w:val="20"/>
                <w:szCs w:val="20"/>
              </w:rPr>
              <w:t>$19,039</w:t>
            </w:r>
          </w:p>
        </w:tc>
        <w:tc>
          <w:tcPr>
            <w:tcW w:w="810" w:type="dxa"/>
            <w:shd w:val="clear" w:color="auto" w:fill="DDEBF7"/>
            <w:noWrap/>
            <w:tcMar>
              <w:top w:w="0" w:type="dxa"/>
              <w:left w:w="108" w:type="dxa"/>
              <w:bottom w:w="0" w:type="dxa"/>
              <w:right w:w="108" w:type="dxa"/>
            </w:tcMar>
            <w:vAlign w:val="center"/>
            <w:hideMark/>
          </w:tcPr>
          <w:p w14:paraId="1F792AB9" w14:textId="77777777" w:rsidR="000C63AD" w:rsidRPr="001925E3" w:rsidRDefault="000C63AD" w:rsidP="002A256A">
            <w:pPr>
              <w:spacing w:after="0" w:line="240" w:lineRule="auto"/>
              <w:contextualSpacing/>
              <w:jc w:val="center"/>
              <w:rPr>
                <w:sz w:val="20"/>
                <w:szCs w:val="20"/>
              </w:rPr>
            </w:pPr>
            <w:r w:rsidRPr="001925E3">
              <w:rPr>
                <w:sz w:val="20"/>
                <w:szCs w:val="20"/>
              </w:rPr>
              <w:t>63</w:t>
            </w:r>
          </w:p>
        </w:tc>
        <w:tc>
          <w:tcPr>
            <w:tcW w:w="1260" w:type="dxa"/>
            <w:shd w:val="clear" w:color="auto" w:fill="DDEBF7"/>
            <w:noWrap/>
            <w:tcMar>
              <w:top w:w="0" w:type="dxa"/>
              <w:left w:w="108" w:type="dxa"/>
              <w:bottom w:w="0" w:type="dxa"/>
              <w:right w:w="108" w:type="dxa"/>
            </w:tcMar>
            <w:vAlign w:val="center"/>
            <w:hideMark/>
          </w:tcPr>
          <w:p w14:paraId="0668AC70" w14:textId="489D63B4" w:rsidR="000C63AD" w:rsidRPr="001925E3" w:rsidRDefault="000C63AD" w:rsidP="002A256A">
            <w:pPr>
              <w:spacing w:after="0" w:line="240" w:lineRule="auto"/>
              <w:contextualSpacing/>
              <w:jc w:val="center"/>
              <w:rPr>
                <w:sz w:val="20"/>
                <w:szCs w:val="20"/>
              </w:rPr>
            </w:pPr>
            <w:r w:rsidRPr="001925E3">
              <w:rPr>
                <w:sz w:val="20"/>
                <w:szCs w:val="20"/>
              </w:rPr>
              <w:t>$15,887</w:t>
            </w:r>
          </w:p>
        </w:tc>
        <w:tc>
          <w:tcPr>
            <w:tcW w:w="810" w:type="dxa"/>
            <w:shd w:val="clear" w:color="auto" w:fill="DDEBF7"/>
            <w:noWrap/>
            <w:tcMar>
              <w:top w:w="0" w:type="dxa"/>
              <w:left w:w="108" w:type="dxa"/>
              <w:bottom w:w="0" w:type="dxa"/>
              <w:right w:w="108" w:type="dxa"/>
            </w:tcMar>
            <w:vAlign w:val="center"/>
            <w:hideMark/>
          </w:tcPr>
          <w:p w14:paraId="78AC051F" w14:textId="77777777" w:rsidR="000C63AD" w:rsidRPr="001925E3" w:rsidRDefault="000C63AD" w:rsidP="002A256A">
            <w:pPr>
              <w:spacing w:after="0" w:line="240" w:lineRule="auto"/>
              <w:contextualSpacing/>
              <w:jc w:val="center"/>
              <w:rPr>
                <w:sz w:val="20"/>
                <w:szCs w:val="20"/>
              </w:rPr>
            </w:pPr>
            <w:r w:rsidRPr="001925E3">
              <w:rPr>
                <w:sz w:val="20"/>
                <w:szCs w:val="20"/>
              </w:rPr>
              <w:t>63</w:t>
            </w:r>
          </w:p>
        </w:tc>
        <w:tc>
          <w:tcPr>
            <w:tcW w:w="1260" w:type="dxa"/>
            <w:shd w:val="clear" w:color="auto" w:fill="DDEBF7"/>
            <w:noWrap/>
            <w:tcMar>
              <w:top w:w="0" w:type="dxa"/>
              <w:left w:w="108" w:type="dxa"/>
              <w:bottom w:w="0" w:type="dxa"/>
              <w:right w:w="108" w:type="dxa"/>
            </w:tcMar>
            <w:vAlign w:val="center"/>
            <w:hideMark/>
          </w:tcPr>
          <w:p w14:paraId="7A4D7E8E" w14:textId="5906BC11" w:rsidR="000C63AD" w:rsidRPr="001925E3" w:rsidRDefault="000C63AD" w:rsidP="002A256A">
            <w:pPr>
              <w:spacing w:after="0" w:line="240" w:lineRule="auto"/>
              <w:contextualSpacing/>
              <w:jc w:val="center"/>
              <w:rPr>
                <w:sz w:val="20"/>
                <w:szCs w:val="20"/>
              </w:rPr>
            </w:pPr>
            <w:r w:rsidRPr="001925E3">
              <w:rPr>
                <w:sz w:val="20"/>
                <w:szCs w:val="20"/>
              </w:rPr>
              <w:t>$24,454</w:t>
            </w:r>
          </w:p>
        </w:tc>
        <w:tc>
          <w:tcPr>
            <w:tcW w:w="810" w:type="dxa"/>
            <w:shd w:val="clear" w:color="auto" w:fill="DDEBF7"/>
            <w:noWrap/>
            <w:tcMar>
              <w:top w:w="0" w:type="dxa"/>
              <w:left w:w="108" w:type="dxa"/>
              <w:bottom w:w="0" w:type="dxa"/>
              <w:right w:w="108" w:type="dxa"/>
            </w:tcMar>
            <w:vAlign w:val="center"/>
            <w:hideMark/>
          </w:tcPr>
          <w:p w14:paraId="09FCF704" w14:textId="77777777" w:rsidR="000C63AD" w:rsidRPr="001925E3" w:rsidRDefault="000C63AD" w:rsidP="002A256A">
            <w:pPr>
              <w:spacing w:after="0" w:line="240" w:lineRule="auto"/>
              <w:contextualSpacing/>
              <w:jc w:val="center"/>
              <w:rPr>
                <w:sz w:val="20"/>
                <w:szCs w:val="20"/>
              </w:rPr>
            </w:pPr>
            <w:r w:rsidRPr="001925E3">
              <w:rPr>
                <w:sz w:val="20"/>
                <w:szCs w:val="20"/>
              </w:rPr>
              <w:t>71</w:t>
            </w:r>
          </w:p>
        </w:tc>
        <w:tc>
          <w:tcPr>
            <w:tcW w:w="1080" w:type="dxa"/>
            <w:shd w:val="clear" w:color="auto" w:fill="DDEBF7"/>
            <w:noWrap/>
            <w:tcMar>
              <w:top w:w="0" w:type="dxa"/>
              <w:left w:w="108" w:type="dxa"/>
              <w:bottom w:w="0" w:type="dxa"/>
              <w:right w:w="108" w:type="dxa"/>
            </w:tcMar>
            <w:vAlign w:val="center"/>
            <w:hideMark/>
          </w:tcPr>
          <w:p w14:paraId="489CF772" w14:textId="7269C38C" w:rsidR="000C63AD" w:rsidRPr="001925E3" w:rsidRDefault="000C63AD" w:rsidP="002A256A">
            <w:pPr>
              <w:spacing w:after="0" w:line="240" w:lineRule="auto"/>
              <w:contextualSpacing/>
              <w:jc w:val="center"/>
              <w:rPr>
                <w:sz w:val="20"/>
                <w:szCs w:val="20"/>
              </w:rPr>
            </w:pPr>
            <w:r w:rsidRPr="001925E3">
              <w:rPr>
                <w:sz w:val="20"/>
                <w:szCs w:val="20"/>
              </w:rPr>
              <w:t>$19,036</w:t>
            </w:r>
          </w:p>
        </w:tc>
        <w:tc>
          <w:tcPr>
            <w:tcW w:w="720" w:type="dxa"/>
            <w:shd w:val="clear" w:color="auto" w:fill="DDEBF7"/>
            <w:noWrap/>
            <w:tcMar>
              <w:top w:w="0" w:type="dxa"/>
              <w:left w:w="108" w:type="dxa"/>
              <w:bottom w:w="0" w:type="dxa"/>
              <w:right w:w="108" w:type="dxa"/>
            </w:tcMar>
            <w:vAlign w:val="center"/>
            <w:hideMark/>
          </w:tcPr>
          <w:p w14:paraId="48CDA396" w14:textId="77777777" w:rsidR="000C63AD" w:rsidRPr="001925E3" w:rsidRDefault="000C63AD" w:rsidP="002A256A">
            <w:pPr>
              <w:spacing w:after="0" w:line="240" w:lineRule="auto"/>
              <w:contextualSpacing/>
              <w:jc w:val="center"/>
              <w:rPr>
                <w:sz w:val="20"/>
                <w:szCs w:val="20"/>
              </w:rPr>
            </w:pPr>
            <w:r w:rsidRPr="001925E3">
              <w:rPr>
                <w:sz w:val="20"/>
                <w:szCs w:val="20"/>
              </w:rPr>
              <w:t>83</w:t>
            </w:r>
          </w:p>
        </w:tc>
        <w:tc>
          <w:tcPr>
            <w:tcW w:w="1350" w:type="dxa"/>
            <w:shd w:val="clear" w:color="auto" w:fill="DDEBF7"/>
            <w:noWrap/>
            <w:tcMar>
              <w:top w:w="0" w:type="dxa"/>
              <w:left w:w="108" w:type="dxa"/>
              <w:bottom w:w="0" w:type="dxa"/>
              <w:right w:w="108" w:type="dxa"/>
            </w:tcMar>
            <w:vAlign w:val="center"/>
            <w:hideMark/>
          </w:tcPr>
          <w:p w14:paraId="14097CCC" w14:textId="0D967C88" w:rsidR="000C63AD" w:rsidRPr="001925E3" w:rsidRDefault="000C63AD" w:rsidP="002A256A">
            <w:pPr>
              <w:spacing w:after="0" w:line="240" w:lineRule="auto"/>
              <w:contextualSpacing/>
              <w:jc w:val="center"/>
              <w:rPr>
                <w:sz w:val="20"/>
                <w:szCs w:val="20"/>
              </w:rPr>
            </w:pPr>
            <w:r w:rsidRPr="001925E3">
              <w:rPr>
                <w:sz w:val="20"/>
                <w:szCs w:val="20"/>
              </w:rPr>
              <w:t>$30,163</w:t>
            </w:r>
          </w:p>
        </w:tc>
      </w:tr>
      <w:tr w:rsidR="002A256A" w14:paraId="4C4D481F" w14:textId="77777777" w:rsidTr="002A256A">
        <w:trPr>
          <w:trHeight w:val="440"/>
        </w:trPr>
        <w:tc>
          <w:tcPr>
            <w:tcW w:w="1435" w:type="dxa"/>
            <w:shd w:val="clear" w:color="auto" w:fill="9BC2E6"/>
            <w:noWrap/>
            <w:tcMar>
              <w:top w:w="0" w:type="dxa"/>
              <w:left w:w="108" w:type="dxa"/>
              <w:bottom w:w="0" w:type="dxa"/>
              <w:right w:w="108" w:type="dxa"/>
            </w:tcMar>
            <w:vAlign w:val="center"/>
            <w:hideMark/>
          </w:tcPr>
          <w:p w14:paraId="293F74D3" w14:textId="77777777" w:rsidR="000C63AD" w:rsidRDefault="000C63AD" w:rsidP="002A256A">
            <w:pPr>
              <w:spacing w:after="0" w:line="240" w:lineRule="auto"/>
              <w:contextualSpacing/>
              <w:jc w:val="left"/>
              <w:rPr>
                <w:b/>
                <w:bCs/>
              </w:rPr>
            </w:pPr>
            <w:r>
              <w:rPr>
                <w:b/>
                <w:bCs/>
              </w:rPr>
              <w:t xml:space="preserve">Home health </w:t>
            </w:r>
          </w:p>
        </w:tc>
        <w:tc>
          <w:tcPr>
            <w:tcW w:w="720" w:type="dxa"/>
            <w:shd w:val="clear" w:color="auto" w:fill="9BC2E6"/>
            <w:noWrap/>
            <w:tcMar>
              <w:top w:w="0" w:type="dxa"/>
              <w:left w:w="108" w:type="dxa"/>
              <w:bottom w:w="0" w:type="dxa"/>
              <w:right w:w="108" w:type="dxa"/>
            </w:tcMar>
            <w:vAlign w:val="center"/>
            <w:hideMark/>
          </w:tcPr>
          <w:p w14:paraId="027194ED" w14:textId="77777777" w:rsidR="000C63AD" w:rsidRPr="001925E3" w:rsidRDefault="000C63AD" w:rsidP="002A256A">
            <w:pPr>
              <w:spacing w:after="0" w:line="240" w:lineRule="auto"/>
              <w:contextualSpacing/>
              <w:jc w:val="center"/>
              <w:rPr>
                <w:sz w:val="20"/>
                <w:szCs w:val="20"/>
              </w:rPr>
            </w:pPr>
            <w:r w:rsidRPr="001925E3">
              <w:rPr>
                <w:sz w:val="20"/>
                <w:szCs w:val="20"/>
              </w:rPr>
              <w:t>7</w:t>
            </w:r>
          </w:p>
        </w:tc>
        <w:tc>
          <w:tcPr>
            <w:tcW w:w="1260" w:type="dxa"/>
            <w:shd w:val="clear" w:color="auto" w:fill="9BC2E6"/>
            <w:noWrap/>
            <w:tcMar>
              <w:top w:w="0" w:type="dxa"/>
              <w:left w:w="108" w:type="dxa"/>
              <w:bottom w:w="0" w:type="dxa"/>
              <w:right w:w="108" w:type="dxa"/>
            </w:tcMar>
            <w:vAlign w:val="center"/>
            <w:hideMark/>
          </w:tcPr>
          <w:p w14:paraId="5A6B0C82" w14:textId="6497106D" w:rsidR="000C63AD" w:rsidRPr="001925E3" w:rsidRDefault="00BC44E1" w:rsidP="002A256A">
            <w:pPr>
              <w:spacing w:after="0" w:line="240" w:lineRule="auto"/>
              <w:ind w:left="0" w:firstLine="0"/>
              <w:contextualSpacing/>
              <w:jc w:val="center"/>
              <w:rPr>
                <w:sz w:val="20"/>
                <w:szCs w:val="20"/>
              </w:rPr>
            </w:pPr>
            <w:r w:rsidRPr="001925E3">
              <w:rPr>
                <w:sz w:val="20"/>
                <w:szCs w:val="20"/>
              </w:rPr>
              <w:t xml:space="preserve">$ </w:t>
            </w:r>
            <w:r w:rsidR="000C63AD" w:rsidRPr="001925E3">
              <w:rPr>
                <w:sz w:val="20"/>
                <w:szCs w:val="20"/>
              </w:rPr>
              <w:t>52,409</w:t>
            </w:r>
          </w:p>
        </w:tc>
        <w:tc>
          <w:tcPr>
            <w:tcW w:w="810" w:type="dxa"/>
            <w:shd w:val="clear" w:color="auto" w:fill="9BC2E6"/>
            <w:noWrap/>
            <w:tcMar>
              <w:top w:w="0" w:type="dxa"/>
              <w:left w:w="108" w:type="dxa"/>
              <w:bottom w:w="0" w:type="dxa"/>
              <w:right w:w="108" w:type="dxa"/>
            </w:tcMar>
            <w:vAlign w:val="center"/>
            <w:hideMark/>
          </w:tcPr>
          <w:p w14:paraId="57CBAAD9" w14:textId="77777777" w:rsidR="000C63AD" w:rsidRPr="001925E3" w:rsidRDefault="000C63AD" w:rsidP="002A256A">
            <w:pPr>
              <w:spacing w:after="0" w:line="240" w:lineRule="auto"/>
              <w:contextualSpacing/>
              <w:jc w:val="center"/>
              <w:rPr>
                <w:sz w:val="20"/>
                <w:szCs w:val="20"/>
              </w:rPr>
            </w:pPr>
            <w:r w:rsidRPr="001925E3">
              <w:rPr>
                <w:sz w:val="20"/>
                <w:szCs w:val="20"/>
              </w:rPr>
              <w:t>9</w:t>
            </w:r>
          </w:p>
        </w:tc>
        <w:tc>
          <w:tcPr>
            <w:tcW w:w="1350" w:type="dxa"/>
            <w:shd w:val="clear" w:color="auto" w:fill="9BC2E6"/>
            <w:noWrap/>
            <w:tcMar>
              <w:top w:w="0" w:type="dxa"/>
              <w:left w:w="108" w:type="dxa"/>
              <w:bottom w:w="0" w:type="dxa"/>
              <w:right w:w="108" w:type="dxa"/>
            </w:tcMar>
            <w:vAlign w:val="center"/>
            <w:hideMark/>
          </w:tcPr>
          <w:p w14:paraId="3B662C96" w14:textId="125E2521" w:rsidR="000C63AD" w:rsidRPr="001925E3" w:rsidRDefault="000C63AD" w:rsidP="002A256A">
            <w:pPr>
              <w:spacing w:after="0" w:line="240" w:lineRule="auto"/>
              <w:contextualSpacing/>
              <w:jc w:val="center"/>
              <w:rPr>
                <w:sz w:val="20"/>
                <w:szCs w:val="20"/>
              </w:rPr>
            </w:pPr>
            <w:r w:rsidRPr="001925E3">
              <w:rPr>
                <w:sz w:val="20"/>
                <w:szCs w:val="20"/>
              </w:rPr>
              <w:t>$51,257</w:t>
            </w:r>
          </w:p>
        </w:tc>
        <w:tc>
          <w:tcPr>
            <w:tcW w:w="810" w:type="dxa"/>
            <w:shd w:val="clear" w:color="auto" w:fill="9BC2E6"/>
            <w:noWrap/>
            <w:tcMar>
              <w:top w:w="0" w:type="dxa"/>
              <w:left w:w="108" w:type="dxa"/>
              <w:bottom w:w="0" w:type="dxa"/>
              <w:right w:w="108" w:type="dxa"/>
            </w:tcMar>
            <w:vAlign w:val="center"/>
            <w:hideMark/>
          </w:tcPr>
          <w:p w14:paraId="59C94398" w14:textId="77777777" w:rsidR="000C63AD" w:rsidRPr="001925E3" w:rsidRDefault="000C63AD" w:rsidP="002A256A">
            <w:pPr>
              <w:spacing w:after="0" w:line="240" w:lineRule="auto"/>
              <w:contextualSpacing/>
              <w:jc w:val="center"/>
              <w:rPr>
                <w:sz w:val="20"/>
                <w:szCs w:val="20"/>
              </w:rPr>
            </w:pPr>
            <w:r w:rsidRPr="001925E3">
              <w:rPr>
                <w:sz w:val="20"/>
                <w:szCs w:val="20"/>
              </w:rPr>
              <w:t>18</w:t>
            </w:r>
          </w:p>
        </w:tc>
        <w:tc>
          <w:tcPr>
            <w:tcW w:w="1260" w:type="dxa"/>
            <w:shd w:val="clear" w:color="auto" w:fill="9BC2E6"/>
            <w:noWrap/>
            <w:tcMar>
              <w:top w:w="0" w:type="dxa"/>
              <w:left w:w="108" w:type="dxa"/>
              <w:bottom w:w="0" w:type="dxa"/>
              <w:right w:w="108" w:type="dxa"/>
            </w:tcMar>
            <w:vAlign w:val="center"/>
            <w:hideMark/>
          </w:tcPr>
          <w:p w14:paraId="1932F48A" w14:textId="40C31C4F" w:rsidR="000C63AD" w:rsidRPr="001925E3" w:rsidRDefault="000C63AD" w:rsidP="002A256A">
            <w:pPr>
              <w:spacing w:after="0" w:line="240" w:lineRule="auto"/>
              <w:contextualSpacing/>
              <w:jc w:val="center"/>
              <w:rPr>
                <w:sz w:val="20"/>
                <w:szCs w:val="20"/>
              </w:rPr>
            </w:pPr>
            <w:r w:rsidRPr="001925E3">
              <w:rPr>
                <w:sz w:val="20"/>
                <w:szCs w:val="20"/>
              </w:rPr>
              <w:t>$179,458</w:t>
            </w:r>
          </w:p>
        </w:tc>
        <w:tc>
          <w:tcPr>
            <w:tcW w:w="810" w:type="dxa"/>
            <w:shd w:val="clear" w:color="auto" w:fill="9BC2E6"/>
            <w:noWrap/>
            <w:tcMar>
              <w:top w:w="0" w:type="dxa"/>
              <w:left w:w="108" w:type="dxa"/>
              <w:bottom w:w="0" w:type="dxa"/>
              <w:right w:w="108" w:type="dxa"/>
            </w:tcMar>
            <w:vAlign w:val="center"/>
            <w:hideMark/>
          </w:tcPr>
          <w:p w14:paraId="52DC0F33" w14:textId="77777777" w:rsidR="000C63AD" w:rsidRPr="001925E3" w:rsidRDefault="000C63AD" w:rsidP="002A256A">
            <w:pPr>
              <w:spacing w:after="0" w:line="240" w:lineRule="auto"/>
              <w:contextualSpacing/>
              <w:jc w:val="center"/>
              <w:rPr>
                <w:sz w:val="20"/>
                <w:szCs w:val="20"/>
              </w:rPr>
            </w:pPr>
            <w:r w:rsidRPr="001925E3">
              <w:rPr>
                <w:sz w:val="20"/>
                <w:szCs w:val="20"/>
              </w:rPr>
              <w:t>16</w:t>
            </w:r>
          </w:p>
        </w:tc>
        <w:tc>
          <w:tcPr>
            <w:tcW w:w="1260" w:type="dxa"/>
            <w:shd w:val="clear" w:color="auto" w:fill="9BC2E6"/>
            <w:noWrap/>
            <w:tcMar>
              <w:top w:w="0" w:type="dxa"/>
              <w:left w:w="108" w:type="dxa"/>
              <w:bottom w:w="0" w:type="dxa"/>
              <w:right w:w="108" w:type="dxa"/>
            </w:tcMar>
            <w:vAlign w:val="center"/>
            <w:hideMark/>
          </w:tcPr>
          <w:p w14:paraId="5F3FF2CA" w14:textId="1821DAD1" w:rsidR="000C63AD" w:rsidRPr="001925E3" w:rsidRDefault="000C63AD" w:rsidP="002A256A">
            <w:pPr>
              <w:spacing w:after="0" w:line="240" w:lineRule="auto"/>
              <w:contextualSpacing/>
              <w:jc w:val="center"/>
              <w:rPr>
                <w:sz w:val="20"/>
                <w:szCs w:val="20"/>
              </w:rPr>
            </w:pPr>
            <w:r w:rsidRPr="001925E3">
              <w:rPr>
                <w:sz w:val="20"/>
                <w:szCs w:val="20"/>
              </w:rPr>
              <w:t>$160,623</w:t>
            </w:r>
          </w:p>
        </w:tc>
        <w:tc>
          <w:tcPr>
            <w:tcW w:w="810" w:type="dxa"/>
            <w:shd w:val="clear" w:color="auto" w:fill="9BC2E6"/>
            <w:noWrap/>
            <w:tcMar>
              <w:top w:w="0" w:type="dxa"/>
              <w:left w:w="108" w:type="dxa"/>
              <w:bottom w:w="0" w:type="dxa"/>
              <w:right w:w="108" w:type="dxa"/>
            </w:tcMar>
            <w:vAlign w:val="center"/>
            <w:hideMark/>
          </w:tcPr>
          <w:p w14:paraId="3352125D" w14:textId="77777777" w:rsidR="000C63AD" w:rsidRPr="001925E3" w:rsidRDefault="000C63AD" w:rsidP="002A256A">
            <w:pPr>
              <w:spacing w:after="0" w:line="240" w:lineRule="auto"/>
              <w:contextualSpacing/>
              <w:jc w:val="center"/>
              <w:rPr>
                <w:sz w:val="20"/>
                <w:szCs w:val="20"/>
              </w:rPr>
            </w:pPr>
            <w:r w:rsidRPr="001925E3">
              <w:rPr>
                <w:sz w:val="20"/>
                <w:szCs w:val="20"/>
              </w:rPr>
              <w:t>13</w:t>
            </w:r>
          </w:p>
        </w:tc>
        <w:tc>
          <w:tcPr>
            <w:tcW w:w="1080" w:type="dxa"/>
            <w:shd w:val="clear" w:color="auto" w:fill="9BC2E6"/>
            <w:noWrap/>
            <w:tcMar>
              <w:top w:w="0" w:type="dxa"/>
              <w:left w:w="108" w:type="dxa"/>
              <w:bottom w:w="0" w:type="dxa"/>
              <w:right w:w="108" w:type="dxa"/>
            </w:tcMar>
            <w:vAlign w:val="center"/>
            <w:hideMark/>
          </w:tcPr>
          <w:p w14:paraId="6E975199" w14:textId="65D44EC7" w:rsidR="000C63AD" w:rsidRPr="001925E3" w:rsidRDefault="000C63AD" w:rsidP="002A256A">
            <w:pPr>
              <w:spacing w:after="0" w:line="240" w:lineRule="auto"/>
              <w:contextualSpacing/>
              <w:jc w:val="center"/>
              <w:rPr>
                <w:sz w:val="20"/>
                <w:szCs w:val="20"/>
              </w:rPr>
            </w:pPr>
            <w:r w:rsidRPr="001925E3">
              <w:rPr>
                <w:sz w:val="20"/>
                <w:szCs w:val="20"/>
              </w:rPr>
              <w:t>$167,266</w:t>
            </w:r>
          </w:p>
        </w:tc>
        <w:tc>
          <w:tcPr>
            <w:tcW w:w="720" w:type="dxa"/>
            <w:shd w:val="clear" w:color="auto" w:fill="9BC2E6"/>
            <w:noWrap/>
            <w:tcMar>
              <w:top w:w="0" w:type="dxa"/>
              <w:left w:w="108" w:type="dxa"/>
              <w:bottom w:w="0" w:type="dxa"/>
              <w:right w:w="108" w:type="dxa"/>
            </w:tcMar>
            <w:vAlign w:val="center"/>
            <w:hideMark/>
          </w:tcPr>
          <w:p w14:paraId="3E22564A" w14:textId="77777777" w:rsidR="000C63AD" w:rsidRPr="001925E3" w:rsidRDefault="000C63AD" w:rsidP="002A256A">
            <w:pPr>
              <w:spacing w:after="0" w:line="240" w:lineRule="auto"/>
              <w:contextualSpacing/>
              <w:jc w:val="center"/>
              <w:rPr>
                <w:sz w:val="20"/>
                <w:szCs w:val="20"/>
              </w:rPr>
            </w:pPr>
            <w:r w:rsidRPr="001925E3">
              <w:rPr>
                <w:sz w:val="20"/>
                <w:szCs w:val="20"/>
              </w:rPr>
              <w:t>15</w:t>
            </w:r>
          </w:p>
        </w:tc>
        <w:tc>
          <w:tcPr>
            <w:tcW w:w="1350" w:type="dxa"/>
            <w:shd w:val="clear" w:color="auto" w:fill="9BC2E6"/>
            <w:noWrap/>
            <w:tcMar>
              <w:top w:w="0" w:type="dxa"/>
              <w:left w:w="108" w:type="dxa"/>
              <w:bottom w:w="0" w:type="dxa"/>
              <w:right w:w="108" w:type="dxa"/>
            </w:tcMar>
            <w:vAlign w:val="center"/>
            <w:hideMark/>
          </w:tcPr>
          <w:p w14:paraId="46552A87" w14:textId="61341F62" w:rsidR="000C63AD" w:rsidRPr="001925E3" w:rsidRDefault="000C63AD" w:rsidP="002A256A">
            <w:pPr>
              <w:spacing w:after="0" w:line="240" w:lineRule="auto"/>
              <w:contextualSpacing/>
              <w:jc w:val="center"/>
              <w:rPr>
                <w:sz w:val="20"/>
                <w:szCs w:val="20"/>
              </w:rPr>
            </w:pPr>
            <w:r w:rsidRPr="001925E3">
              <w:rPr>
                <w:sz w:val="20"/>
                <w:szCs w:val="20"/>
              </w:rPr>
              <w:t>$113,437</w:t>
            </w:r>
          </w:p>
        </w:tc>
      </w:tr>
      <w:tr w:rsidR="002A256A" w14:paraId="362C0A78" w14:textId="77777777" w:rsidTr="002A256A">
        <w:trPr>
          <w:trHeight w:val="440"/>
        </w:trPr>
        <w:tc>
          <w:tcPr>
            <w:tcW w:w="1435" w:type="dxa"/>
            <w:shd w:val="clear" w:color="auto" w:fill="DDEBF7"/>
            <w:noWrap/>
            <w:tcMar>
              <w:top w:w="0" w:type="dxa"/>
              <w:left w:w="108" w:type="dxa"/>
              <w:bottom w:w="0" w:type="dxa"/>
              <w:right w:w="108" w:type="dxa"/>
            </w:tcMar>
            <w:vAlign w:val="center"/>
            <w:hideMark/>
          </w:tcPr>
          <w:p w14:paraId="4BD4A740" w14:textId="77777777" w:rsidR="000C63AD" w:rsidRDefault="000C63AD" w:rsidP="002A256A">
            <w:pPr>
              <w:spacing w:after="0" w:line="240" w:lineRule="auto"/>
              <w:contextualSpacing/>
              <w:jc w:val="left"/>
              <w:rPr>
                <w:b/>
                <w:bCs/>
              </w:rPr>
            </w:pPr>
            <w:r>
              <w:rPr>
                <w:b/>
                <w:bCs/>
              </w:rPr>
              <w:t xml:space="preserve">Inpatient </w:t>
            </w:r>
          </w:p>
        </w:tc>
        <w:tc>
          <w:tcPr>
            <w:tcW w:w="720" w:type="dxa"/>
            <w:shd w:val="clear" w:color="auto" w:fill="DDEBF7"/>
            <w:noWrap/>
            <w:tcMar>
              <w:top w:w="0" w:type="dxa"/>
              <w:left w:w="108" w:type="dxa"/>
              <w:bottom w:w="0" w:type="dxa"/>
              <w:right w:w="108" w:type="dxa"/>
            </w:tcMar>
            <w:vAlign w:val="center"/>
            <w:hideMark/>
          </w:tcPr>
          <w:p w14:paraId="382121DC" w14:textId="77777777" w:rsidR="000C63AD" w:rsidRPr="001925E3" w:rsidRDefault="000C63AD" w:rsidP="002A256A">
            <w:pPr>
              <w:spacing w:after="0" w:line="240" w:lineRule="auto"/>
              <w:contextualSpacing/>
              <w:jc w:val="center"/>
              <w:rPr>
                <w:sz w:val="20"/>
                <w:szCs w:val="20"/>
              </w:rPr>
            </w:pPr>
            <w:r w:rsidRPr="001925E3">
              <w:rPr>
                <w:sz w:val="20"/>
                <w:szCs w:val="20"/>
              </w:rPr>
              <w:t>169</w:t>
            </w:r>
          </w:p>
        </w:tc>
        <w:tc>
          <w:tcPr>
            <w:tcW w:w="1260" w:type="dxa"/>
            <w:shd w:val="clear" w:color="auto" w:fill="DDEBF7"/>
            <w:noWrap/>
            <w:tcMar>
              <w:top w:w="0" w:type="dxa"/>
              <w:left w:w="108" w:type="dxa"/>
              <w:bottom w:w="0" w:type="dxa"/>
              <w:right w:w="108" w:type="dxa"/>
            </w:tcMar>
            <w:vAlign w:val="center"/>
            <w:hideMark/>
          </w:tcPr>
          <w:p w14:paraId="6A1CC611" w14:textId="350525A2" w:rsidR="000C63AD" w:rsidRPr="001925E3" w:rsidRDefault="000C63AD" w:rsidP="002A256A">
            <w:pPr>
              <w:spacing w:after="0" w:line="240" w:lineRule="auto"/>
              <w:contextualSpacing/>
              <w:jc w:val="center"/>
              <w:rPr>
                <w:sz w:val="20"/>
                <w:szCs w:val="20"/>
              </w:rPr>
            </w:pPr>
            <w:r w:rsidRPr="001925E3">
              <w:rPr>
                <w:sz w:val="20"/>
                <w:szCs w:val="20"/>
              </w:rPr>
              <w:t>$213,372</w:t>
            </w:r>
          </w:p>
        </w:tc>
        <w:tc>
          <w:tcPr>
            <w:tcW w:w="810" w:type="dxa"/>
            <w:shd w:val="clear" w:color="auto" w:fill="DDEBF7"/>
            <w:noWrap/>
            <w:tcMar>
              <w:top w:w="0" w:type="dxa"/>
              <w:left w:w="108" w:type="dxa"/>
              <w:bottom w:w="0" w:type="dxa"/>
              <w:right w:w="108" w:type="dxa"/>
            </w:tcMar>
            <w:vAlign w:val="center"/>
            <w:hideMark/>
          </w:tcPr>
          <w:p w14:paraId="6CE76F83" w14:textId="77777777" w:rsidR="000C63AD" w:rsidRPr="001925E3" w:rsidRDefault="000C63AD" w:rsidP="002A256A">
            <w:pPr>
              <w:spacing w:after="0" w:line="240" w:lineRule="auto"/>
              <w:contextualSpacing/>
              <w:jc w:val="center"/>
              <w:rPr>
                <w:sz w:val="20"/>
                <w:szCs w:val="20"/>
              </w:rPr>
            </w:pPr>
            <w:r w:rsidRPr="001925E3">
              <w:rPr>
                <w:sz w:val="20"/>
                <w:szCs w:val="20"/>
              </w:rPr>
              <w:t>205</w:t>
            </w:r>
          </w:p>
        </w:tc>
        <w:tc>
          <w:tcPr>
            <w:tcW w:w="1350" w:type="dxa"/>
            <w:shd w:val="clear" w:color="auto" w:fill="DDEBF7"/>
            <w:noWrap/>
            <w:tcMar>
              <w:top w:w="0" w:type="dxa"/>
              <w:left w:w="108" w:type="dxa"/>
              <w:bottom w:w="0" w:type="dxa"/>
              <w:right w:w="108" w:type="dxa"/>
            </w:tcMar>
            <w:vAlign w:val="center"/>
            <w:hideMark/>
          </w:tcPr>
          <w:p w14:paraId="05ADDFAB" w14:textId="218187E1" w:rsidR="000C63AD" w:rsidRPr="001925E3" w:rsidRDefault="000C63AD" w:rsidP="002A256A">
            <w:pPr>
              <w:spacing w:after="0" w:line="240" w:lineRule="auto"/>
              <w:contextualSpacing/>
              <w:jc w:val="center"/>
              <w:rPr>
                <w:sz w:val="20"/>
                <w:szCs w:val="20"/>
              </w:rPr>
            </w:pPr>
            <w:r w:rsidRPr="001925E3">
              <w:rPr>
                <w:sz w:val="20"/>
                <w:szCs w:val="20"/>
              </w:rPr>
              <w:t>$205,632</w:t>
            </w:r>
          </w:p>
        </w:tc>
        <w:tc>
          <w:tcPr>
            <w:tcW w:w="810" w:type="dxa"/>
            <w:shd w:val="clear" w:color="auto" w:fill="DDEBF7"/>
            <w:noWrap/>
            <w:tcMar>
              <w:top w:w="0" w:type="dxa"/>
              <w:left w:w="108" w:type="dxa"/>
              <w:bottom w:w="0" w:type="dxa"/>
              <w:right w:w="108" w:type="dxa"/>
            </w:tcMar>
            <w:vAlign w:val="center"/>
            <w:hideMark/>
          </w:tcPr>
          <w:p w14:paraId="7A6A45F6" w14:textId="77777777" w:rsidR="000C63AD" w:rsidRPr="001925E3" w:rsidRDefault="000C63AD" w:rsidP="002A256A">
            <w:pPr>
              <w:spacing w:after="0" w:line="240" w:lineRule="auto"/>
              <w:contextualSpacing/>
              <w:jc w:val="center"/>
              <w:rPr>
                <w:sz w:val="20"/>
                <w:szCs w:val="20"/>
              </w:rPr>
            </w:pPr>
            <w:r w:rsidRPr="001925E3">
              <w:rPr>
                <w:sz w:val="20"/>
                <w:szCs w:val="20"/>
              </w:rPr>
              <w:t>200</w:t>
            </w:r>
          </w:p>
        </w:tc>
        <w:tc>
          <w:tcPr>
            <w:tcW w:w="1260" w:type="dxa"/>
            <w:shd w:val="clear" w:color="auto" w:fill="DDEBF7"/>
            <w:noWrap/>
            <w:tcMar>
              <w:top w:w="0" w:type="dxa"/>
              <w:left w:w="108" w:type="dxa"/>
              <w:bottom w:w="0" w:type="dxa"/>
              <w:right w:w="108" w:type="dxa"/>
            </w:tcMar>
            <w:vAlign w:val="center"/>
            <w:hideMark/>
          </w:tcPr>
          <w:p w14:paraId="5A0AD9F7" w14:textId="014675EB" w:rsidR="000C63AD" w:rsidRPr="001925E3" w:rsidRDefault="000C63AD" w:rsidP="002A256A">
            <w:pPr>
              <w:spacing w:after="0" w:line="240" w:lineRule="auto"/>
              <w:contextualSpacing/>
              <w:jc w:val="center"/>
              <w:rPr>
                <w:sz w:val="20"/>
                <w:szCs w:val="20"/>
              </w:rPr>
            </w:pPr>
            <w:r w:rsidRPr="001925E3">
              <w:rPr>
                <w:sz w:val="20"/>
                <w:szCs w:val="20"/>
              </w:rPr>
              <w:t>$199,902</w:t>
            </w:r>
          </w:p>
        </w:tc>
        <w:tc>
          <w:tcPr>
            <w:tcW w:w="810" w:type="dxa"/>
            <w:shd w:val="clear" w:color="auto" w:fill="DDEBF7"/>
            <w:noWrap/>
            <w:tcMar>
              <w:top w:w="0" w:type="dxa"/>
              <w:left w:w="108" w:type="dxa"/>
              <w:bottom w:w="0" w:type="dxa"/>
              <w:right w:w="108" w:type="dxa"/>
            </w:tcMar>
            <w:vAlign w:val="center"/>
            <w:hideMark/>
          </w:tcPr>
          <w:p w14:paraId="6D58AC46" w14:textId="77777777" w:rsidR="000C63AD" w:rsidRPr="001925E3" w:rsidRDefault="000C63AD" w:rsidP="002A256A">
            <w:pPr>
              <w:spacing w:after="0" w:line="240" w:lineRule="auto"/>
              <w:contextualSpacing/>
              <w:jc w:val="center"/>
              <w:rPr>
                <w:sz w:val="20"/>
                <w:szCs w:val="20"/>
              </w:rPr>
            </w:pPr>
            <w:r w:rsidRPr="001925E3">
              <w:rPr>
                <w:sz w:val="20"/>
                <w:szCs w:val="20"/>
              </w:rPr>
              <w:t>201</w:t>
            </w:r>
          </w:p>
        </w:tc>
        <w:tc>
          <w:tcPr>
            <w:tcW w:w="1260" w:type="dxa"/>
            <w:shd w:val="clear" w:color="auto" w:fill="DDEBF7"/>
            <w:noWrap/>
            <w:tcMar>
              <w:top w:w="0" w:type="dxa"/>
              <w:left w:w="108" w:type="dxa"/>
              <w:bottom w:w="0" w:type="dxa"/>
              <w:right w:w="108" w:type="dxa"/>
            </w:tcMar>
            <w:vAlign w:val="center"/>
            <w:hideMark/>
          </w:tcPr>
          <w:p w14:paraId="7DD5E792" w14:textId="07266E2C" w:rsidR="000C63AD" w:rsidRPr="001925E3" w:rsidRDefault="000C63AD" w:rsidP="002A256A">
            <w:pPr>
              <w:spacing w:after="0" w:line="240" w:lineRule="auto"/>
              <w:contextualSpacing/>
              <w:jc w:val="center"/>
              <w:rPr>
                <w:sz w:val="20"/>
                <w:szCs w:val="20"/>
              </w:rPr>
            </w:pPr>
            <w:r w:rsidRPr="001925E3">
              <w:rPr>
                <w:sz w:val="20"/>
                <w:szCs w:val="20"/>
              </w:rPr>
              <w:t>$283,049</w:t>
            </w:r>
          </w:p>
        </w:tc>
        <w:tc>
          <w:tcPr>
            <w:tcW w:w="810" w:type="dxa"/>
            <w:shd w:val="clear" w:color="auto" w:fill="DDEBF7"/>
            <w:noWrap/>
            <w:tcMar>
              <w:top w:w="0" w:type="dxa"/>
              <w:left w:w="108" w:type="dxa"/>
              <w:bottom w:w="0" w:type="dxa"/>
              <w:right w:w="108" w:type="dxa"/>
            </w:tcMar>
            <w:vAlign w:val="center"/>
            <w:hideMark/>
          </w:tcPr>
          <w:p w14:paraId="1221CCD8" w14:textId="77777777" w:rsidR="000C63AD" w:rsidRPr="001925E3" w:rsidRDefault="000C63AD" w:rsidP="002A256A">
            <w:pPr>
              <w:spacing w:after="0" w:line="240" w:lineRule="auto"/>
              <w:contextualSpacing/>
              <w:jc w:val="center"/>
              <w:rPr>
                <w:sz w:val="20"/>
                <w:szCs w:val="20"/>
              </w:rPr>
            </w:pPr>
            <w:r w:rsidRPr="001925E3">
              <w:rPr>
                <w:sz w:val="20"/>
                <w:szCs w:val="20"/>
              </w:rPr>
              <w:t>216</w:t>
            </w:r>
          </w:p>
        </w:tc>
        <w:tc>
          <w:tcPr>
            <w:tcW w:w="1080" w:type="dxa"/>
            <w:shd w:val="clear" w:color="auto" w:fill="DDEBF7"/>
            <w:noWrap/>
            <w:tcMar>
              <w:top w:w="0" w:type="dxa"/>
              <w:left w:w="108" w:type="dxa"/>
              <w:bottom w:w="0" w:type="dxa"/>
              <w:right w:w="108" w:type="dxa"/>
            </w:tcMar>
            <w:vAlign w:val="center"/>
            <w:hideMark/>
          </w:tcPr>
          <w:p w14:paraId="35BC373D" w14:textId="685D517E" w:rsidR="000C63AD" w:rsidRPr="001925E3" w:rsidRDefault="000C63AD" w:rsidP="002A256A">
            <w:pPr>
              <w:spacing w:after="0" w:line="240" w:lineRule="auto"/>
              <w:contextualSpacing/>
              <w:jc w:val="center"/>
              <w:rPr>
                <w:sz w:val="20"/>
                <w:szCs w:val="20"/>
              </w:rPr>
            </w:pPr>
            <w:r w:rsidRPr="001925E3">
              <w:rPr>
                <w:sz w:val="20"/>
                <w:szCs w:val="20"/>
              </w:rPr>
              <w:t>$506,021</w:t>
            </w:r>
          </w:p>
        </w:tc>
        <w:tc>
          <w:tcPr>
            <w:tcW w:w="720" w:type="dxa"/>
            <w:shd w:val="clear" w:color="auto" w:fill="DDEBF7"/>
            <w:noWrap/>
            <w:tcMar>
              <w:top w:w="0" w:type="dxa"/>
              <w:left w:w="108" w:type="dxa"/>
              <w:bottom w:w="0" w:type="dxa"/>
              <w:right w:w="108" w:type="dxa"/>
            </w:tcMar>
            <w:vAlign w:val="center"/>
            <w:hideMark/>
          </w:tcPr>
          <w:p w14:paraId="109FDE8D" w14:textId="77777777" w:rsidR="000C63AD" w:rsidRPr="001925E3" w:rsidRDefault="000C63AD" w:rsidP="002A256A">
            <w:pPr>
              <w:spacing w:after="0" w:line="240" w:lineRule="auto"/>
              <w:contextualSpacing/>
              <w:jc w:val="center"/>
              <w:rPr>
                <w:sz w:val="20"/>
                <w:szCs w:val="20"/>
              </w:rPr>
            </w:pPr>
            <w:r w:rsidRPr="001925E3">
              <w:rPr>
                <w:sz w:val="20"/>
                <w:szCs w:val="20"/>
              </w:rPr>
              <w:t>187</w:t>
            </w:r>
          </w:p>
        </w:tc>
        <w:tc>
          <w:tcPr>
            <w:tcW w:w="1350" w:type="dxa"/>
            <w:shd w:val="clear" w:color="auto" w:fill="DDEBF7"/>
            <w:noWrap/>
            <w:tcMar>
              <w:top w:w="0" w:type="dxa"/>
              <w:left w:w="108" w:type="dxa"/>
              <w:bottom w:w="0" w:type="dxa"/>
              <w:right w:w="108" w:type="dxa"/>
            </w:tcMar>
            <w:vAlign w:val="center"/>
            <w:hideMark/>
          </w:tcPr>
          <w:p w14:paraId="60299452" w14:textId="27A4D25D" w:rsidR="000C63AD" w:rsidRPr="001925E3" w:rsidRDefault="000C63AD" w:rsidP="002A256A">
            <w:pPr>
              <w:spacing w:after="0" w:line="240" w:lineRule="auto"/>
              <w:contextualSpacing/>
              <w:jc w:val="center"/>
              <w:rPr>
                <w:sz w:val="20"/>
                <w:szCs w:val="20"/>
              </w:rPr>
            </w:pPr>
            <w:r w:rsidRPr="001925E3">
              <w:rPr>
                <w:sz w:val="20"/>
                <w:szCs w:val="20"/>
              </w:rPr>
              <w:t>$331,613</w:t>
            </w:r>
          </w:p>
        </w:tc>
      </w:tr>
      <w:tr w:rsidR="002A256A" w14:paraId="1DF583E4" w14:textId="77777777" w:rsidTr="002A256A">
        <w:trPr>
          <w:trHeight w:val="162"/>
        </w:trPr>
        <w:tc>
          <w:tcPr>
            <w:tcW w:w="1435" w:type="dxa"/>
            <w:shd w:val="clear" w:color="auto" w:fill="9BC2E6"/>
            <w:noWrap/>
            <w:tcMar>
              <w:top w:w="0" w:type="dxa"/>
              <w:left w:w="108" w:type="dxa"/>
              <w:bottom w:w="0" w:type="dxa"/>
              <w:right w:w="108" w:type="dxa"/>
            </w:tcMar>
            <w:vAlign w:val="center"/>
            <w:hideMark/>
          </w:tcPr>
          <w:p w14:paraId="529A8106" w14:textId="7926F281" w:rsidR="000C63AD" w:rsidRDefault="0056445F" w:rsidP="002A256A">
            <w:pPr>
              <w:spacing w:after="0" w:line="240" w:lineRule="auto"/>
              <w:contextualSpacing/>
              <w:jc w:val="left"/>
              <w:rPr>
                <w:b/>
                <w:bCs/>
              </w:rPr>
            </w:pPr>
            <w:r>
              <w:rPr>
                <w:b/>
                <w:bCs/>
              </w:rPr>
              <w:t>Long-</w:t>
            </w:r>
            <w:r w:rsidR="000C63AD">
              <w:rPr>
                <w:b/>
                <w:bCs/>
              </w:rPr>
              <w:t>term care</w:t>
            </w:r>
          </w:p>
        </w:tc>
        <w:tc>
          <w:tcPr>
            <w:tcW w:w="720" w:type="dxa"/>
            <w:shd w:val="clear" w:color="auto" w:fill="9BC2E6"/>
            <w:noWrap/>
            <w:tcMar>
              <w:top w:w="0" w:type="dxa"/>
              <w:left w:w="108" w:type="dxa"/>
              <w:bottom w:w="0" w:type="dxa"/>
              <w:right w:w="108" w:type="dxa"/>
            </w:tcMar>
            <w:vAlign w:val="center"/>
            <w:hideMark/>
          </w:tcPr>
          <w:p w14:paraId="0C549E72" w14:textId="77777777" w:rsidR="000C63AD" w:rsidRPr="001925E3" w:rsidRDefault="000C63AD" w:rsidP="002A256A">
            <w:pPr>
              <w:spacing w:after="0" w:line="240" w:lineRule="auto"/>
              <w:contextualSpacing/>
              <w:jc w:val="center"/>
              <w:rPr>
                <w:sz w:val="20"/>
                <w:szCs w:val="20"/>
              </w:rPr>
            </w:pPr>
            <w:r w:rsidRPr="001925E3">
              <w:rPr>
                <w:sz w:val="20"/>
                <w:szCs w:val="20"/>
              </w:rPr>
              <w:t>26</w:t>
            </w:r>
          </w:p>
        </w:tc>
        <w:tc>
          <w:tcPr>
            <w:tcW w:w="1260" w:type="dxa"/>
            <w:shd w:val="clear" w:color="auto" w:fill="9BC2E6"/>
            <w:noWrap/>
            <w:tcMar>
              <w:top w:w="0" w:type="dxa"/>
              <w:left w:w="108" w:type="dxa"/>
              <w:bottom w:w="0" w:type="dxa"/>
              <w:right w:w="108" w:type="dxa"/>
            </w:tcMar>
            <w:vAlign w:val="center"/>
            <w:hideMark/>
          </w:tcPr>
          <w:p w14:paraId="254F3808" w14:textId="7600D13B" w:rsidR="000C63AD" w:rsidRPr="001925E3" w:rsidRDefault="000C63AD" w:rsidP="002A256A">
            <w:pPr>
              <w:spacing w:after="0" w:line="240" w:lineRule="auto"/>
              <w:contextualSpacing/>
              <w:jc w:val="center"/>
              <w:rPr>
                <w:sz w:val="20"/>
                <w:szCs w:val="20"/>
              </w:rPr>
            </w:pPr>
            <w:r w:rsidRPr="001925E3">
              <w:rPr>
                <w:sz w:val="20"/>
                <w:szCs w:val="20"/>
              </w:rPr>
              <w:t>$331,388</w:t>
            </w:r>
          </w:p>
        </w:tc>
        <w:tc>
          <w:tcPr>
            <w:tcW w:w="810" w:type="dxa"/>
            <w:shd w:val="clear" w:color="auto" w:fill="9BC2E6"/>
            <w:noWrap/>
            <w:tcMar>
              <w:top w:w="0" w:type="dxa"/>
              <w:left w:w="108" w:type="dxa"/>
              <w:bottom w:w="0" w:type="dxa"/>
              <w:right w:w="108" w:type="dxa"/>
            </w:tcMar>
            <w:vAlign w:val="center"/>
            <w:hideMark/>
          </w:tcPr>
          <w:p w14:paraId="6B2562B8" w14:textId="77777777" w:rsidR="000C63AD" w:rsidRPr="001925E3" w:rsidRDefault="000C63AD" w:rsidP="002A256A">
            <w:pPr>
              <w:spacing w:after="0" w:line="240" w:lineRule="auto"/>
              <w:contextualSpacing/>
              <w:jc w:val="center"/>
              <w:rPr>
                <w:sz w:val="20"/>
                <w:szCs w:val="20"/>
              </w:rPr>
            </w:pPr>
            <w:r w:rsidRPr="001925E3">
              <w:rPr>
                <w:sz w:val="20"/>
                <w:szCs w:val="20"/>
              </w:rPr>
              <w:t>35</w:t>
            </w:r>
          </w:p>
        </w:tc>
        <w:tc>
          <w:tcPr>
            <w:tcW w:w="1350" w:type="dxa"/>
            <w:shd w:val="clear" w:color="auto" w:fill="9BC2E6"/>
            <w:noWrap/>
            <w:tcMar>
              <w:top w:w="0" w:type="dxa"/>
              <w:left w:w="108" w:type="dxa"/>
              <w:bottom w:w="0" w:type="dxa"/>
              <w:right w:w="108" w:type="dxa"/>
            </w:tcMar>
            <w:vAlign w:val="center"/>
            <w:hideMark/>
          </w:tcPr>
          <w:p w14:paraId="1449288E" w14:textId="1867CC95" w:rsidR="000C63AD" w:rsidRPr="001925E3" w:rsidRDefault="000C63AD" w:rsidP="002A256A">
            <w:pPr>
              <w:spacing w:after="0" w:line="240" w:lineRule="auto"/>
              <w:contextualSpacing/>
              <w:jc w:val="center"/>
              <w:rPr>
                <w:sz w:val="20"/>
                <w:szCs w:val="20"/>
              </w:rPr>
            </w:pPr>
            <w:r w:rsidRPr="001925E3">
              <w:rPr>
                <w:sz w:val="20"/>
                <w:szCs w:val="20"/>
              </w:rPr>
              <w:t>$747,771</w:t>
            </w:r>
          </w:p>
        </w:tc>
        <w:tc>
          <w:tcPr>
            <w:tcW w:w="810" w:type="dxa"/>
            <w:shd w:val="clear" w:color="auto" w:fill="9BC2E6"/>
            <w:noWrap/>
            <w:tcMar>
              <w:top w:w="0" w:type="dxa"/>
              <w:left w:w="108" w:type="dxa"/>
              <w:bottom w:w="0" w:type="dxa"/>
              <w:right w:w="108" w:type="dxa"/>
            </w:tcMar>
            <w:vAlign w:val="center"/>
            <w:hideMark/>
          </w:tcPr>
          <w:p w14:paraId="55A57EDD" w14:textId="77777777" w:rsidR="000C63AD" w:rsidRPr="001925E3" w:rsidRDefault="000C63AD" w:rsidP="002A256A">
            <w:pPr>
              <w:spacing w:after="0" w:line="240" w:lineRule="auto"/>
              <w:contextualSpacing/>
              <w:jc w:val="center"/>
              <w:rPr>
                <w:sz w:val="20"/>
                <w:szCs w:val="20"/>
              </w:rPr>
            </w:pPr>
            <w:r w:rsidRPr="001925E3">
              <w:rPr>
                <w:sz w:val="20"/>
                <w:szCs w:val="20"/>
              </w:rPr>
              <w:t>33</w:t>
            </w:r>
          </w:p>
        </w:tc>
        <w:tc>
          <w:tcPr>
            <w:tcW w:w="1260" w:type="dxa"/>
            <w:shd w:val="clear" w:color="auto" w:fill="9BC2E6"/>
            <w:noWrap/>
            <w:tcMar>
              <w:top w:w="0" w:type="dxa"/>
              <w:left w:w="108" w:type="dxa"/>
              <w:bottom w:w="0" w:type="dxa"/>
              <w:right w:w="108" w:type="dxa"/>
            </w:tcMar>
            <w:vAlign w:val="center"/>
            <w:hideMark/>
          </w:tcPr>
          <w:p w14:paraId="4900D5BA" w14:textId="61202540" w:rsidR="000C63AD" w:rsidRPr="001925E3" w:rsidRDefault="000C63AD" w:rsidP="002A256A">
            <w:pPr>
              <w:spacing w:after="0" w:line="240" w:lineRule="auto"/>
              <w:contextualSpacing/>
              <w:jc w:val="center"/>
              <w:rPr>
                <w:sz w:val="20"/>
                <w:szCs w:val="20"/>
              </w:rPr>
            </w:pPr>
            <w:r w:rsidRPr="001925E3">
              <w:rPr>
                <w:sz w:val="20"/>
                <w:szCs w:val="20"/>
              </w:rPr>
              <w:t>$688,114</w:t>
            </w:r>
          </w:p>
        </w:tc>
        <w:tc>
          <w:tcPr>
            <w:tcW w:w="810" w:type="dxa"/>
            <w:shd w:val="clear" w:color="auto" w:fill="9BC2E6"/>
            <w:noWrap/>
            <w:tcMar>
              <w:top w:w="0" w:type="dxa"/>
              <w:left w:w="108" w:type="dxa"/>
              <w:bottom w:w="0" w:type="dxa"/>
              <w:right w:w="108" w:type="dxa"/>
            </w:tcMar>
            <w:vAlign w:val="center"/>
            <w:hideMark/>
          </w:tcPr>
          <w:p w14:paraId="40141A8F" w14:textId="77777777" w:rsidR="000C63AD" w:rsidRPr="001925E3" w:rsidRDefault="000C63AD" w:rsidP="002A256A">
            <w:pPr>
              <w:spacing w:after="0" w:line="240" w:lineRule="auto"/>
              <w:contextualSpacing/>
              <w:jc w:val="center"/>
              <w:rPr>
                <w:sz w:val="20"/>
                <w:szCs w:val="20"/>
              </w:rPr>
            </w:pPr>
            <w:r w:rsidRPr="001925E3">
              <w:rPr>
                <w:sz w:val="20"/>
                <w:szCs w:val="20"/>
              </w:rPr>
              <w:t>33</w:t>
            </w:r>
          </w:p>
        </w:tc>
        <w:tc>
          <w:tcPr>
            <w:tcW w:w="1260" w:type="dxa"/>
            <w:shd w:val="clear" w:color="auto" w:fill="9BC2E6"/>
            <w:noWrap/>
            <w:tcMar>
              <w:top w:w="0" w:type="dxa"/>
              <w:left w:w="108" w:type="dxa"/>
              <w:bottom w:w="0" w:type="dxa"/>
              <w:right w:w="108" w:type="dxa"/>
            </w:tcMar>
            <w:vAlign w:val="center"/>
            <w:hideMark/>
          </w:tcPr>
          <w:p w14:paraId="5E4BBF8E" w14:textId="29420023" w:rsidR="000C63AD" w:rsidRPr="001925E3" w:rsidRDefault="000C63AD" w:rsidP="002A256A">
            <w:pPr>
              <w:spacing w:after="0" w:line="240" w:lineRule="auto"/>
              <w:contextualSpacing/>
              <w:jc w:val="center"/>
              <w:rPr>
                <w:sz w:val="20"/>
                <w:szCs w:val="20"/>
              </w:rPr>
            </w:pPr>
            <w:r w:rsidRPr="001925E3">
              <w:rPr>
                <w:sz w:val="20"/>
                <w:szCs w:val="20"/>
              </w:rPr>
              <w:t>$751,604</w:t>
            </w:r>
          </w:p>
        </w:tc>
        <w:tc>
          <w:tcPr>
            <w:tcW w:w="810" w:type="dxa"/>
            <w:shd w:val="clear" w:color="auto" w:fill="9BC2E6"/>
            <w:noWrap/>
            <w:tcMar>
              <w:top w:w="0" w:type="dxa"/>
              <w:left w:w="108" w:type="dxa"/>
              <w:bottom w:w="0" w:type="dxa"/>
              <w:right w:w="108" w:type="dxa"/>
            </w:tcMar>
            <w:vAlign w:val="center"/>
            <w:hideMark/>
          </w:tcPr>
          <w:p w14:paraId="1B00A219" w14:textId="77777777" w:rsidR="000C63AD" w:rsidRPr="001925E3" w:rsidRDefault="000C63AD" w:rsidP="002A256A">
            <w:pPr>
              <w:spacing w:after="0" w:line="240" w:lineRule="auto"/>
              <w:contextualSpacing/>
              <w:jc w:val="center"/>
              <w:rPr>
                <w:sz w:val="20"/>
                <w:szCs w:val="20"/>
              </w:rPr>
            </w:pPr>
            <w:r w:rsidRPr="001925E3">
              <w:rPr>
                <w:sz w:val="20"/>
                <w:szCs w:val="20"/>
              </w:rPr>
              <w:t>33</w:t>
            </w:r>
          </w:p>
        </w:tc>
        <w:tc>
          <w:tcPr>
            <w:tcW w:w="1080" w:type="dxa"/>
            <w:shd w:val="clear" w:color="auto" w:fill="9BC2E6"/>
            <w:noWrap/>
            <w:tcMar>
              <w:top w:w="0" w:type="dxa"/>
              <w:left w:w="108" w:type="dxa"/>
              <w:bottom w:w="0" w:type="dxa"/>
              <w:right w:w="108" w:type="dxa"/>
            </w:tcMar>
            <w:vAlign w:val="center"/>
            <w:hideMark/>
          </w:tcPr>
          <w:p w14:paraId="0257680F" w14:textId="640C0A2A" w:rsidR="000C63AD" w:rsidRPr="001925E3" w:rsidRDefault="000C63AD" w:rsidP="002A256A">
            <w:pPr>
              <w:spacing w:after="0" w:line="240" w:lineRule="auto"/>
              <w:contextualSpacing/>
              <w:jc w:val="center"/>
              <w:rPr>
                <w:sz w:val="20"/>
                <w:szCs w:val="20"/>
              </w:rPr>
            </w:pPr>
            <w:r w:rsidRPr="001925E3">
              <w:rPr>
                <w:sz w:val="20"/>
                <w:szCs w:val="20"/>
              </w:rPr>
              <w:t>$869,719</w:t>
            </w:r>
          </w:p>
        </w:tc>
        <w:tc>
          <w:tcPr>
            <w:tcW w:w="720" w:type="dxa"/>
            <w:shd w:val="clear" w:color="auto" w:fill="9BC2E6"/>
            <w:noWrap/>
            <w:tcMar>
              <w:top w:w="0" w:type="dxa"/>
              <w:left w:w="108" w:type="dxa"/>
              <w:bottom w:w="0" w:type="dxa"/>
              <w:right w:w="108" w:type="dxa"/>
            </w:tcMar>
            <w:vAlign w:val="center"/>
            <w:hideMark/>
          </w:tcPr>
          <w:p w14:paraId="6E3FCC28" w14:textId="77777777" w:rsidR="000C63AD" w:rsidRPr="001925E3" w:rsidRDefault="000C63AD" w:rsidP="002A256A">
            <w:pPr>
              <w:spacing w:after="0" w:line="240" w:lineRule="auto"/>
              <w:contextualSpacing/>
              <w:jc w:val="center"/>
              <w:rPr>
                <w:sz w:val="20"/>
                <w:szCs w:val="20"/>
              </w:rPr>
            </w:pPr>
            <w:r w:rsidRPr="001925E3">
              <w:rPr>
                <w:sz w:val="20"/>
                <w:szCs w:val="20"/>
              </w:rPr>
              <w:t>36</w:t>
            </w:r>
          </w:p>
        </w:tc>
        <w:tc>
          <w:tcPr>
            <w:tcW w:w="1350" w:type="dxa"/>
            <w:shd w:val="clear" w:color="auto" w:fill="9BC2E6"/>
            <w:noWrap/>
            <w:tcMar>
              <w:top w:w="0" w:type="dxa"/>
              <w:left w:w="108" w:type="dxa"/>
              <w:bottom w:w="0" w:type="dxa"/>
              <w:right w:w="108" w:type="dxa"/>
            </w:tcMar>
            <w:vAlign w:val="center"/>
            <w:hideMark/>
          </w:tcPr>
          <w:p w14:paraId="20880A07" w14:textId="2DCD41D4" w:rsidR="000C63AD" w:rsidRPr="001925E3" w:rsidRDefault="000C63AD" w:rsidP="002A256A">
            <w:pPr>
              <w:spacing w:after="0" w:line="240" w:lineRule="auto"/>
              <w:contextualSpacing/>
              <w:jc w:val="center"/>
              <w:rPr>
                <w:sz w:val="20"/>
                <w:szCs w:val="20"/>
              </w:rPr>
            </w:pPr>
            <w:r w:rsidRPr="001925E3">
              <w:rPr>
                <w:sz w:val="20"/>
                <w:szCs w:val="20"/>
              </w:rPr>
              <w:t>$977,252</w:t>
            </w:r>
          </w:p>
        </w:tc>
      </w:tr>
      <w:tr w:rsidR="002A256A" w14:paraId="5AB3FD33" w14:textId="77777777" w:rsidTr="002A256A">
        <w:trPr>
          <w:trHeight w:val="413"/>
        </w:trPr>
        <w:tc>
          <w:tcPr>
            <w:tcW w:w="1435" w:type="dxa"/>
            <w:shd w:val="clear" w:color="auto" w:fill="DDEBF7"/>
            <w:noWrap/>
            <w:tcMar>
              <w:top w:w="0" w:type="dxa"/>
              <w:left w:w="108" w:type="dxa"/>
              <w:bottom w:w="0" w:type="dxa"/>
              <w:right w:w="108" w:type="dxa"/>
            </w:tcMar>
            <w:vAlign w:val="center"/>
            <w:hideMark/>
          </w:tcPr>
          <w:p w14:paraId="6ED17108" w14:textId="77777777" w:rsidR="000C63AD" w:rsidRDefault="000C63AD" w:rsidP="002A256A">
            <w:pPr>
              <w:spacing w:after="0" w:line="240" w:lineRule="auto"/>
              <w:contextualSpacing/>
              <w:jc w:val="left"/>
              <w:rPr>
                <w:b/>
                <w:bCs/>
              </w:rPr>
            </w:pPr>
            <w:r>
              <w:rPr>
                <w:b/>
                <w:bCs/>
              </w:rPr>
              <w:t>Outpatient</w:t>
            </w:r>
          </w:p>
        </w:tc>
        <w:tc>
          <w:tcPr>
            <w:tcW w:w="720" w:type="dxa"/>
            <w:shd w:val="clear" w:color="auto" w:fill="DDEBF7"/>
            <w:noWrap/>
            <w:tcMar>
              <w:top w:w="0" w:type="dxa"/>
              <w:left w:w="108" w:type="dxa"/>
              <w:bottom w:w="0" w:type="dxa"/>
              <w:right w:w="108" w:type="dxa"/>
            </w:tcMar>
            <w:vAlign w:val="center"/>
            <w:hideMark/>
          </w:tcPr>
          <w:p w14:paraId="73EA2A60" w14:textId="77777777" w:rsidR="000C63AD" w:rsidRPr="001925E3" w:rsidRDefault="000C63AD" w:rsidP="002A256A">
            <w:pPr>
              <w:spacing w:after="0" w:line="240" w:lineRule="auto"/>
              <w:contextualSpacing/>
              <w:jc w:val="center"/>
              <w:rPr>
                <w:sz w:val="20"/>
                <w:szCs w:val="20"/>
              </w:rPr>
            </w:pPr>
            <w:r w:rsidRPr="001925E3">
              <w:rPr>
                <w:sz w:val="20"/>
                <w:szCs w:val="20"/>
              </w:rPr>
              <w:t>440</w:t>
            </w:r>
          </w:p>
        </w:tc>
        <w:tc>
          <w:tcPr>
            <w:tcW w:w="1260" w:type="dxa"/>
            <w:shd w:val="clear" w:color="auto" w:fill="DDEBF7"/>
            <w:noWrap/>
            <w:tcMar>
              <w:top w:w="0" w:type="dxa"/>
              <w:left w:w="108" w:type="dxa"/>
              <w:bottom w:w="0" w:type="dxa"/>
              <w:right w:w="108" w:type="dxa"/>
            </w:tcMar>
            <w:vAlign w:val="center"/>
            <w:hideMark/>
          </w:tcPr>
          <w:p w14:paraId="7968A96C" w14:textId="34973F5C" w:rsidR="000C63AD" w:rsidRPr="001925E3" w:rsidRDefault="000C63AD" w:rsidP="002A256A">
            <w:pPr>
              <w:spacing w:after="0" w:line="240" w:lineRule="auto"/>
              <w:contextualSpacing/>
              <w:jc w:val="center"/>
              <w:rPr>
                <w:sz w:val="20"/>
                <w:szCs w:val="20"/>
              </w:rPr>
            </w:pPr>
            <w:r w:rsidRPr="001925E3">
              <w:rPr>
                <w:sz w:val="20"/>
                <w:szCs w:val="20"/>
              </w:rPr>
              <w:t>$375,108</w:t>
            </w:r>
          </w:p>
        </w:tc>
        <w:tc>
          <w:tcPr>
            <w:tcW w:w="810" w:type="dxa"/>
            <w:shd w:val="clear" w:color="auto" w:fill="DDEBF7"/>
            <w:noWrap/>
            <w:tcMar>
              <w:top w:w="0" w:type="dxa"/>
              <w:left w:w="108" w:type="dxa"/>
              <w:bottom w:w="0" w:type="dxa"/>
              <w:right w:w="108" w:type="dxa"/>
            </w:tcMar>
            <w:vAlign w:val="center"/>
            <w:hideMark/>
          </w:tcPr>
          <w:p w14:paraId="3F387A83" w14:textId="77777777" w:rsidR="000C63AD" w:rsidRPr="001925E3" w:rsidRDefault="000C63AD" w:rsidP="002A256A">
            <w:pPr>
              <w:spacing w:after="0" w:line="240" w:lineRule="auto"/>
              <w:contextualSpacing/>
              <w:jc w:val="center"/>
              <w:rPr>
                <w:sz w:val="20"/>
                <w:szCs w:val="20"/>
              </w:rPr>
            </w:pPr>
            <w:r w:rsidRPr="001925E3">
              <w:rPr>
                <w:sz w:val="20"/>
                <w:szCs w:val="20"/>
              </w:rPr>
              <w:t>424</w:t>
            </w:r>
          </w:p>
        </w:tc>
        <w:tc>
          <w:tcPr>
            <w:tcW w:w="1350" w:type="dxa"/>
            <w:shd w:val="clear" w:color="auto" w:fill="DDEBF7"/>
            <w:noWrap/>
            <w:tcMar>
              <w:top w:w="0" w:type="dxa"/>
              <w:left w:w="108" w:type="dxa"/>
              <w:bottom w:w="0" w:type="dxa"/>
              <w:right w:w="108" w:type="dxa"/>
            </w:tcMar>
            <w:vAlign w:val="center"/>
            <w:hideMark/>
          </w:tcPr>
          <w:p w14:paraId="74C0CB2E" w14:textId="29667F72" w:rsidR="000C63AD" w:rsidRPr="001925E3" w:rsidRDefault="000C63AD" w:rsidP="002A256A">
            <w:pPr>
              <w:spacing w:after="0" w:line="240" w:lineRule="auto"/>
              <w:contextualSpacing/>
              <w:jc w:val="center"/>
              <w:rPr>
                <w:sz w:val="20"/>
                <w:szCs w:val="20"/>
              </w:rPr>
            </w:pPr>
            <w:r w:rsidRPr="001925E3">
              <w:rPr>
                <w:sz w:val="20"/>
                <w:szCs w:val="20"/>
              </w:rPr>
              <w:t>$287,145</w:t>
            </w:r>
          </w:p>
        </w:tc>
        <w:tc>
          <w:tcPr>
            <w:tcW w:w="810" w:type="dxa"/>
            <w:shd w:val="clear" w:color="auto" w:fill="DDEBF7"/>
            <w:noWrap/>
            <w:tcMar>
              <w:top w:w="0" w:type="dxa"/>
              <w:left w:w="108" w:type="dxa"/>
              <w:bottom w:w="0" w:type="dxa"/>
              <w:right w:w="108" w:type="dxa"/>
            </w:tcMar>
            <w:vAlign w:val="center"/>
            <w:hideMark/>
          </w:tcPr>
          <w:p w14:paraId="233F8A84" w14:textId="77777777" w:rsidR="000C63AD" w:rsidRPr="001925E3" w:rsidRDefault="000C63AD" w:rsidP="002A256A">
            <w:pPr>
              <w:spacing w:after="0" w:line="240" w:lineRule="auto"/>
              <w:contextualSpacing/>
              <w:jc w:val="center"/>
              <w:rPr>
                <w:sz w:val="20"/>
                <w:szCs w:val="20"/>
              </w:rPr>
            </w:pPr>
            <w:r w:rsidRPr="001925E3">
              <w:rPr>
                <w:sz w:val="20"/>
                <w:szCs w:val="20"/>
              </w:rPr>
              <w:t>387</w:t>
            </w:r>
          </w:p>
        </w:tc>
        <w:tc>
          <w:tcPr>
            <w:tcW w:w="1260" w:type="dxa"/>
            <w:shd w:val="clear" w:color="auto" w:fill="DDEBF7"/>
            <w:noWrap/>
            <w:tcMar>
              <w:top w:w="0" w:type="dxa"/>
              <w:left w:w="108" w:type="dxa"/>
              <w:bottom w:w="0" w:type="dxa"/>
              <w:right w:w="108" w:type="dxa"/>
            </w:tcMar>
            <w:vAlign w:val="center"/>
            <w:hideMark/>
          </w:tcPr>
          <w:p w14:paraId="57B1A585" w14:textId="5C33F5C7" w:rsidR="000C63AD" w:rsidRPr="001925E3" w:rsidRDefault="000C63AD" w:rsidP="002A256A">
            <w:pPr>
              <w:spacing w:after="0" w:line="240" w:lineRule="auto"/>
              <w:contextualSpacing/>
              <w:jc w:val="center"/>
              <w:rPr>
                <w:sz w:val="20"/>
                <w:szCs w:val="20"/>
              </w:rPr>
            </w:pPr>
            <w:r w:rsidRPr="001925E3">
              <w:rPr>
                <w:sz w:val="20"/>
                <w:szCs w:val="20"/>
              </w:rPr>
              <w:t>$272,150</w:t>
            </w:r>
          </w:p>
        </w:tc>
        <w:tc>
          <w:tcPr>
            <w:tcW w:w="810" w:type="dxa"/>
            <w:shd w:val="clear" w:color="auto" w:fill="DDEBF7"/>
            <w:noWrap/>
            <w:tcMar>
              <w:top w:w="0" w:type="dxa"/>
              <w:left w:w="108" w:type="dxa"/>
              <w:bottom w:w="0" w:type="dxa"/>
              <w:right w:w="108" w:type="dxa"/>
            </w:tcMar>
            <w:vAlign w:val="center"/>
            <w:hideMark/>
          </w:tcPr>
          <w:p w14:paraId="5527C8AA" w14:textId="77777777" w:rsidR="000C63AD" w:rsidRPr="001925E3" w:rsidRDefault="000C63AD" w:rsidP="002A256A">
            <w:pPr>
              <w:spacing w:after="0" w:line="240" w:lineRule="auto"/>
              <w:contextualSpacing/>
              <w:jc w:val="center"/>
              <w:rPr>
                <w:sz w:val="20"/>
                <w:szCs w:val="20"/>
              </w:rPr>
            </w:pPr>
            <w:r w:rsidRPr="001925E3">
              <w:rPr>
                <w:sz w:val="20"/>
                <w:szCs w:val="20"/>
              </w:rPr>
              <w:t>395</w:t>
            </w:r>
          </w:p>
        </w:tc>
        <w:tc>
          <w:tcPr>
            <w:tcW w:w="1260" w:type="dxa"/>
            <w:shd w:val="clear" w:color="auto" w:fill="DDEBF7"/>
            <w:noWrap/>
            <w:tcMar>
              <w:top w:w="0" w:type="dxa"/>
              <w:left w:w="108" w:type="dxa"/>
              <w:bottom w:w="0" w:type="dxa"/>
              <w:right w:w="108" w:type="dxa"/>
            </w:tcMar>
            <w:vAlign w:val="center"/>
            <w:hideMark/>
          </w:tcPr>
          <w:p w14:paraId="724A0A6E" w14:textId="5068CA6E" w:rsidR="000C63AD" w:rsidRPr="001925E3" w:rsidRDefault="000C63AD" w:rsidP="002A256A">
            <w:pPr>
              <w:spacing w:after="0" w:line="240" w:lineRule="auto"/>
              <w:contextualSpacing/>
              <w:jc w:val="center"/>
              <w:rPr>
                <w:sz w:val="20"/>
                <w:szCs w:val="20"/>
              </w:rPr>
            </w:pPr>
            <w:r w:rsidRPr="001925E3">
              <w:rPr>
                <w:sz w:val="20"/>
                <w:szCs w:val="20"/>
              </w:rPr>
              <w:t>$209,839</w:t>
            </w:r>
          </w:p>
        </w:tc>
        <w:tc>
          <w:tcPr>
            <w:tcW w:w="810" w:type="dxa"/>
            <w:shd w:val="clear" w:color="auto" w:fill="DDEBF7"/>
            <w:noWrap/>
            <w:tcMar>
              <w:top w:w="0" w:type="dxa"/>
              <w:left w:w="108" w:type="dxa"/>
              <w:bottom w:w="0" w:type="dxa"/>
              <w:right w:w="108" w:type="dxa"/>
            </w:tcMar>
            <w:vAlign w:val="center"/>
            <w:hideMark/>
          </w:tcPr>
          <w:p w14:paraId="1D7F14A6" w14:textId="77777777" w:rsidR="000C63AD" w:rsidRPr="001925E3" w:rsidRDefault="000C63AD" w:rsidP="002A256A">
            <w:pPr>
              <w:spacing w:after="0" w:line="240" w:lineRule="auto"/>
              <w:contextualSpacing/>
              <w:jc w:val="center"/>
              <w:rPr>
                <w:sz w:val="20"/>
                <w:szCs w:val="20"/>
              </w:rPr>
            </w:pPr>
            <w:r w:rsidRPr="001925E3">
              <w:rPr>
                <w:sz w:val="20"/>
                <w:szCs w:val="20"/>
              </w:rPr>
              <w:t>401</w:t>
            </w:r>
          </w:p>
        </w:tc>
        <w:tc>
          <w:tcPr>
            <w:tcW w:w="1080" w:type="dxa"/>
            <w:shd w:val="clear" w:color="auto" w:fill="DDEBF7"/>
            <w:noWrap/>
            <w:tcMar>
              <w:top w:w="0" w:type="dxa"/>
              <w:left w:w="108" w:type="dxa"/>
              <w:bottom w:w="0" w:type="dxa"/>
              <w:right w:w="108" w:type="dxa"/>
            </w:tcMar>
            <w:vAlign w:val="center"/>
            <w:hideMark/>
          </w:tcPr>
          <w:p w14:paraId="2F47F35B" w14:textId="5F2AB075" w:rsidR="000C63AD" w:rsidRPr="001925E3" w:rsidRDefault="000C63AD" w:rsidP="002A256A">
            <w:pPr>
              <w:spacing w:after="0" w:line="240" w:lineRule="auto"/>
              <w:contextualSpacing/>
              <w:jc w:val="center"/>
              <w:rPr>
                <w:sz w:val="20"/>
                <w:szCs w:val="20"/>
              </w:rPr>
            </w:pPr>
            <w:r w:rsidRPr="001925E3">
              <w:rPr>
                <w:sz w:val="20"/>
                <w:szCs w:val="20"/>
              </w:rPr>
              <w:t>$258,306</w:t>
            </w:r>
          </w:p>
        </w:tc>
        <w:tc>
          <w:tcPr>
            <w:tcW w:w="720" w:type="dxa"/>
            <w:shd w:val="clear" w:color="auto" w:fill="DDEBF7"/>
            <w:noWrap/>
            <w:tcMar>
              <w:top w:w="0" w:type="dxa"/>
              <w:left w:w="108" w:type="dxa"/>
              <w:bottom w:w="0" w:type="dxa"/>
              <w:right w:w="108" w:type="dxa"/>
            </w:tcMar>
            <w:vAlign w:val="center"/>
            <w:hideMark/>
          </w:tcPr>
          <w:p w14:paraId="764FB5BC" w14:textId="77777777" w:rsidR="000C63AD" w:rsidRPr="001925E3" w:rsidRDefault="000C63AD" w:rsidP="002A256A">
            <w:pPr>
              <w:spacing w:after="0" w:line="240" w:lineRule="auto"/>
              <w:contextualSpacing/>
              <w:jc w:val="center"/>
              <w:rPr>
                <w:sz w:val="20"/>
                <w:szCs w:val="20"/>
              </w:rPr>
            </w:pPr>
            <w:r w:rsidRPr="001925E3">
              <w:rPr>
                <w:sz w:val="20"/>
                <w:szCs w:val="20"/>
              </w:rPr>
              <w:t>381</w:t>
            </w:r>
          </w:p>
        </w:tc>
        <w:tc>
          <w:tcPr>
            <w:tcW w:w="1350" w:type="dxa"/>
            <w:shd w:val="clear" w:color="auto" w:fill="DDEBF7"/>
            <w:noWrap/>
            <w:tcMar>
              <w:top w:w="0" w:type="dxa"/>
              <w:left w:w="108" w:type="dxa"/>
              <w:bottom w:w="0" w:type="dxa"/>
              <w:right w:w="108" w:type="dxa"/>
            </w:tcMar>
            <w:vAlign w:val="center"/>
            <w:hideMark/>
          </w:tcPr>
          <w:p w14:paraId="6AFBD8AB" w14:textId="3663241A" w:rsidR="000C63AD" w:rsidRPr="001925E3" w:rsidRDefault="000C63AD" w:rsidP="002A256A">
            <w:pPr>
              <w:spacing w:after="0" w:line="240" w:lineRule="auto"/>
              <w:contextualSpacing/>
              <w:jc w:val="center"/>
              <w:rPr>
                <w:sz w:val="20"/>
                <w:szCs w:val="20"/>
              </w:rPr>
            </w:pPr>
            <w:r w:rsidRPr="001925E3">
              <w:rPr>
                <w:sz w:val="20"/>
                <w:szCs w:val="20"/>
              </w:rPr>
              <w:t>$320,050</w:t>
            </w:r>
          </w:p>
        </w:tc>
      </w:tr>
      <w:tr w:rsidR="002A256A" w14:paraId="213626D2" w14:textId="77777777" w:rsidTr="002A256A">
        <w:trPr>
          <w:trHeight w:val="404"/>
        </w:trPr>
        <w:tc>
          <w:tcPr>
            <w:tcW w:w="1435" w:type="dxa"/>
            <w:shd w:val="clear" w:color="auto" w:fill="9BC2E6"/>
            <w:noWrap/>
            <w:tcMar>
              <w:top w:w="0" w:type="dxa"/>
              <w:left w:w="108" w:type="dxa"/>
              <w:bottom w:w="0" w:type="dxa"/>
              <w:right w:w="108" w:type="dxa"/>
            </w:tcMar>
            <w:vAlign w:val="center"/>
            <w:hideMark/>
          </w:tcPr>
          <w:p w14:paraId="460568B7" w14:textId="77777777" w:rsidR="000C63AD" w:rsidRDefault="000C63AD" w:rsidP="002A256A">
            <w:pPr>
              <w:spacing w:after="0" w:line="240" w:lineRule="auto"/>
              <w:contextualSpacing/>
              <w:jc w:val="left"/>
              <w:rPr>
                <w:b/>
                <w:bCs/>
              </w:rPr>
            </w:pPr>
            <w:r>
              <w:rPr>
                <w:b/>
                <w:bCs/>
              </w:rPr>
              <w:t xml:space="preserve">Pharmacy </w:t>
            </w:r>
          </w:p>
        </w:tc>
        <w:tc>
          <w:tcPr>
            <w:tcW w:w="720" w:type="dxa"/>
            <w:shd w:val="clear" w:color="auto" w:fill="9BC2E6"/>
            <w:noWrap/>
            <w:tcMar>
              <w:top w:w="0" w:type="dxa"/>
              <w:left w:w="108" w:type="dxa"/>
              <w:bottom w:w="0" w:type="dxa"/>
              <w:right w:w="108" w:type="dxa"/>
            </w:tcMar>
            <w:vAlign w:val="center"/>
            <w:hideMark/>
          </w:tcPr>
          <w:p w14:paraId="588F107E" w14:textId="77777777" w:rsidR="000C63AD" w:rsidRPr="001925E3" w:rsidRDefault="000C63AD" w:rsidP="002A256A">
            <w:pPr>
              <w:spacing w:after="0" w:line="240" w:lineRule="auto"/>
              <w:contextualSpacing/>
              <w:jc w:val="center"/>
              <w:rPr>
                <w:sz w:val="20"/>
                <w:szCs w:val="20"/>
              </w:rPr>
            </w:pPr>
            <w:r w:rsidRPr="001925E3">
              <w:rPr>
                <w:sz w:val="20"/>
                <w:szCs w:val="20"/>
              </w:rPr>
              <w:t>126</w:t>
            </w:r>
          </w:p>
        </w:tc>
        <w:tc>
          <w:tcPr>
            <w:tcW w:w="1260" w:type="dxa"/>
            <w:shd w:val="clear" w:color="auto" w:fill="9BC2E6"/>
            <w:noWrap/>
            <w:tcMar>
              <w:top w:w="0" w:type="dxa"/>
              <w:left w:w="108" w:type="dxa"/>
              <w:bottom w:w="0" w:type="dxa"/>
              <w:right w:w="108" w:type="dxa"/>
            </w:tcMar>
            <w:vAlign w:val="center"/>
            <w:hideMark/>
          </w:tcPr>
          <w:p w14:paraId="03788DB7" w14:textId="040FAC8D" w:rsidR="000C63AD" w:rsidRPr="001925E3" w:rsidRDefault="000C63AD" w:rsidP="002A256A">
            <w:pPr>
              <w:spacing w:after="0" w:line="240" w:lineRule="auto"/>
              <w:contextualSpacing/>
              <w:jc w:val="center"/>
              <w:rPr>
                <w:sz w:val="20"/>
                <w:szCs w:val="20"/>
              </w:rPr>
            </w:pPr>
            <w:r w:rsidRPr="001925E3">
              <w:rPr>
                <w:sz w:val="20"/>
                <w:szCs w:val="20"/>
              </w:rPr>
              <w:t>$36,817</w:t>
            </w:r>
          </w:p>
        </w:tc>
        <w:tc>
          <w:tcPr>
            <w:tcW w:w="810" w:type="dxa"/>
            <w:shd w:val="clear" w:color="auto" w:fill="9BC2E6"/>
            <w:noWrap/>
            <w:tcMar>
              <w:top w:w="0" w:type="dxa"/>
              <w:left w:w="108" w:type="dxa"/>
              <w:bottom w:w="0" w:type="dxa"/>
              <w:right w:w="108" w:type="dxa"/>
            </w:tcMar>
            <w:vAlign w:val="center"/>
            <w:hideMark/>
          </w:tcPr>
          <w:p w14:paraId="42E15416" w14:textId="77777777" w:rsidR="000C63AD" w:rsidRPr="001925E3" w:rsidRDefault="000C63AD" w:rsidP="002A256A">
            <w:pPr>
              <w:spacing w:after="0" w:line="240" w:lineRule="auto"/>
              <w:contextualSpacing/>
              <w:jc w:val="center"/>
              <w:rPr>
                <w:sz w:val="20"/>
                <w:szCs w:val="20"/>
              </w:rPr>
            </w:pPr>
            <w:r w:rsidRPr="001925E3">
              <w:rPr>
                <w:sz w:val="20"/>
                <w:szCs w:val="20"/>
              </w:rPr>
              <w:t>110</w:t>
            </w:r>
          </w:p>
        </w:tc>
        <w:tc>
          <w:tcPr>
            <w:tcW w:w="1350" w:type="dxa"/>
            <w:shd w:val="clear" w:color="auto" w:fill="9BC2E6"/>
            <w:noWrap/>
            <w:tcMar>
              <w:top w:w="0" w:type="dxa"/>
              <w:left w:w="108" w:type="dxa"/>
              <w:bottom w:w="0" w:type="dxa"/>
              <w:right w:w="108" w:type="dxa"/>
            </w:tcMar>
            <w:vAlign w:val="center"/>
            <w:hideMark/>
          </w:tcPr>
          <w:p w14:paraId="5963A915" w14:textId="685B46BB" w:rsidR="000C63AD" w:rsidRPr="001925E3" w:rsidRDefault="000C63AD" w:rsidP="002A256A">
            <w:pPr>
              <w:spacing w:after="0" w:line="240" w:lineRule="auto"/>
              <w:contextualSpacing/>
              <w:jc w:val="center"/>
              <w:rPr>
                <w:sz w:val="20"/>
                <w:szCs w:val="20"/>
              </w:rPr>
            </w:pPr>
            <w:r w:rsidRPr="001925E3">
              <w:rPr>
                <w:sz w:val="20"/>
                <w:szCs w:val="20"/>
              </w:rPr>
              <w:t>$12,328</w:t>
            </w:r>
          </w:p>
        </w:tc>
        <w:tc>
          <w:tcPr>
            <w:tcW w:w="810" w:type="dxa"/>
            <w:shd w:val="clear" w:color="auto" w:fill="9BC2E6"/>
            <w:noWrap/>
            <w:tcMar>
              <w:top w:w="0" w:type="dxa"/>
              <w:left w:w="108" w:type="dxa"/>
              <w:bottom w:w="0" w:type="dxa"/>
              <w:right w:w="108" w:type="dxa"/>
            </w:tcMar>
            <w:vAlign w:val="center"/>
            <w:hideMark/>
          </w:tcPr>
          <w:p w14:paraId="5F5A6358" w14:textId="77777777" w:rsidR="000C63AD" w:rsidRPr="001925E3" w:rsidRDefault="000C63AD" w:rsidP="002A256A">
            <w:pPr>
              <w:spacing w:after="0" w:line="240" w:lineRule="auto"/>
              <w:contextualSpacing/>
              <w:jc w:val="center"/>
              <w:rPr>
                <w:sz w:val="20"/>
                <w:szCs w:val="20"/>
              </w:rPr>
            </w:pPr>
            <w:r w:rsidRPr="001925E3">
              <w:rPr>
                <w:sz w:val="20"/>
                <w:szCs w:val="20"/>
              </w:rPr>
              <w:t>102</w:t>
            </w:r>
          </w:p>
        </w:tc>
        <w:tc>
          <w:tcPr>
            <w:tcW w:w="1260" w:type="dxa"/>
            <w:shd w:val="clear" w:color="auto" w:fill="9BC2E6"/>
            <w:noWrap/>
            <w:tcMar>
              <w:top w:w="0" w:type="dxa"/>
              <w:left w:w="108" w:type="dxa"/>
              <w:bottom w:w="0" w:type="dxa"/>
              <w:right w:w="108" w:type="dxa"/>
            </w:tcMar>
            <w:vAlign w:val="center"/>
            <w:hideMark/>
          </w:tcPr>
          <w:p w14:paraId="29A20335" w14:textId="10B565E7" w:rsidR="000C63AD" w:rsidRPr="001925E3" w:rsidRDefault="000C63AD" w:rsidP="002A256A">
            <w:pPr>
              <w:spacing w:after="0" w:line="240" w:lineRule="auto"/>
              <w:contextualSpacing/>
              <w:jc w:val="center"/>
              <w:rPr>
                <w:sz w:val="20"/>
                <w:szCs w:val="20"/>
              </w:rPr>
            </w:pPr>
            <w:r w:rsidRPr="001925E3">
              <w:rPr>
                <w:sz w:val="20"/>
                <w:szCs w:val="20"/>
              </w:rPr>
              <w:t>$11,482</w:t>
            </w:r>
          </w:p>
        </w:tc>
        <w:tc>
          <w:tcPr>
            <w:tcW w:w="810" w:type="dxa"/>
            <w:shd w:val="clear" w:color="auto" w:fill="9BC2E6"/>
            <w:noWrap/>
            <w:tcMar>
              <w:top w:w="0" w:type="dxa"/>
              <w:left w:w="108" w:type="dxa"/>
              <w:bottom w:w="0" w:type="dxa"/>
              <w:right w:w="108" w:type="dxa"/>
            </w:tcMar>
            <w:vAlign w:val="center"/>
            <w:hideMark/>
          </w:tcPr>
          <w:p w14:paraId="4761D2BC" w14:textId="77777777" w:rsidR="000C63AD" w:rsidRPr="001925E3" w:rsidRDefault="000C63AD" w:rsidP="002A256A">
            <w:pPr>
              <w:spacing w:after="0" w:line="240" w:lineRule="auto"/>
              <w:contextualSpacing/>
              <w:jc w:val="center"/>
              <w:rPr>
                <w:sz w:val="20"/>
                <w:szCs w:val="20"/>
              </w:rPr>
            </w:pPr>
            <w:r w:rsidRPr="001925E3">
              <w:rPr>
                <w:sz w:val="20"/>
                <w:szCs w:val="20"/>
              </w:rPr>
              <w:t>101</w:t>
            </w:r>
          </w:p>
        </w:tc>
        <w:tc>
          <w:tcPr>
            <w:tcW w:w="1260" w:type="dxa"/>
            <w:shd w:val="clear" w:color="auto" w:fill="9BC2E6"/>
            <w:noWrap/>
            <w:tcMar>
              <w:top w:w="0" w:type="dxa"/>
              <w:left w:w="108" w:type="dxa"/>
              <w:bottom w:w="0" w:type="dxa"/>
              <w:right w:w="108" w:type="dxa"/>
            </w:tcMar>
            <w:vAlign w:val="center"/>
            <w:hideMark/>
          </w:tcPr>
          <w:p w14:paraId="0EDE3EE8" w14:textId="1A130CF6" w:rsidR="000C63AD" w:rsidRPr="001925E3" w:rsidRDefault="000C63AD" w:rsidP="002A256A">
            <w:pPr>
              <w:spacing w:after="0" w:line="240" w:lineRule="auto"/>
              <w:contextualSpacing/>
              <w:jc w:val="center"/>
              <w:rPr>
                <w:sz w:val="20"/>
                <w:szCs w:val="20"/>
              </w:rPr>
            </w:pPr>
            <w:r w:rsidRPr="001925E3">
              <w:rPr>
                <w:sz w:val="20"/>
                <w:szCs w:val="20"/>
              </w:rPr>
              <w:t>$3,892</w:t>
            </w:r>
          </w:p>
        </w:tc>
        <w:tc>
          <w:tcPr>
            <w:tcW w:w="810" w:type="dxa"/>
            <w:shd w:val="clear" w:color="auto" w:fill="9BC2E6"/>
            <w:noWrap/>
            <w:tcMar>
              <w:top w:w="0" w:type="dxa"/>
              <w:left w:w="108" w:type="dxa"/>
              <w:bottom w:w="0" w:type="dxa"/>
              <w:right w:w="108" w:type="dxa"/>
            </w:tcMar>
            <w:vAlign w:val="center"/>
            <w:hideMark/>
          </w:tcPr>
          <w:p w14:paraId="7F1FFE21" w14:textId="77777777" w:rsidR="000C63AD" w:rsidRPr="001925E3" w:rsidRDefault="000C63AD" w:rsidP="002A256A">
            <w:pPr>
              <w:spacing w:after="0" w:line="240" w:lineRule="auto"/>
              <w:contextualSpacing/>
              <w:jc w:val="center"/>
              <w:rPr>
                <w:sz w:val="20"/>
                <w:szCs w:val="20"/>
              </w:rPr>
            </w:pPr>
            <w:r w:rsidRPr="001925E3">
              <w:rPr>
                <w:sz w:val="20"/>
                <w:szCs w:val="20"/>
              </w:rPr>
              <w:t>106</w:t>
            </w:r>
          </w:p>
        </w:tc>
        <w:tc>
          <w:tcPr>
            <w:tcW w:w="1080" w:type="dxa"/>
            <w:shd w:val="clear" w:color="auto" w:fill="9BC2E6"/>
            <w:noWrap/>
            <w:tcMar>
              <w:top w:w="0" w:type="dxa"/>
              <w:left w:w="108" w:type="dxa"/>
              <w:bottom w:w="0" w:type="dxa"/>
              <w:right w:w="108" w:type="dxa"/>
            </w:tcMar>
            <w:vAlign w:val="center"/>
            <w:hideMark/>
          </w:tcPr>
          <w:p w14:paraId="09652C81" w14:textId="67E4FC20" w:rsidR="000C63AD" w:rsidRPr="001925E3" w:rsidRDefault="000C63AD" w:rsidP="002A256A">
            <w:pPr>
              <w:spacing w:after="0" w:line="240" w:lineRule="auto"/>
              <w:contextualSpacing/>
              <w:jc w:val="center"/>
              <w:rPr>
                <w:sz w:val="20"/>
                <w:szCs w:val="20"/>
              </w:rPr>
            </w:pPr>
            <w:r w:rsidRPr="001925E3">
              <w:rPr>
                <w:sz w:val="20"/>
                <w:szCs w:val="20"/>
              </w:rPr>
              <w:t>$17,990</w:t>
            </w:r>
          </w:p>
        </w:tc>
        <w:tc>
          <w:tcPr>
            <w:tcW w:w="720" w:type="dxa"/>
            <w:shd w:val="clear" w:color="auto" w:fill="9BC2E6"/>
            <w:noWrap/>
            <w:tcMar>
              <w:top w:w="0" w:type="dxa"/>
              <w:left w:w="108" w:type="dxa"/>
              <w:bottom w:w="0" w:type="dxa"/>
              <w:right w:w="108" w:type="dxa"/>
            </w:tcMar>
            <w:vAlign w:val="center"/>
            <w:hideMark/>
          </w:tcPr>
          <w:p w14:paraId="096915BA" w14:textId="77777777" w:rsidR="000C63AD" w:rsidRPr="001925E3" w:rsidRDefault="000C63AD" w:rsidP="002A256A">
            <w:pPr>
              <w:spacing w:after="0" w:line="240" w:lineRule="auto"/>
              <w:contextualSpacing/>
              <w:jc w:val="center"/>
              <w:rPr>
                <w:sz w:val="20"/>
                <w:szCs w:val="20"/>
              </w:rPr>
            </w:pPr>
            <w:r w:rsidRPr="001925E3">
              <w:rPr>
                <w:sz w:val="20"/>
                <w:szCs w:val="20"/>
              </w:rPr>
              <w:t>103</w:t>
            </w:r>
          </w:p>
        </w:tc>
        <w:tc>
          <w:tcPr>
            <w:tcW w:w="1350" w:type="dxa"/>
            <w:shd w:val="clear" w:color="auto" w:fill="9BC2E6"/>
            <w:noWrap/>
            <w:tcMar>
              <w:top w:w="0" w:type="dxa"/>
              <w:left w:w="108" w:type="dxa"/>
              <w:bottom w:w="0" w:type="dxa"/>
              <w:right w:w="108" w:type="dxa"/>
            </w:tcMar>
            <w:vAlign w:val="center"/>
            <w:hideMark/>
          </w:tcPr>
          <w:p w14:paraId="1F733147" w14:textId="146CDB3B" w:rsidR="000C63AD" w:rsidRPr="001925E3" w:rsidRDefault="000C63AD" w:rsidP="002A256A">
            <w:pPr>
              <w:spacing w:after="0" w:line="240" w:lineRule="auto"/>
              <w:contextualSpacing/>
              <w:jc w:val="center"/>
              <w:rPr>
                <w:sz w:val="20"/>
                <w:szCs w:val="20"/>
              </w:rPr>
            </w:pPr>
            <w:r w:rsidRPr="001925E3">
              <w:rPr>
                <w:sz w:val="20"/>
                <w:szCs w:val="20"/>
              </w:rPr>
              <w:t>$30,725</w:t>
            </w:r>
          </w:p>
        </w:tc>
      </w:tr>
      <w:tr w:rsidR="002A256A" w14:paraId="269F24C5" w14:textId="77777777" w:rsidTr="002A256A">
        <w:trPr>
          <w:trHeight w:val="413"/>
        </w:trPr>
        <w:tc>
          <w:tcPr>
            <w:tcW w:w="1435" w:type="dxa"/>
            <w:tcBorders>
              <w:bottom w:val="single" w:sz="8" w:space="0" w:color="4472C4" w:themeColor="accent1"/>
            </w:tcBorders>
            <w:shd w:val="clear" w:color="auto" w:fill="DDEBF7"/>
            <w:noWrap/>
            <w:tcMar>
              <w:top w:w="0" w:type="dxa"/>
              <w:left w:w="108" w:type="dxa"/>
              <w:bottom w:w="0" w:type="dxa"/>
              <w:right w:w="108" w:type="dxa"/>
            </w:tcMar>
            <w:vAlign w:val="center"/>
            <w:hideMark/>
          </w:tcPr>
          <w:p w14:paraId="357BF858" w14:textId="77777777" w:rsidR="000C63AD" w:rsidRDefault="000C63AD" w:rsidP="002A256A">
            <w:pPr>
              <w:spacing w:after="0" w:line="240" w:lineRule="auto"/>
              <w:contextualSpacing/>
              <w:jc w:val="left"/>
              <w:rPr>
                <w:b/>
                <w:bCs/>
              </w:rPr>
            </w:pPr>
            <w:r>
              <w:rPr>
                <w:b/>
                <w:bCs/>
              </w:rPr>
              <w:t xml:space="preserve">Physician </w:t>
            </w:r>
          </w:p>
        </w:tc>
        <w:tc>
          <w:tcPr>
            <w:tcW w:w="720" w:type="dxa"/>
            <w:tcBorders>
              <w:bottom w:val="single" w:sz="8" w:space="0" w:color="4472C4" w:themeColor="accent1"/>
            </w:tcBorders>
            <w:shd w:val="clear" w:color="auto" w:fill="DDEBF7"/>
            <w:noWrap/>
            <w:tcMar>
              <w:top w:w="0" w:type="dxa"/>
              <w:left w:w="108" w:type="dxa"/>
              <w:bottom w:w="0" w:type="dxa"/>
              <w:right w:w="108" w:type="dxa"/>
            </w:tcMar>
            <w:vAlign w:val="center"/>
            <w:hideMark/>
          </w:tcPr>
          <w:p w14:paraId="6FF30854" w14:textId="77777777" w:rsidR="000C63AD" w:rsidRPr="001925E3" w:rsidRDefault="000C63AD" w:rsidP="002A256A">
            <w:pPr>
              <w:spacing w:after="0" w:line="240" w:lineRule="auto"/>
              <w:contextualSpacing/>
              <w:jc w:val="center"/>
              <w:rPr>
                <w:sz w:val="20"/>
                <w:szCs w:val="20"/>
              </w:rPr>
            </w:pPr>
            <w:r w:rsidRPr="001925E3">
              <w:rPr>
                <w:sz w:val="20"/>
                <w:szCs w:val="20"/>
              </w:rPr>
              <w:t>461</w:t>
            </w:r>
          </w:p>
        </w:tc>
        <w:tc>
          <w:tcPr>
            <w:tcW w:w="1260" w:type="dxa"/>
            <w:tcBorders>
              <w:bottom w:val="single" w:sz="8" w:space="0" w:color="4472C4" w:themeColor="accent1"/>
            </w:tcBorders>
            <w:shd w:val="clear" w:color="auto" w:fill="DDEBF7"/>
            <w:noWrap/>
            <w:tcMar>
              <w:top w:w="0" w:type="dxa"/>
              <w:left w:w="108" w:type="dxa"/>
              <w:bottom w:w="0" w:type="dxa"/>
              <w:right w:w="108" w:type="dxa"/>
            </w:tcMar>
            <w:vAlign w:val="center"/>
            <w:hideMark/>
          </w:tcPr>
          <w:p w14:paraId="59937FD7" w14:textId="38B25C2A" w:rsidR="000C63AD" w:rsidRPr="001925E3" w:rsidRDefault="000C63AD" w:rsidP="002A256A">
            <w:pPr>
              <w:spacing w:after="0" w:line="240" w:lineRule="auto"/>
              <w:contextualSpacing/>
              <w:jc w:val="center"/>
              <w:rPr>
                <w:sz w:val="20"/>
                <w:szCs w:val="20"/>
              </w:rPr>
            </w:pPr>
            <w:r w:rsidRPr="001925E3">
              <w:rPr>
                <w:sz w:val="20"/>
                <w:szCs w:val="20"/>
              </w:rPr>
              <w:t>$334,109</w:t>
            </w:r>
          </w:p>
        </w:tc>
        <w:tc>
          <w:tcPr>
            <w:tcW w:w="810" w:type="dxa"/>
            <w:tcBorders>
              <w:bottom w:val="single" w:sz="8" w:space="0" w:color="4472C4" w:themeColor="accent1"/>
            </w:tcBorders>
            <w:shd w:val="clear" w:color="auto" w:fill="DDEBF7"/>
            <w:noWrap/>
            <w:tcMar>
              <w:top w:w="0" w:type="dxa"/>
              <w:left w:w="108" w:type="dxa"/>
              <w:bottom w:w="0" w:type="dxa"/>
              <w:right w:w="108" w:type="dxa"/>
            </w:tcMar>
            <w:vAlign w:val="center"/>
            <w:hideMark/>
          </w:tcPr>
          <w:p w14:paraId="0A9C48BB" w14:textId="77777777" w:rsidR="000C63AD" w:rsidRPr="001925E3" w:rsidRDefault="000C63AD" w:rsidP="002A256A">
            <w:pPr>
              <w:spacing w:after="0" w:line="240" w:lineRule="auto"/>
              <w:contextualSpacing/>
              <w:jc w:val="center"/>
              <w:rPr>
                <w:sz w:val="20"/>
                <w:szCs w:val="20"/>
              </w:rPr>
            </w:pPr>
            <w:r w:rsidRPr="001925E3">
              <w:rPr>
                <w:sz w:val="20"/>
                <w:szCs w:val="20"/>
              </w:rPr>
              <w:t>430</w:t>
            </w:r>
          </w:p>
        </w:tc>
        <w:tc>
          <w:tcPr>
            <w:tcW w:w="1350" w:type="dxa"/>
            <w:tcBorders>
              <w:bottom w:val="single" w:sz="8" w:space="0" w:color="4472C4" w:themeColor="accent1"/>
            </w:tcBorders>
            <w:shd w:val="clear" w:color="auto" w:fill="DDEBF7"/>
            <w:noWrap/>
            <w:tcMar>
              <w:top w:w="0" w:type="dxa"/>
              <w:left w:w="108" w:type="dxa"/>
              <w:bottom w:w="0" w:type="dxa"/>
              <w:right w:w="108" w:type="dxa"/>
            </w:tcMar>
            <w:vAlign w:val="center"/>
            <w:hideMark/>
          </w:tcPr>
          <w:p w14:paraId="289ED772" w14:textId="2D86852F" w:rsidR="000C63AD" w:rsidRPr="001925E3" w:rsidRDefault="000C63AD" w:rsidP="002A256A">
            <w:pPr>
              <w:spacing w:after="0" w:line="240" w:lineRule="auto"/>
              <w:contextualSpacing/>
              <w:jc w:val="center"/>
              <w:rPr>
                <w:sz w:val="20"/>
                <w:szCs w:val="20"/>
              </w:rPr>
            </w:pPr>
            <w:r w:rsidRPr="001925E3">
              <w:rPr>
                <w:sz w:val="20"/>
                <w:szCs w:val="20"/>
              </w:rPr>
              <w:t>$526,549</w:t>
            </w:r>
          </w:p>
        </w:tc>
        <w:tc>
          <w:tcPr>
            <w:tcW w:w="810" w:type="dxa"/>
            <w:tcBorders>
              <w:bottom w:val="single" w:sz="8" w:space="0" w:color="4472C4" w:themeColor="accent1"/>
            </w:tcBorders>
            <w:shd w:val="clear" w:color="auto" w:fill="DDEBF7"/>
            <w:noWrap/>
            <w:tcMar>
              <w:top w:w="0" w:type="dxa"/>
              <w:left w:w="108" w:type="dxa"/>
              <w:bottom w:w="0" w:type="dxa"/>
              <w:right w:w="108" w:type="dxa"/>
            </w:tcMar>
            <w:vAlign w:val="center"/>
            <w:hideMark/>
          </w:tcPr>
          <w:p w14:paraId="70BBFC04" w14:textId="77777777" w:rsidR="000C63AD" w:rsidRPr="001925E3" w:rsidRDefault="000C63AD" w:rsidP="002A256A">
            <w:pPr>
              <w:spacing w:after="0" w:line="240" w:lineRule="auto"/>
              <w:contextualSpacing/>
              <w:jc w:val="center"/>
              <w:rPr>
                <w:sz w:val="20"/>
                <w:szCs w:val="20"/>
              </w:rPr>
            </w:pPr>
            <w:r w:rsidRPr="001925E3">
              <w:rPr>
                <w:sz w:val="20"/>
                <w:szCs w:val="20"/>
              </w:rPr>
              <w:t>401</w:t>
            </w:r>
          </w:p>
        </w:tc>
        <w:tc>
          <w:tcPr>
            <w:tcW w:w="1260" w:type="dxa"/>
            <w:tcBorders>
              <w:bottom w:val="single" w:sz="8" w:space="0" w:color="4472C4" w:themeColor="accent1"/>
            </w:tcBorders>
            <w:shd w:val="clear" w:color="auto" w:fill="DDEBF7"/>
            <w:noWrap/>
            <w:tcMar>
              <w:top w:w="0" w:type="dxa"/>
              <w:left w:w="108" w:type="dxa"/>
              <w:bottom w:w="0" w:type="dxa"/>
              <w:right w:w="108" w:type="dxa"/>
            </w:tcMar>
            <w:vAlign w:val="center"/>
            <w:hideMark/>
          </w:tcPr>
          <w:p w14:paraId="76C009DB" w14:textId="1CB03252" w:rsidR="000C63AD" w:rsidRPr="001925E3" w:rsidRDefault="000C63AD" w:rsidP="002A256A">
            <w:pPr>
              <w:spacing w:after="0" w:line="240" w:lineRule="auto"/>
              <w:contextualSpacing/>
              <w:jc w:val="center"/>
              <w:rPr>
                <w:sz w:val="20"/>
                <w:szCs w:val="20"/>
              </w:rPr>
            </w:pPr>
            <w:r w:rsidRPr="001925E3">
              <w:rPr>
                <w:sz w:val="20"/>
                <w:szCs w:val="20"/>
              </w:rPr>
              <w:t>$581,406</w:t>
            </w:r>
          </w:p>
        </w:tc>
        <w:tc>
          <w:tcPr>
            <w:tcW w:w="810" w:type="dxa"/>
            <w:tcBorders>
              <w:bottom w:val="single" w:sz="8" w:space="0" w:color="4472C4" w:themeColor="accent1"/>
            </w:tcBorders>
            <w:shd w:val="clear" w:color="auto" w:fill="DDEBF7"/>
            <w:noWrap/>
            <w:tcMar>
              <w:top w:w="0" w:type="dxa"/>
              <w:left w:w="108" w:type="dxa"/>
              <w:bottom w:w="0" w:type="dxa"/>
              <w:right w:w="108" w:type="dxa"/>
            </w:tcMar>
            <w:vAlign w:val="center"/>
            <w:hideMark/>
          </w:tcPr>
          <w:p w14:paraId="4046FFAF" w14:textId="77777777" w:rsidR="000C63AD" w:rsidRPr="001925E3" w:rsidRDefault="000C63AD" w:rsidP="002A256A">
            <w:pPr>
              <w:spacing w:after="0" w:line="240" w:lineRule="auto"/>
              <w:contextualSpacing/>
              <w:jc w:val="center"/>
              <w:rPr>
                <w:sz w:val="20"/>
                <w:szCs w:val="20"/>
              </w:rPr>
            </w:pPr>
            <w:r w:rsidRPr="001925E3">
              <w:rPr>
                <w:sz w:val="20"/>
                <w:szCs w:val="20"/>
              </w:rPr>
              <w:t>414</w:t>
            </w:r>
          </w:p>
        </w:tc>
        <w:tc>
          <w:tcPr>
            <w:tcW w:w="1260" w:type="dxa"/>
            <w:tcBorders>
              <w:bottom w:val="single" w:sz="8" w:space="0" w:color="4472C4" w:themeColor="accent1"/>
            </w:tcBorders>
            <w:shd w:val="clear" w:color="auto" w:fill="DDEBF7"/>
            <w:noWrap/>
            <w:tcMar>
              <w:top w:w="0" w:type="dxa"/>
              <w:left w:w="108" w:type="dxa"/>
              <w:bottom w:w="0" w:type="dxa"/>
              <w:right w:w="108" w:type="dxa"/>
            </w:tcMar>
            <w:vAlign w:val="center"/>
            <w:hideMark/>
          </w:tcPr>
          <w:p w14:paraId="7ECBB06A" w14:textId="2E8729E4" w:rsidR="000C63AD" w:rsidRPr="001925E3" w:rsidRDefault="000C63AD" w:rsidP="002A256A">
            <w:pPr>
              <w:spacing w:after="0" w:line="240" w:lineRule="auto"/>
              <w:contextualSpacing/>
              <w:jc w:val="center"/>
              <w:rPr>
                <w:sz w:val="20"/>
                <w:szCs w:val="20"/>
              </w:rPr>
            </w:pPr>
            <w:r w:rsidRPr="001925E3">
              <w:rPr>
                <w:sz w:val="20"/>
                <w:szCs w:val="20"/>
              </w:rPr>
              <w:t>$544,408</w:t>
            </w:r>
          </w:p>
        </w:tc>
        <w:tc>
          <w:tcPr>
            <w:tcW w:w="810" w:type="dxa"/>
            <w:tcBorders>
              <w:bottom w:val="single" w:sz="8" w:space="0" w:color="4472C4" w:themeColor="accent1"/>
            </w:tcBorders>
            <w:shd w:val="clear" w:color="auto" w:fill="DDEBF7"/>
            <w:noWrap/>
            <w:tcMar>
              <w:top w:w="0" w:type="dxa"/>
              <w:left w:w="108" w:type="dxa"/>
              <w:bottom w:w="0" w:type="dxa"/>
              <w:right w:w="108" w:type="dxa"/>
            </w:tcMar>
            <w:vAlign w:val="center"/>
            <w:hideMark/>
          </w:tcPr>
          <w:p w14:paraId="673BDC86" w14:textId="77777777" w:rsidR="000C63AD" w:rsidRPr="001925E3" w:rsidRDefault="000C63AD" w:rsidP="002A256A">
            <w:pPr>
              <w:spacing w:after="0" w:line="240" w:lineRule="auto"/>
              <w:contextualSpacing/>
              <w:jc w:val="center"/>
              <w:rPr>
                <w:sz w:val="20"/>
                <w:szCs w:val="20"/>
              </w:rPr>
            </w:pPr>
            <w:r w:rsidRPr="001925E3">
              <w:rPr>
                <w:sz w:val="20"/>
                <w:szCs w:val="20"/>
              </w:rPr>
              <w:t>409</w:t>
            </w:r>
          </w:p>
        </w:tc>
        <w:tc>
          <w:tcPr>
            <w:tcW w:w="1080" w:type="dxa"/>
            <w:tcBorders>
              <w:bottom w:val="single" w:sz="8" w:space="0" w:color="4472C4" w:themeColor="accent1"/>
            </w:tcBorders>
            <w:shd w:val="clear" w:color="auto" w:fill="DDEBF7"/>
            <w:noWrap/>
            <w:tcMar>
              <w:top w:w="0" w:type="dxa"/>
              <w:left w:w="108" w:type="dxa"/>
              <w:bottom w:w="0" w:type="dxa"/>
              <w:right w:w="108" w:type="dxa"/>
            </w:tcMar>
            <w:vAlign w:val="center"/>
            <w:hideMark/>
          </w:tcPr>
          <w:p w14:paraId="7E87F0FE" w14:textId="125EC8DA" w:rsidR="000C63AD" w:rsidRPr="001925E3" w:rsidRDefault="000C63AD" w:rsidP="002A256A">
            <w:pPr>
              <w:spacing w:after="0" w:line="240" w:lineRule="auto"/>
              <w:contextualSpacing/>
              <w:jc w:val="center"/>
              <w:rPr>
                <w:sz w:val="20"/>
                <w:szCs w:val="20"/>
              </w:rPr>
            </w:pPr>
            <w:r w:rsidRPr="001925E3">
              <w:rPr>
                <w:sz w:val="20"/>
                <w:szCs w:val="20"/>
              </w:rPr>
              <w:t>$537,636</w:t>
            </w:r>
          </w:p>
        </w:tc>
        <w:tc>
          <w:tcPr>
            <w:tcW w:w="720" w:type="dxa"/>
            <w:tcBorders>
              <w:bottom w:val="single" w:sz="8" w:space="0" w:color="4472C4" w:themeColor="accent1"/>
            </w:tcBorders>
            <w:shd w:val="clear" w:color="auto" w:fill="DDEBF7"/>
            <w:noWrap/>
            <w:tcMar>
              <w:top w:w="0" w:type="dxa"/>
              <w:left w:w="108" w:type="dxa"/>
              <w:bottom w:w="0" w:type="dxa"/>
              <w:right w:w="108" w:type="dxa"/>
            </w:tcMar>
            <w:vAlign w:val="center"/>
            <w:hideMark/>
          </w:tcPr>
          <w:p w14:paraId="40354B31" w14:textId="77777777" w:rsidR="000C63AD" w:rsidRPr="001925E3" w:rsidRDefault="000C63AD" w:rsidP="002A256A">
            <w:pPr>
              <w:spacing w:after="0" w:line="240" w:lineRule="auto"/>
              <w:contextualSpacing/>
              <w:jc w:val="center"/>
              <w:rPr>
                <w:sz w:val="20"/>
                <w:szCs w:val="20"/>
              </w:rPr>
            </w:pPr>
            <w:r w:rsidRPr="001925E3">
              <w:rPr>
                <w:sz w:val="20"/>
                <w:szCs w:val="20"/>
              </w:rPr>
              <w:t>395</w:t>
            </w:r>
          </w:p>
        </w:tc>
        <w:tc>
          <w:tcPr>
            <w:tcW w:w="1350" w:type="dxa"/>
            <w:tcBorders>
              <w:bottom w:val="single" w:sz="8" w:space="0" w:color="4472C4" w:themeColor="accent1"/>
            </w:tcBorders>
            <w:shd w:val="clear" w:color="auto" w:fill="DDEBF7"/>
            <w:noWrap/>
            <w:tcMar>
              <w:top w:w="0" w:type="dxa"/>
              <w:left w:w="108" w:type="dxa"/>
              <w:bottom w:w="0" w:type="dxa"/>
              <w:right w:w="108" w:type="dxa"/>
            </w:tcMar>
            <w:vAlign w:val="center"/>
            <w:hideMark/>
          </w:tcPr>
          <w:p w14:paraId="579267A6" w14:textId="2F231B7C" w:rsidR="000C63AD" w:rsidRPr="001925E3" w:rsidRDefault="000C63AD" w:rsidP="002A256A">
            <w:pPr>
              <w:spacing w:after="0" w:line="240" w:lineRule="auto"/>
              <w:contextualSpacing/>
              <w:jc w:val="center"/>
              <w:rPr>
                <w:sz w:val="20"/>
                <w:szCs w:val="20"/>
              </w:rPr>
            </w:pPr>
            <w:r w:rsidRPr="001925E3">
              <w:rPr>
                <w:sz w:val="20"/>
                <w:szCs w:val="20"/>
              </w:rPr>
              <w:t>$587,375</w:t>
            </w:r>
          </w:p>
        </w:tc>
      </w:tr>
      <w:tr w:rsidR="002A256A" w14:paraId="1F12C020" w14:textId="77777777" w:rsidTr="002A256A">
        <w:trPr>
          <w:trHeight w:val="403"/>
        </w:trPr>
        <w:tc>
          <w:tcPr>
            <w:tcW w:w="1435" w:type="dxa"/>
            <w:tcBorders>
              <w:top w:val="single" w:sz="8" w:space="0" w:color="4472C4" w:themeColor="accent1"/>
              <w:left w:val="single" w:sz="8" w:space="0" w:color="4472C4" w:themeColor="accent1"/>
              <w:bottom w:val="single" w:sz="8" w:space="0" w:color="4472C4" w:themeColor="accent1"/>
              <w:right w:val="nil"/>
            </w:tcBorders>
            <w:shd w:val="clear" w:color="auto" w:fill="4472C4" w:themeFill="accent1"/>
            <w:noWrap/>
            <w:tcMar>
              <w:top w:w="0" w:type="dxa"/>
              <w:left w:w="108" w:type="dxa"/>
              <w:bottom w:w="0" w:type="dxa"/>
              <w:right w:w="108" w:type="dxa"/>
            </w:tcMar>
            <w:vAlign w:val="center"/>
            <w:hideMark/>
          </w:tcPr>
          <w:p w14:paraId="42526EC3" w14:textId="2BB1E08D" w:rsidR="000C63AD" w:rsidRPr="001D639D" w:rsidRDefault="000C63AD" w:rsidP="002A256A">
            <w:pPr>
              <w:spacing w:after="0" w:line="240" w:lineRule="auto"/>
              <w:contextualSpacing/>
              <w:jc w:val="center"/>
              <w:rPr>
                <w:b/>
                <w:bCs/>
                <w:color w:val="FFFFFF" w:themeColor="background1"/>
              </w:rPr>
            </w:pPr>
            <w:r w:rsidRPr="001D639D">
              <w:rPr>
                <w:b/>
                <w:bCs/>
                <w:color w:val="FFFFFF" w:themeColor="background1"/>
              </w:rPr>
              <w:t>Total</w:t>
            </w:r>
            <w:r w:rsidR="00414FE7">
              <w:rPr>
                <w:b/>
                <w:bCs/>
                <w:color w:val="FFFFFF" w:themeColor="background1"/>
              </w:rPr>
              <w:t>s</w:t>
            </w:r>
            <w:r w:rsidR="00414FE7" w:rsidRPr="001D639D">
              <w:rPr>
                <w:b/>
                <w:bCs/>
                <w:color w:val="FFFFFF" w:themeColor="background1"/>
              </w:rPr>
              <w:t>:</w:t>
            </w:r>
          </w:p>
        </w:tc>
        <w:tc>
          <w:tcPr>
            <w:tcW w:w="720" w:type="dxa"/>
            <w:tcBorders>
              <w:top w:val="single" w:sz="8" w:space="0" w:color="4472C4" w:themeColor="accent1"/>
              <w:left w:val="nil"/>
              <w:bottom w:val="single" w:sz="8" w:space="0" w:color="4472C4" w:themeColor="accent1"/>
              <w:right w:val="nil"/>
            </w:tcBorders>
            <w:shd w:val="clear" w:color="auto" w:fill="4472C4" w:themeFill="accent1"/>
            <w:noWrap/>
            <w:tcMar>
              <w:top w:w="0" w:type="dxa"/>
              <w:left w:w="108" w:type="dxa"/>
              <w:bottom w:w="0" w:type="dxa"/>
              <w:right w:w="108" w:type="dxa"/>
            </w:tcMar>
            <w:vAlign w:val="center"/>
            <w:hideMark/>
          </w:tcPr>
          <w:p w14:paraId="6F6FF678" w14:textId="284A5CB1" w:rsidR="000C63AD" w:rsidRPr="001D639D" w:rsidRDefault="000C63AD" w:rsidP="002A256A">
            <w:pPr>
              <w:spacing w:after="0" w:line="240" w:lineRule="auto"/>
              <w:ind w:left="-5" w:right="-108"/>
              <w:contextualSpacing/>
              <w:jc w:val="center"/>
              <w:rPr>
                <w:b/>
                <w:bCs/>
                <w:color w:val="FFFFFF" w:themeColor="background1"/>
                <w:sz w:val="20"/>
                <w:szCs w:val="20"/>
              </w:rPr>
            </w:pPr>
            <w:r w:rsidRPr="001D639D">
              <w:rPr>
                <w:b/>
                <w:bCs/>
                <w:color w:val="FFFFFF" w:themeColor="background1"/>
                <w:sz w:val="20"/>
                <w:szCs w:val="20"/>
              </w:rPr>
              <w:t>409</w:t>
            </w:r>
            <w:r w:rsidR="002A256A">
              <w:rPr>
                <w:b/>
                <w:bCs/>
                <w:color w:val="FFFFFF" w:themeColor="background1"/>
                <w:sz w:val="20"/>
                <w:szCs w:val="20"/>
              </w:rPr>
              <w:t>*</w:t>
            </w:r>
          </w:p>
        </w:tc>
        <w:tc>
          <w:tcPr>
            <w:tcW w:w="1260" w:type="dxa"/>
            <w:tcBorders>
              <w:top w:val="single" w:sz="8" w:space="0" w:color="4472C4" w:themeColor="accent1"/>
              <w:left w:val="nil"/>
              <w:bottom w:val="single" w:sz="8" w:space="0" w:color="4472C4" w:themeColor="accent1"/>
              <w:right w:val="nil"/>
            </w:tcBorders>
            <w:shd w:val="clear" w:color="auto" w:fill="4472C4" w:themeFill="accent1"/>
            <w:noWrap/>
            <w:tcMar>
              <w:top w:w="0" w:type="dxa"/>
              <w:left w:w="108" w:type="dxa"/>
              <w:bottom w:w="0" w:type="dxa"/>
              <w:right w:w="108" w:type="dxa"/>
            </w:tcMar>
            <w:vAlign w:val="center"/>
            <w:hideMark/>
          </w:tcPr>
          <w:p w14:paraId="354F4C4F" w14:textId="55F91706" w:rsidR="000C63AD" w:rsidRPr="001D639D" w:rsidRDefault="000C63AD" w:rsidP="002A256A">
            <w:pPr>
              <w:spacing w:after="0" w:line="240" w:lineRule="auto"/>
              <w:ind w:left="-18" w:right="-18"/>
              <w:contextualSpacing/>
              <w:jc w:val="center"/>
              <w:rPr>
                <w:b/>
                <w:bCs/>
                <w:color w:val="FFFFFF" w:themeColor="background1"/>
                <w:sz w:val="20"/>
                <w:szCs w:val="20"/>
              </w:rPr>
            </w:pPr>
            <w:r w:rsidRPr="001D639D">
              <w:rPr>
                <w:b/>
                <w:bCs/>
                <w:color w:val="FFFFFF" w:themeColor="background1"/>
                <w:sz w:val="20"/>
                <w:szCs w:val="20"/>
              </w:rPr>
              <w:t>$2,075,507</w:t>
            </w:r>
          </w:p>
        </w:tc>
        <w:tc>
          <w:tcPr>
            <w:tcW w:w="810" w:type="dxa"/>
            <w:tcBorders>
              <w:top w:val="single" w:sz="8" w:space="0" w:color="4472C4" w:themeColor="accent1"/>
              <w:left w:val="nil"/>
              <w:bottom w:val="single" w:sz="8" w:space="0" w:color="4472C4" w:themeColor="accent1"/>
              <w:right w:val="nil"/>
            </w:tcBorders>
            <w:shd w:val="clear" w:color="auto" w:fill="4472C4" w:themeFill="accent1"/>
            <w:noWrap/>
            <w:tcMar>
              <w:top w:w="0" w:type="dxa"/>
              <w:left w:w="108" w:type="dxa"/>
              <w:bottom w:w="0" w:type="dxa"/>
              <w:right w:w="108" w:type="dxa"/>
            </w:tcMar>
            <w:vAlign w:val="center"/>
            <w:hideMark/>
          </w:tcPr>
          <w:p w14:paraId="3E2F5023" w14:textId="47D2AFF7" w:rsidR="000C63AD" w:rsidRPr="001D639D" w:rsidRDefault="000C63AD" w:rsidP="002A256A">
            <w:pPr>
              <w:spacing w:after="0" w:line="240" w:lineRule="auto"/>
              <w:ind w:left="72" w:right="-108"/>
              <w:contextualSpacing/>
              <w:jc w:val="center"/>
              <w:rPr>
                <w:b/>
                <w:bCs/>
                <w:color w:val="FFFFFF" w:themeColor="background1"/>
                <w:sz w:val="20"/>
                <w:szCs w:val="20"/>
              </w:rPr>
            </w:pPr>
            <w:r w:rsidRPr="001D639D">
              <w:rPr>
                <w:b/>
                <w:bCs/>
                <w:color w:val="FFFFFF" w:themeColor="background1"/>
                <w:sz w:val="20"/>
                <w:szCs w:val="20"/>
              </w:rPr>
              <w:t>394</w:t>
            </w:r>
            <w:r w:rsidR="002A256A">
              <w:rPr>
                <w:b/>
                <w:bCs/>
                <w:color w:val="FFFFFF" w:themeColor="background1"/>
                <w:sz w:val="20"/>
                <w:szCs w:val="20"/>
              </w:rPr>
              <w:t>*</w:t>
            </w:r>
          </w:p>
        </w:tc>
        <w:tc>
          <w:tcPr>
            <w:tcW w:w="1350" w:type="dxa"/>
            <w:tcBorders>
              <w:top w:val="single" w:sz="8" w:space="0" w:color="4472C4" w:themeColor="accent1"/>
              <w:left w:val="nil"/>
              <w:bottom w:val="single" w:sz="8" w:space="0" w:color="4472C4" w:themeColor="accent1"/>
              <w:right w:val="nil"/>
            </w:tcBorders>
            <w:shd w:val="clear" w:color="auto" w:fill="4472C4" w:themeFill="accent1"/>
            <w:noWrap/>
            <w:tcMar>
              <w:top w:w="0" w:type="dxa"/>
              <w:left w:w="108" w:type="dxa"/>
              <w:bottom w:w="0" w:type="dxa"/>
              <w:right w:w="108" w:type="dxa"/>
            </w:tcMar>
            <w:vAlign w:val="center"/>
            <w:hideMark/>
          </w:tcPr>
          <w:p w14:paraId="38221599" w14:textId="4FF52B21" w:rsidR="000C63AD" w:rsidRPr="001D639D" w:rsidRDefault="000C63AD" w:rsidP="002A256A">
            <w:pPr>
              <w:spacing w:after="0" w:line="240" w:lineRule="auto"/>
              <w:contextualSpacing/>
              <w:jc w:val="center"/>
              <w:rPr>
                <w:b/>
                <w:bCs/>
                <w:color w:val="FFFFFF" w:themeColor="background1"/>
                <w:sz w:val="20"/>
                <w:szCs w:val="20"/>
              </w:rPr>
            </w:pPr>
            <w:r w:rsidRPr="001D639D">
              <w:rPr>
                <w:b/>
                <w:bCs/>
                <w:color w:val="FFFFFF" w:themeColor="background1"/>
                <w:sz w:val="20"/>
                <w:szCs w:val="20"/>
              </w:rPr>
              <w:t>$2,632,280</w:t>
            </w:r>
          </w:p>
        </w:tc>
        <w:tc>
          <w:tcPr>
            <w:tcW w:w="810" w:type="dxa"/>
            <w:tcBorders>
              <w:top w:val="single" w:sz="8" w:space="0" w:color="4472C4" w:themeColor="accent1"/>
              <w:left w:val="nil"/>
              <w:bottom w:val="single" w:sz="8" w:space="0" w:color="4472C4" w:themeColor="accent1"/>
              <w:right w:val="nil"/>
            </w:tcBorders>
            <w:shd w:val="clear" w:color="auto" w:fill="4472C4" w:themeFill="accent1"/>
            <w:noWrap/>
            <w:tcMar>
              <w:top w:w="0" w:type="dxa"/>
              <w:left w:w="108" w:type="dxa"/>
              <w:bottom w:w="0" w:type="dxa"/>
              <w:right w:w="108" w:type="dxa"/>
            </w:tcMar>
            <w:vAlign w:val="center"/>
            <w:hideMark/>
          </w:tcPr>
          <w:p w14:paraId="0EA361FB" w14:textId="78B58360" w:rsidR="000C63AD" w:rsidRPr="001D639D" w:rsidRDefault="000C63AD" w:rsidP="002A256A">
            <w:pPr>
              <w:spacing w:after="0" w:line="240" w:lineRule="auto"/>
              <w:contextualSpacing/>
              <w:jc w:val="center"/>
              <w:rPr>
                <w:b/>
                <w:bCs/>
                <w:color w:val="FFFFFF" w:themeColor="background1"/>
                <w:sz w:val="20"/>
                <w:szCs w:val="20"/>
              </w:rPr>
            </w:pPr>
            <w:r w:rsidRPr="001D639D">
              <w:rPr>
                <w:b/>
                <w:bCs/>
                <w:color w:val="FFFFFF" w:themeColor="background1"/>
                <w:sz w:val="20"/>
                <w:szCs w:val="20"/>
              </w:rPr>
              <w:t>396</w:t>
            </w:r>
            <w:r w:rsidR="002A256A">
              <w:rPr>
                <w:b/>
                <w:bCs/>
                <w:color w:val="FFFFFF" w:themeColor="background1"/>
                <w:sz w:val="20"/>
                <w:szCs w:val="20"/>
              </w:rPr>
              <w:t>*</w:t>
            </w:r>
          </w:p>
        </w:tc>
        <w:tc>
          <w:tcPr>
            <w:tcW w:w="1260" w:type="dxa"/>
            <w:tcBorders>
              <w:top w:val="single" w:sz="8" w:space="0" w:color="4472C4" w:themeColor="accent1"/>
              <w:left w:val="nil"/>
              <w:bottom w:val="single" w:sz="8" w:space="0" w:color="4472C4" w:themeColor="accent1"/>
              <w:right w:val="nil"/>
            </w:tcBorders>
            <w:shd w:val="clear" w:color="auto" w:fill="4472C4" w:themeFill="accent1"/>
            <w:noWrap/>
            <w:tcMar>
              <w:top w:w="0" w:type="dxa"/>
              <w:left w:w="108" w:type="dxa"/>
              <w:bottom w:w="0" w:type="dxa"/>
              <w:right w:w="108" w:type="dxa"/>
            </w:tcMar>
            <w:vAlign w:val="center"/>
            <w:hideMark/>
          </w:tcPr>
          <w:p w14:paraId="2CF29408" w14:textId="0B8464B0" w:rsidR="000C63AD" w:rsidRPr="001D639D" w:rsidRDefault="000C63AD" w:rsidP="002A256A">
            <w:pPr>
              <w:spacing w:after="0" w:line="240" w:lineRule="auto"/>
              <w:contextualSpacing/>
              <w:jc w:val="center"/>
              <w:rPr>
                <w:b/>
                <w:bCs/>
                <w:color w:val="FFFFFF" w:themeColor="background1"/>
                <w:sz w:val="20"/>
                <w:szCs w:val="20"/>
              </w:rPr>
            </w:pPr>
            <w:r w:rsidRPr="001D639D">
              <w:rPr>
                <w:b/>
                <w:bCs/>
                <w:color w:val="FFFFFF" w:themeColor="background1"/>
                <w:sz w:val="20"/>
                <w:szCs w:val="20"/>
              </w:rPr>
              <w:t>$2,559,056</w:t>
            </w:r>
          </w:p>
        </w:tc>
        <w:tc>
          <w:tcPr>
            <w:tcW w:w="810" w:type="dxa"/>
            <w:tcBorders>
              <w:top w:val="single" w:sz="8" w:space="0" w:color="4472C4" w:themeColor="accent1"/>
              <w:left w:val="nil"/>
              <w:bottom w:val="single" w:sz="8" w:space="0" w:color="4472C4" w:themeColor="accent1"/>
              <w:right w:val="nil"/>
            </w:tcBorders>
            <w:shd w:val="clear" w:color="auto" w:fill="4472C4" w:themeFill="accent1"/>
            <w:noWrap/>
            <w:tcMar>
              <w:top w:w="0" w:type="dxa"/>
              <w:left w:w="108" w:type="dxa"/>
              <w:bottom w:w="0" w:type="dxa"/>
              <w:right w:w="108" w:type="dxa"/>
            </w:tcMar>
            <w:vAlign w:val="center"/>
            <w:hideMark/>
          </w:tcPr>
          <w:p w14:paraId="7125B312" w14:textId="59A6A5AE" w:rsidR="000C63AD" w:rsidRPr="001D639D" w:rsidRDefault="000C63AD" w:rsidP="002A256A">
            <w:pPr>
              <w:spacing w:after="0" w:line="240" w:lineRule="auto"/>
              <w:contextualSpacing/>
              <w:jc w:val="center"/>
              <w:rPr>
                <w:b/>
                <w:bCs/>
                <w:color w:val="FFFFFF" w:themeColor="background1"/>
                <w:sz w:val="20"/>
                <w:szCs w:val="20"/>
              </w:rPr>
            </w:pPr>
            <w:r w:rsidRPr="001D639D">
              <w:rPr>
                <w:b/>
                <w:bCs/>
                <w:color w:val="FFFFFF" w:themeColor="background1"/>
                <w:sz w:val="20"/>
                <w:szCs w:val="20"/>
              </w:rPr>
              <w:t>399</w:t>
            </w:r>
            <w:r w:rsidR="002A256A">
              <w:rPr>
                <w:b/>
                <w:bCs/>
                <w:color w:val="FFFFFF" w:themeColor="background1"/>
                <w:sz w:val="20"/>
                <w:szCs w:val="20"/>
              </w:rPr>
              <w:t>*</w:t>
            </w:r>
          </w:p>
        </w:tc>
        <w:tc>
          <w:tcPr>
            <w:tcW w:w="1260" w:type="dxa"/>
            <w:tcBorders>
              <w:top w:val="single" w:sz="8" w:space="0" w:color="4472C4" w:themeColor="accent1"/>
              <w:left w:val="nil"/>
              <w:bottom w:val="single" w:sz="8" w:space="0" w:color="4472C4" w:themeColor="accent1"/>
              <w:right w:val="nil"/>
            </w:tcBorders>
            <w:shd w:val="clear" w:color="auto" w:fill="4472C4" w:themeFill="accent1"/>
            <w:noWrap/>
            <w:tcMar>
              <w:top w:w="0" w:type="dxa"/>
              <w:left w:w="108" w:type="dxa"/>
              <w:bottom w:w="0" w:type="dxa"/>
              <w:right w:w="108" w:type="dxa"/>
            </w:tcMar>
            <w:vAlign w:val="center"/>
            <w:hideMark/>
          </w:tcPr>
          <w:p w14:paraId="4E53B445" w14:textId="7117634A" w:rsidR="000C63AD" w:rsidRPr="001D639D" w:rsidRDefault="000C63AD" w:rsidP="002A256A">
            <w:pPr>
              <w:spacing w:after="0" w:line="240" w:lineRule="auto"/>
              <w:contextualSpacing/>
              <w:jc w:val="center"/>
              <w:rPr>
                <w:b/>
                <w:bCs/>
                <w:color w:val="FFFFFF" w:themeColor="background1"/>
                <w:sz w:val="20"/>
                <w:szCs w:val="20"/>
              </w:rPr>
            </w:pPr>
            <w:r w:rsidRPr="001D639D">
              <w:rPr>
                <w:b/>
                <w:bCs/>
                <w:color w:val="FFFFFF" w:themeColor="background1"/>
                <w:sz w:val="20"/>
                <w:szCs w:val="20"/>
              </w:rPr>
              <w:t>$2,607,750</w:t>
            </w:r>
          </w:p>
        </w:tc>
        <w:tc>
          <w:tcPr>
            <w:tcW w:w="810" w:type="dxa"/>
            <w:tcBorders>
              <w:top w:val="single" w:sz="8" w:space="0" w:color="4472C4" w:themeColor="accent1"/>
              <w:left w:val="nil"/>
              <w:bottom w:val="single" w:sz="8" w:space="0" w:color="4472C4" w:themeColor="accent1"/>
              <w:right w:val="nil"/>
            </w:tcBorders>
            <w:shd w:val="clear" w:color="auto" w:fill="4472C4" w:themeFill="accent1"/>
            <w:noWrap/>
            <w:tcMar>
              <w:top w:w="0" w:type="dxa"/>
              <w:left w:w="108" w:type="dxa"/>
              <w:bottom w:w="0" w:type="dxa"/>
              <w:right w:w="108" w:type="dxa"/>
            </w:tcMar>
            <w:vAlign w:val="center"/>
            <w:hideMark/>
          </w:tcPr>
          <w:p w14:paraId="7C37A948" w14:textId="7586659A" w:rsidR="000C63AD" w:rsidRPr="001D639D" w:rsidRDefault="000C63AD" w:rsidP="002A256A">
            <w:pPr>
              <w:spacing w:after="0" w:line="240" w:lineRule="auto"/>
              <w:ind w:left="72"/>
              <w:contextualSpacing/>
              <w:jc w:val="center"/>
              <w:rPr>
                <w:b/>
                <w:bCs/>
                <w:color w:val="FFFFFF" w:themeColor="background1"/>
                <w:sz w:val="20"/>
                <w:szCs w:val="20"/>
              </w:rPr>
            </w:pPr>
            <w:r w:rsidRPr="001D639D">
              <w:rPr>
                <w:b/>
                <w:bCs/>
                <w:color w:val="FFFFFF" w:themeColor="background1"/>
                <w:sz w:val="20"/>
                <w:szCs w:val="20"/>
              </w:rPr>
              <w:t>381</w:t>
            </w:r>
            <w:r w:rsidR="002A256A">
              <w:rPr>
                <w:b/>
                <w:bCs/>
                <w:color w:val="FFFFFF" w:themeColor="background1"/>
                <w:sz w:val="20"/>
                <w:szCs w:val="20"/>
              </w:rPr>
              <w:t>*</w:t>
            </w:r>
          </w:p>
        </w:tc>
        <w:tc>
          <w:tcPr>
            <w:tcW w:w="1080" w:type="dxa"/>
            <w:tcBorders>
              <w:top w:val="single" w:sz="8" w:space="0" w:color="4472C4" w:themeColor="accent1"/>
              <w:left w:val="nil"/>
              <w:bottom w:val="single" w:sz="8" w:space="0" w:color="4472C4" w:themeColor="accent1"/>
              <w:right w:val="nil"/>
            </w:tcBorders>
            <w:shd w:val="clear" w:color="auto" w:fill="4472C4" w:themeFill="accent1"/>
            <w:noWrap/>
            <w:tcMar>
              <w:top w:w="0" w:type="dxa"/>
              <w:left w:w="108" w:type="dxa"/>
              <w:bottom w:w="0" w:type="dxa"/>
              <w:right w:w="108" w:type="dxa"/>
            </w:tcMar>
            <w:vAlign w:val="center"/>
            <w:hideMark/>
          </w:tcPr>
          <w:p w14:paraId="7E6636C6" w14:textId="2949064B" w:rsidR="000C63AD" w:rsidRPr="001D639D" w:rsidRDefault="000C63AD" w:rsidP="002A256A">
            <w:pPr>
              <w:spacing w:after="0" w:line="240" w:lineRule="auto"/>
              <w:ind w:left="-108" w:right="-108"/>
              <w:contextualSpacing/>
              <w:jc w:val="center"/>
              <w:rPr>
                <w:b/>
                <w:bCs/>
                <w:color w:val="FFFFFF" w:themeColor="background1"/>
                <w:sz w:val="20"/>
                <w:szCs w:val="20"/>
              </w:rPr>
            </w:pPr>
            <w:r w:rsidRPr="001D639D">
              <w:rPr>
                <w:b/>
                <w:bCs/>
                <w:color w:val="FFFFFF" w:themeColor="background1"/>
                <w:sz w:val="20"/>
                <w:szCs w:val="20"/>
              </w:rPr>
              <w:t>$3,215,489</w:t>
            </w:r>
          </w:p>
        </w:tc>
        <w:tc>
          <w:tcPr>
            <w:tcW w:w="720" w:type="dxa"/>
            <w:tcBorders>
              <w:top w:val="single" w:sz="8" w:space="0" w:color="4472C4" w:themeColor="accent1"/>
              <w:left w:val="nil"/>
              <w:bottom w:val="single" w:sz="8" w:space="0" w:color="4472C4" w:themeColor="accent1"/>
              <w:right w:val="nil"/>
            </w:tcBorders>
            <w:shd w:val="clear" w:color="auto" w:fill="4472C4" w:themeFill="accent1"/>
            <w:noWrap/>
            <w:tcMar>
              <w:top w:w="0" w:type="dxa"/>
              <w:left w:w="108" w:type="dxa"/>
              <w:bottom w:w="0" w:type="dxa"/>
              <w:right w:w="108" w:type="dxa"/>
            </w:tcMar>
            <w:vAlign w:val="center"/>
            <w:hideMark/>
          </w:tcPr>
          <w:p w14:paraId="32504171" w14:textId="02E6229E" w:rsidR="000C63AD" w:rsidRPr="001D639D" w:rsidRDefault="000C63AD" w:rsidP="002A256A">
            <w:pPr>
              <w:spacing w:after="0" w:line="240" w:lineRule="auto"/>
              <w:ind w:left="-142" w:right="-198"/>
              <w:contextualSpacing/>
              <w:jc w:val="center"/>
              <w:rPr>
                <w:b/>
                <w:bCs/>
                <w:color w:val="FFFFFF" w:themeColor="background1"/>
                <w:sz w:val="20"/>
                <w:szCs w:val="20"/>
              </w:rPr>
            </w:pPr>
            <w:r w:rsidRPr="001D639D">
              <w:rPr>
                <w:b/>
                <w:bCs/>
                <w:color w:val="FFFFFF" w:themeColor="background1"/>
                <w:sz w:val="20"/>
                <w:szCs w:val="20"/>
              </w:rPr>
              <w:t>356</w:t>
            </w:r>
            <w:r w:rsidR="002A256A">
              <w:rPr>
                <w:b/>
                <w:bCs/>
                <w:color w:val="FFFFFF" w:themeColor="background1"/>
                <w:sz w:val="20"/>
                <w:szCs w:val="20"/>
              </w:rPr>
              <w:t>*</w:t>
            </w:r>
          </w:p>
        </w:tc>
        <w:tc>
          <w:tcPr>
            <w:tcW w:w="1350" w:type="dxa"/>
            <w:tcBorders>
              <w:top w:val="single" w:sz="8" w:space="0" w:color="4472C4" w:themeColor="accent1"/>
              <w:left w:val="nil"/>
              <w:bottom w:val="single" w:sz="8" w:space="0" w:color="4472C4" w:themeColor="accent1"/>
              <w:right w:val="single" w:sz="8" w:space="0" w:color="4472C4" w:themeColor="accent1"/>
            </w:tcBorders>
            <w:shd w:val="clear" w:color="auto" w:fill="4472C4" w:themeFill="accent1"/>
            <w:noWrap/>
            <w:tcMar>
              <w:top w:w="0" w:type="dxa"/>
              <w:left w:w="108" w:type="dxa"/>
              <w:bottom w:w="0" w:type="dxa"/>
              <w:right w:w="108" w:type="dxa"/>
            </w:tcMar>
            <w:vAlign w:val="center"/>
            <w:hideMark/>
          </w:tcPr>
          <w:p w14:paraId="4BEB5B1A" w14:textId="70E22E99" w:rsidR="000C63AD" w:rsidRPr="001D639D" w:rsidRDefault="000C63AD" w:rsidP="002A256A">
            <w:pPr>
              <w:spacing w:after="0" w:line="240" w:lineRule="auto"/>
              <w:ind w:left="-108"/>
              <w:contextualSpacing/>
              <w:jc w:val="center"/>
              <w:rPr>
                <w:b/>
                <w:bCs/>
                <w:color w:val="FFFFFF" w:themeColor="background1"/>
                <w:sz w:val="20"/>
                <w:szCs w:val="20"/>
              </w:rPr>
            </w:pPr>
            <w:r w:rsidRPr="001D639D">
              <w:rPr>
                <w:b/>
                <w:bCs/>
                <w:color w:val="FFFFFF" w:themeColor="background1"/>
                <w:sz w:val="20"/>
                <w:szCs w:val="20"/>
              </w:rPr>
              <w:t>$3,186,340</w:t>
            </w:r>
          </w:p>
        </w:tc>
      </w:tr>
    </w:tbl>
    <w:p w14:paraId="7902465E" w14:textId="0D0F3057" w:rsidR="00C95ECD" w:rsidRPr="002A256A" w:rsidRDefault="002A256A" w:rsidP="002A256A">
      <w:pPr>
        <w:spacing w:after="0" w:line="240" w:lineRule="auto"/>
        <w:ind w:left="0" w:firstLine="0"/>
        <w:contextualSpacing/>
        <w:rPr>
          <w:i/>
        </w:rPr>
        <w:sectPr w:rsidR="00C95ECD" w:rsidRPr="002A256A" w:rsidSect="001D639D">
          <w:pgSz w:w="15840" w:h="12240" w:orient="landscape"/>
          <w:pgMar w:top="1440" w:right="1445" w:bottom="1434" w:left="721" w:header="720" w:footer="720" w:gutter="0"/>
          <w:pgBorders w:offsetFrom="page">
            <w:top w:val="dotted" w:sz="4" w:space="24" w:color="BFBFBF" w:themeColor="background1" w:themeShade="BF"/>
            <w:left w:val="dotted" w:sz="4" w:space="24" w:color="BFBFBF" w:themeColor="background1" w:themeShade="BF"/>
            <w:bottom w:val="dotted" w:sz="4" w:space="24" w:color="BFBFBF" w:themeColor="background1" w:themeShade="BF"/>
            <w:right w:val="dotted" w:sz="4" w:space="24" w:color="BFBFBF" w:themeColor="background1" w:themeShade="BF"/>
          </w:pgBorders>
          <w:cols w:space="720"/>
          <w:titlePg/>
          <w:docGrid w:linePitch="299"/>
        </w:sectPr>
      </w:pPr>
      <w:r w:rsidRPr="002A256A">
        <w:rPr>
          <w:i/>
        </w:rPr>
        <w:t>*Total unique enrollee count for the demonstration year</w:t>
      </w:r>
    </w:p>
    <w:p w14:paraId="7F21B6F8" w14:textId="424EBD74" w:rsidR="008275ED" w:rsidRDefault="00127A96" w:rsidP="001D639D">
      <w:pPr>
        <w:pStyle w:val="Heading2"/>
        <w:ind w:left="0" w:firstLine="0"/>
      </w:pPr>
      <w:bookmarkStart w:id="8" w:name="_Toc40259514"/>
      <w:bookmarkEnd w:id="7"/>
      <w:r>
        <w:lastRenderedPageBreak/>
        <w:t>2</w:t>
      </w:r>
      <w:r w:rsidR="008275ED">
        <w:t>.</w:t>
      </w:r>
      <w:r w:rsidR="001F407D">
        <w:t>3</w:t>
      </w:r>
      <w:r w:rsidR="008275ED">
        <w:t xml:space="preserve"> </w:t>
      </w:r>
      <w:r w:rsidR="002D7AE8">
        <w:t xml:space="preserve">Renewal </w:t>
      </w:r>
      <w:r w:rsidR="008275ED">
        <w:t>Objectives</w:t>
      </w:r>
      <w:bookmarkEnd w:id="8"/>
      <w:r w:rsidR="002D7AE8">
        <w:t xml:space="preserve"> </w:t>
      </w:r>
    </w:p>
    <w:p w14:paraId="62B68836" w14:textId="0F946ED0" w:rsidR="00E24B7D" w:rsidRPr="00E24B7D" w:rsidRDefault="00620D31" w:rsidP="00E24B7D">
      <w:pPr>
        <w:spacing w:after="0"/>
        <w:ind w:left="0" w:right="14" w:hanging="14"/>
        <w:contextualSpacing/>
        <w:rPr>
          <w:i/>
        </w:rPr>
      </w:pPr>
      <w:r w:rsidRPr="00E24B7D">
        <w:rPr>
          <w:i/>
          <w:u w:val="single"/>
        </w:rPr>
        <w:t>The current objectives of this demonstration are to</w:t>
      </w:r>
      <w:r w:rsidRPr="00E24B7D">
        <w:rPr>
          <w:i/>
        </w:rPr>
        <w:t>:</w:t>
      </w:r>
    </w:p>
    <w:p w14:paraId="2E2B538E" w14:textId="0B03675A" w:rsidR="00E24B7D" w:rsidRDefault="00E24B7D" w:rsidP="00E24B7D">
      <w:pPr>
        <w:pStyle w:val="ListParagraph"/>
        <w:numPr>
          <w:ilvl w:val="0"/>
          <w:numId w:val="35"/>
        </w:numPr>
        <w:spacing w:after="0"/>
        <w:ind w:right="14"/>
      </w:pPr>
      <w:r>
        <w:t xml:space="preserve">Ensure that ESRD §1115 waiver enrollees maintain access to kidney transplant waiting lists.   </w:t>
      </w:r>
    </w:p>
    <w:p w14:paraId="4F314C9F" w14:textId="1CBD7377" w:rsidR="00E24B7D" w:rsidRDefault="00E24B7D" w:rsidP="00E24B7D">
      <w:pPr>
        <w:pStyle w:val="ListParagraph"/>
        <w:numPr>
          <w:ilvl w:val="0"/>
          <w:numId w:val="35"/>
        </w:numPr>
        <w:spacing w:after="0"/>
        <w:ind w:right="14"/>
      </w:pPr>
      <w:r>
        <w:t xml:space="preserve">Ensure that ESRD §1115 waiver enrollees have access kidney to transplants.  </w:t>
      </w:r>
    </w:p>
    <w:p w14:paraId="31554807" w14:textId="3FDB88C6" w:rsidR="00E24B7D" w:rsidRDefault="00E24B7D" w:rsidP="00E24B7D">
      <w:pPr>
        <w:pStyle w:val="ListParagraph"/>
        <w:numPr>
          <w:ilvl w:val="0"/>
          <w:numId w:val="35"/>
        </w:numPr>
        <w:spacing w:after="0"/>
        <w:ind w:right="14"/>
      </w:pPr>
      <w:r>
        <w:t>Ensure that there is continued access to the program for new enrollees.</w:t>
      </w:r>
    </w:p>
    <w:p w14:paraId="24F8CCDF" w14:textId="77777777" w:rsidR="00E24B7D" w:rsidRDefault="00E24B7D" w:rsidP="00E24B7D">
      <w:pPr>
        <w:pStyle w:val="ListParagraph"/>
        <w:numPr>
          <w:ilvl w:val="0"/>
          <w:numId w:val="35"/>
        </w:numPr>
        <w:spacing w:after="0"/>
        <w:ind w:right="14"/>
      </w:pPr>
      <w:r>
        <w:t>Promote and increase Medicare Advantage (MA) awareness among ESRD waiver enrollees.</w:t>
      </w:r>
    </w:p>
    <w:p w14:paraId="5BB3372B" w14:textId="77777777" w:rsidR="00E24B7D" w:rsidRDefault="00E24B7D" w:rsidP="00E24B7D">
      <w:pPr>
        <w:spacing w:after="0"/>
        <w:ind w:left="0" w:right="14"/>
      </w:pPr>
    </w:p>
    <w:p w14:paraId="0A8BE885" w14:textId="77D85FF3" w:rsidR="006C25F6" w:rsidRPr="00E24B7D" w:rsidRDefault="006C25F6" w:rsidP="00E24B7D">
      <w:pPr>
        <w:spacing w:after="0"/>
        <w:ind w:left="0" w:right="14"/>
        <w:rPr>
          <w:i/>
        </w:rPr>
      </w:pPr>
      <w:r w:rsidRPr="00E24B7D">
        <w:rPr>
          <w:i/>
          <w:u w:val="single"/>
        </w:rPr>
        <w:t>The hypotheses for the current objectives are</w:t>
      </w:r>
      <w:r w:rsidRPr="00E24B7D">
        <w:rPr>
          <w:i/>
        </w:rPr>
        <w:t xml:space="preserve">: </w:t>
      </w:r>
    </w:p>
    <w:p w14:paraId="0BF5BD9F" w14:textId="6CCC1B40" w:rsidR="006C25F6" w:rsidRDefault="006C25F6" w:rsidP="00A45B18">
      <w:pPr>
        <w:pStyle w:val="ListParagraph"/>
        <w:numPr>
          <w:ilvl w:val="0"/>
          <w:numId w:val="18"/>
        </w:numPr>
        <w:spacing w:after="204"/>
        <w:ind w:right="13"/>
      </w:pPr>
      <w:r w:rsidRPr="006C25F6">
        <w:t xml:space="preserve">ESRD </w:t>
      </w:r>
      <w:r w:rsidR="00AD767F">
        <w:t>§</w:t>
      </w:r>
      <w:r w:rsidRPr="006C25F6">
        <w:t xml:space="preserve">1115 waiver enrollees will maintain access to kidney transplant waiting lists.   </w:t>
      </w:r>
    </w:p>
    <w:p w14:paraId="489B0A35" w14:textId="77777777" w:rsidR="00E24B7D" w:rsidRDefault="00E24B7D" w:rsidP="00E24B7D">
      <w:pPr>
        <w:pStyle w:val="ListParagraph"/>
        <w:numPr>
          <w:ilvl w:val="0"/>
          <w:numId w:val="18"/>
        </w:numPr>
      </w:pPr>
      <w:r w:rsidRPr="00E24B7D">
        <w:t>ESRD §1115 waiver enrollees will have access to kidney transplants and the supplemental coverage needed to ultimately end their ESRD diagnosis and increase access to a broader market of health coverage.</w:t>
      </w:r>
    </w:p>
    <w:p w14:paraId="53933E3D" w14:textId="6E4050CA" w:rsidR="00E24B7D" w:rsidRPr="00E24B7D" w:rsidRDefault="00E24B7D" w:rsidP="00E24B7D">
      <w:pPr>
        <w:pStyle w:val="ListParagraph"/>
        <w:numPr>
          <w:ilvl w:val="0"/>
          <w:numId w:val="18"/>
        </w:numPr>
      </w:pPr>
      <w:r w:rsidRPr="00E24B7D">
        <w:t>The ESRD §1115 waiver demonstration will enroll newly-eligible individuals.</w:t>
      </w:r>
    </w:p>
    <w:p w14:paraId="2548B82C" w14:textId="16601B28" w:rsidR="004E5851" w:rsidRDefault="004E5851" w:rsidP="007930CB">
      <w:pPr>
        <w:pStyle w:val="ListParagraph"/>
        <w:numPr>
          <w:ilvl w:val="0"/>
          <w:numId w:val="18"/>
        </w:numPr>
        <w:spacing w:after="204"/>
        <w:ind w:right="13"/>
      </w:pPr>
      <w:r>
        <w:t xml:space="preserve">The ESRD </w:t>
      </w:r>
      <w:r w:rsidR="00AD767F">
        <w:t>§</w:t>
      </w:r>
      <w:r>
        <w:t>1115 waiver demonstration will enroll individuals who are eligible through Medicare/Medicaid spend-down.</w:t>
      </w:r>
    </w:p>
    <w:p w14:paraId="34684A32" w14:textId="6EEC58C6" w:rsidR="00E24B7D" w:rsidRPr="006C25F6" w:rsidRDefault="00E24B7D" w:rsidP="00E24B7D">
      <w:pPr>
        <w:pStyle w:val="ListParagraph"/>
        <w:numPr>
          <w:ilvl w:val="0"/>
          <w:numId w:val="18"/>
        </w:numPr>
        <w:spacing w:after="204"/>
        <w:ind w:right="13"/>
      </w:pPr>
      <w:r w:rsidRPr="00E24B7D">
        <w:t>The ESRD §1115 waiver will promote awareness and enrollment of ESRD waiver recipients in Medicare Advantage (MA) plans.</w:t>
      </w:r>
    </w:p>
    <w:p w14:paraId="65BAC0FD" w14:textId="7FFE9712" w:rsidR="006C25F6" w:rsidRPr="00E24B7D" w:rsidRDefault="006C25F6" w:rsidP="001D639D">
      <w:pPr>
        <w:spacing w:after="0"/>
        <w:ind w:left="0" w:right="14" w:firstLine="0"/>
        <w:contextualSpacing/>
        <w:rPr>
          <w:i/>
        </w:rPr>
      </w:pPr>
      <w:r w:rsidRPr="00E24B7D">
        <w:rPr>
          <w:i/>
          <w:u w:val="single"/>
        </w:rPr>
        <w:t xml:space="preserve">To test these hypotheses, the ESRD </w:t>
      </w:r>
      <w:r w:rsidR="00AD767F" w:rsidRPr="00E24B7D">
        <w:rPr>
          <w:i/>
          <w:u w:val="single"/>
        </w:rPr>
        <w:t>§</w:t>
      </w:r>
      <w:r w:rsidRPr="00E24B7D">
        <w:rPr>
          <w:i/>
          <w:u w:val="single"/>
        </w:rPr>
        <w:t>1115 waiver will utilize the following evaluation measures</w:t>
      </w:r>
      <w:r w:rsidRPr="00E24B7D">
        <w:rPr>
          <w:i/>
        </w:rPr>
        <w:t xml:space="preserve">: </w:t>
      </w:r>
    </w:p>
    <w:p w14:paraId="3C1A80C7" w14:textId="77777777" w:rsidR="00E24B7D" w:rsidRDefault="00E24B7D" w:rsidP="00E24B7D">
      <w:pPr>
        <w:pStyle w:val="ListParagraph"/>
        <w:numPr>
          <w:ilvl w:val="0"/>
          <w:numId w:val="21"/>
        </w:numPr>
        <w:spacing w:after="0" w:line="240" w:lineRule="auto"/>
        <w:ind w:right="14"/>
      </w:pPr>
      <w:r>
        <w:t>Track waiver enrollment and enrollment trends over the course of the demonstration</w:t>
      </w:r>
    </w:p>
    <w:p w14:paraId="5FCB2563" w14:textId="77777777" w:rsidR="00E24B7D" w:rsidRDefault="00E24B7D" w:rsidP="00E24B7D">
      <w:pPr>
        <w:pStyle w:val="ListParagraph"/>
        <w:numPr>
          <w:ilvl w:val="0"/>
          <w:numId w:val="21"/>
        </w:numPr>
        <w:spacing w:after="0" w:line="240" w:lineRule="auto"/>
        <w:ind w:right="14"/>
      </w:pPr>
      <w:r>
        <w:t>Track waiver enrollees who are on the transplant list as well as those who are not.</w:t>
      </w:r>
    </w:p>
    <w:p w14:paraId="0F6631AB" w14:textId="77777777" w:rsidR="00E24B7D" w:rsidRDefault="00E24B7D" w:rsidP="00E24B7D">
      <w:pPr>
        <w:pStyle w:val="ListParagraph"/>
        <w:numPr>
          <w:ilvl w:val="0"/>
          <w:numId w:val="21"/>
        </w:numPr>
        <w:spacing w:after="0" w:line="240" w:lineRule="auto"/>
        <w:ind w:right="14"/>
      </w:pPr>
      <w:r>
        <w:t>Track how many individuals on the waiver receive a kidney transplant.</w:t>
      </w:r>
    </w:p>
    <w:p w14:paraId="5E8C1368" w14:textId="77777777" w:rsidR="00E24B7D" w:rsidRDefault="00E24B7D" w:rsidP="00E24B7D">
      <w:pPr>
        <w:pStyle w:val="ListParagraph"/>
        <w:numPr>
          <w:ilvl w:val="0"/>
          <w:numId w:val="21"/>
        </w:numPr>
        <w:spacing w:after="0" w:line="240" w:lineRule="auto"/>
        <w:ind w:right="14"/>
      </w:pPr>
      <w:r>
        <w:t>Track how many enrollees become ineligible for the waiver due to no longer having an ESRD diagnosis.</w:t>
      </w:r>
    </w:p>
    <w:p w14:paraId="3ED17604" w14:textId="77777777" w:rsidR="00E24B7D" w:rsidRDefault="00E24B7D" w:rsidP="00E24B7D">
      <w:pPr>
        <w:pStyle w:val="ListParagraph"/>
        <w:numPr>
          <w:ilvl w:val="0"/>
          <w:numId w:val="21"/>
        </w:numPr>
        <w:spacing w:after="0" w:line="240" w:lineRule="auto"/>
        <w:ind w:right="14"/>
      </w:pPr>
      <w:r>
        <w:t>Track how many newly-eligible enrollees gain coverage under the waiver.</w:t>
      </w:r>
    </w:p>
    <w:p w14:paraId="04A94D40" w14:textId="77777777" w:rsidR="00E24B7D" w:rsidRDefault="00E24B7D" w:rsidP="00E24B7D">
      <w:pPr>
        <w:pStyle w:val="ListParagraph"/>
        <w:numPr>
          <w:ilvl w:val="0"/>
          <w:numId w:val="21"/>
        </w:numPr>
        <w:spacing w:after="0" w:line="240" w:lineRule="auto"/>
        <w:ind w:right="14"/>
      </w:pPr>
      <w:r>
        <w:t xml:space="preserve">Track total and average waiver spend-down totals for ESRD waiver recipients and the frequency with which ESRD waiver liability is met annually  </w:t>
      </w:r>
    </w:p>
    <w:p w14:paraId="6E0542E6" w14:textId="77777777" w:rsidR="00E24B7D" w:rsidRDefault="00E24B7D" w:rsidP="00E24B7D">
      <w:pPr>
        <w:pStyle w:val="ListParagraph"/>
        <w:numPr>
          <w:ilvl w:val="0"/>
          <w:numId w:val="21"/>
        </w:numPr>
        <w:spacing w:after="0" w:line="240" w:lineRule="auto"/>
        <w:ind w:right="14"/>
      </w:pPr>
      <w:r>
        <w:t>Track total expenditures associated with ESRD waiver enrollees.</w:t>
      </w:r>
    </w:p>
    <w:p w14:paraId="3A7C3B63" w14:textId="64516B56" w:rsidR="00E24B7D" w:rsidRPr="00E24B7D" w:rsidRDefault="00E24B7D" w:rsidP="00E24B7D">
      <w:pPr>
        <w:pStyle w:val="ListParagraph"/>
        <w:numPr>
          <w:ilvl w:val="0"/>
          <w:numId w:val="21"/>
        </w:numPr>
        <w:spacing w:after="0" w:line="240" w:lineRule="auto"/>
        <w:ind w:right="14"/>
        <w:rPr>
          <w:i/>
        </w:rPr>
      </w:pPr>
      <w:r>
        <w:t xml:space="preserve">Track specific Medicare enrollment type (Fee-for-service, MA, Medigap, etc.) for ESRD waiver enrollees.  </w:t>
      </w:r>
    </w:p>
    <w:p w14:paraId="228FA1C7" w14:textId="77777777" w:rsidR="00E24B7D" w:rsidRPr="00E24B7D" w:rsidRDefault="00E24B7D" w:rsidP="00E24B7D">
      <w:pPr>
        <w:pStyle w:val="ListParagraph"/>
        <w:spacing w:after="0" w:line="240" w:lineRule="auto"/>
        <w:ind w:right="14" w:firstLine="0"/>
        <w:rPr>
          <w:i/>
        </w:rPr>
      </w:pPr>
    </w:p>
    <w:p w14:paraId="6D02F29F" w14:textId="3DF7B3B9" w:rsidR="001F407D" w:rsidRPr="00E24B7D" w:rsidRDefault="00E24B7D" w:rsidP="00E24B7D">
      <w:pPr>
        <w:spacing w:after="0" w:line="240" w:lineRule="auto"/>
        <w:ind w:left="0" w:right="14" w:firstLine="0"/>
        <w:contextualSpacing/>
        <w:rPr>
          <w:i/>
          <w:sz w:val="20"/>
        </w:rPr>
      </w:pPr>
      <w:r w:rsidRPr="00E24B7D">
        <w:rPr>
          <w:i/>
          <w:sz w:val="20"/>
        </w:rPr>
        <w:t>*</w:t>
      </w:r>
      <w:r w:rsidR="002D7AE8" w:rsidRPr="00E24B7D">
        <w:rPr>
          <w:i/>
          <w:sz w:val="20"/>
        </w:rPr>
        <w:t xml:space="preserve">A draft </w:t>
      </w:r>
      <w:r w:rsidRPr="00E24B7D">
        <w:rPr>
          <w:i/>
          <w:sz w:val="20"/>
        </w:rPr>
        <w:t xml:space="preserve">waiver </w:t>
      </w:r>
      <w:r w:rsidR="002D7AE8" w:rsidRPr="00E24B7D">
        <w:rPr>
          <w:i/>
          <w:sz w:val="20"/>
        </w:rPr>
        <w:t>evaluation design is included with th</w:t>
      </w:r>
      <w:r w:rsidRPr="00E24B7D">
        <w:rPr>
          <w:i/>
          <w:sz w:val="20"/>
        </w:rPr>
        <w:t>is</w:t>
      </w:r>
      <w:r w:rsidR="002D7AE8" w:rsidRPr="00E24B7D">
        <w:rPr>
          <w:i/>
          <w:sz w:val="20"/>
        </w:rPr>
        <w:t xml:space="preserve"> request as </w:t>
      </w:r>
      <w:r w:rsidRPr="00E24B7D">
        <w:rPr>
          <w:i/>
          <w:sz w:val="20"/>
        </w:rPr>
        <w:t>“Attachment D”*</w:t>
      </w:r>
    </w:p>
    <w:p w14:paraId="4AFF2998" w14:textId="77777777" w:rsidR="00E24B7D" w:rsidRPr="00E24B7D" w:rsidRDefault="00E24B7D" w:rsidP="00E24B7D">
      <w:pPr>
        <w:spacing w:after="0" w:line="240" w:lineRule="auto"/>
        <w:ind w:left="0" w:right="14" w:firstLine="0"/>
        <w:rPr>
          <w:i/>
        </w:rPr>
      </w:pPr>
    </w:p>
    <w:p w14:paraId="242D5668" w14:textId="39F72A1E" w:rsidR="000C378A" w:rsidRDefault="000C378A" w:rsidP="000C378A">
      <w:pPr>
        <w:pStyle w:val="Heading1"/>
        <w:ind w:left="-5" w:right="13"/>
        <w:jc w:val="both"/>
      </w:pPr>
      <w:bookmarkStart w:id="9" w:name="_Toc40259515"/>
      <w:r>
        <w:t xml:space="preserve">Section </w:t>
      </w:r>
      <w:r w:rsidR="00127A96">
        <w:t>3</w:t>
      </w:r>
      <w:r>
        <w:t>: Demonstration Components and Operations</w:t>
      </w:r>
      <w:bookmarkEnd w:id="9"/>
    </w:p>
    <w:p w14:paraId="210BAC05" w14:textId="77777777" w:rsidR="006E51E2" w:rsidRDefault="000C378A" w:rsidP="001D639D">
      <w:pPr>
        <w:spacing w:after="0"/>
        <w:ind w:left="0" w:firstLine="0"/>
        <w:contextualSpacing/>
      </w:pPr>
      <w:r>
        <w:t xml:space="preserve">The ESRD </w:t>
      </w:r>
      <w:r w:rsidR="00AD767F">
        <w:t>§</w:t>
      </w:r>
      <w:r>
        <w:t>1115 extension will operate in alignment with the following parameters</w:t>
      </w:r>
      <w:r w:rsidR="00AD767F">
        <w:t>:</w:t>
      </w:r>
    </w:p>
    <w:p w14:paraId="1FFF5A41" w14:textId="77777777" w:rsidR="000C378A" w:rsidRPr="000C378A" w:rsidRDefault="000C378A" w:rsidP="001D639D">
      <w:pPr>
        <w:spacing w:after="0"/>
        <w:ind w:left="0" w:firstLine="0"/>
        <w:contextualSpacing/>
      </w:pPr>
    </w:p>
    <w:p w14:paraId="1AD76A90" w14:textId="5B4725D9" w:rsidR="00C86A25" w:rsidRDefault="00127A96">
      <w:pPr>
        <w:pStyle w:val="Heading2"/>
        <w:ind w:left="-5"/>
      </w:pPr>
      <w:bookmarkStart w:id="10" w:name="_Toc40259516"/>
      <w:r>
        <w:t>3</w:t>
      </w:r>
      <w:r w:rsidR="000C378A">
        <w:t xml:space="preserve">.1 </w:t>
      </w:r>
      <w:r w:rsidR="003E756E">
        <w:t>Demonstration Area</w:t>
      </w:r>
      <w:bookmarkEnd w:id="10"/>
      <w:r w:rsidR="003E756E">
        <w:t xml:space="preserve"> </w:t>
      </w:r>
    </w:p>
    <w:p w14:paraId="551FC9CA" w14:textId="55CCFBA1" w:rsidR="00C86A25" w:rsidRDefault="003E756E" w:rsidP="001D639D">
      <w:pPr>
        <w:spacing w:after="0"/>
        <w:ind w:left="0" w:right="14" w:hanging="14"/>
        <w:contextualSpacing/>
      </w:pPr>
      <w:r>
        <w:t>This demonstration will</w:t>
      </w:r>
      <w:r w:rsidR="00260818">
        <w:t xml:space="preserve"> continue</w:t>
      </w:r>
      <w:r>
        <w:t xml:space="preserve"> apply to eligible individuals across the state</w:t>
      </w:r>
      <w:r w:rsidR="006E51E2">
        <w:t>.</w:t>
      </w:r>
    </w:p>
    <w:p w14:paraId="4EAA4B3F" w14:textId="77777777" w:rsidR="006E51E2" w:rsidRDefault="006E51E2" w:rsidP="001D639D">
      <w:pPr>
        <w:spacing w:after="0"/>
        <w:ind w:left="0" w:right="14" w:hanging="14"/>
        <w:contextualSpacing/>
      </w:pPr>
    </w:p>
    <w:p w14:paraId="3F8D1C0E" w14:textId="07630690" w:rsidR="00C86A25" w:rsidRDefault="00127A96">
      <w:pPr>
        <w:pStyle w:val="Heading2"/>
        <w:ind w:left="-5"/>
      </w:pPr>
      <w:bookmarkStart w:id="11" w:name="_Toc40259517"/>
      <w:r>
        <w:t>3</w:t>
      </w:r>
      <w:r w:rsidR="003E756E">
        <w:t>.</w:t>
      </w:r>
      <w:r w:rsidR="000C378A">
        <w:t xml:space="preserve">2 </w:t>
      </w:r>
      <w:r w:rsidR="003E756E">
        <w:t>Demonstration Timeframe</w:t>
      </w:r>
      <w:bookmarkEnd w:id="11"/>
      <w:r w:rsidR="003E756E">
        <w:t xml:space="preserve"> </w:t>
      </w:r>
    </w:p>
    <w:p w14:paraId="237A1E7A" w14:textId="24E22893" w:rsidR="00C86A25" w:rsidRDefault="003E756E" w:rsidP="001D639D">
      <w:pPr>
        <w:spacing w:after="0"/>
        <w:ind w:left="0" w:right="14" w:hanging="14"/>
        <w:contextualSpacing/>
        <w:rPr>
          <w:i/>
        </w:rPr>
      </w:pPr>
      <w:r>
        <w:t xml:space="preserve">The </w:t>
      </w:r>
      <w:r w:rsidR="00260818">
        <w:t>new</w:t>
      </w:r>
      <w:r>
        <w:t xml:space="preserve"> demonstration renewal period</w:t>
      </w:r>
      <w:r w:rsidR="00260818">
        <w:t xml:space="preserve"> that the State seeks through this application is January 1, 2021 through December 31, </w:t>
      </w:r>
      <w:r w:rsidR="00FD03B6">
        <w:t>2025</w:t>
      </w:r>
      <w:r w:rsidR="00260818">
        <w:t>.</w:t>
      </w:r>
      <w:r>
        <w:rPr>
          <w:i/>
        </w:rPr>
        <w:t xml:space="preserve"> </w:t>
      </w:r>
    </w:p>
    <w:p w14:paraId="732AA1AB" w14:textId="77777777" w:rsidR="006E51E2" w:rsidRDefault="006E51E2" w:rsidP="001D639D">
      <w:pPr>
        <w:spacing w:after="0"/>
        <w:ind w:left="0" w:right="14" w:hanging="14"/>
        <w:contextualSpacing/>
      </w:pPr>
    </w:p>
    <w:p w14:paraId="1EEFFC8C" w14:textId="040AE3A0" w:rsidR="00C86A25" w:rsidRDefault="00127A96" w:rsidP="00260818">
      <w:pPr>
        <w:pStyle w:val="Heading2"/>
        <w:spacing w:after="0" w:line="240" w:lineRule="auto"/>
        <w:ind w:left="0" w:firstLine="0"/>
      </w:pPr>
      <w:bookmarkStart w:id="12" w:name="_Toc40259518"/>
      <w:r>
        <w:lastRenderedPageBreak/>
        <w:t>3</w:t>
      </w:r>
      <w:r w:rsidR="003E756E">
        <w:t>.</w:t>
      </w:r>
      <w:r w:rsidR="000C378A">
        <w:t xml:space="preserve">3 </w:t>
      </w:r>
      <w:r w:rsidR="003E756E">
        <w:t>Demonstration Impact to Medicaid and CHIP</w:t>
      </w:r>
      <w:bookmarkEnd w:id="12"/>
      <w:r w:rsidR="003E756E">
        <w:t xml:space="preserve"> </w:t>
      </w:r>
    </w:p>
    <w:p w14:paraId="13CFDF62" w14:textId="2850B6F0" w:rsidR="00C66E36" w:rsidRPr="00C66E36" w:rsidRDefault="003E756E" w:rsidP="001D639D">
      <w:pPr>
        <w:spacing w:after="0"/>
        <w:ind w:left="0" w:right="13" w:firstLine="0"/>
        <w:contextualSpacing/>
      </w:pPr>
      <w:r>
        <w:t xml:space="preserve">This demonstration will not impact or modify components of Indiana’s Medicaid or CHIP programs outside of eligibility or </w:t>
      </w:r>
      <w:r w:rsidR="00AD767F">
        <w:t>cost-</w:t>
      </w:r>
      <w:r>
        <w:t xml:space="preserve">sharing for individuals eligible under the waiver.  </w:t>
      </w:r>
    </w:p>
    <w:p w14:paraId="5F04735D" w14:textId="77777777" w:rsidR="00C66E36" w:rsidRDefault="00C66E36" w:rsidP="001D639D">
      <w:pPr>
        <w:pStyle w:val="Heading2"/>
        <w:spacing w:after="0" w:line="269" w:lineRule="auto"/>
        <w:ind w:left="0" w:firstLine="0"/>
        <w:contextualSpacing/>
      </w:pPr>
    </w:p>
    <w:p w14:paraId="26C7D58B" w14:textId="4EF1EDD9" w:rsidR="00C86A25" w:rsidRDefault="00127A96" w:rsidP="001D639D">
      <w:pPr>
        <w:pStyle w:val="Heading2"/>
        <w:spacing w:after="0" w:line="269" w:lineRule="auto"/>
        <w:ind w:left="0" w:firstLine="0"/>
        <w:contextualSpacing/>
      </w:pPr>
      <w:bookmarkStart w:id="13" w:name="_Toc40259519"/>
      <w:r>
        <w:t>3</w:t>
      </w:r>
      <w:r w:rsidR="003E756E">
        <w:t>.</w:t>
      </w:r>
      <w:r w:rsidR="000C378A">
        <w:t xml:space="preserve">4 </w:t>
      </w:r>
      <w:r w:rsidR="003E756E">
        <w:t>Projected Eligibility and Enrollment</w:t>
      </w:r>
      <w:bookmarkEnd w:id="13"/>
      <w:r w:rsidR="003E756E">
        <w:t xml:space="preserve">  </w:t>
      </w:r>
    </w:p>
    <w:p w14:paraId="5B57FD5A" w14:textId="5CEB459F" w:rsidR="00C86A25" w:rsidRDefault="003E756E" w:rsidP="001D639D">
      <w:pPr>
        <w:spacing w:after="0"/>
        <w:ind w:left="0" w:right="14" w:hanging="14"/>
        <w:contextualSpacing/>
      </w:pPr>
      <w:r>
        <w:t xml:space="preserve">The ESRD </w:t>
      </w:r>
      <w:r w:rsidR="00AD767F">
        <w:t>§</w:t>
      </w:r>
      <w:r>
        <w:t xml:space="preserve">1115 is projected to cover approximately </w:t>
      </w:r>
      <w:r w:rsidR="00F973FA">
        <w:t>300</w:t>
      </w:r>
      <w:r w:rsidR="00CD3DF1">
        <w:t xml:space="preserve"> </w:t>
      </w:r>
      <w:r>
        <w:t xml:space="preserve">individuals </w:t>
      </w:r>
      <w:r w:rsidR="00EC3304">
        <w:t xml:space="preserve">on a monthly basis </w:t>
      </w:r>
      <w:r w:rsidR="002F6D54">
        <w:t>over the course the five-year waiver period</w:t>
      </w:r>
      <w:r>
        <w:t xml:space="preserve">.  </w:t>
      </w:r>
      <w:r w:rsidR="00246495">
        <w:t>There are no enrollment limits for this demonstration.</w:t>
      </w:r>
    </w:p>
    <w:p w14:paraId="2F1509C5" w14:textId="77777777" w:rsidR="006E51E2" w:rsidRDefault="006E51E2" w:rsidP="001D639D">
      <w:pPr>
        <w:spacing w:after="0"/>
        <w:ind w:left="0" w:right="14" w:hanging="14"/>
        <w:contextualSpacing/>
      </w:pPr>
    </w:p>
    <w:p w14:paraId="0BA7B670" w14:textId="500CAC43" w:rsidR="00F07F59" w:rsidRDefault="00127A96" w:rsidP="00F07F59">
      <w:pPr>
        <w:pStyle w:val="Heading2"/>
        <w:ind w:left="-5"/>
      </w:pPr>
      <w:bookmarkStart w:id="14" w:name="_Toc40259520"/>
      <w:r>
        <w:t>3</w:t>
      </w:r>
      <w:r w:rsidR="00F07F59">
        <w:t>.</w:t>
      </w:r>
      <w:r w:rsidR="000C378A">
        <w:t xml:space="preserve">5 </w:t>
      </w:r>
      <w:r w:rsidR="00F07F59">
        <w:t xml:space="preserve">Cost-sharing </w:t>
      </w:r>
      <w:r w:rsidR="00EC3304">
        <w:t>and Benefits</w:t>
      </w:r>
      <w:bookmarkEnd w:id="14"/>
    </w:p>
    <w:p w14:paraId="6264F314" w14:textId="272610AC" w:rsidR="00F07F59" w:rsidRDefault="00F07F59" w:rsidP="00F07F59">
      <w:pPr>
        <w:spacing w:after="203"/>
        <w:ind w:left="-15" w:right="13" w:firstLine="0"/>
      </w:pPr>
      <w:r>
        <w:t xml:space="preserve">This demonstration does not propose any changes to cost-sharing. Individuals eligible under this demonstration will continue to be eligible for </w:t>
      </w:r>
      <w:r w:rsidR="00EE2942">
        <w:t xml:space="preserve">Medicaid </w:t>
      </w:r>
      <w:r w:rsidR="00AD767F">
        <w:t xml:space="preserve">state plan </w:t>
      </w:r>
      <w:r>
        <w:t xml:space="preserve">benefits after they meet their ESRD liability, a </w:t>
      </w:r>
      <w:r w:rsidR="00AD767F">
        <w:t>cost-</w:t>
      </w:r>
      <w:r>
        <w:t xml:space="preserve">sharing methodology described in Section 2.9. </w:t>
      </w:r>
    </w:p>
    <w:p w14:paraId="55CE2EB7" w14:textId="7A5A5B6A" w:rsidR="00F07F59" w:rsidRDefault="004E5E58" w:rsidP="004E5E58">
      <w:pPr>
        <w:pStyle w:val="Heading4"/>
        <w:spacing w:after="0" w:line="259" w:lineRule="auto"/>
        <w:ind w:right="4"/>
      </w:pPr>
      <w:r>
        <w:t xml:space="preserve">Table </w:t>
      </w:r>
      <w:r w:rsidR="00EC3304">
        <w:t xml:space="preserve">4: </w:t>
      </w:r>
      <w:r>
        <w:t>ESRD Benefit Package Summary.</w:t>
      </w:r>
    </w:p>
    <w:tbl>
      <w:tblPr>
        <w:tblStyle w:val="GridTable4-Accent1"/>
        <w:tblW w:w="9355" w:type="dxa"/>
        <w:tblLook w:val="04A0" w:firstRow="1" w:lastRow="0" w:firstColumn="1" w:lastColumn="0" w:noHBand="0" w:noVBand="1"/>
      </w:tblPr>
      <w:tblGrid>
        <w:gridCol w:w="4945"/>
        <w:gridCol w:w="4410"/>
      </w:tblGrid>
      <w:tr w:rsidR="00F07F59" w14:paraId="49AB0BAB" w14:textId="77777777" w:rsidTr="001D639D">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4945" w:type="dxa"/>
            <w:tcBorders>
              <w:top w:val="none" w:sz="0" w:space="0" w:color="auto"/>
              <w:left w:val="none" w:sz="0" w:space="0" w:color="auto"/>
              <w:bottom w:val="none" w:sz="0" w:space="0" w:color="auto"/>
              <w:right w:val="none" w:sz="0" w:space="0" w:color="auto"/>
            </w:tcBorders>
            <w:vAlign w:val="center"/>
          </w:tcPr>
          <w:p w14:paraId="61E30443" w14:textId="66B1EC84" w:rsidR="00F07F59" w:rsidRPr="00021FAB" w:rsidRDefault="00F07F59" w:rsidP="00360C44">
            <w:pPr>
              <w:spacing w:after="0" w:line="259" w:lineRule="auto"/>
              <w:ind w:left="0" w:right="243" w:firstLine="0"/>
              <w:jc w:val="center"/>
              <w:rPr>
                <w:color w:val="FFFFFF" w:themeColor="background1"/>
              </w:rPr>
            </w:pPr>
            <w:r w:rsidRPr="00021FAB">
              <w:rPr>
                <w:color w:val="FFFFFF" w:themeColor="background1"/>
              </w:rPr>
              <w:t>Eligibility Group</w:t>
            </w:r>
          </w:p>
        </w:tc>
        <w:tc>
          <w:tcPr>
            <w:tcW w:w="4410" w:type="dxa"/>
            <w:tcBorders>
              <w:top w:val="none" w:sz="0" w:space="0" w:color="auto"/>
              <w:left w:val="none" w:sz="0" w:space="0" w:color="auto"/>
              <w:bottom w:val="none" w:sz="0" w:space="0" w:color="auto"/>
              <w:right w:val="none" w:sz="0" w:space="0" w:color="auto"/>
            </w:tcBorders>
            <w:vAlign w:val="center"/>
          </w:tcPr>
          <w:p w14:paraId="5D2759C0" w14:textId="52CB7D90" w:rsidR="00F07F59" w:rsidRPr="00021FAB" w:rsidRDefault="00F07F59" w:rsidP="00360C44">
            <w:pPr>
              <w:spacing w:after="0" w:line="259" w:lineRule="auto"/>
              <w:ind w:left="0" w:right="151" w:firstLine="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021FAB">
              <w:rPr>
                <w:color w:val="FFFFFF" w:themeColor="background1"/>
              </w:rPr>
              <w:t>Benefit Package</w:t>
            </w:r>
          </w:p>
        </w:tc>
      </w:tr>
      <w:tr w:rsidR="00F07F59" w14:paraId="79DF7900" w14:textId="77777777" w:rsidTr="001D639D">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945" w:type="dxa"/>
            <w:shd w:val="clear" w:color="auto" w:fill="FFFFFF" w:themeFill="background1"/>
            <w:vAlign w:val="center"/>
          </w:tcPr>
          <w:p w14:paraId="41EB6EB2" w14:textId="77777777" w:rsidR="00F07F59" w:rsidRPr="00021FAB" w:rsidRDefault="00F07F59" w:rsidP="00360C44">
            <w:pPr>
              <w:spacing w:after="0" w:line="259" w:lineRule="auto"/>
              <w:ind w:left="0" w:firstLine="0"/>
              <w:jc w:val="center"/>
            </w:pPr>
            <w:r w:rsidRPr="00021FAB">
              <w:t>Former Spend-Down Enrollees</w:t>
            </w:r>
          </w:p>
        </w:tc>
        <w:tc>
          <w:tcPr>
            <w:tcW w:w="4410" w:type="dxa"/>
            <w:vMerge w:val="restart"/>
            <w:shd w:val="clear" w:color="auto" w:fill="FFFFFF" w:themeFill="background1"/>
            <w:vAlign w:val="center"/>
          </w:tcPr>
          <w:p w14:paraId="000278C3" w14:textId="77777777" w:rsidR="00F07F59" w:rsidRPr="00021FAB" w:rsidRDefault="00F07F59" w:rsidP="006624BB">
            <w:pPr>
              <w:spacing w:after="0" w:line="259" w:lineRule="auto"/>
              <w:ind w:left="3" w:firstLine="0"/>
              <w:jc w:val="center"/>
              <w:cnfStyle w:val="000000100000" w:firstRow="0" w:lastRow="0" w:firstColumn="0" w:lastColumn="0" w:oddVBand="0" w:evenVBand="0" w:oddHBand="1" w:evenHBand="0" w:firstRowFirstColumn="0" w:firstRowLastColumn="0" w:lastRowFirstColumn="0" w:lastRowLastColumn="0"/>
            </w:pPr>
            <w:r w:rsidRPr="00021FAB">
              <w:t xml:space="preserve">Full State Plan – Package A </w:t>
            </w:r>
          </w:p>
        </w:tc>
      </w:tr>
      <w:tr w:rsidR="00F07F59" w14:paraId="41BD92A4" w14:textId="77777777" w:rsidTr="001D639D">
        <w:trPr>
          <w:trHeight w:val="354"/>
        </w:trPr>
        <w:tc>
          <w:tcPr>
            <w:cnfStyle w:val="001000000000" w:firstRow="0" w:lastRow="0" w:firstColumn="1" w:lastColumn="0" w:oddVBand="0" w:evenVBand="0" w:oddHBand="0" w:evenHBand="0" w:firstRowFirstColumn="0" w:firstRowLastColumn="0" w:lastRowFirstColumn="0" w:lastRowLastColumn="0"/>
            <w:tcW w:w="4945" w:type="dxa"/>
            <w:shd w:val="clear" w:color="auto" w:fill="FFFFFF" w:themeFill="background1"/>
            <w:vAlign w:val="center"/>
          </w:tcPr>
          <w:p w14:paraId="0D31DCA1" w14:textId="77777777" w:rsidR="00F07F59" w:rsidRPr="00021FAB" w:rsidRDefault="00F07F59" w:rsidP="00360C44">
            <w:pPr>
              <w:spacing w:after="0" w:line="259" w:lineRule="auto"/>
              <w:ind w:left="0" w:right="1" w:firstLine="0"/>
              <w:jc w:val="center"/>
            </w:pPr>
            <w:r w:rsidRPr="00021FAB">
              <w:t>New Enrollees</w:t>
            </w:r>
          </w:p>
        </w:tc>
        <w:tc>
          <w:tcPr>
            <w:tcW w:w="4410" w:type="dxa"/>
            <w:vMerge/>
            <w:shd w:val="clear" w:color="auto" w:fill="FFFFFF" w:themeFill="background1"/>
          </w:tcPr>
          <w:p w14:paraId="4CE9D5D8" w14:textId="77777777" w:rsidR="00F07F59" w:rsidRDefault="00F07F59" w:rsidP="006624BB">
            <w:pPr>
              <w:spacing w:after="160" w:line="259" w:lineRule="auto"/>
              <w:ind w:left="0" w:firstLine="0"/>
              <w:jc w:val="left"/>
              <w:cnfStyle w:val="000000000000" w:firstRow="0" w:lastRow="0" w:firstColumn="0" w:lastColumn="0" w:oddVBand="0" w:evenVBand="0" w:oddHBand="0" w:evenHBand="0" w:firstRowFirstColumn="0" w:firstRowLastColumn="0" w:lastRowFirstColumn="0" w:lastRowLastColumn="0"/>
            </w:pPr>
          </w:p>
        </w:tc>
      </w:tr>
    </w:tbl>
    <w:p w14:paraId="20AF68E2" w14:textId="77777777" w:rsidR="00F07F59" w:rsidRDefault="00F07F59" w:rsidP="00F07F59">
      <w:pPr>
        <w:spacing w:after="0" w:line="259" w:lineRule="auto"/>
        <w:ind w:left="0" w:firstLine="0"/>
        <w:jc w:val="left"/>
      </w:pPr>
      <w:r>
        <w:rPr>
          <w:i/>
          <w:color w:val="17365D"/>
        </w:rPr>
        <w:t xml:space="preserve"> </w:t>
      </w:r>
    </w:p>
    <w:p w14:paraId="293C1019" w14:textId="7F5A2CD3" w:rsidR="00F07F59" w:rsidRDefault="00F07F59" w:rsidP="001D639D">
      <w:pPr>
        <w:spacing w:after="0"/>
        <w:ind w:left="0" w:right="14" w:hanging="14"/>
        <w:contextualSpacing/>
      </w:pPr>
      <w:r>
        <w:t xml:space="preserve">ESRD </w:t>
      </w:r>
      <w:r w:rsidR="00AD767F">
        <w:t>§</w:t>
      </w:r>
      <w:r>
        <w:t xml:space="preserve">1115 enrollees will be eligible for all medically necessary Medicaid covered services after meeting </w:t>
      </w:r>
      <w:r w:rsidR="00A45B18">
        <w:t xml:space="preserve">an </w:t>
      </w:r>
      <w:r>
        <w:t xml:space="preserve">ESRD liability. The liability will be calculated using </w:t>
      </w:r>
      <w:r w:rsidR="00AD767F">
        <w:t>spend-</w:t>
      </w:r>
      <w:r>
        <w:t xml:space="preserve">down methodology based on incurred medical costs.  Individuals who incur medical expenses that bring their income </w:t>
      </w:r>
      <w:r w:rsidR="00A45B18">
        <w:t xml:space="preserve">down </w:t>
      </w:r>
      <w:r>
        <w:t xml:space="preserve">to the Supplemental Security Income (SSI) federal benefit rate (FBR) will </w:t>
      </w:r>
      <w:r w:rsidR="00F1605C">
        <w:t>not incur any additional</w:t>
      </w:r>
      <w:r>
        <w:t xml:space="preserve"> costs subject to the ESRD liability, but will have </w:t>
      </w:r>
      <w:r w:rsidR="00EE2942">
        <w:t xml:space="preserve">Medicaid State Plan </w:t>
      </w:r>
      <w:r w:rsidR="00F1605C">
        <w:t>cost-</w:t>
      </w:r>
      <w:r>
        <w:t xml:space="preserve">sharing as described </w:t>
      </w:r>
      <w:r w:rsidR="00EE2942">
        <w:t>in Section 3.8</w:t>
      </w:r>
      <w:r>
        <w:t xml:space="preserve">.  </w:t>
      </w:r>
    </w:p>
    <w:p w14:paraId="17A52E13" w14:textId="77777777" w:rsidR="006E51E2" w:rsidRDefault="006E51E2" w:rsidP="001D639D">
      <w:pPr>
        <w:spacing w:after="0"/>
        <w:ind w:left="0" w:right="14" w:hanging="14"/>
        <w:contextualSpacing/>
      </w:pPr>
    </w:p>
    <w:p w14:paraId="0042615C" w14:textId="073FF3CB" w:rsidR="00F07F59" w:rsidRDefault="00127A96" w:rsidP="00F07F59">
      <w:pPr>
        <w:pStyle w:val="Heading2"/>
        <w:spacing w:after="5" w:line="269" w:lineRule="auto"/>
        <w:ind w:left="-5"/>
      </w:pPr>
      <w:bookmarkStart w:id="15" w:name="_Toc40259521"/>
      <w:r>
        <w:rPr>
          <w:color w:val="17365D"/>
        </w:rPr>
        <w:t>3</w:t>
      </w:r>
      <w:r w:rsidR="00F07F59">
        <w:rPr>
          <w:color w:val="17365D"/>
        </w:rPr>
        <w:t>.7 Premiums</w:t>
      </w:r>
      <w:bookmarkEnd w:id="15"/>
      <w:r w:rsidR="00F07F59">
        <w:rPr>
          <w:color w:val="17365D"/>
        </w:rPr>
        <w:t xml:space="preserve"> </w:t>
      </w:r>
    </w:p>
    <w:p w14:paraId="21FD8FA6" w14:textId="77777777" w:rsidR="006E51E2" w:rsidRDefault="00F07F59" w:rsidP="001D639D">
      <w:pPr>
        <w:spacing w:after="0"/>
        <w:ind w:left="0" w:right="14" w:hanging="14"/>
        <w:contextualSpacing/>
      </w:pPr>
      <w:r>
        <w:t>This demonstration does not impose premiums on enrollees.</w:t>
      </w:r>
    </w:p>
    <w:p w14:paraId="0D9DA479" w14:textId="177CA488" w:rsidR="00F07F59" w:rsidRDefault="00F07F59" w:rsidP="001D639D">
      <w:pPr>
        <w:spacing w:after="0"/>
        <w:ind w:left="0" w:right="14" w:hanging="14"/>
        <w:contextualSpacing/>
      </w:pPr>
      <w:r>
        <w:t xml:space="preserve">  </w:t>
      </w:r>
    </w:p>
    <w:p w14:paraId="73BB6336" w14:textId="3B78689F" w:rsidR="00F07F59" w:rsidRDefault="00127A96" w:rsidP="00F07F59">
      <w:pPr>
        <w:pStyle w:val="Heading2"/>
        <w:spacing w:after="5" w:line="269" w:lineRule="auto"/>
        <w:ind w:left="-5"/>
      </w:pPr>
      <w:bookmarkStart w:id="16" w:name="_Toc40259522"/>
      <w:r>
        <w:rPr>
          <w:color w:val="17365D"/>
        </w:rPr>
        <w:t>3</w:t>
      </w:r>
      <w:r w:rsidR="00F07F59">
        <w:rPr>
          <w:color w:val="17365D"/>
        </w:rPr>
        <w:t>.8 Copayments, Coinsurance and Deductibles</w:t>
      </w:r>
      <w:bookmarkEnd w:id="16"/>
      <w:r w:rsidR="00F07F59">
        <w:rPr>
          <w:rFonts w:ascii="Cambria" w:eastAsia="Cambria" w:hAnsi="Cambria" w:cs="Cambria"/>
          <w:color w:val="4F81BD"/>
          <w:sz w:val="26"/>
        </w:rPr>
        <w:t xml:space="preserve"> </w:t>
      </w:r>
    </w:p>
    <w:p w14:paraId="5ED88BD8" w14:textId="5389B452" w:rsidR="00C66E36" w:rsidRDefault="00F07F59" w:rsidP="00F07F59">
      <w:pPr>
        <w:ind w:left="-5" w:right="13"/>
      </w:pPr>
      <w:r>
        <w:t xml:space="preserve">As illustrated by </w:t>
      </w:r>
      <w:r w:rsidRPr="00336866">
        <w:t xml:space="preserve">Table </w:t>
      </w:r>
      <w:r w:rsidR="00116C37">
        <w:t>5</w:t>
      </w:r>
      <w:r w:rsidRPr="00336866">
        <w:t>,</w:t>
      </w:r>
      <w:r>
        <w:t xml:space="preserve"> copayments within the ERSD demonstration will be the same as the copayment amounts </w:t>
      </w:r>
      <w:r w:rsidR="00F1605C">
        <w:t xml:space="preserve">in </w:t>
      </w:r>
      <w:r>
        <w:t xml:space="preserve">the </w:t>
      </w:r>
      <w:r w:rsidR="00F1605C">
        <w:t>state plan</w:t>
      </w:r>
      <w:r>
        <w:t>.</w:t>
      </w:r>
    </w:p>
    <w:p w14:paraId="26F52253" w14:textId="77777777" w:rsidR="00F07F59" w:rsidRDefault="00F07F59" w:rsidP="00C66E36">
      <w:pPr>
        <w:ind w:left="-5" w:right="13"/>
      </w:pPr>
    </w:p>
    <w:p w14:paraId="25328A85" w14:textId="65E8C933" w:rsidR="00F07F59" w:rsidRPr="00336866" w:rsidRDefault="00F07F59" w:rsidP="00F07F59">
      <w:pPr>
        <w:ind w:left="-5" w:right="13"/>
        <w:rPr>
          <w:b/>
          <w:bCs/>
        </w:rPr>
      </w:pPr>
      <w:r w:rsidRPr="00336866">
        <w:rPr>
          <w:b/>
          <w:bCs/>
        </w:rPr>
        <w:t xml:space="preserve">Table </w:t>
      </w:r>
      <w:r w:rsidR="00EC3304">
        <w:rPr>
          <w:b/>
          <w:bCs/>
        </w:rPr>
        <w:t>5:</w:t>
      </w:r>
      <w:r w:rsidRPr="00336866">
        <w:rPr>
          <w:b/>
          <w:bCs/>
        </w:rPr>
        <w:t xml:space="preserve"> </w:t>
      </w:r>
      <w:r w:rsidR="00336866" w:rsidRPr="00336866">
        <w:rPr>
          <w:b/>
          <w:bCs/>
        </w:rPr>
        <w:t xml:space="preserve">ESRD </w:t>
      </w:r>
      <w:r w:rsidRPr="00336866">
        <w:rPr>
          <w:b/>
          <w:bCs/>
        </w:rPr>
        <w:t xml:space="preserve">Copayment Amounts. </w:t>
      </w:r>
    </w:p>
    <w:tbl>
      <w:tblPr>
        <w:tblStyle w:val="GridTable4-Accent1"/>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2160"/>
        <w:gridCol w:w="4225"/>
      </w:tblGrid>
      <w:tr w:rsidR="00F07F59" w14:paraId="51485A9F" w14:textId="77777777" w:rsidTr="001D639D">
        <w:trPr>
          <w:cnfStyle w:val="100000000000" w:firstRow="1" w:lastRow="0" w:firstColumn="0" w:lastColumn="0" w:oddVBand="0" w:evenVBand="0" w:oddHBand="0"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296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EF8C4EB" w14:textId="77777777" w:rsidR="00F07F59" w:rsidRPr="00D54D11" w:rsidRDefault="00F07F59" w:rsidP="006624BB">
            <w:pPr>
              <w:spacing w:after="0" w:line="240" w:lineRule="auto"/>
              <w:ind w:left="0" w:firstLine="0"/>
              <w:jc w:val="left"/>
              <w:rPr>
                <w:bCs w:val="0"/>
                <w:color w:val="FFFFFF" w:themeColor="background1"/>
              </w:rPr>
            </w:pPr>
            <w:r w:rsidRPr="00D54D11">
              <w:rPr>
                <w:bCs w:val="0"/>
                <w:color w:val="FFFFFF" w:themeColor="background1"/>
              </w:rPr>
              <w:t xml:space="preserve">Service </w:t>
            </w:r>
          </w:p>
        </w:tc>
        <w:tc>
          <w:tcPr>
            <w:tcW w:w="6385"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8A7327A" w14:textId="77777777" w:rsidR="00F07F59" w:rsidRPr="00D54D11" w:rsidRDefault="00F07F59" w:rsidP="006624BB">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bCs w:val="0"/>
                <w:color w:val="FFFFFF" w:themeColor="background1"/>
              </w:rPr>
            </w:pPr>
            <w:r w:rsidRPr="00D54D11">
              <w:rPr>
                <w:bCs w:val="0"/>
                <w:color w:val="FFFFFF" w:themeColor="background1"/>
              </w:rPr>
              <w:t xml:space="preserve">Copayment Amount </w:t>
            </w:r>
          </w:p>
        </w:tc>
      </w:tr>
      <w:tr w:rsidR="00F07F59" w14:paraId="772F03E7" w14:textId="77777777" w:rsidTr="001D639D">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965" w:type="dxa"/>
            <w:vMerge w:val="restar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FC9599B" w14:textId="77777777" w:rsidR="00F07F59" w:rsidRDefault="00F07F59" w:rsidP="006624BB">
            <w:pPr>
              <w:spacing w:after="0" w:line="240" w:lineRule="auto"/>
              <w:ind w:left="0" w:firstLine="0"/>
              <w:jc w:val="left"/>
            </w:pPr>
            <w:r>
              <w:t xml:space="preserve">Transportation </w:t>
            </w:r>
          </w:p>
        </w:tc>
        <w:tc>
          <w:tcPr>
            <w:tcW w:w="216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4A7F72F7" w14:textId="77777777" w:rsidR="00F07F59" w:rsidRDefault="00F07F59" w:rsidP="00360C44">
            <w:pPr>
              <w:spacing w:after="0" w:line="240" w:lineRule="auto"/>
              <w:ind w:left="1" w:firstLine="0"/>
              <w:jc w:val="left"/>
              <w:cnfStyle w:val="000000100000" w:firstRow="0" w:lastRow="0" w:firstColumn="0" w:lastColumn="0" w:oddVBand="0" w:evenVBand="0" w:oddHBand="1" w:evenHBand="0" w:firstRowFirstColumn="0" w:firstRowLastColumn="0" w:lastRowFirstColumn="0" w:lastRowLastColumn="0"/>
            </w:pPr>
            <w:r>
              <w:t xml:space="preserve">$0.50 each one-way </w:t>
            </w:r>
          </w:p>
          <w:p w14:paraId="166A378A" w14:textId="77777777" w:rsidR="00F07F59" w:rsidRDefault="00F07F59" w:rsidP="00360C44">
            <w:pPr>
              <w:spacing w:after="0" w:line="240" w:lineRule="auto"/>
              <w:ind w:left="1" w:firstLine="0"/>
              <w:jc w:val="left"/>
              <w:cnfStyle w:val="000000100000" w:firstRow="0" w:lastRow="0" w:firstColumn="0" w:lastColumn="0" w:oddVBand="0" w:evenVBand="0" w:oddHBand="1" w:evenHBand="0" w:firstRowFirstColumn="0" w:firstRowLastColumn="0" w:lastRowFirstColumn="0" w:lastRowLastColumn="0"/>
            </w:pPr>
            <w:r>
              <w:t xml:space="preserve">trip </w:t>
            </w:r>
          </w:p>
        </w:tc>
        <w:tc>
          <w:tcPr>
            <w:tcW w:w="42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03E15964" w14:textId="77777777" w:rsidR="00F07F59" w:rsidRDefault="00F07F59" w:rsidP="00360C44">
            <w:pPr>
              <w:spacing w:after="0" w:line="240" w:lineRule="auto"/>
              <w:ind w:left="1" w:firstLine="0"/>
              <w:jc w:val="left"/>
              <w:cnfStyle w:val="000000100000" w:firstRow="0" w:lastRow="0" w:firstColumn="0" w:lastColumn="0" w:oddVBand="0" w:evenVBand="0" w:oddHBand="1" w:evenHBand="0" w:firstRowFirstColumn="0" w:firstRowLastColumn="0" w:lastRowFirstColumn="0" w:lastRowLastColumn="0"/>
            </w:pPr>
            <w:r>
              <w:t xml:space="preserve">Transportation services that pay $10 or less </w:t>
            </w:r>
          </w:p>
        </w:tc>
      </w:tr>
      <w:tr w:rsidR="00F07F59" w14:paraId="3668D83B" w14:textId="77777777" w:rsidTr="001D639D">
        <w:trPr>
          <w:trHeight w:val="547"/>
        </w:trPr>
        <w:tc>
          <w:tcPr>
            <w:cnfStyle w:val="001000000000" w:firstRow="0" w:lastRow="0" w:firstColumn="1" w:lastColumn="0" w:oddVBand="0" w:evenVBand="0" w:oddHBand="0" w:evenHBand="0" w:firstRowFirstColumn="0" w:firstRowLastColumn="0" w:lastRowFirstColumn="0" w:lastRowLastColumn="0"/>
            <w:tcW w:w="2965" w:type="dxa"/>
            <w:vMerge/>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1B5A60F" w14:textId="77777777" w:rsidR="00F07F59" w:rsidRDefault="00F07F59" w:rsidP="006624BB">
            <w:pPr>
              <w:spacing w:after="0" w:line="240" w:lineRule="auto"/>
              <w:ind w:left="0" w:firstLine="0"/>
              <w:jc w:val="left"/>
            </w:pPr>
          </w:p>
        </w:tc>
        <w:tc>
          <w:tcPr>
            <w:tcW w:w="216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10B07215" w14:textId="77777777" w:rsidR="00F07F59" w:rsidRDefault="00F07F59" w:rsidP="00360C44">
            <w:pPr>
              <w:spacing w:after="0" w:line="240" w:lineRule="auto"/>
              <w:ind w:left="1" w:firstLine="0"/>
              <w:jc w:val="left"/>
              <w:cnfStyle w:val="000000000000" w:firstRow="0" w:lastRow="0" w:firstColumn="0" w:lastColumn="0" w:oddVBand="0" w:evenVBand="0" w:oddHBand="0" w:evenHBand="0" w:firstRowFirstColumn="0" w:firstRowLastColumn="0" w:lastRowFirstColumn="0" w:lastRowLastColumn="0"/>
            </w:pPr>
            <w:r>
              <w:t xml:space="preserve">$1 each one-way trip </w:t>
            </w:r>
          </w:p>
        </w:tc>
        <w:tc>
          <w:tcPr>
            <w:tcW w:w="42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5C1540EE" w14:textId="77777777" w:rsidR="00F07F59" w:rsidRDefault="00F07F59" w:rsidP="00360C44">
            <w:pPr>
              <w:spacing w:after="0" w:line="240" w:lineRule="auto"/>
              <w:ind w:left="1" w:firstLine="0"/>
              <w:jc w:val="left"/>
              <w:cnfStyle w:val="000000000000" w:firstRow="0" w:lastRow="0" w:firstColumn="0" w:lastColumn="0" w:oddVBand="0" w:evenVBand="0" w:oddHBand="0" w:evenHBand="0" w:firstRowFirstColumn="0" w:firstRowLastColumn="0" w:lastRowFirstColumn="0" w:lastRowLastColumn="0"/>
            </w:pPr>
            <w:r>
              <w:t xml:space="preserve">Transportation services that pay $10.01 to $50 </w:t>
            </w:r>
          </w:p>
        </w:tc>
      </w:tr>
      <w:tr w:rsidR="00F07F59" w14:paraId="7E1A34A8" w14:textId="77777777" w:rsidTr="001D639D">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965" w:type="dxa"/>
            <w:vMerge/>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F3C2D3E" w14:textId="77777777" w:rsidR="00F07F59" w:rsidRDefault="00F07F59" w:rsidP="006624BB">
            <w:pPr>
              <w:spacing w:after="0" w:line="240" w:lineRule="auto"/>
              <w:ind w:left="0" w:firstLine="0"/>
              <w:jc w:val="left"/>
            </w:pPr>
          </w:p>
        </w:tc>
        <w:tc>
          <w:tcPr>
            <w:tcW w:w="216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72A08D3F" w14:textId="77777777" w:rsidR="00F07F59" w:rsidRDefault="00F07F59" w:rsidP="00360C44">
            <w:pPr>
              <w:spacing w:after="0" w:line="240" w:lineRule="auto"/>
              <w:ind w:left="1" w:firstLine="0"/>
              <w:jc w:val="left"/>
              <w:cnfStyle w:val="000000100000" w:firstRow="0" w:lastRow="0" w:firstColumn="0" w:lastColumn="0" w:oddVBand="0" w:evenVBand="0" w:oddHBand="1" w:evenHBand="0" w:firstRowFirstColumn="0" w:firstRowLastColumn="0" w:lastRowFirstColumn="0" w:lastRowLastColumn="0"/>
            </w:pPr>
            <w:r>
              <w:t xml:space="preserve">$2 each one-way trip </w:t>
            </w:r>
          </w:p>
        </w:tc>
        <w:tc>
          <w:tcPr>
            <w:tcW w:w="422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14578F1E" w14:textId="77777777" w:rsidR="00F07F59" w:rsidRDefault="00F07F59" w:rsidP="00360C44">
            <w:pPr>
              <w:spacing w:after="0" w:line="240" w:lineRule="auto"/>
              <w:ind w:left="1" w:firstLine="0"/>
              <w:jc w:val="left"/>
              <w:cnfStyle w:val="000000100000" w:firstRow="0" w:lastRow="0" w:firstColumn="0" w:lastColumn="0" w:oddVBand="0" w:evenVBand="0" w:oddHBand="1" w:evenHBand="0" w:firstRowFirstColumn="0" w:firstRowLastColumn="0" w:lastRowFirstColumn="0" w:lastRowLastColumn="0"/>
            </w:pPr>
            <w:r>
              <w:t xml:space="preserve">Transportation services that pay $50.01 or more </w:t>
            </w:r>
          </w:p>
        </w:tc>
      </w:tr>
      <w:tr w:rsidR="00F07F59" w14:paraId="28D89F95" w14:textId="77777777" w:rsidTr="001D639D">
        <w:trPr>
          <w:trHeight w:val="354"/>
        </w:trPr>
        <w:tc>
          <w:tcPr>
            <w:cnfStyle w:val="001000000000" w:firstRow="0" w:lastRow="0" w:firstColumn="1" w:lastColumn="0" w:oddVBand="0" w:evenVBand="0" w:oddHBand="0" w:evenHBand="0" w:firstRowFirstColumn="0" w:firstRowLastColumn="0" w:lastRowFirstColumn="0" w:lastRowLastColumn="0"/>
            <w:tcW w:w="296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4E630B2A" w14:textId="77777777" w:rsidR="00F07F59" w:rsidRDefault="00F07F59" w:rsidP="00360C44">
            <w:pPr>
              <w:spacing w:after="0" w:line="240" w:lineRule="auto"/>
              <w:ind w:left="0" w:firstLine="0"/>
              <w:jc w:val="left"/>
            </w:pPr>
            <w:r>
              <w:t xml:space="preserve">Pharmacy </w:t>
            </w:r>
          </w:p>
        </w:tc>
        <w:tc>
          <w:tcPr>
            <w:tcW w:w="6385"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48B02718" w14:textId="77777777" w:rsidR="00F07F59" w:rsidRDefault="00F07F59" w:rsidP="00360C44">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pPr>
            <w:r>
              <w:t xml:space="preserve">$3 </w:t>
            </w:r>
          </w:p>
        </w:tc>
      </w:tr>
      <w:tr w:rsidR="00F07F59" w14:paraId="47697CDE" w14:textId="77777777" w:rsidTr="001D639D">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6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196EE522" w14:textId="77777777" w:rsidR="00F07F59" w:rsidRDefault="00F07F59" w:rsidP="00360C44">
            <w:pPr>
              <w:spacing w:after="0" w:line="240" w:lineRule="auto"/>
              <w:ind w:left="0" w:firstLine="0"/>
              <w:jc w:val="left"/>
            </w:pPr>
            <w:r>
              <w:t xml:space="preserve">Non-Emergency Use of the ED </w:t>
            </w:r>
          </w:p>
        </w:tc>
        <w:tc>
          <w:tcPr>
            <w:tcW w:w="6385"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4E590033" w14:textId="77777777" w:rsidR="00F07F59" w:rsidRDefault="00F07F59" w:rsidP="00360C44">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pPr>
            <w:r>
              <w:t xml:space="preserve">$3 </w:t>
            </w:r>
          </w:p>
        </w:tc>
      </w:tr>
    </w:tbl>
    <w:p w14:paraId="34E83068" w14:textId="77777777" w:rsidR="00F07F59" w:rsidRDefault="00F07F59" w:rsidP="001D639D">
      <w:pPr>
        <w:spacing w:after="0"/>
        <w:ind w:left="0" w:firstLine="0"/>
        <w:contextualSpacing/>
        <w:jc w:val="left"/>
      </w:pPr>
      <w:r>
        <w:t xml:space="preserve"> </w:t>
      </w:r>
    </w:p>
    <w:p w14:paraId="4A95E4DD" w14:textId="60A26AC4" w:rsidR="00F07F59" w:rsidRDefault="00CB500E" w:rsidP="001D639D">
      <w:pPr>
        <w:ind w:left="-15" w:right="13" w:firstLine="0"/>
      </w:pPr>
      <w:r>
        <w:lastRenderedPageBreak/>
        <w:t xml:space="preserve">Outside of the required ESRD liability, </w:t>
      </w:r>
      <w:r w:rsidR="00F07F59">
        <w:t xml:space="preserve">ESRD </w:t>
      </w:r>
      <w:r w:rsidR="00F1605C">
        <w:t>§</w:t>
      </w:r>
      <w:r w:rsidR="00F07F59">
        <w:t xml:space="preserve">1115 enrollees will not spend more than 5 percent of their household income on </w:t>
      </w:r>
      <w:r w:rsidR="00F1605C">
        <w:t xml:space="preserve">state plan </w:t>
      </w:r>
      <w:r w:rsidR="00A45B18">
        <w:t>cost-</w:t>
      </w:r>
      <w:r w:rsidR="00F07F59">
        <w:t xml:space="preserve">sharing requirements. </w:t>
      </w:r>
    </w:p>
    <w:p w14:paraId="20ACA5F2" w14:textId="77777777" w:rsidR="006E51E2" w:rsidRPr="001D639D" w:rsidRDefault="006E51E2" w:rsidP="001D639D"/>
    <w:p w14:paraId="7379DF61" w14:textId="2E7B9E0B" w:rsidR="00F07F59" w:rsidRDefault="00127A96" w:rsidP="00F07F59">
      <w:pPr>
        <w:pStyle w:val="Heading2"/>
        <w:spacing w:after="5" w:line="269" w:lineRule="auto"/>
        <w:ind w:left="-5"/>
      </w:pPr>
      <w:bookmarkStart w:id="17" w:name="_Toc40259523"/>
      <w:r>
        <w:rPr>
          <w:color w:val="17365D"/>
        </w:rPr>
        <w:t>3</w:t>
      </w:r>
      <w:r w:rsidR="00F07F59">
        <w:rPr>
          <w:color w:val="17365D"/>
        </w:rPr>
        <w:t>.9 Cost Sharing Justification</w:t>
      </w:r>
      <w:bookmarkEnd w:id="17"/>
      <w:r w:rsidR="00F07F59">
        <w:rPr>
          <w:color w:val="17365D"/>
        </w:rPr>
        <w:t xml:space="preserve"> </w:t>
      </w:r>
    </w:p>
    <w:p w14:paraId="257B7810" w14:textId="0A588E1B" w:rsidR="00F07F59" w:rsidRDefault="00F07F59" w:rsidP="001D639D">
      <w:pPr>
        <w:spacing w:after="0"/>
        <w:ind w:left="0" w:right="13" w:hanging="14"/>
        <w:contextualSpacing/>
      </w:pPr>
      <w:r>
        <w:t xml:space="preserve">This demonstration preserves the benefits and </w:t>
      </w:r>
      <w:r w:rsidR="00F1605C">
        <w:t>cost-</w:t>
      </w:r>
      <w:r>
        <w:t xml:space="preserve">sharing structure this population would have experienced as of May </w:t>
      </w:r>
      <w:r w:rsidR="00F1605C">
        <w:t xml:space="preserve">31, </w:t>
      </w:r>
      <w:r>
        <w:t xml:space="preserve">2014 when the State operated under 209(b) authority.  The demonstration will provide supplemental health insurance coverage to individuals above 150 percent FPL who are not eligible for </w:t>
      </w:r>
      <w:r w:rsidR="00F25F2E">
        <w:t>comparable</w:t>
      </w:r>
      <w:r>
        <w:t xml:space="preserve"> supplemental coverage and </w:t>
      </w:r>
      <w:r w:rsidR="00F25F2E">
        <w:t xml:space="preserve">may </w:t>
      </w:r>
      <w:r>
        <w:t xml:space="preserve">otherwise be </w:t>
      </w:r>
      <w:r w:rsidR="00F1605C">
        <w:t xml:space="preserve">at risk for removal </w:t>
      </w:r>
      <w:r>
        <w:t>from kidney transplant wait lists.  To prevent removal from transplant list</w:t>
      </w:r>
      <w:r w:rsidR="00F1605C">
        <w:t>s</w:t>
      </w:r>
      <w:r>
        <w:t xml:space="preserve"> and support access to coverage, this demonstration will </w:t>
      </w:r>
      <w:r w:rsidR="00F1605C">
        <w:t>provide</w:t>
      </w:r>
      <w:r>
        <w:t xml:space="preserve"> supplemental coverage using </w:t>
      </w:r>
      <w:r w:rsidR="00360C44">
        <w:t>State</w:t>
      </w:r>
      <w:r w:rsidR="00F1605C">
        <w:t xml:space="preserve"> spend-</w:t>
      </w:r>
      <w:r>
        <w:t xml:space="preserve">down rules in place on May 31, 2014. </w:t>
      </w:r>
    </w:p>
    <w:p w14:paraId="59C3560D" w14:textId="77777777" w:rsidR="006E51E2" w:rsidRDefault="006E51E2" w:rsidP="001D639D">
      <w:pPr>
        <w:spacing w:after="0"/>
        <w:ind w:left="0" w:right="13" w:hanging="14"/>
        <w:contextualSpacing/>
      </w:pPr>
    </w:p>
    <w:p w14:paraId="0CB9BFFA" w14:textId="576AD0C7" w:rsidR="00F07F59" w:rsidRDefault="00127A96" w:rsidP="001D639D">
      <w:pPr>
        <w:pStyle w:val="Heading2"/>
        <w:spacing w:after="0" w:line="269" w:lineRule="auto"/>
        <w:ind w:left="0" w:hanging="14"/>
        <w:contextualSpacing/>
      </w:pPr>
      <w:bookmarkStart w:id="18" w:name="_Toc40259524"/>
      <w:r>
        <w:rPr>
          <w:color w:val="17365D"/>
        </w:rPr>
        <w:t>3</w:t>
      </w:r>
      <w:r w:rsidR="00F07F59">
        <w:rPr>
          <w:color w:val="17365D"/>
        </w:rPr>
        <w:t>.10 Cost Sharing Exemptions</w:t>
      </w:r>
      <w:bookmarkEnd w:id="18"/>
      <w:r w:rsidR="00F07F59">
        <w:rPr>
          <w:color w:val="17365D"/>
        </w:rPr>
        <w:t xml:space="preserve"> </w:t>
      </w:r>
    </w:p>
    <w:p w14:paraId="5BB540D1" w14:textId="341AEA30" w:rsidR="006E51E2" w:rsidRDefault="00F07F59" w:rsidP="001D639D">
      <w:pPr>
        <w:spacing w:after="0"/>
        <w:ind w:left="0" w:right="13" w:hanging="14"/>
        <w:contextualSpacing/>
      </w:pPr>
      <w:r>
        <w:t xml:space="preserve">No individuals enrolled under the waiver will be exempt from </w:t>
      </w:r>
      <w:r w:rsidR="00F1605C">
        <w:t xml:space="preserve">an </w:t>
      </w:r>
      <w:r>
        <w:t xml:space="preserve">ESRD liability.  This is in alignment with the </w:t>
      </w:r>
      <w:r w:rsidR="00F1605C">
        <w:t xml:space="preserve">spend-down </w:t>
      </w:r>
      <w:r>
        <w:t xml:space="preserve">methodology authorized by CMS when Indiana was a 209(b) state, and </w:t>
      </w:r>
      <w:r w:rsidR="00F1605C">
        <w:t xml:space="preserve">was </w:t>
      </w:r>
      <w:r w:rsidR="00A45B18">
        <w:t xml:space="preserve">subsequently </w:t>
      </w:r>
      <w:r>
        <w:t xml:space="preserve">extended </w:t>
      </w:r>
      <w:r w:rsidR="00F1605C">
        <w:t xml:space="preserve">to </w:t>
      </w:r>
      <w:r>
        <w:t xml:space="preserve">certain </w:t>
      </w:r>
      <w:r w:rsidR="00F1605C">
        <w:t xml:space="preserve">ESRD </w:t>
      </w:r>
      <w:r>
        <w:t xml:space="preserve">enrollees in May 2014 and November 2014.  However, individuals will not be subject to </w:t>
      </w:r>
      <w:r w:rsidR="00A45B18">
        <w:t xml:space="preserve">state plan </w:t>
      </w:r>
      <w:r>
        <w:t>copayments once they have reached the 5 percent of household income limit.</w:t>
      </w:r>
    </w:p>
    <w:p w14:paraId="0C84EC2B" w14:textId="5384743B" w:rsidR="00F07F59" w:rsidRDefault="00F07F59" w:rsidP="001D639D">
      <w:pPr>
        <w:spacing w:after="0"/>
        <w:ind w:left="0" w:right="13" w:hanging="14"/>
        <w:contextualSpacing/>
      </w:pPr>
      <w:r>
        <w:t xml:space="preserve">   </w:t>
      </w:r>
    </w:p>
    <w:p w14:paraId="599F46F3" w14:textId="37D858C1" w:rsidR="00C86A25" w:rsidRDefault="00127A96" w:rsidP="001D639D">
      <w:pPr>
        <w:pStyle w:val="Heading2"/>
        <w:spacing w:after="0" w:line="269" w:lineRule="auto"/>
        <w:ind w:left="0" w:hanging="14"/>
        <w:contextualSpacing/>
      </w:pPr>
      <w:bookmarkStart w:id="19" w:name="_Toc40259525"/>
      <w:r>
        <w:t>3</w:t>
      </w:r>
      <w:r w:rsidR="003E756E">
        <w:t>.</w:t>
      </w:r>
      <w:r w:rsidR="00F07F59">
        <w:t>11</w:t>
      </w:r>
      <w:r w:rsidR="003E756E">
        <w:t xml:space="preserve"> Long-Term Services and Supports</w:t>
      </w:r>
      <w:bookmarkEnd w:id="19"/>
      <w:r w:rsidR="003E756E">
        <w:t xml:space="preserve"> </w:t>
      </w:r>
    </w:p>
    <w:p w14:paraId="4E71CFA3" w14:textId="10233001" w:rsidR="00C86A25" w:rsidRDefault="003E756E" w:rsidP="001D639D">
      <w:pPr>
        <w:spacing w:after="0"/>
        <w:ind w:left="0" w:right="14" w:hanging="14"/>
        <w:contextualSpacing/>
      </w:pPr>
      <w:r>
        <w:t>Individuals eligible under this waiver do not qualify for long-term services and supports</w:t>
      </w:r>
      <w:r w:rsidR="00F1605C">
        <w:t xml:space="preserve"> </w:t>
      </w:r>
      <w:r>
        <w:t>through either home and community-based service</w:t>
      </w:r>
      <w:r w:rsidR="00A45B18">
        <w:t xml:space="preserve"> </w:t>
      </w:r>
      <w:r>
        <w:t>waiver</w:t>
      </w:r>
      <w:r w:rsidR="00F1605C">
        <w:t>s</w:t>
      </w:r>
      <w:r>
        <w:t xml:space="preserve"> or</w:t>
      </w:r>
      <w:r w:rsidR="00EC3304">
        <w:t xml:space="preserve"> while institutionalized in</w:t>
      </w:r>
      <w:r>
        <w:t xml:space="preserve"> a nursing facility</w:t>
      </w:r>
      <w:r w:rsidR="00F1605C">
        <w:t>.  This was</w:t>
      </w:r>
      <w:r>
        <w:t xml:space="preserve"> </w:t>
      </w:r>
      <w:r w:rsidR="00F1605C">
        <w:t xml:space="preserve">first </w:t>
      </w:r>
      <w:r>
        <w:t xml:space="preserve">described in the State’s original </w:t>
      </w:r>
      <w:r w:rsidR="00F1605C">
        <w:t>§</w:t>
      </w:r>
      <w:r>
        <w:t xml:space="preserve">1115 expenditure authority authorized in May 2014 and extended in November 2014. </w:t>
      </w:r>
      <w:r w:rsidR="00EC3304">
        <w:t xml:space="preserve">  </w:t>
      </w:r>
      <w:r w:rsidR="00F83FD3">
        <w:t>Consequently</w:t>
      </w:r>
      <w:r w:rsidR="00143D37">
        <w:t>, post-eligibility treatment of income and spousal impoverishment rules are not applicable.</w:t>
      </w:r>
      <w:r w:rsidR="00143D37">
        <w:rPr>
          <w:rStyle w:val="FootnoteReference"/>
        </w:rPr>
        <w:footnoteReference w:id="1"/>
      </w:r>
      <w:r w:rsidR="00143D37">
        <w:t xml:space="preserve">  </w:t>
      </w:r>
      <w:r w:rsidR="00EC3304">
        <w:t xml:space="preserve">Long-term care services </w:t>
      </w:r>
      <w:r w:rsidR="00116C37">
        <w:t xml:space="preserve">are covered </w:t>
      </w:r>
      <w:r w:rsidR="00EC3304">
        <w:t>for non-institutionalized individuals.</w:t>
      </w:r>
      <w:r>
        <w:t xml:space="preserve"> </w:t>
      </w:r>
    </w:p>
    <w:p w14:paraId="0237750D" w14:textId="77777777" w:rsidR="006E51E2" w:rsidRDefault="006E51E2" w:rsidP="001D639D">
      <w:pPr>
        <w:spacing w:after="0"/>
        <w:ind w:left="0" w:right="14" w:hanging="14"/>
        <w:contextualSpacing/>
      </w:pPr>
    </w:p>
    <w:p w14:paraId="4FF5FDD0" w14:textId="64DACBF4" w:rsidR="000C378A" w:rsidRDefault="000C378A" w:rsidP="000C378A">
      <w:pPr>
        <w:pStyle w:val="Heading1"/>
        <w:ind w:left="-5" w:right="13"/>
        <w:jc w:val="both"/>
      </w:pPr>
      <w:bookmarkStart w:id="20" w:name="_Toc40259526"/>
      <w:r>
        <w:t xml:space="preserve">Section </w:t>
      </w:r>
      <w:r w:rsidR="00127A96">
        <w:t>4</w:t>
      </w:r>
      <w:r>
        <w:t>: Changes Requested</w:t>
      </w:r>
      <w:bookmarkEnd w:id="20"/>
    </w:p>
    <w:p w14:paraId="2B16E663" w14:textId="30F55F6B" w:rsidR="000C378A" w:rsidRDefault="000C378A" w:rsidP="000C378A">
      <w:pPr>
        <w:spacing w:after="204"/>
        <w:ind w:left="0" w:right="13" w:firstLine="0"/>
      </w:pPr>
      <w:r>
        <w:t>Indiana’s ESRD program seeks to continue operations consistent with the current program with the minor changes noted below</w:t>
      </w:r>
      <w:r w:rsidR="00F83FD3">
        <w:t>:</w:t>
      </w:r>
      <w:r>
        <w:t xml:space="preserve">  </w:t>
      </w:r>
    </w:p>
    <w:p w14:paraId="16F5D08B" w14:textId="5E62AA85" w:rsidR="00F8067A" w:rsidRDefault="000C378A" w:rsidP="001D639D">
      <w:pPr>
        <w:pStyle w:val="ListParagraph"/>
        <w:numPr>
          <w:ilvl w:val="0"/>
          <w:numId w:val="31"/>
        </w:numPr>
        <w:spacing w:after="204"/>
        <w:ind w:right="13"/>
      </w:pPr>
      <w:r>
        <w:t>In an effort to help promote access to program, the State seeks to increase asset limits from $1,500 to $2,250 for individuals and increasing asset limits from $2,000 to $3,000 for couples.</w:t>
      </w:r>
    </w:p>
    <w:p w14:paraId="065A442C" w14:textId="5BFB1EE5" w:rsidR="000C378A" w:rsidRPr="001D639D" w:rsidRDefault="000C378A" w:rsidP="001D639D">
      <w:pPr>
        <w:pStyle w:val="ListParagraph"/>
        <w:numPr>
          <w:ilvl w:val="0"/>
          <w:numId w:val="31"/>
        </w:numPr>
        <w:spacing w:after="0"/>
        <w:ind w:right="14"/>
        <w:rPr>
          <w:color w:val="002060"/>
        </w:rPr>
      </w:pPr>
      <w:r>
        <w:t>The program also seeks one primary modification around communication to beneficiaries. Beginning in January 2021, a</w:t>
      </w:r>
      <w:r w:rsidRPr="00260818">
        <w:t xml:space="preserve">s required by the </w:t>
      </w:r>
      <w:r w:rsidRPr="001D639D">
        <w:rPr>
          <w:i/>
        </w:rPr>
        <w:t>21st Century Cures Act of 2016</w:t>
      </w:r>
      <w:r w:rsidRPr="00260818">
        <w:t xml:space="preserve">, all ESRD beneficiaries will have the option to enroll in </w:t>
      </w:r>
      <w:r w:rsidR="00F83FD3">
        <w:t xml:space="preserve">a </w:t>
      </w:r>
      <w:r w:rsidRPr="00260818">
        <w:t>Medicare Advantage</w:t>
      </w:r>
      <w:r>
        <w:t xml:space="preserve"> (MA)</w:t>
      </w:r>
      <w:r w:rsidR="00F83FD3">
        <w:t xml:space="preserve"> plan</w:t>
      </w:r>
      <w:r>
        <w:t>.  MA</w:t>
      </w:r>
      <w:r w:rsidRPr="00260818">
        <w:t xml:space="preserve"> is positioned to provide ESRD beneficiaries with </w:t>
      </w:r>
      <w:r w:rsidR="00F83FD3">
        <w:t xml:space="preserve">potentially preferable </w:t>
      </w:r>
      <w:r w:rsidRPr="00260818">
        <w:t xml:space="preserve">coverage </w:t>
      </w:r>
      <w:r w:rsidR="00F83FD3">
        <w:t xml:space="preserve">that is more comprehensive and affordable </w:t>
      </w:r>
      <w:r w:rsidRPr="00260818">
        <w:t xml:space="preserve">compared to </w:t>
      </w:r>
      <w:r w:rsidR="00F83FD3">
        <w:t>t</w:t>
      </w:r>
      <w:r w:rsidR="00F83FD3" w:rsidRPr="00260818">
        <w:t xml:space="preserve">raditional </w:t>
      </w:r>
      <w:r w:rsidRPr="00260818">
        <w:t>FFS Medicare</w:t>
      </w:r>
      <w:r w:rsidR="00F83FD3">
        <w:t xml:space="preserve">, which lacks MA’s </w:t>
      </w:r>
      <w:r w:rsidRPr="00260818">
        <w:t>maximum out-of</w:t>
      </w:r>
      <w:r>
        <w:t>-</w:t>
      </w:r>
      <w:r w:rsidRPr="00260818">
        <w:t xml:space="preserve">pocket limit for consumers, supplemental benefits, and ability to coordinate care. </w:t>
      </w:r>
      <w:r w:rsidRPr="00A62BB2">
        <w:t xml:space="preserve">Due to the change in </w:t>
      </w:r>
      <w:r w:rsidR="00F83FD3">
        <w:t xml:space="preserve">access to </w:t>
      </w:r>
      <w:r w:rsidRPr="00A62BB2">
        <w:t xml:space="preserve">MA </w:t>
      </w:r>
      <w:r w:rsidR="00F83FD3">
        <w:t xml:space="preserve">for </w:t>
      </w:r>
      <w:r w:rsidRPr="00A62BB2">
        <w:t>individuals</w:t>
      </w:r>
      <w:r w:rsidR="00F83FD3">
        <w:t xml:space="preserve"> with ESRD</w:t>
      </w:r>
      <w:r w:rsidRPr="00A62BB2">
        <w:t xml:space="preserve">, the State will </w:t>
      </w:r>
      <w:r>
        <w:t>notify members of this new enrollment opportunity and will coordinate with the State Health Insurance Assistance Program (SHIP) to ensure members who wish to enroll in MA have the assistance</w:t>
      </w:r>
      <w:r w:rsidR="00F83FD3">
        <w:t xml:space="preserve"> </w:t>
      </w:r>
      <w:r w:rsidR="00314C8C">
        <w:t>necessary for that transition</w:t>
      </w:r>
      <w:r>
        <w:t>.  Enrollment in MA will not impact an individual’s eligibility for the ESRD 1115 waiver.</w:t>
      </w:r>
    </w:p>
    <w:p w14:paraId="70D963DA" w14:textId="77777777" w:rsidR="00C66E36" w:rsidRDefault="00C66E36" w:rsidP="001D639D">
      <w:pPr>
        <w:pStyle w:val="Heading1"/>
        <w:spacing w:after="19" w:line="259" w:lineRule="auto"/>
        <w:ind w:left="0" w:firstLine="0"/>
        <w:rPr>
          <w:color w:val="002060"/>
        </w:rPr>
      </w:pPr>
    </w:p>
    <w:p w14:paraId="4C4C986B" w14:textId="4A135257" w:rsidR="001D4127" w:rsidRDefault="001D4127" w:rsidP="001D639D">
      <w:pPr>
        <w:pStyle w:val="Heading1"/>
        <w:spacing w:after="19" w:line="259" w:lineRule="auto"/>
        <w:ind w:left="0" w:firstLine="0"/>
        <w:rPr>
          <w:rFonts w:ascii="Cambria" w:eastAsia="Cambria" w:hAnsi="Cambria" w:cs="Cambria"/>
          <w:color w:val="365F91"/>
          <w:sz w:val="28"/>
        </w:rPr>
      </w:pPr>
      <w:bookmarkStart w:id="21" w:name="_Toc40259527"/>
      <w:r>
        <w:rPr>
          <w:color w:val="002060"/>
        </w:rPr>
        <w:t xml:space="preserve">Section </w:t>
      </w:r>
      <w:r w:rsidR="00127A96">
        <w:rPr>
          <w:color w:val="002060"/>
        </w:rPr>
        <w:t>5</w:t>
      </w:r>
      <w:r>
        <w:rPr>
          <w:color w:val="002060"/>
        </w:rPr>
        <w:t>: List of Proposed Waivers and Expenditure Authorities</w:t>
      </w:r>
      <w:bookmarkEnd w:id="21"/>
      <w:r>
        <w:rPr>
          <w:rFonts w:ascii="Cambria" w:eastAsia="Cambria" w:hAnsi="Cambria" w:cs="Cambria"/>
          <w:color w:val="365F91"/>
          <w:sz w:val="28"/>
        </w:rPr>
        <w:t xml:space="preserve"> </w:t>
      </w:r>
    </w:p>
    <w:p w14:paraId="1198B884" w14:textId="44283132" w:rsidR="001D4127" w:rsidRDefault="00EC3304" w:rsidP="001D4127">
      <w:pPr>
        <w:ind w:left="-5" w:right="13"/>
        <w:rPr>
          <w:bCs/>
        </w:rPr>
      </w:pPr>
      <w:r>
        <w:rPr>
          <w:bCs/>
        </w:rPr>
        <w:t>The state requests continuation of the following waivers and expenditure authorities over the course of the extension.</w:t>
      </w:r>
    </w:p>
    <w:p w14:paraId="0E96E219" w14:textId="77777777" w:rsidR="00EC3304" w:rsidRPr="00F037ED" w:rsidRDefault="00EC3304" w:rsidP="00F037ED">
      <w:pPr>
        <w:ind w:left="20" w:right="13"/>
        <w:rPr>
          <w:bCs/>
        </w:rPr>
      </w:pPr>
    </w:p>
    <w:p w14:paraId="3CDC9F66" w14:textId="164B1BD7" w:rsidR="00CF3CB5" w:rsidRPr="001D639D" w:rsidRDefault="001D4127" w:rsidP="001D639D">
      <w:pPr>
        <w:pStyle w:val="ListParagraph"/>
        <w:numPr>
          <w:ilvl w:val="0"/>
          <w:numId w:val="33"/>
        </w:numPr>
        <w:ind w:left="720"/>
        <w:rPr>
          <w:i/>
          <w:u w:val="single"/>
        </w:rPr>
      </w:pPr>
      <w:r w:rsidRPr="001D639D">
        <w:rPr>
          <w:i/>
          <w:u w:val="single"/>
        </w:rPr>
        <w:t xml:space="preserve">Amount, Duration and Scope of Services – Section 1902(a)(10)(B) </w:t>
      </w:r>
    </w:p>
    <w:p w14:paraId="52B04321" w14:textId="77777777" w:rsidR="00716A21" w:rsidRDefault="001D4127" w:rsidP="00C66E36">
      <w:pPr>
        <w:ind w:left="720"/>
      </w:pPr>
      <w:r>
        <w:t>To the extent necessary to enable the State to provide State Plan benefits only after an individual meets an ESRD liability, calculated using spend down methodologies.</w:t>
      </w:r>
    </w:p>
    <w:p w14:paraId="1865A29F" w14:textId="4BDD226A" w:rsidR="001D4127" w:rsidRDefault="001D4127" w:rsidP="00C66E36">
      <w:pPr>
        <w:ind w:left="720"/>
      </w:pPr>
      <w:r>
        <w:t xml:space="preserve">   </w:t>
      </w:r>
      <w:r>
        <w:rPr>
          <w:sz w:val="24"/>
        </w:rPr>
        <w:t xml:space="preserve"> </w:t>
      </w:r>
    </w:p>
    <w:p w14:paraId="3EDF7294" w14:textId="033AB085" w:rsidR="00CF3CB5" w:rsidRPr="001D639D" w:rsidRDefault="001D4127" w:rsidP="001D639D">
      <w:pPr>
        <w:pStyle w:val="ListParagraph"/>
        <w:numPr>
          <w:ilvl w:val="0"/>
          <w:numId w:val="33"/>
        </w:numPr>
        <w:ind w:left="720"/>
        <w:rPr>
          <w:i/>
          <w:u w:val="single"/>
        </w:rPr>
      </w:pPr>
      <w:r w:rsidRPr="001D639D">
        <w:rPr>
          <w:i/>
          <w:u w:val="single"/>
        </w:rPr>
        <w:t>Cost-Sharing Requirements – Section 1902(a)(14) related to provisions in section 1916</w:t>
      </w:r>
    </w:p>
    <w:p w14:paraId="1F255640" w14:textId="7D7E1392" w:rsidR="00716A21" w:rsidRDefault="001D4127" w:rsidP="00C66E36">
      <w:pPr>
        <w:ind w:left="720"/>
      </w:pPr>
      <w:r>
        <w:t xml:space="preserve">To the extent necessary to enable the State to impose a </w:t>
      </w:r>
      <w:r w:rsidR="0065583A">
        <w:t>spend-</w:t>
      </w:r>
      <w:r>
        <w:t>down methodology based on incurred medical costs. Individuals who incur medical expenses that bring their income to the Supplemental Security Income (SSI) federal benefit rate (FBR) will have no further incurred costs subject to the ESRD liability.</w:t>
      </w:r>
    </w:p>
    <w:p w14:paraId="7551CA39" w14:textId="6D8D7FDF" w:rsidR="001D4127" w:rsidRDefault="001D4127" w:rsidP="00C66E36">
      <w:pPr>
        <w:ind w:left="720"/>
      </w:pPr>
      <w:r>
        <w:t xml:space="preserve">  </w:t>
      </w:r>
      <w:r>
        <w:rPr>
          <w:color w:val="1F497D"/>
        </w:rPr>
        <w:t xml:space="preserve"> </w:t>
      </w:r>
    </w:p>
    <w:p w14:paraId="64A64E12" w14:textId="686F7BB4" w:rsidR="00CF3CB5" w:rsidRPr="001D639D" w:rsidRDefault="0065583A" w:rsidP="001D639D">
      <w:pPr>
        <w:pStyle w:val="ListParagraph"/>
        <w:numPr>
          <w:ilvl w:val="0"/>
          <w:numId w:val="33"/>
        </w:numPr>
        <w:ind w:left="720"/>
        <w:rPr>
          <w:i/>
          <w:u w:val="single"/>
        </w:rPr>
      </w:pPr>
      <w:r>
        <w:rPr>
          <w:i/>
          <w:u w:val="single"/>
        </w:rPr>
        <w:t>C</w:t>
      </w:r>
      <w:r w:rsidRPr="001D639D">
        <w:rPr>
          <w:i/>
          <w:u w:val="single"/>
        </w:rPr>
        <w:t xml:space="preserve">omparability </w:t>
      </w:r>
      <w:r w:rsidR="001D4127" w:rsidRPr="001D639D">
        <w:rPr>
          <w:i/>
          <w:u w:val="single"/>
        </w:rPr>
        <w:t>– Section 1902(a)(17)</w:t>
      </w:r>
    </w:p>
    <w:p w14:paraId="0F8E90C5" w14:textId="7982A60F" w:rsidR="00CF3CB5" w:rsidRDefault="001D4127" w:rsidP="001D639D">
      <w:pPr>
        <w:spacing w:after="0"/>
        <w:ind w:left="720" w:hanging="14"/>
        <w:contextualSpacing/>
      </w:pPr>
      <w:r>
        <w:t>To the extent necessary to enable the State to apply a</w:t>
      </w:r>
      <w:r w:rsidR="00314C8C">
        <w:t xml:space="preserve"> </w:t>
      </w:r>
      <w:r>
        <w:t>spend</w:t>
      </w:r>
      <w:r w:rsidR="00314C8C">
        <w:t>-</w:t>
      </w:r>
      <w:r>
        <w:t xml:space="preserve">down methodology based on incurred medical costs. </w:t>
      </w:r>
      <w:r>
        <w:rPr>
          <w:rFonts w:ascii="Times New Roman" w:eastAsia="Times New Roman" w:hAnsi="Times New Roman" w:cs="Times New Roman"/>
          <w:sz w:val="24"/>
        </w:rPr>
        <w:t xml:space="preserve"> </w:t>
      </w:r>
    </w:p>
    <w:p w14:paraId="10546618" w14:textId="77777777" w:rsidR="00286950" w:rsidRDefault="00286950" w:rsidP="001D639D">
      <w:pPr>
        <w:spacing w:after="0"/>
        <w:ind w:left="720" w:right="13" w:hanging="14"/>
        <w:contextualSpacing/>
      </w:pPr>
    </w:p>
    <w:p w14:paraId="4E1485EC" w14:textId="6BFB3B29" w:rsidR="00F07F59" w:rsidRDefault="003E756E">
      <w:pPr>
        <w:pStyle w:val="Heading1"/>
        <w:ind w:left="-5"/>
      </w:pPr>
      <w:bookmarkStart w:id="22" w:name="_Toc40259528"/>
      <w:r w:rsidRPr="002124CD">
        <w:t>Section</w:t>
      </w:r>
      <w:r w:rsidR="009151C8">
        <w:t xml:space="preserve"> </w:t>
      </w:r>
      <w:r w:rsidR="00127A96">
        <w:t>6</w:t>
      </w:r>
      <w:r w:rsidRPr="002124CD">
        <w:t xml:space="preserve">: </w:t>
      </w:r>
      <w:r w:rsidR="00F07F59" w:rsidRPr="002124CD">
        <w:t>External Quality Review Organization (EQRO) Reports</w:t>
      </w:r>
      <w:bookmarkEnd w:id="22"/>
    </w:p>
    <w:p w14:paraId="761D1A1D" w14:textId="5D05B796" w:rsidR="00C86A25" w:rsidRDefault="00945696" w:rsidP="001D639D">
      <w:pPr>
        <w:spacing w:after="0"/>
        <w:ind w:left="0" w:firstLine="0"/>
        <w:contextualSpacing/>
        <w:jc w:val="left"/>
      </w:pPr>
      <w:r>
        <w:t>Indiana’s</w:t>
      </w:r>
      <w:r w:rsidRPr="005F62AA">
        <w:t xml:space="preserve"> ESRD program has covered only a fraction of one percent of Indiana Medicaid members</w:t>
      </w:r>
      <w:r>
        <w:t xml:space="preserve"> since its inception in 2014 through </w:t>
      </w:r>
      <w:r w:rsidR="00314C8C">
        <w:t xml:space="preserve">the </w:t>
      </w:r>
      <w:r>
        <w:t>present</w:t>
      </w:r>
      <w:r w:rsidRPr="005F62AA">
        <w:t xml:space="preserve">, and correspondingly, is not assigned specific </w:t>
      </w:r>
      <w:r>
        <w:t xml:space="preserve">evaluation from External Quality Review Organizations.  The program is, however, evaluated </w:t>
      </w:r>
      <w:r w:rsidR="009151C8">
        <w:t xml:space="preserve">and monitored </w:t>
      </w:r>
      <w:r>
        <w:t xml:space="preserve">by FSSA, and a summary </w:t>
      </w:r>
      <w:r w:rsidR="009151C8">
        <w:t xml:space="preserve">is </w:t>
      </w:r>
      <w:r>
        <w:t>presented within each quarterly report, annual report and waiver renewal application.</w:t>
      </w:r>
      <w:r w:rsidR="00732C84">
        <w:t xml:space="preserve">  The most recent evaluation data is presented in</w:t>
      </w:r>
      <w:r w:rsidR="00A2796C">
        <w:t xml:space="preserve"> Section 6 of this waiver renewal application.</w:t>
      </w:r>
    </w:p>
    <w:p w14:paraId="180133E9" w14:textId="77777777" w:rsidR="006E51E2" w:rsidRDefault="006E51E2" w:rsidP="001D639D">
      <w:pPr>
        <w:spacing w:after="0"/>
        <w:ind w:left="0" w:firstLine="0"/>
        <w:contextualSpacing/>
        <w:jc w:val="left"/>
      </w:pPr>
    </w:p>
    <w:p w14:paraId="60F06655" w14:textId="68853423" w:rsidR="002124CD" w:rsidRDefault="002124CD" w:rsidP="002124CD">
      <w:pPr>
        <w:pStyle w:val="Heading1"/>
        <w:spacing w:after="19" w:line="259" w:lineRule="auto"/>
        <w:ind w:left="-5"/>
      </w:pPr>
      <w:bookmarkStart w:id="23" w:name="_Toc40259529"/>
      <w:r>
        <w:rPr>
          <w:color w:val="002060"/>
        </w:rPr>
        <w:t xml:space="preserve">Section </w:t>
      </w:r>
      <w:r w:rsidR="00127A96">
        <w:rPr>
          <w:color w:val="002060"/>
        </w:rPr>
        <w:t>7</w:t>
      </w:r>
      <w:r>
        <w:rPr>
          <w:color w:val="002060"/>
        </w:rPr>
        <w:t xml:space="preserve">: </w:t>
      </w:r>
      <w:r w:rsidR="0016739D">
        <w:rPr>
          <w:color w:val="002060"/>
        </w:rPr>
        <w:t>Financial Data</w:t>
      </w:r>
      <w:bookmarkEnd w:id="23"/>
      <w:r>
        <w:rPr>
          <w:color w:val="002060"/>
        </w:rPr>
        <w:t xml:space="preserve"> </w:t>
      </w:r>
    </w:p>
    <w:p w14:paraId="4A27FF1A" w14:textId="24299898" w:rsidR="0016739D" w:rsidRDefault="0016739D" w:rsidP="001D639D">
      <w:pPr>
        <w:spacing w:after="0" w:line="240" w:lineRule="auto"/>
        <w:ind w:left="0" w:firstLine="0"/>
        <w:contextualSpacing/>
      </w:pPr>
      <w:r>
        <w:t xml:space="preserve">The State contracted Milliman </w:t>
      </w:r>
      <w:r w:rsidR="00FA0E93">
        <w:t xml:space="preserve">to conduct a budget neutrality analysis </w:t>
      </w:r>
      <w:r w:rsidR="00314C8C">
        <w:t xml:space="preserve">and </w:t>
      </w:r>
      <w:r w:rsidR="00FA0E93">
        <w:t xml:space="preserve">provide historical and projected expenditures for the ESRD demonstration.  As illustrated by Table </w:t>
      </w:r>
      <w:r w:rsidR="000C63AD">
        <w:t>6</w:t>
      </w:r>
      <w:r w:rsidR="00FA0E93">
        <w:t xml:space="preserve">, Table </w:t>
      </w:r>
      <w:r w:rsidR="000C63AD">
        <w:t xml:space="preserve">7 </w:t>
      </w:r>
      <w:r w:rsidR="00FA0E93">
        <w:t xml:space="preserve">and Table </w:t>
      </w:r>
      <w:r w:rsidR="000C63AD">
        <w:t>8</w:t>
      </w:r>
      <w:r w:rsidR="00FA0E93">
        <w:t>, the ESRD demonstration remains budget neutral.</w:t>
      </w:r>
      <w:r w:rsidR="00722639">
        <w:t xml:space="preserve">  The budget neutrality analysis </w:t>
      </w:r>
      <w:r w:rsidR="00A555C1">
        <w:t>is posted for review concurrently with this renewal request.</w:t>
      </w:r>
    </w:p>
    <w:p w14:paraId="14EFD188" w14:textId="74B44144" w:rsidR="00FA0E93" w:rsidRDefault="00FA0E93" w:rsidP="001D639D">
      <w:pPr>
        <w:spacing w:after="0" w:line="240" w:lineRule="auto"/>
        <w:ind w:left="0" w:firstLine="0"/>
        <w:contextualSpacing/>
      </w:pPr>
    </w:p>
    <w:p w14:paraId="4B3032A1" w14:textId="66189F5B" w:rsidR="00014D26" w:rsidRDefault="00FA0E93" w:rsidP="0056445F">
      <w:pPr>
        <w:spacing w:after="0" w:line="240" w:lineRule="auto"/>
        <w:ind w:left="0" w:firstLine="0"/>
        <w:contextualSpacing/>
      </w:pPr>
      <w:bookmarkStart w:id="24" w:name="_Hlk36195610"/>
      <w:r w:rsidRPr="00FA0E93">
        <w:rPr>
          <w:b/>
          <w:bCs/>
        </w:rPr>
        <w:t xml:space="preserve">Table </w:t>
      </w:r>
      <w:r w:rsidR="009151C8">
        <w:rPr>
          <w:b/>
          <w:bCs/>
        </w:rPr>
        <w:t>6</w:t>
      </w:r>
      <w:r w:rsidR="00F4707B">
        <w:rPr>
          <w:b/>
          <w:bCs/>
        </w:rPr>
        <w:t xml:space="preserve">: </w:t>
      </w:r>
      <w:r w:rsidRPr="00FA0E93">
        <w:rPr>
          <w:b/>
          <w:bCs/>
        </w:rPr>
        <w:t>Historical ESRD Expenditures, 2018.</w:t>
      </w:r>
      <w:bookmarkEnd w:id="24"/>
      <w:r w:rsidR="00014D26" w:rsidDel="00014D26">
        <w:t xml:space="preserve"> </w:t>
      </w:r>
    </w:p>
    <w:tbl>
      <w:tblPr>
        <w:tblStyle w:val="GridTable4-Accent1"/>
        <w:tblW w:w="6040" w:type="dxa"/>
        <w:tblLook w:val="04A0" w:firstRow="1" w:lastRow="0" w:firstColumn="1" w:lastColumn="0" w:noHBand="0" w:noVBand="1"/>
      </w:tblPr>
      <w:tblGrid>
        <w:gridCol w:w="3860"/>
        <w:gridCol w:w="2180"/>
      </w:tblGrid>
      <w:tr w:rsidR="00014D26" w:rsidRPr="008526E8" w14:paraId="5BA70D83" w14:textId="77777777" w:rsidTr="001D639D">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60" w:type="dxa"/>
            <w:tcBorders>
              <w:top w:val="none" w:sz="0" w:space="0" w:color="auto"/>
              <w:left w:val="none" w:sz="0" w:space="0" w:color="auto"/>
              <w:bottom w:val="none" w:sz="0" w:space="0" w:color="auto"/>
            </w:tcBorders>
            <w:noWrap/>
            <w:hideMark/>
          </w:tcPr>
          <w:p w14:paraId="1313253B" w14:textId="77777777" w:rsidR="00014D26" w:rsidRPr="008526E8" w:rsidRDefault="00014D26" w:rsidP="002A256A">
            <w:pPr>
              <w:ind w:left="0" w:firstLine="0"/>
            </w:pPr>
            <w:r w:rsidRPr="008526E8">
              <w:rPr>
                <w:color w:val="FFFFFF" w:themeColor="background1"/>
              </w:rPr>
              <w:t xml:space="preserve">TOTAL EXPENDITURES </w:t>
            </w:r>
          </w:p>
        </w:tc>
        <w:tc>
          <w:tcPr>
            <w:tcW w:w="2180" w:type="dxa"/>
            <w:tcBorders>
              <w:top w:val="none" w:sz="0" w:space="0" w:color="auto"/>
              <w:bottom w:val="none" w:sz="0" w:space="0" w:color="auto"/>
              <w:right w:val="none" w:sz="0" w:space="0" w:color="auto"/>
            </w:tcBorders>
            <w:noWrap/>
            <w:hideMark/>
          </w:tcPr>
          <w:p w14:paraId="6087FAA2" w14:textId="77777777" w:rsidR="00014D26" w:rsidRPr="008526E8" w:rsidRDefault="00014D26" w:rsidP="002A256A">
            <w:pPr>
              <w:ind w:left="0" w:firstLine="0"/>
              <w:cnfStyle w:val="100000000000" w:firstRow="1" w:lastRow="0" w:firstColumn="0" w:lastColumn="0" w:oddVBand="0" w:evenVBand="0" w:oddHBand="0" w:evenHBand="0" w:firstRowFirstColumn="0" w:firstRowLastColumn="0" w:lastRowFirstColumn="0" w:lastRowLastColumn="0"/>
            </w:pPr>
            <w:r w:rsidRPr="008526E8">
              <w:rPr>
                <w:color w:val="FFFFFF" w:themeColor="background1"/>
              </w:rPr>
              <w:t xml:space="preserve">$1,460,202 </w:t>
            </w:r>
          </w:p>
        </w:tc>
      </w:tr>
      <w:tr w:rsidR="00014D26" w:rsidRPr="008526E8" w14:paraId="7EA569A5" w14:textId="77777777" w:rsidTr="001D639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860" w:type="dxa"/>
            <w:vAlign w:val="center"/>
            <w:hideMark/>
          </w:tcPr>
          <w:p w14:paraId="32BE53AD" w14:textId="77777777" w:rsidR="00014D26" w:rsidRPr="008526E8" w:rsidRDefault="00014D26" w:rsidP="002A256A">
            <w:pPr>
              <w:ind w:left="0" w:firstLine="0"/>
              <w:jc w:val="left"/>
            </w:pPr>
            <w:r w:rsidRPr="008526E8">
              <w:t xml:space="preserve">ELIGIBLE MEMBER MONTHS </w:t>
            </w:r>
          </w:p>
        </w:tc>
        <w:tc>
          <w:tcPr>
            <w:tcW w:w="2180" w:type="dxa"/>
            <w:hideMark/>
          </w:tcPr>
          <w:p w14:paraId="4A9CDBB4" w14:textId="77777777" w:rsidR="00014D26" w:rsidRPr="008526E8" w:rsidRDefault="00014D26" w:rsidP="002A256A">
            <w:pPr>
              <w:ind w:left="0" w:firstLine="0"/>
              <w:cnfStyle w:val="000000100000" w:firstRow="0" w:lastRow="0" w:firstColumn="0" w:lastColumn="0" w:oddVBand="0" w:evenVBand="0" w:oddHBand="1" w:evenHBand="0" w:firstRowFirstColumn="0" w:firstRowLastColumn="0" w:lastRowFirstColumn="0" w:lastRowLastColumn="0"/>
            </w:pPr>
            <w:r w:rsidRPr="008526E8">
              <w:t xml:space="preserve">2,805 </w:t>
            </w:r>
          </w:p>
        </w:tc>
      </w:tr>
      <w:tr w:rsidR="00014D26" w:rsidRPr="008526E8" w14:paraId="054D22B3" w14:textId="77777777" w:rsidTr="001D639D">
        <w:trPr>
          <w:trHeight w:val="270"/>
        </w:trPr>
        <w:tc>
          <w:tcPr>
            <w:cnfStyle w:val="001000000000" w:firstRow="0" w:lastRow="0" w:firstColumn="1" w:lastColumn="0" w:oddVBand="0" w:evenVBand="0" w:oddHBand="0" w:evenHBand="0" w:firstRowFirstColumn="0" w:firstRowLastColumn="0" w:lastRowFirstColumn="0" w:lastRowLastColumn="0"/>
            <w:tcW w:w="3860" w:type="dxa"/>
            <w:hideMark/>
          </w:tcPr>
          <w:p w14:paraId="2AD2D64E" w14:textId="77777777" w:rsidR="00014D26" w:rsidRPr="008526E8" w:rsidRDefault="00014D26" w:rsidP="002A256A">
            <w:pPr>
              <w:ind w:left="0" w:firstLine="0"/>
            </w:pPr>
            <w:r w:rsidRPr="008526E8">
              <w:t xml:space="preserve">PMPM COST </w:t>
            </w:r>
          </w:p>
        </w:tc>
        <w:tc>
          <w:tcPr>
            <w:tcW w:w="2180" w:type="dxa"/>
            <w:hideMark/>
          </w:tcPr>
          <w:p w14:paraId="75742F72" w14:textId="77777777" w:rsidR="00014D26" w:rsidRPr="008526E8" w:rsidRDefault="00014D26" w:rsidP="002A256A">
            <w:pPr>
              <w:ind w:left="0" w:firstLine="0"/>
              <w:cnfStyle w:val="000000000000" w:firstRow="0" w:lastRow="0" w:firstColumn="0" w:lastColumn="0" w:oddVBand="0" w:evenVBand="0" w:oddHBand="0" w:evenHBand="0" w:firstRowFirstColumn="0" w:firstRowLastColumn="0" w:lastRowFirstColumn="0" w:lastRowLastColumn="0"/>
            </w:pPr>
            <w:r w:rsidRPr="008526E8">
              <w:t xml:space="preserve">$520.57 </w:t>
            </w:r>
          </w:p>
        </w:tc>
      </w:tr>
    </w:tbl>
    <w:p w14:paraId="3AFBAB53" w14:textId="77777777" w:rsidR="00014D26" w:rsidRDefault="00014D26" w:rsidP="001D639D">
      <w:pPr>
        <w:spacing w:after="0" w:line="240" w:lineRule="auto"/>
        <w:ind w:left="0" w:firstLine="0"/>
        <w:contextualSpacing/>
      </w:pPr>
    </w:p>
    <w:p w14:paraId="4870F5C4" w14:textId="77777777" w:rsidR="00E10F10" w:rsidRDefault="00E10F10" w:rsidP="001D639D">
      <w:pPr>
        <w:spacing w:after="0" w:line="240" w:lineRule="auto"/>
        <w:ind w:left="0" w:firstLine="0"/>
        <w:contextualSpacing/>
      </w:pPr>
    </w:p>
    <w:p w14:paraId="30913ED7" w14:textId="77777777" w:rsidR="00E10F10" w:rsidRDefault="00E10F10" w:rsidP="001D639D">
      <w:pPr>
        <w:spacing w:after="0" w:line="240" w:lineRule="auto"/>
        <w:ind w:left="0" w:firstLine="0"/>
        <w:contextualSpacing/>
      </w:pPr>
    </w:p>
    <w:p w14:paraId="4F249865" w14:textId="77777777" w:rsidR="00E10F10" w:rsidRDefault="00E10F10" w:rsidP="001D639D">
      <w:pPr>
        <w:spacing w:after="0" w:line="240" w:lineRule="auto"/>
        <w:ind w:left="0" w:firstLine="0"/>
        <w:contextualSpacing/>
      </w:pPr>
    </w:p>
    <w:p w14:paraId="49F72FCF" w14:textId="77777777" w:rsidR="00E10F10" w:rsidRDefault="00E10F10" w:rsidP="001D639D">
      <w:pPr>
        <w:spacing w:after="0" w:line="240" w:lineRule="auto"/>
        <w:ind w:left="0" w:firstLine="0"/>
        <w:contextualSpacing/>
      </w:pPr>
    </w:p>
    <w:p w14:paraId="2AF1FF3A" w14:textId="77777777" w:rsidR="00E10F10" w:rsidRDefault="00E10F10" w:rsidP="001D639D">
      <w:pPr>
        <w:spacing w:after="0" w:line="240" w:lineRule="auto"/>
        <w:ind w:left="0" w:firstLine="0"/>
        <w:contextualSpacing/>
      </w:pPr>
    </w:p>
    <w:p w14:paraId="20D9248C" w14:textId="77777777" w:rsidR="00E10F10" w:rsidRDefault="00E10F10" w:rsidP="001D639D">
      <w:pPr>
        <w:spacing w:after="0" w:line="240" w:lineRule="auto"/>
        <w:ind w:left="0" w:firstLine="0"/>
        <w:contextualSpacing/>
      </w:pPr>
    </w:p>
    <w:p w14:paraId="455BC57B" w14:textId="77777777" w:rsidR="00E10F10" w:rsidRDefault="00E10F10" w:rsidP="001D639D">
      <w:pPr>
        <w:spacing w:after="0" w:line="240" w:lineRule="auto"/>
        <w:ind w:left="0" w:firstLine="0"/>
        <w:contextualSpacing/>
      </w:pPr>
    </w:p>
    <w:p w14:paraId="53738A09" w14:textId="59A6491D" w:rsidR="00014D26" w:rsidDel="0065583A" w:rsidRDefault="0052039D" w:rsidP="0056445F">
      <w:pPr>
        <w:spacing w:after="0" w:line="240" w:lineRule="auto"/>
        <w:ind w:left="0" w:firstLine="0"/>
        <w:contextualSpacing/>
        <w:rPr>
          <w:b/>
          <w:bCs/>
        </w:rPr>
      </w:pPr>
      <w:r w:rsidRPr="0052039D">
        <w:rPr>
          <w:b/>
          <w:bCs/>
        </w:rPr>
        <w:lastRenderedPageBreak/>
        <w:t xml:space="preserve">Table </w:t>
      </w:r>
      <w:r w:rsidR="009151C8">
        <w:rPr>
          <w:b/>
          <w:bCs/>
        </w:rPr>
        <w:t>7:</w:t>
      </w:r>
      <w:r w:rsidRPr="0052039D">
        <w:rPr>
          <w:b/>
          <w:bCs/>
        </w:rPr>
        <w:t xml:space="preserve"> </w:t>
      </w:r>
      <w:r>
        <w:rPr>
          <w:b/>
          <w:bCs/>
        </w:rPr>
        <w:t>Projected ESRD Expenditures Without Waiver Authority, 2021 – 2025.</w:t>
      </w:r>
      <w:r w:rsidR="00014D26" w:rsidDel="00014D26">
        <w:rPr>
          <w:b/>
          <w:bCs/>
        </w:rPr>
        <w:t xml:space="preserve"> </w:t>
      </w:r>
    </w:p>
    <w:tbl>
      <w:tblPr>
        <w:tblStyle w:val="GridTable4-Accent11"/>
        <w:tblW w:w="9535" w:type="dxa"/>
        <w:tblLayout w:type="fixed"/>
        <w:tblLook w:val="04A0" w:firstRow="1" w:lastRow="0" w:firstColumn="1" w:lastColumn="0" w:noHBand="0" w:noVBand="1"/>
      </w:tblPr>
      <w:tblGrid>
        <w:gridCol w:w="1345"/>
        <w:gridCol w:w="630"/>
        <w:gridCol w:w="540"/>
        <w:gridCol w:w="540"/>
        <w:gridCol w:w="90"/>
        <w:gridCol w:w="990"/>
        <w:gridCol w:w="1080"/>
        <w:gridCol w:w="1080"/>
        <w:gridCol w:w="1080"/>
        <w:gridCol w:w="990"/>
        <w:gridCol w:w="90"/>
        <w:gridCol w:w="1080"/>
        <w:tblGridChange w:id="25">
          <w:tblGrid>
            <w:gridCol w:w="1345"/>
            <w:gridCol w:w="630"/>
            <w:gridCol w:w="540"/>
            <w:gridCol w:w="540"/>
            <w:gridCol w:w="90"/>
            <w:gridCol w:w="990"/>
            <w:gridCol w:w="1080"/>
            <w:gridCol w:w="1080"/>
            <w:gridCol w:w="1080"/>
            <w:gridCol w:w="990"/>
            <w:gridCol w:w="90"/>
            <w:gridCol w:w="1080"/>
          </w:tblGrid>
        </w:tblGridChange>
      </w:tblGrid>
      <w:tr w:rsidR="00014D26" w:rsidRPr="00014D26" w14:paraId="4B0513E9" w14:textId="77777777" w:rsidTr="001D639D">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345" w:type="dxa"/>
            <w:noWrap/>
            <w:vAlign w:val="bottom"/>
            <w:hideMark/>
          </w:tcPr>
          <w:p w14:paraId="12834D78" w14:textId="77777777" w:rsidR="00014D26" w:rsidRPr="00014D26" w:rsidRDefault="00014D26" w:rsidP="001D639D">
            <w:pPr>
              <w:spacing w:after="0" w:line="240" w:lineRule="auto"/>
              <w:ind w:left="0" w:firstLine="0"/>
              <w:contextualSpacing/>
              <w:jc w:val="center"/>
            </w:pPr>
            <w:r w:rsidRPr="00014D26">
              <w:rPr>
                <w:rFonts w:asciiTheme="minorHAnsi" w:hAnsiTheme="minorHAnsi" w:cstheme="minorHAnsi"/>
                <w:color w:val="FFFFFF" w:themeColor="background1"/>
              </w:rPr>
              <w:t xml:space="preserve">ESRD </w:t>
            </w:r>
            <w:r w:rsidRPr="00014D26">
              <w:rPr>
                <w:color w:val="FFFFFF" w:themeColor="background1"/>
              </w:rPr>
              <w:t>MEG 1</w:t>
            </w:r>
          </w:p>
        </w:tc>
        <w:tc>
          <w:tcPr>
            <w:tcW w:w="630" w:type="dxa"/>
            <w:noWrap/>
            <w:vAlign w:val="bottom"/>
            <w:hideMark/>
          </w:tcPr>
          <w:p w14:paraId="523FB209" w14:textId="77777777" w:rsidR="00014D26" w:rsidRPr="00014D26" w:rsidRDefault="00014D26" w:rsidP="0056445F">
            <w:pPr>
              <w:spacing w:after="0" w:line="240" w:lineRule="auto"/>
              <w:ind w:left="0" w:firstLine="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p>
        </w:tc>
        <w:tc>
          <w:tcPr>
            <w:tcW w:w="540" w:type="dxa"/>
            <w:noWrap/>
            <w:hideMark/>
          </w:tcPr>
          <w:p w14:paraId="709DDB02" w14:textId="77777777" w:rsidR="00014D26" w:rsidRPr="00014D26" w:rsidRDefault="00014D26" w:rsidP="00014D26">
            <w:pPr>
              <w:spacing w:after="0" w:line="240" w:lineRule="auto"/>
              <w:ind w:left="0" w:firstLine="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p>
        </w:tc>
        <w:tc>
          <w:tcPr>
            <w:tcW w:w="630" w:type="dxa"/>
            <w:gridSpan w:val="2"/>
            <w:noWrap/>
            <w:hideMark/>
          </w:tcPr>
          <w:p w14:paraId="72E7D076" w14:textId="77777777" w:rsidR="00014D26" w:rsidRPr="00014D26" w:rsidRDefault="00014D26" w:rsidP="00014D26">
            <w:pPr>
              <w:spacing w:after="0" w:line="240" w:lineRule="auto"/>
              <w:ind w:left="0" w:firstLine="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p>
        </w:tc>
        <w:tc>
          <w:tcPr>
            <w:tcW w:w="990" w:type="dxa"/>
            <w:noWrap/>
            <w:hideMark/>
          </w:tcPr>
          <w:p w14:paraId="42353F12" w14:textId="77777777" w:rsidR="00014D26" w:rsidRPr="00014D26" w:rsidRDefault="00014D26" w:rsidP="00014D26">
            <w:pPr>
              <w:spacing w:after="0" w:line="240" w:lineRule="auto"/>
              <w:ind w:left="0" w:firstLine="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p>
        </w:tc>
        <w:tc>
          <w:tcPr>
            <w:tcW w:w="1080" w:type="dxa"/>
            <w:noWrap/>
            <w:hideMark/>
          </w:tcPr>
          <w:p w14:paraId="0FC1674A" w14:textId="77777777" w:rsidR="00014D26" w:rsidRPr="00014D26" w:rsidRDefault="00014D26" w:rsidP="00014D26">
            <w:pPr>
              <w:spacing w:after="0" w:line="240" w:lineRule="auto"/>
              <w:ind w:left="0" w:firstLine="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p>
        </w:tc>
        <w:tc>
          <w:tcPr>
            <w:tcW w:w="1080" w:type="dxa"/>
            <w:noWrap/>
            <w:hideMark/>
          </w:tcPr>
          <w:p w14:paraId="09A43BE2" w14:textId="77777777" w:rsidR="00014D26" w:rsidRPr="00014D26" w:rsidRDefault="00014D26" w:rsidP="00014D26">
            <w:pPr>
              <w:spacing w:after="0" w:line="240" w:lineRule="auto"/>
              <w:ind w:left="0" w:firstLine="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p>
        </w:tc>
        <w:tc>
          <w:tcPr>
            <w:tcW w:w="1080" w:type="dxa"/>
            <w:noWrap/>
            <w:hideMark/>
          </w:tcPr>
          <w:p w14:paraId="7C99F0D7" w14:textId="77777777" w:rsidR="00014D26" w:rsidRPr="00014D26" w:rsidRDefault="00014D26" w:rsidP="00014D26">
            <w:pPr>
              <w:spacing w:after="0" w:line="240" w:lineRule="auto"/>
              <w:contextualSpacing/>
              <w:cnfStyle w:val="100000000000" w:firstRow="1" w:lastRow="0" w:firstColumn="0" w:lastColumn="0" w:oddVBand="0" w:evenVBand="0" w:oddHBand="0" w:evenHBand="0" w:firstRowFirstColumn="0" w:firstRowLastColumn="0" w:lastRowFirstColumn="0" w:lastRowLastColumn="0"/>
            </w:pPr>
          </w:p>
        </w:tc>
        <w:tc>
          <w:tcPr>
            <w:tcW w:w="990" w:type="dxa"/>
            <w:noWrap/>
            <w:hideMark/>
          </w:tcPr>
          <w:p w14:paraId="38B95A99" w14:textId="77777777" w:rsidR="00014D26" w:rsidRPr="00014D26" w:rsidRDefault="00014D26" w:rsidP="00014D26">
            <w:pPr>
              <w:spacing w:after="0" w:line="240" w:lineRule="auto"/>
              <w:contextualSpacing/>
              <w:cnfStyle w:val="100000000000" w:firstRow="1" w:lastRow="0" w:firstColumn="0" w:lastColumn="0" w:oddVBand="0" w:evenVBand="0" w:oddHBand="0" w:evenHBand="0" w:firstRowFirstColumn="0" w:firstRowLastColumn="0" w:lastRowFirstColumn="0" w:lastRowLastColumn="0"/>
            </w:pPr>
          </w:p>
        </w:tc>
        <w:tc>
          <w:tcPr>
            <w:tcW w:w="1170" w:type="dxa"/>
            <w:gridSpan w:val="2"/>
            <w:noWrap/>
            <w:hideMark/>
          </w:tcPr>
          <w:p w14:paraId="39D5680A" w14:textId="77777777" w:rsidR="00014D26" w:rsidRPr="00014D26" w:rsidRDefault="00014D26" w:rsidP="00014D26">
            <w:pPr>
              <w:spacing w:after="0" w:line="240" w:lineRule="auto"/>
              <w:contextualSpacing/>
              <w:cnfStyle w:val="100000000000" w:firstRow="1" w:lastRow="0" w:firstColumn="0" w:lastColumn="0" w:oddVBand="0" w:evenVBand="0" w:oddHBand="0" w:evenHBand="0" w:firstRowFirstColumn="0" w:firstRowLastColumn="0" w:lastRowFirstColumn="0" w:lastRowLastColumn="0"/>
            </w:pPr>
          </w:p>
        </w:tc>
      </w:tr>
      <w:tr w:rsidR="00014D26" w:rsidRPr="00014D26" w14:paraId="3D63B23B" w14:textId="77777777" w:rsidTr="002A256A">
        <w:trPr>
          <w:cnfStyle w:val="000000100000" w:firstRow="0" w:lastRow="0" w:firstColumn="0" w:lastColumn="0" w:oddVBand="0" w:evenVBand="0" w:oddHBand="1" w:evenHBand="0" w:firstRowFirstColumn="0" w:firstRowLastColumn="0" w:lastRowFirstColumn="0" w:lastRowLastColumn="0"/>
          <w:trHeight w:val="912"/>
        </w:trPr>
        <w:tc>
          <w:tcPr>
            <w:cnfStyle w:val="001000000000" w:firstRow="0" w:lastRow="0" w:firstColumn="1" w:lastColumn="0" w:oddVBand="0" w:evenVBand="0" w:oddHBand="0" w:evenHBand="0" w:firstRowFirstColumn="0" w:firstRowLastColumn="0" w:lastRowFirstColumn="0" w:lastRowLastColumn="0"/>
            <w:tcW w:w="1345" w:type="dxa"/>
            <w:vAlign w:val="center"/>
            <w:hideMark/>
          </w:tcPr>
          <w:p w14:paraId="1CD9A80A" w14:textId="77777777" w:rsidR="00014D26" w:rsidRPr="00014D26" w:rsidRDefault="00014D26" w:rsidP="00014D26">
            <w:pPr>
              <w:spacing w:after="0" w:line="240" w:lineRule="auto"/>
              <w:ind w:left="0" w:firstLine="0"/>
              <w:contextualSpacing/>
              <w:jc w:val="center"/>
              <w:rPr>
                <w:rFonts w:asciiTheme="minorHAnsi" w:hAnsiTheme="minorHAnsi" w:cstheme="minorHAnsi"/>
                <w:b w:val="0"/>
                <w:bCs w:val="0"/>
              </w:rPr>
            </w:pPr>
            <w:r w:rsidRPr="00014D26">
              <w:rPr>
                <w:rFonts w:asciiTheme="minorHAnsi" w:hAnsiTheme="minorHAnsi" w:cstheme="minorHAnsi"/>
              </w:rPr>
              <w:t>Eligible Member Months</w:t>
            </w:r>
          </w:p>
        </w:tc>
        <w:tc>
          <w:tcPr>
            <w:tcW w:w="630" w:type="dxa"/>
            <w:noWrap/>
            <w:vAlign w:val="center"/>
            <w:hideMark/>
          </w:tcPr>
          <w:p w14:paraId="65104BAA" w14:textId="77777777" w:rsidR="00014D26" w:rsidRPr="00014D26" w:rsidRDefault="00014D26" w:rsidP="00014D26">
            <w:pPr>
              <w:spacing w:after="0" w:line="240" w:lineRule="auto"/>
              <w:ind w:left="-90" w:right="-108" w:firstLine="0"/>
              <w:contextualSpacing/>
              <w:jc w:val="center"/>
              <w:cnfStyle w:val="000000100000" w:firstRow="0" w:lastRow="0" w:firstColumn="0" w:lastColumn="0" w:oddVBand="0" w:evenVBand="0" w:oddHBand="1" w:evenHBand="0" w:firstRowFirstColumn="0" w:firstRowLastColumn="0" w:lastRowFirstColumn="0" w:lastRowLastColumn="0"/>
              <w:rPr>
                <w:sz w:val="21"/>
                <w:szCs w:val="21"/>
              </w:rPr>
            </w:pPr>
            <w:r w:rsidRPr="00014D26">
              <w:rPr>
                <w:rFonts w:asciiTheme="minorHAnsi" w:hAnsiTheme="minorHAnsi" w:cstheme="minorHAnsi"/>
                <w:sz w:val="21"/>
                <w:szCs w:val="21"/>
              </w:rPr>
              <w:t>n.</w:t>
            </w:r>
            <w:r w:rsidRPr="00014D26">
              <w:rPr>
                <w:sz w:val="21"/>
                <w:szCs w:val="21"/>
              </w:rPr>
              <w:t>a.</w:t>
            </w:r>
          </w:p>
        </w:tc>
        <w:tc>
          <w:tcPr>
            <w:tcW w:w="540" w:type="dxa"/>
            <w:noWrap/>
            <w:vAlign w:val="center"/>
            <w:hideMark/>
          </w:tcPr>
          <w:p w14:paraId="3D33B643" w14:textId="77777777" w:rsidR="00014D26" w:rsidRPr="00014D26" w:rsidRDefault="00014D26" w:rsidP="00014D26">
            <w:pPr>
              <w:spacing w:after="0" w:line="240" w:lineRule="auto"/>
              <w:ind w:left="-165" w:right="-108" w:firstLine="0"/>
              <w:contextualSpacing/>
              <w:jc w:val="center"/>
              <w:cnfStyle w:val="000000100000" w:firstRow="0" w:lastRow="0" w:firstColumn="0" w:lastColumn="0" w:oddVBand="0" w:evenVBand="0" w:oddHBand="1" w:evenHBand="0" w:firstRowFirstColumn="0" w:firstRowLastColumn="0" w:lastRowFirstColumn="0" w:lastRowLastColumn="0"/>
              <w:rPr>
                <w:sz w:val="21"/>
                <w:szCs w:val="21"/>
              </w:rPr>
            </w:pPr>
            <w:r w:rsidRPr="00014D26">
              <w:rPr>
                <w:rFonts w:asciiTheme="minorHAnsi" w:hAnsiTheme="minorHAnsi" w:cstheme="minorHAnsi"/>
                <w:sz w:val="21"/>
                <w:szCs w:val="21"/>
              </w:rPr>
              <w:t>n.</w:t>
            </w:r>
            <w:r w:rsidRPr="00014D26">
              <w:rPr>
                <w:sz w:val="21"/>
                <w:szCs w:val="21"/>
              </w:rPr>
              <w:t>a.</w:t>
            </w:r>
          </w:p>
        </w:tc>
        <w:tc>
          <w:tcPr>
            <w:tcW w:w="540" w:type="dxa"/>
            <w:noWrap/>
            <w:vAlign w:val="center"/>
            <w:hideMark/>
          </w:tcPr>
          <w:p w14:paraId="03E40BB3" w14:textId="77777777" w:rsidR="00014D26" w:rsidRPr="00014D26" w:rsidRDefault="00014D26" w:rsidP="00014D26">
            <w:pPr>
              <w:spacing w:after="0" w:line="240" w:lineRule="auto"/>
              <w:ind w:left="-108" w:right="-108" w:firstLine="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14D26">
              <w:rPr>
                <w:rFonts w:asciiTheme="minorHAnsi" w:hAnsiTheme="minorHAnsi" w:cstheme="minorHAnsi"/>
                <w:sz w:val="21"/>
                <w:szCs w:val="21"/>
              </w:rPr>
              <w:t>2,805</w:t>
            </w:r>
          </w:p>
        </w:tc>
        <w:tc>
          <w:tcPr>
            <w:tcW w:w="1080" w:type="dxa"/>
            <w:gridSpan w:val="2"/>
            <w:noWrap/>
            <w:vAlign w:val="center"/>
            <w:hideMark/>
          </w:tcPr>
          <w:p w14:paraId="5EA17FF5" w14:textId="77777777" w:rsidR="00014D26" w:rsidRPr="00014D26" w:rsidRDefault="00014D26" w:rsidP="00014D26">
            <w:pPr>
              <w:spacing w:after="0" w:line="240" w:lineRule="auto"/>
              <w:ind w:left="0" w:firstLine="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14D26">
              <w:rPr>
                <w:rFonts w:asciiTheme="minorHAnsi" w:hAnsiTheme="minorHAnsi" w:cstheme="minorHAnsi"/>
                <w:sz w:val="21"/>
                <w:szCs w:val="21"/>
              </w:rPr>
              <w:t>2,805</w:t>
            </w:r>
          </w:p>
        </w:tc>
        <w:tc>
          <w:tcPr>
            <w:tcW w:w="1080" w:type="dxa"/>
            <w:noWrap/>
            <w:vAlign w:val="center"/>
            <w:hideMark/>
          </w:tcPr>
          <w:p w14:paraId="74B6C11A" w14:textId="77777777" w:rsidR="00014D26" w:rsidRPr="00014D26" w:rsidRDefault="00014D26" w:rsidP="00014D26">
            <w:pPr>
              <w:spacing w:after="0" w:line="240" w:lineRule="auto"/>
              <w:ind w:left="0" w:firstLine="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14D26">
              <w:rPr>
                <w:rFonts w:asciiTheme="minorHAnsi" w:hAnsiTheme="minorHAnsi" w:cstheme="minorHAnsi"/>
                <w:sz w:val="21"/>
                <w:szCs w:val="21"/>
              </w:rPr>
              <w:t>2,805</w:t>
            </w:r>
          </w:p>
        </w:tc>
        <w:tc>
          <w:tcPr>
            <w:tcW w:w="1080" w:type="dxa"/>
            <w:noWrap/>
            <w:vAlign w:val="center"/>
            <w:hideMark/>
          </w:tcPr>
          <w:p w14:paraId="221B0041" w14:textId="77777777" w:rsidR="00014D26" w:rsidRPr="00014D26" w:rsidRDefault="00014D26" w:rsidP="00014D26">
            <w:pPr>
              <w:spacing w:after="0" w:line="240" w:lineRule="auto"/>
              <w:ind w:left="0" w:firstLine="0"/>
              <w:contextualSpacing/>
              <w:jc w:val="center"/>
              <w:cnfStyle w:val="000000100000" w:firstRow="0" w:lastRow="0" w:firstColumn="0" w:lastColumn="0" w:oddVBand="0" w:evenVBand="0" w:oddHBand="1" w:evenHBand="0" w:firstRowFirstColumn="0" w:firstRowLastColumn="0" w:lastRowFirstColumn="0" w:lastRowLastColumn="0"/>
              <w:rPr>
                <w:sz w:val="21"/>
                <w:szCs w:val="21"/>
              </w:rPr>
            </w:pPr>
            <w:r w:rsidRPr="00014D26">
              <w:rPr>
                <w:rFonts w:asciiTheme="minorHAnsi" w:hAnsiTheme="minorHAnsi" w:cstheme="minorHAnsi"/>
                <w:sz w:val="21"/>
                <w:szCs w:val="21"/>
              </w:rPr>
              <w:t>2,805</w:t>
            </w:r>
          </w:p>
        </w:tc>
        <w:tc>
          <w:tcPr>
            <w:tcW w:w="1080" w:type="dxa"/>
            <w:noWrap/>
            <w:vAlign w:val="center"/>
            <w:hideMark/>
          </w:tcPr>
          <w:p w14:paraId="00E57032" w14:textId="77777777" w:rsidR="00014D26" w:rsidRPr="00014D26" w:rsidRDefault="00014D26" w:rsidP="00014D26">
            <w:pPr>
              <w:spacing w:after="0" w:line="240" w:lineRule="auto"/>
              <w:ind w:left="-108" w:right="-108"/>
              <w:contextualSpacing/>
              <w:jc w:val="center"/>
              <w:cnfStyle w:val="000000100000" w:firstRow="0" w:lastRow="0" w:firstColumn="0" w:lastColumn="0" w:oddVBand="0" w:evenVBand="0" w:oddHBand="1" w:evenHBand="0" w:firstRowFirstColumn="0" w:firstRowLastColumn="0" w:lastRowFirstColumn="0" w:lastRowLastColumn="0"/>
              <w:rPr>
                <w:sz w:val="21"/>
                <w:szCs w:val="21"/>
              </w:rPr>
            </w:pPr>
            <w:r w:rsidRPr="00014D26">
              <w:rPr>
                <w:sz w:val="21"/>
                <w:szCs w:val="21"/>
              </w:rPr>
              <w:t>2,805</w:t>
            </w:r>
          </w:p>
        </w:tc>
        <w:tc>
          <w:tcPr>
            <w:tcW w:w="1080" w:type="dxa"/>
            <w:gridSpan w:val="2"/>
            <w:noWrap/>
            <w:vAlign w:val="center"/>
            <w:hideMark/>
          </w:tcPr>
          <w:p w14:paraId="7D0DD293" w14:textId="77777777" w:rsidR="00014D26" w:rsidRPr="00014D26" w:rsidRDefault="00014D26" w:rsidP="00014D26">
            <w:pPr>
              <w:spacing w:after="0" w:line="240" w:lineRule="auto"/>
              <w:ind w:left="-108" w:right="-103"/>
              <w:contextualSpacing/>
              <w:jc w:val="center"/>
              <w:cnfStyle w:val="000000100000" w:firstRow="0" w:lastRow="0" w:firstColumn="0" w:lastColumn="0" w:oddVBand="0" w:evenVBand="0" w:oddHBand="1" w:evenHBand="0" w:firstRowFirstColumn="0" w:firstRowLastColumn="0" w:lastRowFirstColumn="0" w:lastRowLastColumn="0"/>
              <w:rPr>
                <w:sz w:val="21"/>
                <w:szCs w:val="21"/>
              </w:rPr>
            </w:pPr>
            <w:r w:rsidRPr="00014D26">
              <w:rPr>
                <w:sz w:val="21"/>
                <w:szCs w:val="21"/>
              </w:rPr>
              <w:t>2,805</w:t>
            </w:r>
          </w:p>
        </w:tc>
        <w:tc>
          <w:tcPr>
            <w:tcW w:w="1080" w:type="dxa"/>
            <w:noWrap/>
            <w:hideMark/>
          </w:tcPr>
          <w:p w14:paraId="16545C40" w14:textId="77777777" w:rsidR="00014D26" w:rsidRPr="00014D26" w:rsidRDefault="00014D26" w:rsidP="00014D26">
            <w:pPr>
              <w:spacing w:after="0" w:line="240" w:lineRule="auto"/>
              <w:ind w:left="-96" w:right="-183"/>
              <w:contextualSpacing/>
              <w:cnfStyle w:val="000000100000" w:firstRow="0" w:lastRow="0" w:firstColumn="0" w:lastColumn="0" w:oddVBand="0" w:evenVBand="0" w:oddHBand="1" w:evenHBand="0" w:firstRowFirstColumn="0" w:firstRowLastColumn="0" w:lastRowFirstColumn="0" w:lastRowLastColumn="0"/>
              <w:rPr>
                <w:sz w:val="21"/>
                <w:szCs w:val="21"/>
              </w:rPr>
            </w:pPr>
            <w:r w:rsidRPr="00014D26">
              <w:rPr>
                <w:sz w:val="21"/>
                <w:szCs w:val="21"/>
              </w:rPr>
              <w:t> </w:t>
            </w:r>
          </w:p>
        </w:tc>
      </w:tr>
      <w:tr w:rsidR="00014D26" w:rsidRPr="00014D26" w14:paraId="3987BE68" w14:textId="77777777" w:rsidTr="002A256A">
        <w:trPr>
          <w:trHeight w:val="642"/>
        </w:trPr>
        <w:tc>
          <w:tcPr>
            <w:cnfStyle w:val="001000000000" w:firstRow="0" w:lastRow="0" w:firstColumn="1" w:lastColumn="0" w:oddVBand="0" w:evenVBand="0" w:oddHBand="0" w:evenHBand="0" w:firstRowFirstColumn="0" w:firstRowLastColumn="0" w:lastRowFirstColumn="0" w:lastRowLastColumn="0"/>
            <w:tcW w:w="1345" w:type="dxa"/>
            <w:vAlign w:val="center"/>
            <w:hideMark/>
          </w:tcPr>
          <w:p w14:paraId="34B95701" w14:textId="77777777" w:rsidR="00014D26" w:rsidRPr="00014D26" w:rsidRDefault="00014D26" w:rsidP="00014D26">
            <w:pPr>
              <w:spacing w:after="0" w:line="240" w:lineRule="auto"/>
              <w:ind w:left="0" w:firstLine="0"/>
              <w:contextualSpacing/>
              <w:jc w:val="center"/>
              <w:rPr>
                <w:rFonts w:asciiTheme="minorHAnsi" w:hAnsiTheme="minorHAnsi" w:cstheme="minorHAnsi"/>
                <w:b w:val="0"/>
                <w:bCs w:val="0"/>
              </w:rPr>
            </w:pPr>
            <w:r w:rsidRPr="00014D26">
              <w:rPr>
                <w:rFonts w:asciiTheme="minorHAnsi" w:hAnsiTheme="minorHAnsi" w:cstheme="minorHAnsi"/>
              </w:rPr>
              <w:t>PMPM Cost</w:t>
            </w:r>
          </w:p>
        </w:tc>
        <w:tc>
          <w:tcPr>
            <w:tcW w:w="630" w:type="dxa"/>
            <w:noWrap/>
            <w:vAlign w:val="center"/>
            <w:hideMark/>
          </w:tcPr>
          <w:p w14:paraId="454B8579" w14:textId="77777777" w:rsidR="00014D26" w:rsidRPr="00014D26" w:rsidRDefault="00014D26" w:rsidP="00014D26">
            <w:pPr>
              <w:spacing w:after="0" w:line="240" w:lineRule="auto"/>
              <w:ind w:left="-108" w:right="-108" w:firstLine="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14D26">
              <w:rPr>
                <w:rFonts w:asciiTheme="minorHAnsi" w:hAnsiTheme="minorHAnsi" w:cstheme="minorHAnsi"/>
                <w:sz w:val="21"/>
                <w:szCs w:val="21"/>
              </w:rPr>
              <w:t>4.6%</w:t>
            </w:r>
          </w:p>
        </w:tc>
        <w:tc>
          <w:tcPr>
            <w:tcW w:w="540" w:type="dxa"/>
            <w:noWrap/>
            <w:vAlign w:val="center"/>
            <w:hideMark/>
          </w:tcPr>
          <w:p w14:paraId="7D4C5110" w14:textId="77777777" w:rsidR="00014D26" w:rsidRPr="00014D26" w:rsidRDefault="00014D26" w:rsidP="00014D26">
            <w:pPr>
              <w:spacing w:after="0" w:line="240" w:lineRule="auto"/>
              <w:ind w:left="-194" w:right="-122" w:firstLine="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14D26">
              <w:rPr>
                <w:rFonts w:asciiTheme="minorHAnsi" w:hAnsiTheme="minorHAnsi" w:cstheme="minorHAnsi"/>
                <w:sz w:val="21"/>
                <w:szCs w:val="21"/>
              </w:rPr>
              <w:t>36</w:t>
            </w:r>
          </w:p>
        </w:tc>
        <w:tc>
          <w:tcPr>
            <w:tcW w:w="540" w:type="dxa"/>
            <w:noWrap/>
            <w:vAlign w:val="center"/>
            <w:hideMark/>
          </w:tcPr>
          <w:p w14:paraId="73CED868" w14:textId="77777777" w:rsidR="00014D26" w:rsidRPr="00014D26" w:rsidRDefault="00014D26" w:rsidP="00014D26">
            <w:pPr>
              <w:spacing w:after="0" w:line="240" w:lineRule="auto"/>
              <w:ind w:left="-148" w:right="-93" w:firstLine="0"/>
              <w:contextualSpacing/>
              <w:jc w:val="center"/>
              <w:cnfStyle w:val="000000000000" w:firstRow="0" w:lastRow="0" w:firstColumn="0" w:lastColumn="0" w:oddVBand="0" w:evenVBand="0" w:oddHBand="0" w:evenHBand="0" w:firstRowFirstColumn="0" w:firstRowLastColumn="0" w:lastRowFirstColumn="0" w:lastRowLastColumn="0"/>
              <w:rPr>
                <w:sz w:val="21"/>
                <w:szCs w:val="21"/>
              </w:rPr>
            </w:pPr>
            <w:r w:rsidRPr="00014D26">
              <w:rPr>
                <w:rFonts w:asciiTheme="minorHAnsi" w:hAnsiTheme="minorHAnsi" w:cstheme="minorHAnsi"/>
                <w:sz w:val="21"/>
                <w:szCs w:val="21"/>
              </w:rPr>
              <w:t>$</w:t>
            </w:r>
            <w:r w:rsidRPr="00014D26">
              <w:rPr>
                <w:sz w:val="21"/>
                <w:szCs w:val="21"/>
              </w:rPr>
              <w:t>521</w:t>
            </w:r>
          </w:p>
        </w:tc>
        <w:tc>
          <w:tcPr>
            <w:tcW w:w="1080" w:type="dxa"/>
            <w:gridSpan w:val="2"/>
            <w:noWrap/>
            <w:vAlign w:val="center"/>
            <w:hideMark/>
          </w:tcPr>
          <w:p w14:paraId="615108E3" w14:textId="77777777" w:rsidR="00014D26" w:rsidRPr="00014D26" w:rsidRDefault="00014D26" w:rsidP="00014D26">
            <w:pPr>
              <w:spacing w:after="0" w:line="240" w:lineRule="auto"/>
              <w:ind w:left="0" w:firstLine="0"/>
              <w:contextualSpacing/>
              <w:jc w:val="center"/>
              <w:cnfStyle w:val="000000000000" w:firstRow="0" w:lastRow="0" w:firstColumn="0" w:lastColumn="0" w:oddVBand="0" w:evenVBand="0" w:oddHBand="0" w:evenHBand="0" w:firstRowFirstColumn="0" w:firstRowLastColumn="0" w:lastRowFirstColumn="0" w:lastRowLastColumn="0"/>
              <w:rPr>
                <w:sz w:val="21"/>
                <w:szCs w:val="21"/>
              </w:rPr>
            </w:pPr>
            <w:r w:rsidRPr="00014D26">
              <w:rPr>
                <w:rFonts w:asciiTheme="minorHAnsi" w:hAnsiTheme="minorHAnsi" w:cstheme="minorHAnsi"/>
                <w:sz w:val="21"/>
                <w:szCs w:val="21"/>
              </w:rPr>
              <w:t>$596</w:t>
            </w:r>
          </w:p>
        </w:tc>
        <w:tc>
          <w:tcPr>
            <w:tcW w:w="1080" w:type="dxa"/>
            <w:noWrap/>
            <w:vAlign w:val="center"/>
            <w:hideMark/>
          </w:tcPr>
          <w:p w14:paraId="7CCED716" w14:textId="77777777" w:rsidR="00014D26" w:rsidRPr="00014D26" w:rsidRDefault="00014D26" w:rsidP="00014D26">
            <w:pPr>
              <w:spacing w:after="0" w:line="240" w:lineRule="auto"/>
              <w:ind w:left="0" w:firstLine="0"/>
              <w:contextualSpacing/>
              <w:jc w:val="center"/>
              <w:cnfStyle w:val="000000000000" w:firstRow="0" w:lastRow="0" w:firstColumn="0" w:lastColumn="0" w:oddVBand="0" w:evenVBand="0" w:oddHBand="0" w:evenHBand="0" w:firstRowFirstColumn="0" w:firstRowLastColumn="0" w:lastRowFirstColumn="0" w:lastRowLastColumn="0"/>
              <w:rPr>
                <w:sz w:val="21"/>
                <w:szCs w:val="21"/>
              </w:rPr>
            </w:pPr>
            <w:r w:rsidRPr="00014D26">
              <w:rPr>
                <w:rFonts w:asciiTheme="minorHAnsi" w:hAnsiTheme="minorHAnsi" w:cstheme="minorHAnsi"/>
                <w:sz w:val="21"/>
                <w:szCs w:val="21"/>
              </w:rPr>
              <w:t>$</w:t>
            </w:r>
            <w:r w:rsidRPr="00014D26">
              <w:rPr>
                <w:sz w:val="21"/>
                <w:szCs w:val="21"/>
              </w:rPr>
              <w:t>623</w:t>
            </w:r>
          </w:p>
        </w:tc>
        <w:tc>
          <w:tcPr>
            <w:tcW w:w="1080" w:type="dxa"/>
            <w:noWrap/>
            <w:vAlign w:val="center"/>
            <w:hideMark/>
          </w:tcPr>
          <w:p w14:paraId="261E530A" w14:textId="77777777" w:rsidR="00014D26" w:rsidRPr="00014D26" w:rsidRDefault="00014D26" w:rsidP="00014D26">
            <w:pPr>
              <w:spacing w:after="0" w:line="240" w:lineRule="auto"/>
              <w:ind w:left="0" w:firstLine="0"/>
              <w:contextualSpacing/>
              <w:jc w:val="center"/>
              <w:cnfStyle w:val="000000000000" w:firstRow="0" w:lastRow="0" w:firstColumn="0" w:lastColumn="0" w:oddVBand="0" w:evenVBand="0" w:oddHBand="0" w:evenHBand="0" w:firstRowFirstColumn="0" w:firstRowLastColumn="0" w:lastRowFirstColumn="0" w:lastRowLastColumn="0"/>
              <w:rPr>
                <w:sz w:val="21"/>
                <w:szCs w:val="21"/>
              </w:rPr>
            </w:pPr>
            <w:r w:rsidRPr="00014D26">
              <w:rPr>
                <w:sz w:val="21"/>
                <w:szCs w:val="21"/>
              </w:rPr>
              <w:t>$652</w:t>
            </w:r>
          </w:p>
        </w:tc>
        <w:tc>
          <w:tcPr>
            <w:tcW w:w="1080" w:type="dxa"/>
            <w:noWrap/>
            <w:vAlign w:val="center"/>
            <w:hideMark/>
          </w:tcPr>
          <w:p w14:paraId="74647DC6" w14:textId="77777777" w:rsidR="00014D26" w:rsidRPr="00014D26" w:rsidRDefault="00014D26" w:rsidP="00014D26">
            <w:pPr>
              <w:spacing w:after="0" w:line="240" w:lineRule="auto"/>
              <w:ind w:left="-18" w:right="-108"/>
              <w:contextualSpacing/>
              <w:jc w:val="center"/>
              <w:cnfStyle w:val="000000000000" w:firstRow="0" w:lastRow="0" w:firstColumn="0" w:lastColumn="0" w:oddVBand="0" w:evenVBand="0" w:oddHBand="0" w:evenHBand="0" w:firstRowFirstColumn="0" w:firstRowLastColumn="0" w:lastRowFirstColumn="0" w:lastRowLastColumn="0"/>
              <w:rPr>
                <w:sz w:val="21"/>
                <w:szCs w:val="21"/>
              </w:rPr>
            </w:pPr>
            <w:r w:rsidRPr="00014D26">
              <w:rPr>
                <w:sz w:val="21"/>
                <w:szCs w:val="21"/>
              </w:rPr>
              <w:t>$682</w:t>
            </w:r>
          </w:p>
        </w:tc>
        <w:tc>
          <w:tcPr>
            <w:tcW w:w="1080" w:type="dxa"/>
            <w:gridSpan w:val="2"/>
            <w:noWrap/>
            <w:vAlign w:val="center"/>
            <w:hideMark/>
          </w:tcPr>
          <w:p w14:paraId="4E39F849" w14:textId="77777777" w:rsidR="00014D26" w:rsidRPr="00014D26" w:rsidRDefault="00014D26" w:rsidP="00014D26">
            <w:pPr>
              <w:spacing w:after="0" w:line="240" w:lineRule="auto"/>
              <w:ind w:left="-108" w:right="-108" w:firstLine="0"/>
              <w:contextualSpacing/>
              <w:jc w:val="center"/>
              <w:cnfStyle w:val="000000000000" w:firstRow="0" w:lastRow="0" w:firstColumn="0" w:lastColumn="0" w:oddVBand="0" w:evenVBand="0" w:oddHBand="0" w:evenHBand="0" w:firstRowFirstColumn="0" w:firstRowLastColumn="0" w:lastRowFirstColumn="0" w:lastRowLastColumn="0"/>
              <w:rPr>
                <w:sz w:val="21"/>
                <w:szCs w:val="21"/>
              </w:rPr>
            </w:pPr>
            <w:r w:rsidRPr="00014D26">
              <w:rPr>
                <w:sz w:val="21"/>
                <w:szCs w:val="21"/>
              </w:rPr>
              <w:t>$713</w:t>
            </w:r>
          </w:p>
        </w:tc>
        <w:tc>
          <w:tcPr>
            <w:tcW w:w="1080" w:type="dxa"/>
            <w:noWrap/>
            <w:hideMark/>
          </w:tcPr>
          <w:p w14:paraId="20F6DCF7" w14:textId="77777777" w:rsidR="00014D26" w:rsidRPr="00014D26" w:rsidRDefault="00014D26" w:rsidP="00014D26">
            <w:pPr>
              <w:spacing w:after="0" w:line="240" w:lineRule="auto"/>
              <w:ind w:left="-96" w:right="-102"/>
              <w:contextualSpacing/>
              <w:cnfStyle w:val="000000000000" w:firstRow="0" w:lastRow="0" w:firstColumn="0" w:lastColumn="0" w:oddVBand="0" w:evenVBand="0" w:oddHBand="0" w:evenHBand="0" w:firstRowFirstColumn="0" w:firstRowLastColumn="0" w:lastRowFirstColumn="0" w:lastRowLastColumn="0"/>
              <w:rPr>
                <w:sz w:val="21"/>
                <w:szCs w:val="21"/>
              </w:rPr>
            </w:pPr>
            <w:r w:rsidRPr="00014D26">
              <w:rPr>
                <w:sz w:val="21"/>
                <w:szCs w:val="21"/>
              </w:rPr>
              <w:t> </w:t>
            </w:r>
          </w:p>
        </w:tc>
      </w:tr>
      <w:tr w:rsidR="00014D26" w:rsidRPr="00014D26" w14:paraId="0A92EAF7" w14:textId="77777777" w:rsidTr="002A256A">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345" w:type="dxa"/>
            <w:vAlign w:val="center"/>
            <w:hideMark/>
          </w:tcPr>
          <w:p w14:paraId="27A06AFB" w14:textId="77777777" w:rsidR="00014D26" w:rsidRPr="00014D26" w:rsidRDefault="00014D26" w:rsidP="00014D26">
            <w:pPr>
              <w:spacing w:after="0" w:line="240" w:lineRule="auto"/>
              <w:ind w:left="0" w:firstLine="0"/>
              <w:contextualSpacing/>
              <w:jc w:val="center"/>
              <w:rPr>
                <w:rFonts w:asciiTheme="minorHAnsi" w:hAnsiTheme="minorHAnsi" w:cstheme="minorHAnsi"/>
                <w:b w:val="0"/>
                <w:bCs w:val="0"/>
              </w:rPr>
            </w:pPr>
            <w:r w:rsidRPr="00014D26">
              <w:rPr>
                <w:rFonts w:asciiTheme="minorHAnsi" w:hAnsiTheme="minorHAnsi" w:cstheme="minorHAnsi"/>
              </w:rPr>
              <w:t>Total Expenditure</w:t>
            </w:r>
          </w:p>
        </w:tc>
        <w:tc>
          <w:tcPr>
            <w:tcW w:w="630" w:type="dxa"/>
            <w:noWrap/>
            <w:hideMark/>
          </w:tcPr>
          <w:p w14:paraId="5034F8CC" w14:textId="77777777" w:rsidR="00014D26" w:rsidRPr="00014D26" w:rsidRDefault="00014D26" w:rsidP="00014D26">
            <w:pPr>
              <w:spacing w:after="0" w:line="240" w:lineRule="auto"/>
              <w:ind w:left="0" w:firstLine="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14D26">
              <w:rPr>
                <w:rFonts w:asciiTheme="minorHAnsi" w:hAnsiTheme="minorHAnsi" w:cstheme="minorHAnsi"/>
                <w:sz w:val="21"/>
                <w:szCs w:val="21"/>
              </w:rPr>
              <w:t> </w:t>
            </w:r>
          </w:p>
        </w:tc>
        <w:tc>
          <w:tcPr>
            <w:tcW w:w="540" w:type="dxa"/>
            <w:noWrap/>
            <w:hideMark/>
          </w:tcPr>
          <w:p w14:paraId="1B398D3E" w14:textId="77777777" w:rsidR="00014D26" w:rsidRPr="00014D26" w:rsidRDefault="00014D26" w:rsidP="00014D26">
            <w:pPr>
              <w:spacing w:after="0" w:line="240" w:lineRule="auto"/>
              <w:ind w:left="0" w:firstLine="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14D26">
              <w:rPr>
                <w:rFonts w:asciiTheme="minorHAnsi" w:hAnsiTheme="minorHAnsi" w:cstheme="minorHAnsi"/>
                <w:sz w:val="21"/>
                <w:szCs w:val="21"/>
              </w:rPr>
              <w:t> </w:t>
            </w:r>
          </w:p>
        </w:tc>
        <w:tc>
          <w:tcPr>
            <w:tcW w:w="540" w:type="dxa"/>
            <w:noWrap/>
            <w:hideMark/>
          </w:tcPr>
          <w:p w14:paraId="09EC42EB" w14:textId="77777777" w:rsidR="00014D26" w:rsidRPr="00014D26" w:rsidRDefault="00014D26" w:rsidP="00014D26">
            <w:pPr>
              <w:spacing w:after="0" w:line="240" w:lineRule="auto"/>
              <w:ind w:left="-108" w:right="-93" w:firstLine="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1080" w:type="dxa"/>
            <w:gridSpan w:val="2"/>
            <w:noWrap/>
            <w:vAlign w:val="center"/>
            <w:hideMark/>
          </w:tcPr>
          <w:p w14:paraId="47CFD81C" w14:textId="77777777" w:rsidR="00014D26" w:rsidRPr="00014D26" w:rsidRDefault="00014D26" w:rsidP="00014D26">
            <w:pPr>
              <w:spacing w:after="0" w:line="240" w:lineRule="auto"/>
              <w:ind w:left="-123" w:right="-123" w:firstLine="0"/>
              <w:contextualSpacing/>
              <w:jc w:val="center"/>
              <w:cnfStyle w:val="000000100000" w:firstRow="0" w:lastRow="0" w:firstColumn="0" w:lastColumn="0" w:oddVBand="0" w:evenVBand="0" w:oddHBand="1" w:evenHBand="0" w:firstRowFirstColumn="0" w:firstRowLastColumn="0" w:lastRowFirstColumn="0" w:lastRowLastColumn="0"/>
              <w:rPr>
                <w:sz w:val="21"/>
                <w:szCs w:val="21"/>
              </w:rPr>
            </w:pPr>
            <w:r w:rsidRPr="00014D26">
              <w:rPr>
                <w:rFonts w:asciiTheme="minorHAnsi" w:hAnsiTheme="minorHAnsi" w:cstheme="minorHAnsi"/>
                <w:sz w:val="21"/>
                <w:szCs w:val="21"/>
              </w:rPr>
              <w:t>$</w:t>
            </w:r>
            <w:r w:rsidRPr="00014D26">
              <w:rPr>
                <w:sz w:val="21"/>
                <w:szCs w:val="21"/>
              </w:rPr>
              <w:t>1,671,135</w:t>
            </w:r>
          </w:p>
        </w:tc>
        <w:tc>
          <w:tcPr>
            <w:tcW w:w="1080" w:type="dxa"/>
            <w:noWrap/>
            <w:vAlign w:val="center"/>
            <w:hideMark/>
          </w:tcPr>
          <w:p w14:paraId="0BA2807E" w14:textId="77777777" w:rsidR="00014D26" w:rsidRPr="00014D26" w:rsidRDefault="00014D26" w:rsidP="00014D26">
            <w:pPr>
              <w:spacing w:after="0" w:line="240" w:lineRule="auto"/>
              <w:ind w:left="-108" w:right="-87" w:firstLine="0"/>
              <w:contextualSpacing/>
              <w:jc w:val="center"/>
              <w:cnfStyle w:val="000000100000" w:firstRow="0" w:lastRow="0" w:firstColumn="0" w:lastColumn="0" w:oddVBand="0" w:evenVBand="0" w:oddHBand="1" w:evenHBand="0" w:firstRowFirstColumn="0" w:firstRowLastColumn="0" w:lastRowFirstColumn="0" w:lastRowLastColumn="0"/>
              <w:rPr>
                <w:sz w:val="21"/>
                <w:szCs w:val="21"/>
              </w:rPr>
            </w:pPr>
            <w:r w:rsidRPr="00014D26">
              <w:rPr>
                <w:rFonts w:asciiTheme="minorHAnsi" w:hAnsiTheme="minorHAnsi" w:cstheme="minorHAnsi"/>
                <w:sz w:val="21"/>
                <w:szCs w:val="21"/>
              </w:rPr>
              <w:t>$</w:t>
            </w:r>
            <w:r w:rsidRPr="00014D26">
              <w:rPr>
                <w:sz w:val="21"/>
                <w:szCs w:val="21"/>
              </w:rPr>
              <w:t>1,748,020</w:t>
            </w:r>
          </w:p>
        </w:tc>
        <w:tc>
          <w:tcPr>
            <w:tcW w:w="1080" w:type="dxa"/>
            <w:noWrap/>
            <w:vAlign w:val="center"/>
            <w:hideMark/>
          </w:tcPr>
          <w:p w14:paraId="74281ED6" w14:textId="77777777" w:rsidR="00014D26" w:rsidRPr="00014D26" w:rsidRDefault="00014D26" w:rsidP="00014D26">
            <w:pPr>
              <w:spacing w:after="0" w:line="240" w:lineRule="auto"/>
              <w:ind w:left="-108" w:right="-93" w:firstLine="0"/>
              <w:contextualSpacing/>
              <w:jc w:val="center"/>
              <w:cnfStyle w:val="000000100000" w:firstRow="0" w:lastRow="0" w:firstColumn="0" w:lastColumn="0" w:oddVBand="0" w:evenVBand="0" w:oddHBand="1" w:evenHBand="0" w:firstRowFirstColumn="0" w:firstRowLastColumn="0" w:lastRowFirstColumn="0" w:lastRowLastColumn="0"/>
              <w:rPr>
                <w:sz w:val="21"/>
                <w:szCs w:val="21"/>
              </w:rPr>
            </w:pPr>
            <w:r w:rsidRPr="00014D26">
              <w:rPr>
                <w:rFonts w:asciiTheme="minorHAnsi" w:hAnsiTheme="minorHAnsi" w:cstheme="minorHAnsi"/>
                <w:sz w:val="21"/>
                <w:szCs w:val="21"/>
              </w:rPr>
              <w:t>$</w:t>
            </w:r>
            <w:r w:rsidRPr="00014D26">
              <w:rPr>
                <w:sz w:val="21"/>
                <w:szCs w:val="21"/>
              </w:rPr>
              <w:t>1,828,439</w:t>
            </w:r>
          </w:p>
        </w:tc>
        <w:tc>
          <w:tcPr>
            <w:tcW w:w="1080" w:type="dxa"/>
            <w:noWrap/>
            <w:vAlign w:val="center"/>
            <w:hideMark/>
          </w:tcPr>
          <w:p w14:paraId="4233F95E" w14:textId="77777777" w:rsidR="00014D26" w:rsidRPr="00014D26" w:rsidRDefault="00014D26" w:rsidP="00014D26">
            <w:pPr>
              <w:spacing w:after="0" w:line="240" w:lineRule="auto"/>
              <w:ind w:left="-108" w:right="-120"/>
              <w:contextualSpacing/>
              <w:jc w:val="center"/>
              <w:cnfStyle w:val="000000100000" w:firstRow="0" w:lastRow="0" w:firstColumn="0" w:lastColumn="0" w:oddVBand="0" w:evenVBand="0" w:oddHBand="1" w:evenHBand="0" w:firstRowFirstColumn="0" w:firstRowLastColumn="0" w:lastRowFirstColumn="0" w:lastRowLastColumn="0"/>
              <w:rPr>
                <w:sz w:val="21"/>
                <w:szCs w:val="21"/>
              </w:rPr>
            </w:pPr>
            <w:r w:rsidRPr="00014D26">
              <w:rPr>
                <w:sz w:val="21"/>
                <w:szCs w:val="21"/>
              </w:rPr>
              <w:t>$1,912,561</w:t>
            </w:r>
          </w:p>
        </w:tc>
        <w:tc>
          <w:tcPr>
            <w:tcW w:w="1080" w:type="dxa"/>
            <w:gridSpan w:val="2"/>
            <w:noWrap/>
            <w:vAlign w:val="center"/>
            <w:hideMark/>
          </w:tcPr>
          <w:p w14:paraId="5EF26E47" w14:textId="77777777" w:rsidR="00014D26" w:rsidRPr="00014D26" w:rsidRDefault="00014D26" w:rsidP="00014D26">
            <w:pPr>
              <w:spacing w:after="0" w:line="240" w:lineRule="auto"/>
              <w:ind w:left="-118" w:right="-93"/>
              <w:contextualSpacing/>
              <w:jc w:val="center"/>
              <w:cnfStyle w:val="000000100000" w:firstRow="0" w:lastRow="0" w:firstColumn="0" w:lastColumn="0" w:oddVBand="0" w:evenVBand="0" w:oddHBand="1" w:evenHBand="0" w:firstRowFirstColumn="0" w:firstRowLastColumn="0" w:lastRowFirstColumn="0" w:lastRowLastColumn="0"/>
              <w:rPr>
                <w:sz w:val="21"/>
                <w:szCs w:val="21"/>
              </w:rPr>
            </w:pPr>
            <w:r w:rsidRPr="00014D26">
              <w:rPr>
                <w:sz w:val="21"/>
                <w:szCs w:val="21"/>
              </w:rPr>
              <w:t>$2,000,526</w:t>
            </w:r>
          </w:p>
        </w:tc>
        <w:tc>
          <w:tcPr>
            <w:tcW w:w="1080" w:type="dxa"/>
            <w:noWrap/>
            <w:vAlign w:val="center"/>
            <w:hideMark/>
          </w:tcPr>
          <w:p w14:paraId="157D7F8C" w14:textId="77777777" w:rsidR="00014D26" w:rsidRPr="00014D26" w:rsidRDefault="00014D26" w:rsidP="00014D26">
            <w:pPr>
              <w:spacing w:after="0" w:line="240" w:lineRule="auto"/>
              <w:ind w:left="-108" w:right="-102"/>
              <w:contextualSpacing/>
              <w:jc w:val="center"/>
              <w:cnfStyle w:val="000000100000" w:firstRow="0" w:lastRow="0" w:firstColumn="0" w:lastColumn="0" w:oddVBand="0" w:evenVBand="0" w:oddHBand="1" w:evenHBand="0" w:firstRowFirstColumn="0" w:firstRowLastColumn="0" w:lastRowFirstColumn="0" w:lastRowLastColumn="0"/>
              <w:rPr>
                <w:sz w:val="21"/>
                <w:szCs w:val="21"/>
              </w:rPr>
            </w:pPr>
            <w:r w:rsidRPr="00014D26">
              <w:rPr>
                <w:sz w:val="21"/>
                <w:szCs w:val="21"/>
              </w:rPr>
              <w:t>$9,160,681</w:t>
            </w:r>
          </w:p>
        </w:tc>
      </w:tr>
    </w:tbl>
    <w:p w14:paraId="01F60AFE" w14:textId="77777777" w:rsidR="0065583A" w:rsidRPr="0052039D" w:rsidRDefault="0065583A" w:rsidP="001D639D">
      <w:pPr>
        <w:spacing w:after="0" w:line="240" w:lineRule="auto"/>
        <w:ind w:left="0" w:firstLine="0"/>
        <w:contextualSpacing/>
        <w:rPr>
          <w:b/>
          <w:bCs/>
        </w:rPr>
      </w:pPr>
    </w:p>
    <w:p w14:paraId="733D6D47" w14:textId="77777777" w:rsidR="00014D26" w:rsidRDefault="00014D26" w:rsidP="001D639D">
      <w:pPr>
        <w:spacing w:after="0" w:line="240" w:lineRule="auto"/>
        <w:ind w:left="0" w:firstLine="0"/>
        <w:contextualSpacing/>
        <w:rPr>
          <w:b/>
          <w:bCs/>
        </w:rPr>
      </w:pPr>
    </w:p>
    <w:p w14:paraId="598C0BCF" w14:textId="5B4FBC51" w:rsidR="00014D26" w:rsidRDefault="00315126" w:rsidP="001D639D">
      <w:pPr>
        <w:spacing w:after="0" w:line="240" w:lineRule="auto"/>
        <w:ind w:left="0" w:firstLine="0"/>
        <w:contextualSpacing/>
        <w:rPr>
          <w:color w:val="002060"/>
        </w:rPr>
      </w:pPr>
      <w:r w:rsidRPr="0052039D">
        <w:rPr>
          <w:b/>
          <w:bCs/>
        </w:rPr>
        <w:t xml:space="preserve">Table </w:t>
      </w:r>
      <w:r w:rsidR="000C63AD">
        <w:rPr>
          <w:b/>
          <w:bCs/>
        </w:rPr>
        <w:t>8</w:t>
      </w:r>
      <w:r w:rsidR="009151C8">
        <w:rPr>
          <w:b/>
          <w:bCs/>
        </w:rPr>
        <w:t>:</w:t>
      </w:r>
      <w:r w:rsidRPr="0052039D">
        <w:rPr>
          <w:b/>
          <w:bCs/>
        </w:rPr>
        <w:t xml:space="preserve"> </w:t>
      </w:r>
      <w:r>
        <w:rPr>
          <w:b/>
          <w:bCs/>
        </w:rPr>
        <w:t>Projected ESRD Expenditures With Waiver Authority, 2021 – 2025.</w:t>
      </w:r>
      <w:r w:rsidR="00014D26" w:rsidDel="00014D26">
        <w:rPr>
          <w:b/>
          <w:bCs/>
        </w:rPr>
        <w:t xml:space="preserve"> </w:t>
      </w:r>
    </w:p>
    <w:tbl>
      <w:tblPr>
        <w:tblStyle w:val="GridTable4-Accent1"/>
        <w:tblW w:w="9705" w:type="dxa"/>
        <w:tblBorders>
          <w:right w:val="none" w:sz="0" w:space="0" w:color="auto"/>
        </w:tblBorders>
        <w:tblLook w:val="04A0" w:firstRow="1" w:lastRow="0" w:firstColumn="1" w:lastColumn="0" w:noHBand="0" w:noVBand="1"/>
      </w:tblPr>
      <w:tblGrid>
        <w:gridCol w:w="1525"/>
        <w:gridCol w:w="544"/>
        <w:gridCol w:w="536"/>
        <w:gridCol w:w="630"/>
        <w:gridCol w:w="1080"/>
        <w:gridCol w:w="1080"/>
        <w:gridCol w:w="1080"/>
        <w:gridCol w:w="1089"/>
        <w:gridCol w:w="1044"/>
        <w:gridCol w:w="393"/>
        <w:gridCol w:w="704"/>
      </w:tblGrid>
      <w:tr w:rsidR="00657492" w:rsidRPr="008526E8" w14:paraId="296862CD" w14:textId="77777777" w:rsidTr="001D639D">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525" w:type="dxa"/>
            <w:tcBorders>
              <w:top w:val="nil"/>
              <w:left w:val="nil"/>
              <w:bottom w:val="single" w:sz="4" w:space="0" w:color="8EAADB" w:themeColor="accent1" w:themeTint="99"/>
            </w:tcBorders>
            <w:noWrap/>
            <w:vAlign w:val="bottom"/>
            <w:hideMark/>
          </w:tcPr>
          <w:p w14:paraId="6CADDA24" w14:textId="77777777" w:rsidR="00657492" w:rsidRPr="001219FB" w:rsidRDefault="00657492" w:rsidP="0056445F">
            <w:pPr>
              <w:spacing w:after="0" w:line="240" w:lineRule="auto"/>
              <w:ind w:left="0" w:firstLine="0"/>
              <w:contextualSpacing/>
              <w:jc w:val="center"/>
              <w:rPr>
                <w:color w:val="FFFFFF" w:themeColor="background1"/>
              </w:rPr>
            </w:pPr>
            <w:r w:rsidRPr="008526E8">
              <w:rPr>
                <w:rFonts w:asciiTheme="minorHAnsi" w:hAnsiTheme="minorHAnsi" w:cstheme="minorHAnsi"/>
                <w:color w:val="FFFFFF" w:themeColor="background1"/>
              </w:rPr>
              <w:t>ESRD</w:t>
            </w:r>
            <w:r w:rsidRPr="006E4957">
              <w:rPr>
                <w:rFonts w:asciiTheme="minorHAnsi" w:hAnsiTheme="minorHAnsi" w:cstheme="minorHAnsi"/>
                <w:color w:val="FFFFFF" w:themeColor="background1"/>
              </w:rPr>
              <w:t xml:space="preserve"> </w:t>
            </w:r>
            <w:r w:rsidRPr="001219FB">
              <w:rPr>
                <w:color w:val="FFFFFF" w:themeColor="background1"/>
              </w:rPr>
              <w:t>MEG 1</w:t>
            </w:r>
          </w:p>
        </w:tc>
        <w:tc>
          <w:tcPr>
            <w:tcW w:w="544" w:type="dxa"/>
            <w:tcBorders>
              <w:top w:val="nil"/>
              <w:bottom w:val="single" w:sz="4" w:space="0" w:color="8EAADB" w:themeColor="accent1" w:themeTint="99"/>
            </w:tcBorders>
            <w:noWrap/>
            <w:hideMark/>
          </w:tcPr>
          <w:p w14:paraId="64967E07" w14:textId="77777777" w:rsidR="00657492" w:rsidRPr="008526E8" w:rsidRDefault="00657492" w:rsidP="00657492">
            <w:pPr>
              <w:spacing w:after="0" w:line="240" w:lineRule="auto"/>
              <w:ind w:left="0" w:firstLine="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p>
        </w:tc>
        <w:tc>
          <w:tcPr>
            <w:tcW w:w="536" w:type="dxa"/>
            <w:tcBorders>
              <w:top w:val="nil"/>
              <w:bottom w:val="single" w:sz="4" w:space="0" w:color="8EAADB" w:themeColor="accent1" w:themeTint="99"/>
            </w:tcBorders>
            <w:noWrap/>
          </w:tcPr>
          <w:p w14:paraId="7C6DC28F" w14:textId="77777777" w:rsidR="00657492" w:rsidRPr="008526E8" w:rsidRDefault="00657492" w:rsidP="00657492">
            <w:pPr>
              <w:spacing w:after="0" w:line="240" w:lineRule="auto"/>
              <w:ind w:left="0" w:firstLine="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p>
        </w:tc>
        <w:tc>
          <w:tcPr>
            <w:tcW w:w="630" w:type="dxa"/>
            <w:tcBorders>
              <w:top w:val="nil"/>
              <w:bottom w:val="single" w:sz="4" w:space="0" w:color="8EAADB" w:themeColor="accent1" w:themeTint="99"/>
            </w:tcBorders>
            <w:noWrap/>
            <w:hideMark/>
          </w:tcPr>
          <w:p w14:paraId="19CDD6FF" w14:textId="77777777" w:rsidR="00657492" w:rsidRPr="008526E8" w:rsidRDefault="00657492" w:rsidP="00657492">
            <w:pPr>
              <w:spacing w:after="0" w:line="240" w:lineRule="auto"/>
              <w:ind w:left="0" w:firstLine="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p>
        </w:tc>
        <w:tc>
          <w:tcPr>
            <w:tcW w:w="1080" w:type="dxa"/>
            <w:tcBorders>
              <w:top w:val="nil"/>
              <w:bottom w:val="single" w:sz="4" w:space="0" w:color="8EAADB" w:themeColor="accent1" w:themeTint="99"/>
            </w:tcBorders>
            <w:noWrap/>
            <w:hideMark/>
          </w:tcPr>
          <w:p w14:paraId="08BDAF9C" w14:textId="77777777" w:rsidR="00657492" w:rsidRPr="008526E8" w:rsidRDefault="00657492" w:rsidP="00657492">
            <w:pPr>
              <w:spacing w:after="0" w:line="240" w:lineRule="auto"/>
              <w:ind w:left="0" w:firstLine="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p>
        </w:tc>
        <w:tc>
          <w:tcPr>
            <w:tcW w:w="1080" w:type="dxa"/>
            <w:tcBorders>
              <w:top w:val="nil"/>
              <w:bottom w:val="single" w:sz="4" w:space="0" w:color="8EAADB" w:themeColor="accent1" w:themeTint="99"/>
            </w:tcBorders>
            <w:noWrap/>
            <w:hideMark/>
          </w:tcPr>
          <w:p w14:paraId="7006A546" w14:textId="77777777" w:rsidR="00657492" w:rsidRPr="008526E8" w:rsidRDefault="00657492" w:rsidP="00657492">
            <w:pPr>
              <w:spacing w:after="0" w:line="240" w:lineRule="auto"/>
              <w:ind w:left="0" w:firstLine="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p>
        </w:tc>
        <w:tc>
          <w:tcPr>
            <w:tcW w:w="1080" w:type="dxa"/>
            <w:tcBorders>
              <w:top w:val="nil"/>
              <w:bottom w:val="single" w:sz="4" w:space="0" w:color="8EAADB" w:themeColor="accent1" w:themeTint="99"/>
            </w:tcBorders>
            <w:noWrap/>
          </w:tcPr>
          <w:p w14:paraId="49FF51B6" w14:textId="77777777" w:rsidR="00657492" w:rsidRPr="008526E8" w:rsidRDefault="00657492" w:rsidP="00657492">
            <w:pPr>
              <w:spacing w:after="0" w:line="240" w:lineRule="auto"/>
              <w:ind w:left="0" w:firstLine="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p>
        </w:tc>
        <w:tc>
          <w:tcPr>
            <w:tcW w:w="1089" w:type="dxa"/>
            <w:tcBorders>
              <w:top w:val="nil"/>
              <w:bottom w:val="single" w:sz="4" w:space="0" w:color="8EAADB" w:themeColor="accent1" w:themeTint="99"/>
            </w:tcBorders>
            <w:noWrap/>
          </w:tcPr>
          <w:p w14:paraId="62EE8084" w14:textId="77777777" w:rsidR="00657492" w:rsidRPr="008526E8" w:rsidRDefault="00657492" w:rsidP="00657492">
            <w:pPr>
              <w:spacing w:after="0" w:line="240" w:lineRule="auto"/>
              <w:contextualSpacing/>
              <w:cnfStyle w:val="100000000000" w:firstRow="1" w:lastRow="0" w:firstColumn="0" w:lastColumn="0" w:oddVBand="0" w:evenVBand="0" w:oddHBand="0" w:evenHBand="0" w:firstRowFirstColumn="0" w:firstRowLastColumn="0" w:lastRowFirstColumn="0" w:lastRowLastColumn="0"/>
            </w:pPr>
          </w:p>
        </w:tc>
        <w:tc>
          <w:tcPr>
            <w:tcW w:w="1437" w:type="dxa"/>
            <w:gridSpan w:val="2"/>
            <w:tcBorders>
              <w:top w:val="nil"/>
              <w:bottom w:val="single" w:sz="4" w:space="0" w:color="8EAADB" w:themeColor="accent1" w:themeTint="99"/>
            </w:tcBorders>
            <w:noWrap/>
            <w:hideMark/>
          </w:tcPr>
          <w:p w14:paraId="72C53A24" w14:textId="77777777" w:rsidR="00657492" w:rsidRPr="008526E8" w:rsidRDefault="00657492" w:rsidP="00657492">
            <w:pPr>
              <w:spacing w:after="0" w:line="240" w:lineRule="auto"/>
              <w:contextualSpacing/>
              <w:cnfStyle w:val="100000000000" w:firstRow="1" w:lastRow="0" w:firstColumn="0" w:lastColumn="0" w:oddVBand="0" w:evenVBand="0" w:oddHBand="0" w:evenHBand="0" w:firstRowFirstColumn="0" w:firstRowLastColumn="0" w:lastRowFirstColumn="0" w:lastRowLastColumn="0"/>
            </w:pPr>
          </w:p>
        </w:tc>
        <w:tc>
          <w:tcPr>
            <w:tcW w:w="704" w:type="dxa"/>
            <w:tcBorders>
              <w:top w:val="nil"/>
              <w:bottom w:val="single" w:sz="4" w:space="0" w:color="8EAADB" w:themeColor="accent1" w:themeTint="99"/>
              <w:right w:val="none" w:sz="0" w:space="0" w:color="auto"/>
            </w:tcBorders>
            <w:noWrap/>
            <w:hideMark/>
          </w:tcPr>
          <w:p w14:paraId="13547064" w14:textId="77777777" w:rsidR="00657492" w:rsidRPr="008526E8" w:rsidRDefault="00657492" w:rsidP="00657492">
            <w:pPr>
              <w:spacing w:after="0" w:line="240" w:lineRule="auto"/>
              <w:ind w:left="-66" w:right="-108"/>
              <w:contextualSpacing/>
              <w:cnfStyle w:val="100000000000" w:firstRow="1" w:lastRow="0" w:firstColumn="0" w:lastColumn="0" w:oddVBand="0" w:evenVBand="0" w:oddHBand="0" w:evenHBand="0" w:firstRowFirstColumn="0" w:firstRowLastColumn="0" w:lastRowFirstColumn="0" w:lastRowLastColumn="0"/>
            </w:pPr>
          </w:p>
        </w:tc>
      </w:tr>
      <w:tr w:rsidR="00657492" w:rsidRPr="001219FB" w14:paraId="688ACAD0" w14:textId="77777777" w:rsidTr="001D639D">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8EAADB" w:themeColor="accent1" w:themeTint="99"/>
            </w:tcBorders>
            <w:vAlign w:val="center"/>
            <w:hideMark/>
          </w:tcPr>
          <w:p w14:paraId="24A32E56" w14:textId="77777777" w:rsidR="00657492" w:rsidRPr="008526E8" w:rsidRDefault="00657492" w:rsidP="00657492">
            <w:pPr>
              <w:spacing w:after="0" w:line="240" w:lineRule="auto"/>
              <w:ind w:left="-113" w:right="-108" w:firstLine="0"/>
              <w:contextualSpacing/>
              <w:jc w:val="center"/>
              <w:rPr>
                <w:rFonts w:asciiTheme="minorHAnsi" w:hAnsiTheme="minorHAnsi" w:cstheme="minorHAnsi"/>
                <w:b w:val="0"/>
                <w:bCs w:val="0"/>
              </w:rPr>
            </w:pPr>
            <w:r w:rsidRPr="008526E8">
              <w:rPr>
                <w:rFonts w:asciiTheme="minorHAnsi" w:hAnsiTheme="minorHAnsi" w:cstheme="minorHAnsi"/>
              </w:rPr>
              <w:t>Eligible Member Months</w:t>
            </w:r>
          </w:p>
        </w:tc>
        <w:tc>
          <w:tcPr>
            <w:tcW w:w="544" w:type="dxa"/>
            <w:tcBorders>
              <w:top w:val="single" w:sz="4" w:space="0" w:color="8EAADB" w:themeColor="accent1" w:themeTint="99"/>
            </w:tcBorders>
            <w:noWrap/>
            <w:vAlign w:val="center"/>
            <w:hideMark/>
          </w:tcPr>
          <w:p w14:paraId="2335673F" w14:textId="42C8F755" w:rsidR="00657492" w:rsidRPr="001219FB" w:rsidRDefault="00E10F10" w:rsidP="00657492">
            <w:pPr>
              <w:spacing w:after="0" w:line="240" w:lineRule="auto"/>
              <w:ind w:left="-108" w:right="-104" w:firstLine="0"/>
              <w:contextualSpacing/>
              <w:jc w:val="center"/>
              <w:cnfStyle w:val="000000100000" w:firstRow="0" w:lastRow="0" w:firstColumn="0" w:lastColumn="0" w:oddVBand="0" w:evenVBand="0" w:oddHBand="1" w:evenHBand="0" w:firstRowFirstColumn="0" w:firstRowLastColumn="0" w:lastRowFirstColumn="0" w:lastRowLastColumn="0"/>
              <w:rPr>
                <w:sz w:val="21"/>
                <w:szCs w:val="21"/>
              </w:rPr>
            </w:pPr>
            <w:r>
              <w:rPr>
                <w:rFonts w:asciiTheme="minorHAnsi" w:hAnsiTheme="minorHAnsi" w:cstheme="minorHAnsi"/>
                <w:sz w:val="21"/>
                <w:szCs w:val="21"/>
              </w:rPr>
              <w:t>n/</w:t>
            </w:r>
            <w:r>
              <w:rPr>
                <w:sz w:val="21"/>
                <w:szCs w:val="21"/>
              </w:rPr>
              <w:t>a</w:t>
            </w:r>
          </w:p>
        </w:tc>
        <w:tc>
          <w:tcPr>
            <w:tcW w:w="536" w:type="dxa"/>
            <w:tcBorders>
              <w:top w:val="single" w:sz="4" w:space="0" w:color="8EAADB" w:themeColor="accent1" w:themeTint="99"/>
            </w:tcBorders>
            <w:noWrap/>
            <w:vAlign w:val="center"/>
            <w:hideMark/>
          </w:tcPr>
          <w:p w14:paraId="52C692BC" w14:textId="213C6E2B" w:rsidR="00657492" w:rsidRPr="001219FB" w:rsidRDefault="00E10F10" w:rsidP="00657492">
            <w:pPr>
              <w:spacing w:after="0" w:line="240" w:lineRule="auto"/>
              <w:ind w:left="-112" w:right="-104" w:firstLine="0"/>
              <w:contextualSpacing/>
              <w:jc w:val="center"/>
              <w:cnfStyle w:val="000000100000" w:firstRow="0" w:lastRow="0" w:firstColumn="0" w:lastColumn="0" w:oddVBand="0" w:evenVBand="0" w:oddHBand="1" w:evenHBand="0" w:firstRowFirstColumn="0" w:firstRowLastColumn="0" w:lastRowFirstColumn="0" w:lastRowLastColumn="0"/>
              <w:rPr>
                <w:sz w:val="21"/>
                <w:szCs w:val="21"/>
              </w:rPr>
            </w:pPr>
            <w:r>
              <w:rPr>
                <w:rFonts w:asciiTheme="minorHAnsi" w:hAnsiTheme="minorHAnsi" w:cstheme="minorHAnsi"/>
                <w:sz w:val="21"/>
                <w:szCs w:val="21"/>
              </w:rPr>
              <w:t>n/</w:t>
            </w:r>
            <w:r>
              <w:rPr>
                <w:sz w:val="21"/>
                <w:szCs w:val="21"/>
              </w:rPr>
              <w:t>a</w:t>
            </w:r>
          </w:p>
        </w:tc>
        <w:tc>
          <w:tcPr>
            <w:tcW w:w="630" w:type="dxa"/>
            <w:tcBorders>
              <w:top w:val="single" w:sz="4" w:space="0" w:color="8EAADB" w:themeColor="accent1" w:themeTint="99"/>
            </w:tcBorders>
            <w:noWrap/>
            <w:vAlign w:val="center"/>
            <w:hideMark/>
          </w:tcPr>
          <w:p w14:paraId="26F80EA4" w14:textId="77777777" w:rsidR="00657492" w:rsidRPr="001219FB" w:rsidRDefault="00657492" w:rsidP="00657492">
            <w:pPr>
              <w:spacing w:after="0" w:line="240" w:lineRule="auto"/>
              <w:ind w:left="-198" w:right="-208" w:firstLine="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1219FB">
              <w:rPr>
                <w:rFonts w:asciiTheme="minorHAnsi" w:hAnsiTheme="minorHAnsi" w:cstheme="minorHAnsi"/>
                <w:sz w:val="21"/>
                <w:szCs w:val="21"/>
              </w:rPr>
              <w:t>2,805</w:t>
            </w:r>
          </w:p>
        </w:tc>
        <w:tc>
          <w:tcPr>
            <w:tcW w:w="1080" w:type="dxa"/>
            <w:tcBorders>
              <w:top w:val="single" w:sz="4" w:space="0" w:color="8EAADB" w:themeColor="accent1" w:themeTint="99"/>
            </w:tcBorders>
            <w:noWrap/>
            <w:vAlign w:val="center"/>
            <w:hideMark/>
          </w:tcPr>
          <w:p w14:paraId="155662FA" w14:textId="77777777" w:rsidR="00657492" w:rsidRPr="001219FB" w:rsidRDefault="00657492" w:rsidP="00657492">
            <w:pPr>
              <w:spacing w:after="0" w:line="240" w:lineRule="auto"/>
              <w:ind w:left="-108" w:right="-108" w:firstLine="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1219FB">
              <w:rPr>
                <w:rFonts w:asciiTheme="minorHAnsi" w:hAnsiTheme="minorHAnsi" w:cstheme="minorHAnsi"/>
                <w:sz w:val="21"/>
                <w:szCs w:val="21"/>
              </w:rPr>
              <w:t>2,805</w:t>
            </w:r>
          </w:p>
        </w:tc>
        <w:tc>
          <w:tcPr>
            <w:tcW w:w="1080" w:type="dxa"/>
            <w:tcBorders>
              <w:top w:val="single" w:sz="4" w:space="0" w:color="8EAADB" w:themeColor="accent1" w:themeTint="99"/>
            </w:tcBorders>
            <w:noWrap/>
            <w:vAlign w:val="center"/>
            <w:hideMark/>
          </w:tcPr>
          <w:p w14:paraId="2E1FC98B" w14:textId="77777777" w:rsidR="00657492" w:rsidRPr="001219FB" w:rsidRDefault="00657492" w:rsidP="00657492">
            <w:pPr>
              <w:spacing w:after="0" w:line="240" w:lineRule="auto"/>
              <w:ind w:left="-79" w:right="-95" w:firstLine="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1219FB">
              <w:rPr>
                <w:rFonts w:asciiTheme="minorHAnsi" w:hAnsiTheme="minorHAnsi" w:cstheme="minorHAnsi"/>
                <w:sz w:val="21"/>
                <w:szCs w:val="21"/>
              </w:rPr>
              <w:t>2,805</w:t>
            </w:r>
          </w:p>
        </w:tc>
        <w:tc>
          <w:tcPr>
            <w:tcW w:w="1080" w:type="dxa"/>
            <w:tcBorders>
              <w:top w:val="single" w:sz="4" w:space="0" w:color="8EAADB" w:themeColor="accent1" w:themeTint="99"/>
            </w:tcBorders>
            <w:noWrap/>
            <w:vAlign w:val="center"/>
            <w:hideMark/>
          </w:tcPr>
          <w:p w14:paraId="1483A03B" w14:textId="77777777" w:rsidR="00657492" w:rsidRPr="001219FB" w:rsidRDefault="00657492" w:rsidP="00657492">
            <w:pPr>
              <w:spacing w:after="0" w:line="240" w:lineRule="auto"/>
              <w:ind w:left="-121" w:right="-143" w:firstLine="0"/>
              <w:contextualSpacing/>
              <w:jc w:val="center"/>
              <w:cnfStyle w:val="000000100000" w:firstRow="0" w:lastRow="0" w:firstColumn="0" w:lastColumn="0" w:oddVBand="0" w:evenVBand="0" w:oddHBand="1" w:evenHBand="0" w:firstRowFirstColumn="0" w:firstRowLastColumn="0" w:lastRowFirstColumn="0" w:lastRowLastColumn="0"/>
              <w:rPr>
                <w:sz w:val="21"/>
                <w:szCs w:val="21"/>
              </w:rPr>
            </w:pPr>
            <w:r w:rsidRPr="001219FB">
              <w:rPr>
                <w:rFonts w:asciiTheme="minorHAnsi" w:hAnsiTheme="minorHAnsi" w:cstheme="minorHAnsi"/>
                <w:sz w:val="21"/>
                <w:szCs w:val="21"/>
              </w:rPr>
              <w:t>2,805</w:t>
            </w:r>
          </w:p>
        </w:tc>
        <w:tc>
          <w:tcPr>
            <w:tcW w:w="1089" w:type="dxa"/>
            <w:tcBorders>
              <w:top w:val="single" w:sz="4" w:space="0" w:color="8EAADB" w:themeColor="accent1" w:themeTint="99"/>
            </w:tcBorders>
            <w:noWrap/>
            <w:vAlign w:val="center"/>
            <w:hideMark/>
          </w:tcPr>
          <w:p w14:paraId="18A6BCE5" w14:textId="77777777" w:rsidR="00657492" w:rsidRPr="001219FB" w:rsidRDefault="00657492" w:rsidP="00657492">
            <w:pPr>
              <w:spacing w:after="0" w:line="240" w:lineRule="auto"/>
              <w:ind w:left="-73" w:right="-101"/>
              <w:contextualSpacing/>
              <w:jc w:val="center"/>
              <w:cnfStyle w:val="000000100000" w:firstRow="0" w:lastRow="0" w:firstColumn="0" w:lastColumn="0" w:oddVBand="0" w:evenVBand="0" w:oddHBand="1" w:evenHBand="0" w:firstRowFirstColumn="0" w:firstRowLastColumn="0" w:lastRowFirstColumn="0" w:lastRowLastColumn="0"/>
              <w:rPr>
                <w:sz w:val="21"/>
                <w:szCs w:val="21"/>
              </w:rPr>
            </w:pPr>
            <w:r w:rsidRPr="001219FB">
              <w:rPr>
                <w:sz w:val="21"/>
                <w:szCs w:val="21"/>
              </w:rPr>
              <w:t>2,805</w:t>
            </w:r>
          </w:p>
        </w:tc>
        <w:tc>
          <w:tcPr>
            <w:tcW w:w="1044" w:type="dxa"/>
            <w:tcBorders>
              <w:top w:val="single" w:sz="4" w:space="0" w:color="8EAADB" w:themeColor="accent1" w:themeTint="99"/>
            </w:tcBorders>
            <w:noWrap/>
            <w:vAlign w:val="center"/>
            <w:hideMark/>
          </w:tcPr>
          <w:p w14:paraId="4FA95F47" w14:textId="77777777" w:rsidR="00657492" w:rsidRPr="001219FB" w:rsidRDefault="00657492" w:rsidP="00657492">
            <w:pPr>
              <w:spacing w:after="0" w:line="240" w:lineRule="auto"/>
              <w:ind w:left="-198" w:right="-171"/>
              <w:contextualSpacing/>
              <w:jc w:val="center"/>
              <w:cnfStyle w:val="000000100000" w:firstRow="0" w:lastRow="0" w:firstColumn="0" w:lastColumn="0" w:oddVBand="0" w:evenVBand="0" w:oddHBand="1" w:evenHBand="0" w:firstRowFirstColumn="0" w:firstRowLastColumn="0" w:lastRowFirstColumn="0" w:lastRowLastColumn="0"/>
              <w:rPr>
                <w:sz w:val="21"/>
                <w:szCs w:val="21"/>
              </w:rPr>
            </w:pPr>
            <w:r w:rsidRPr="001219FB">
              <w:rPr>
                <w:sz w:val="21"/>
                <w:szCs w:val="21"/>
              </w:rPr>
              <w:t>2,805</w:t>
            </w:r>
          </w:p>
        </w:tc>
        <w:tc>
          <w:tcPr>
            <w:tcW w:w="1097" w:type="dxa"/>
            <w:gridSpan w:val="2"/>
            <w:tcBorders>
              <w:top w:val="single" w:sz="4" w:space="0" w:color="8EAADB" w:themeColor="accent1" w:themeTint="99"/>
              <w:right w:val="single" w:sz="4" w:space="0" w:color="8EAADB" w:themeColor="accent1" w:themeTint="99"/>
            </w:tcBorders>
            <w:noWrap/>
            <w:vAlign w:val="center"/>
            <w:hideMark/>
          </w:tcPr>
          <w:p w14:paraId="2FB90893" w14:textId="77777777" w:rsidR="00657492" w:rsidRPr="001219FB" w:rsidRDefault="00657492" w:rsidP="00657492">
            <w:pPr>
              <w:spacing w:after="0" w:line="240" w:lineRule="auto"/>
              <w:ind w:left="-66" w:right="-108"/>
              <w:contextualSpacing/>
              <w:jc w:val="center"/>
              <w:cnfStyle w:val="000000100000" w:firstRow="0" w:lastRow="0" w:firstColumn="0" w:lastColumn="0" w:oddVBand="0" w:evenVBand="0" w:oddHBand="1" w:evenHBand="0" w:firstRowFirstColumn="0" w:firstRowLastColumn="0" w:lastRowFirstColumn="0" w:lastRowLastColumn="0"/>
              <w:rPr>
                <w:sz w:val="21"/>
                <w:szCs w:val="21"/>
              </w:rPr>
            </w:pPr>
          </w:p>
        </w:tc>
      </w:tr>
      <w:tr w:rsidR="00657492" w:rsidRPr="001219FB" w14:paraId="31DB3BC6" w14:textId="77777777" w:rsidTr="001D639D">
        <w:trPr>
          <w:trHeight w:val="624"/>
        </w:trPr>
        <w:tc>
          <w:tcPr>
            <w:cnfStyle w:val="001000000000" w:firstRow="0" w:lastRow="0" w:firstColumn="1" w:lastColumn="0" w:oddVBand="0" w:evenVBand="0" w:oddHBand="0" w:evenHBand="0" w:firstRowFirstColumn="0" w:firstRowLastColumn="0" w:lastRowFirstColumn="0" w:lastRowLastColumn="0"/>
            <w:tcW w:w="1525" w:type="dxa"/>
            <w:vAlign w:val="center"/>
            <w:hideMark/>
          </w:tcPr>
          <w:p w14:paraId="2F937E7B" w14:textId="77777777" w:rsidR="00657492" w:rsidRPr="008526E8" w:rsidRDefault="00657492" w:rsidP="00657492">
            <w:pPr>
              <w:spacing w:after="0" w:line="240" w:lineRule="auto"/>
              <w:ind w:left="-203" w:right="-108" w:firstLine="0"/>
              <w:contextualSpacing/>
              <w:jc w:val="center"/>
              <w:rPr>
                <w:rFonts w:asciiTheme="minorHAnsi" w:hAnsiTheme="minorHAnsi" w:cstheme="minorHAnsi"/>
                <w:b w:val="0"/>
                <w:bCs w:val="0"/>
              </w:rPr>
            </w:pPr>
            <w:r w:rsidRPr="008526E8">
              <w:rPr>
                <w:rFonts w:asciiTheme="minorHAnsi" w:hAnsiTheme="minorHAnsi" w:cstheme="minorHAnsi"/>
              </w:rPr>
              <w:t>PMPM Cost</w:t>
            </w:r>
          </w:p>
        </w:tc>
        <w:tc>
          <w:tcPr>
            <w:tcW w:w="544" w:type="dxa"/>
            <w:noWrap/>
            <w:vAlign w:val="center"/>
            <w:hideMark/>
          </w:tcPr>
          <w:p w14:paraId="48680442" w14:textId="77777777" w:rsidR="00657492" w:rsidRPr="001219FB" w:rsidRDefault="00657492" w:rsidP="00657492">
            <w:pPr>
              <w:spacing w:after="0" w:line="240" w:lineRule="auto"/>
              <w:ind w:left="-108" w:right="-109" w:firstLine="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1219FB">
              <w:rPr>
                <w:rFonts w:asciiTheme="minorHAnsi" w:hAnsiTheme="minorHAnsi" w:cstheme="minorHAnsi"/>
                <w:sz w:val="21"/>
                <w:szCs w:val="21"/>
              </w:rPr>
              <w:t>4.6%</w:t>
            </w:r>
          </w:p>
        </w:tc>
        <w:tc>
          <w:tcPr>
            <w:tcW w:w="536" w:type="dxa"/>
            <w:noWrap/>
            <w:vAlign w:val="center"/>
            <w:hideMark/>
          </w:tcPr>
          <w:p w14:paraId="59782E11" w14:textId="77777777" w:rsidR="00657492" w:rsidRPr="001219FB" w:rsidRDefault="00657492" w:rsidP="00657492">
            <w:pPr>
              <w:spacing w:after="0" w:line="240" w:lineRule="auto"/>
              <w:ind w:left="-131" w:right="-104" w:firstLine="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1219FB">
              <w:rPr>
                <w:rFonts w:asciiTheme="minorHAnsi" w:hAnsiTheme="minorHAnsi" w:cstheme="minorHAnsi"/>
                <w:sz w:val="21"/>
                <w:szCs w:val="21"/>
              </w:rPr>
              <w:t>36</w:t>
            </w:r>
          </w:p>
        </w:tc>
        <w:tc>
          <w:tcPr>
            <w:tcW w:w="630" w:type="dxa"/>
            <w:noWrap/>
            <w:vAlign w:val="center"/>
            <w:hideMark/>
          </w:tcPr>
          <w:p w14:paraId="728C3710" w14:textId="77777777" w:rsidR="00657492" w:rsidRPr="001219FB" w:rsidRDefault="00657492" w:rsidP="00657492">
            <w:pPr>
              <w:spacing w:after="0" w:line="240" w:lineRule="auto"/>
              <w:ind w:left="-208" w:right="-170" w:firstLine="0"/>
              <w:contextualSpacing/>
              <w:jc w:val="center"/>
              <w:cnfStyle w:val="000000000000" w:firstRow="0" w:lastRow="0" w:firstColumn="0" w:lastColumn="0" w:oddVBand="0" w:evenVBand="0" w:oddHBand="0" w:evenHBand="0" w:firstRowFirstColumn="0" w:firstRowLastColumn="0" w:lastRowFirstColumn="0" w:lastRowLastColumn="0"/>
              <w:rPr>
                <w:sz w:val="21"/>
                <w:szCs w:val="21"/>
              </w:rPr>
            </w:pPr>
            <w:r w:rsidRPr="001219FB">
              <w:rPr>
                <w:rFonts w:asciiTheme="minorHAnsi" w:hAnsiTheme="minorHAnsi" w:cstheme="minorHAnsi"/>
                <w:sz w:val="21"/>
                <w:szCs w:val="21"/>
              </w:rPr>
              <w:t>$</w:t>
            </w:r>
            <w:r w:rsidRPr="001219FB">
              <w:rPr>
                <w:sz w:val="21"/>
                <w:szCs w:val="21"/>
              </w:rPr>
              <w:t>521</w:t>
            </w:r>
          </w:p>
        </w:tc>
        <w:tc>
          <w:tcPr>
            <w:tcW w:w="1080" w:type="dxa"/>
            <w:noWrap/>
            <w:vAlign w:val="center"/>
            <w:hideMark/>
          </w:tcPr>
          <w:p w14:paraId="08294871" w14:textId="77777777" w:rsidR="00657492" w:rsidRPr="001219FB" w:rsidRDefault="00657492" w:rsidP="00657492">
            <w:pPr>
              <w:spacing w:after="0" w:line="240" w:lineRule="auto"/>
              <w:ind w:left="-108" w:right="-108" w:firstLine="0"/>
              <w:contextualSpacing/>
              <w:jc w:val="center"/>
              <w:cnfStyle w:val="000000000000" w:firstRow="0" w:lastRow="0" w:firstColumn="0" w:lastColumn="0" w:oddVBand="0" w:evenVBand="0" w:oddHBand="0" w:evenHBand="0" w:firstRowFirstColumn="0" w:firstRowLastColumn="0" w:lastRowFirstColumn="0" w:lastRowLastColumn="0"/>
              <w:rPr>
                <w:sz w:val="21"/>
                <w:szCs w:val="21"/>
              </w:rPr>
            </w:pPr>
            <w:r w:rsidRPr="001219FB">
              <w:rPr>
                <w:rFonts w:asciiTheme="minorHAnsi" w:hAnsiTheme="minorHAnsi" w:cstheme="minorHAnsi"/>
                <w:sz w:val="21"/>
                <w:szCs w:val="21"/>
              </w:rPr>
              <w:t>$596</w:t>
            </w:r>
          </w:p>
        </w:tc>
        <w:tc>
          <w:tcPr>
            <w:tcW w:w="1080" w:type="dxa"/>
            <w:noWrap/>
            <w:vAlign w:val="center"/>
            <w:hideMark/>
          </w:tcPr>
          <w:p w14:paraId="32CCD29F" w14:textId="77777777" w:rsidR="00657492" w:rsidRPr="001219FB" w:rsidRDefault="00657492" w:rsidP="00657492">
            <w:pPr>
              <w:spacing w:after="0" w:line="240" w:lineRule="auto"/>
              <w:ind w:left="-79" w:right="-95" w:firstLine="0"/>
              <w:contextualSpacing/>
              <w:jc w:val="center"/>
              <w:cnfStyle w:val="000000000000" w:firstRow="0" w:lastRow="0" w:firstColumn="0" w:lastColumn="0" w:oddVBand="0" w:evenVBand="0" w:oddHBand="0" w:evenHBand="0" w:firstRowFirstColumn="0" w:firstRowLastColumn="0" w:lastRowFirstColumn="0" w:lastRowLastColumn="0"/>
              <w:rPr>
                <w:sz w:val="21"/>
                <w:szCs w:val="21"/>
              </w:rPr>
            </w:pPr>
            <w:r w:rsidRPr="001219FB">
              <w:rPr>
                <w:rFonts w:asciiTheme="minorHAnsi" w:hAnsiTheme="minorHAnsi" w:cstheme="minorHAnsi"/>
                <w:sz w:val="21"/>
                <w:szCs w:val="21"/>
              </w:rPr>
              <w:t>$</w:t>
            </w:r>
            <w:r w:rsidRPr="001219FB">
              <w:rPr>
                <w:sz w:val="21"/>
                <w:szCs w:val="21"/>
              </w:rPr>
              <w:t>623</w:t>
            </w:r>
          </w:p>
        </w:tc>
        <w:tc>
          <w:tcPr>
            <w:tcW w:w="1080" w:type="dxa"/>
            <w:noWrap/>
            <w:vAlign w:val="center"/>
            <w:hideMark/>
          </w:tcPr>
          <w:p w14:paraId="76B8E0BF" w14:textId="77777777" w:rsidR="00657492" w:rsidRPr="001219FB" w:rsidRDefault="00657492" w:rsidP="00657492">
            <w:pPr>
              <w:spacing w:after="0" w:line="240" w:lineRule="auto"/>
              <w:ind w:left="-121" w:right="-81" w:firstLine="0"/>
              <w:contextualSpacing/>
              <w:jc w:val="center"/>
              <w:cnfStyle w:val="000000000000" w:firstRow="0" w:lastRow="0" w:firstColumn="0" w:lastColumn="0" w:oddVBand="0" w:evenVBand="0" w:oddHBand="0" w:evenHBand="0" w:firstRowFirstColumn="0" w:firstRowLastColumn="0" w:lastRowFirstColumn="0" w:lastRowLastColumn="0"/>
              <w:rPr>
                <w:sz w:val="21"/>
                <w:szCs w:val="21"/>
              </w:rPr>
            </w:pPr>
            <w:r w:rsidRPr="001219FB">
              <w:rPr>
                <w:sz w:val="21"/>
                <w:szCs w:val="21"/>
              </w:rPr>
              <w:t>$652</w:t>
            </w:r>
          </w:p>
        </w:tc>
        <w:tc>
          <w:tcPr>
            <w:tcW w:w="1089" w:type="dxa"/>
            <w:noWrap/>
            <w:vAlign w:val="center"/>
            <w:hideMark/>
          </w:tcPr>
          <w:p w14:paraId="2D92E810" w14:textId="77777777" w:rsidR="00657492" w:rsidRPr="001219FB" w:rsidRDefault="00657492" w:rsidP="00657492">
            <w:pPr>
              <w:spacing w:after="0" w:line="240" w:lineRule="auto"/>
              <w:ind w:left="0" w:right="-11"/>
              <w:contextualSpacing/>
              <w:jc w:val="center"/>
              <w:cnfStyle w:val="000000000000" w:firstRow="0" w:lastRow="0" w:firstColumn="0" w:lastColumn="0" w:oddVBand="0" w:evenVBand="0" w:oddHBand="0" w:evenHBand="0" w:firstRowFirstColumn="0" w:firstRowLastColumn="0" w:lastRowFirstColumn="0" w:lastRowLastColumn="0"/>
              <w:rPr>
                <w:sz w:val="21"/>
                <w:szCs w:val="21"/>
              </w:rPr>
            </w:pPr>
            <w:r w:rsidRPr="001219FB">
              <w:rPr>
                <w:sz w:val="21"/>
                <w:szCs w:val="21"/>
              </w:rPr>
              <w:t>$682</w:t>
            </w:r>
          </w:p>
        </w:tc>
        <w:tc>
          <w:tcPr>
            <w:tcW w:w="1044" w:type="dxa"/>
            <w:noWrap/>
            <w:vAlign w:val="center"/>
            <w:hideMark/>
          </w:tcPr>
          <w:p w14:paraId="77DD7E35" w14:textId="77777777" w:rsidR="00657492" w:rsidRPr="001219FB" w:rsidRDefault="00657492" w:rsidP="00657492">
            <w:pPr>
              <w:spacing w:after="0" w:line="240" w:lineRule="auto"/>
              <w:ind w:left="-198" w:right="-171"/>
              <w:contextualSpacing/>
              <w:jc w:val="center"/>
              <w:cnfStyle w:val="000000000000" w:firstRow="0" w:lastRow="0" w:firstColumn="0" w:lastColumn="0" w:oddVBand="0" w:evenVBand="0" w:oddHBand="0" w:evenHBand="0" w:firstRowFirstColumn="0" w:firstRowLastColumn="0" w:lastRowFirstColumn="0" w:lastRowLastColumn="0"/>
              <w:rPr>
                <w:sz w:val="21"/>
                <w:szCs w:val="21"/>
              </w:rPr>
            </w:pPr>
            <w:r w:rsidRPr="001219FB">
              <w:rPr>
                <w:sz w:val="21"/>
                <w:szCs w:val="21"/>
              </w:rPr>
              <w:t>$713</w:t>
            </w:r>
          </w:p>
        </w:tc>
        <w:tc>
          <w:tcPr>
            <w:tcW w:w="1097" w:type="dxa"/>
            <w:gridSpan w:val="2"/>
            <w:tcBorders>
              <w:right w:val="single" w:sz="4" w:space="0" w:color="8EAADB" w:themeColor="accent1" w:themeTint="99"/>
            </w:tcBorders>
            <w:noWrap/>
            <w:vAlign w:val="center"/>
            <w:hideMark/>
          </w:tcPr>
          <w:p w14:paraId="073FB3A3" w14:textId="77777777" w:rsidR="00657492" w:rsidRPr="001219FB" w:rsidRDefault="00657492" w:rsidP="00657492">
            <w:pPr>
              <w:spacing w:after="0" w:line="240" w:lineRule="auto"/>
              <w:ind w:left="-66" w:right="-108"/>
              <w:contextualSpacing/>
              <w:jc w:val="center"/>
              <w:cnfStyle w:val="000000000000" w:firstRow="0" w:lastRow="0" w:firstColumn="0" w:lastColumn="0" w:oddVBand="0" w:evenVBand="0" w:oddHBand="0" w:evenHBand="0" w:firstRowFirstColumn="0" w:firstRowLastColumn="0" w:lastRowFirstColumn="0" w:lastRowLastColumn="0"/>
              <w:rPr>
                <w:sz w:val="21"/>
                <w:szCs w:val="21"/>
              </w:rPr>
            </w:pPr>
          </w:p>
        </w:tc>
      </w:tr>
      <w:tr w:rsidR="00657492" w:rsidRPr="001219FB" w14:paraId="17BC63FD" w14:textId="77777777" w:rsidTr="001D639D">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525" w:type="dxa"/>
            <w:vAlign w:val="center"/>
            <w:hideMark/>
          </w:tcPr>
          <w:p w14:paraId="4290E050" w14:textId="77777777" w:rsidR="00657492" w:rsidRPr="008526E8" w:rsidRDefault="00657492" w:rsidP="00657492">
            <w:pPr>
              <w:spacing w:after="0" w:line="240" w:lineRule="auto"/>
              <w:ind w:left="-113" w:right="-108" w:firstLine="0"/>
              <w:contextualSpacing/>
              <w:jc w:val="center"/>
              <w:rPr>
                <w:rFonts w:asciiTheme="minorHAnsi" w:hAnsiTheme="minorHAnsi" w:cstheme="minorHAnsi"/>
                <w:b w:val="0"/>
                <w:bCs w:val="0"/>
              </w:rPr>
            </w:pPr>
            <w:r w:rsidRPr="008526E8">
              <w:rPr>
                <w:rFonts w:asciiTheme="minorHAnsi" w:hAnsiTheme="minorHAnsi" w:cstheme="minorHAnsi"/>
              </w:rPr>
              <w:t>Total Expenditure</w:t>
            </w:r>
          </w:p>
        </w:tc>
        <w:tc>
          <w:tcPr>
            <w:tcW w:w="544" w:type="dxa"/>
            <w:noWrap/>
            <w:vAlign w:val="center"/>
            <w:hideMark/>
          </w:tcPr>
          <w:p w14:paraId="4AFA3E8B" w14:textId="77777777" w:rsidR="00657492" w:rsidRPr="001219FB" w:rsidRDefault="00657492" w:rsidP="00657492">
            <w:pPr>
              <w:spacing w:after="0" w:line="240" w:lineRule="auto"/>
              <w:ind w:left="0" w:firstLine="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536" w:type="dxa"/>
            <w:noWrap/>
            <w:vAlign w:val="center"/>
            <w:hideMark/>
          </w:tcPr>
          <w:p w14:paraId="7D3E4065" w14:textId="77777777" w:rsidR="00657492" w:rsidRPr="001219FB" w:rsidRDefault="00657492" w:rsidP="00657492">
            <w:pPr>
              <w:spacing w:after="0" w:line="240" w:lineRule="auto"/>
              <w:ind w:left="0" w:firstLine="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630" w:type="dxa"/>
            <w:noWrap/>
            <w:vAlign w:val="center"/>
            <w:hideMark/>
          </w:tcPr>
          <w:p w14:paraId="58396417" w14:textId="77777777" w:rsidR="00657492" w:rsidRPr="001219FB" w:rsidRDefault="00657492" w:rsidP="00657492">
            <w:pPr>
              <w:spacing w:after="0" w:line="240" w:lineRule="auto"/>
              <w:ind w:left="0" w:firstLine="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1080" w:type="dxa"/>
            <w:noWrap/>
            <w:vAlign w:val="center"/>
            <w:hideMark/>
          </w:tcPr>
          <w:p w14:paraId="2CC1BADF" w14:textId="77777777" w:rsidR="00657492" w:rsidRPr="001219FB" w:rsidRDefault="00657492" w:rsidP="00657492">
            <w:pPr>
              <w:spacing w:after="0" w:line="240" w:lineRule="auto"/>
              <w:ind w:left="-108" w:right="-81" w:firstLine="0"/>
              <w:contextualSpacing/>
              <w:jc w:val="center"/>
              <w:cnfStyle w:val="000000100000" w:firstRow="0" w:lastRow="0" w:firstColumn="0" w:lastColumn="0" w:oddVBand="0" w:evenVBand="0" w:oddHBand="1" w:evenHBand="0" w:firstRowFirstColumn="0" w:firstRowLastColumn="0" w:lastRowFirstColumn="0" w:lastRowLastColumn="0"/>
              <w:rPr>
                <w:sz w:val="21"/>
                <w:szCs w:val="21"/>
              </w:rPr>
            </w:pPr>
            <w:r w:rsidRPr="001219FB">
              <w:rPr>
                <w:rFonts w:asciiTheme="minorHAnsi" w:hAnsiTheme="minorHAnsi" w:cstheme="minorHAnsi"/>
                <w:sz w:val="21"/>
                <w:szCs w:val="21"/>
              </w:rPr>
              <w:t>$</w:t>
            </w:r>
            <w:r w:rsidRPr="001219FB">
              <w:rPr>
                <w:sz w:val="21"/>
                <w:szCs w:val="21"/>
              </w:rPr>
              <w:t>1,671,135</w:t>
            </w:r>
          </w:p>
        </w:tc>
        <w:tc>
          <w:tcPr>
            <w:tcW w:w="1080" w:type="dxa"/>
            <w:noWrap/>
            <w:vAlign w:val="center"/>
            <w:hideMark/>
          </w:tcPr>
          <w:p w14:paraId="1F2AC1CC" w14:textId="77777777" w:rsidR="00657492" w:rsidRPr="001219FB" w:rsidRDefault="00657492" w:rsidP="00657492">
            <w:pPr>
              <w:spacing w:after="0" w:line="240" w:lineRule="auto"/>
              <w:ind w:left="-108" w:right="-108" w:firstLine="0"/>
              <w:contextualSpacing/>
              <w:jc w:val="center"/>
              <w:cnfStyle w:val="000000100000" w:firstRow="0" w:lastRow="0" w:firstColumn="0" w:lastColumn="0" w:oddVBand="0" w:evenVBand="0" w:oddHBand="1" w:evenHBand="0" w:firstRowFirstColumn="0" w:firstRowLastColumn="0" w:lastRowFirstColumn="0" w:lastRowLastColumn="0"/>
              <w:rPr>
                <w:sz w:val="21"/>
                <w:szCs w:val="21"/>
              </w:rPr>
            </w:pPr>
            <w:r w:rsidRPr="001219FB">
              <w:rPr>
                <w:rFonts w:asciiTheme="minorHAnsi" w:hAnsiTheme="minorHAnsi" w:cstheme="minorHAnsi"/>
                <w:sz w:val="21"/>
                <w:szCs w:val="21"/>
              </w:rPr>
              <w:t>$</w:t>
            </w:r>
            <w:r w:rsidRPr="001219FB">
              <w:rPr>
                <w:sz w:val="21"/>
                <w:szCs w:val="21"/>
              </w:rPr>
              <w:t>1,748,020</w:t>
            </w:r>
          </w:p>
        </w:tc>
        <w:tc>
          <w:tcPr>
            <w:tcW w:w="1080" w:type="dxa"/>
            <w:noWrap/>
            <w:vAlign w:val="center"/>
            <w:hideMark/>
          </w:tcPr>
          <w:p w14:paraId="46597F35" w14:textId="77777777" w:rsidR="00657492" w:rsidRPr="001219FB" w:rsidRDefault="00657492" w:rsidP="00657492">
            <w:pPr>
              <w:spacing w:after="0" w:line="240" w:lineRule="auto"/>
              <w:ind w:left="-108" w:right="-117" w:firstLine="0"/>
              <w:contextualSpacing/>
              <w:jc w:val="center"/>
              <w:cnfStyle w:val="000000100000" w:firstRow="0" w:lastRow="0" w:firstColumn="0" w:lastColumn="0" w:oddVBand="0" w:evenVBand="0" w:oddHBand="1" w:evenHBand="0" w:firstRowFirstColumn="0" w:firstRowLastColumn="0" w:lastRowFirstColumn="0" w:lastRowLastColumn="0"/>
              <w:rPr>
                <w:sz w:val="21"/>
                <w:szCs w:val="21"/>
              </w:rPr>
            </w:pPr>
            <w:r w:rsidRPr="001219FB">
              <w:rPr>
                <w:rFonts w:asciiTheme="minorHAnsi" w:hAnsiTheme="minorHAnsi" w:cstheme="minorHAnsi"/>
                <w:sz w:val="21"/>
                <w:szCs w:val="21"/>
              </w:rPr>
              <w:t>$</w:t>
            </w:r>
            <w:r w:rsidRPr="001219FB">
              <w:rPr>
                <w:sz w:val="21"/>
                <w:szCs w:val="21"/>
              </w:rPr>
              <w:t>1,828,439</w:t>
            </w:r>
          </w:p>
        </w:tc>
        <w:tc>
          <w:tcPr>
            <w:tcW w:w="1089" w:type="dxa"/>
            <w:noWrap/>
            <w:vAlign w:val="center"/>
            <w:hideMark/>
          </w:tcPr>
          <w:p w14:paraId="7271F4C2" w14:textId="77777777" w:rsidR="00657492" w:rsidRPr="001219FB" w:rsidRDefault="00657492" w:rsidP="00657492">
            <w:pPr>
              <w:spacing w:after="0" w:line="240" w:lineRule="auto"/>
              <w:ind w:left="-99" w:right="-72"/>
              <w:contextualSpacing/>
              <w:jc w:val="center"/>
              <w:cnfStyle w:val="000000100000" w:firstRow="0" w:lastRow="0" w:firstColumn="0" w:lastColumn="0" w:oddVBand="0" w:evenVBand="0" w:oddHBand="1" w:evenHBand="0" w:firstRowFirstColumn="0" w:firstRowLastColumn="0" w:lastRowFirstColumn="0" w:lastRowLastColumn="0"/>
              <w:rPr>
                <w:sz w:val="21"/>
                <w:szCs w:val="21"/>
              </w:rPr>
            </w:pPr>
            <w:r w:rsidRPr="001219FB">
              <w:rPr>
                <w:sz w:val="21"/>
                <w:szCs w:val="21"/>
              </w:rPr>
              <w:t>$1,912,561</w:t>
            </w:r>
          </w:p>
        </w:tc>
        <w:tc>
          <w:tcPr>
            <w:tcW w:w="1044" w:type="dxa"/>
            <w:noWrap/>
            <w:vAlign w:val="center"/>
            <w:hideMark/>
          </w:tcPr>
          <w:p w14:paraId="18C7B4E2" w14:textId="77777777" w:rsidR="00657492" w:rsidRPr="001219FB" w:rsidRDefault="00657492" w:rsidP="00657492">
            <w:pPr>
              <w:spacing w:after="0" w:line="240" w:lineRule="auto"/>
              <w:ind w:left="-144" w:right="-108"/>
              <w:contextualSpacing/>
              <w:jc w:val="center"/>
              <w:cnfStyle w:val="000000100000" w:firstRow="0" w:lastRow="0" w:firstColumn="0" w:lastColumn="0" w:oddVBand="0" w:evenVBand="0" w:oddHBand="1" w:evenHBand="0" w:firstRowFirstColumn="0" w:firstRowLastColumn="0" w:lastRowFirstColumn="0" w:lastRowLastColumn="0"/>
              <w:rPr>
                <w:sz w:val="21"/>
                <w:szCs w:val="21"/>
              </w:rPr>
            </w:pPr>
            <w:r w:rsidRPr="001219FB">
              <w:rPr>
                <w:sz w:val="21"/>
                <w:szCs w:val="21"/>
              </w:rPr>
              <w:t>$2,000,526</w:t>
            </w:r>
          </w:p>
        </w:tc>
        <w:tc>
          <w:tcPr>
            <w:tcW w:w="1097" w:type="dxa"/>
            <w:gridSpan w:val="2"/>
            <w:tcBorders>
              <w:right w:val="single" w:sz="4" w:space="0" w:color="8EAADB" w:themeColor="accent1" w:themeTint="99"/>
            </w:tcBorders>
            <w:noWrap/>
            <w:vAlign w:val="center"/>
            <w:hideMark/>
          </w:tcPr>
          <w:p w14:paraId="40730610" w14:textId="77777777" w:rsidR="00657492" w:rsidRPr="001219FB" w:rsidRDefault="00657492" w:rsidP="00657492">
            <w:pPr>
              <w:spacing w:after="0" w:line="240" w:lineRule="auto"/>
              <w:ind w:left="-66" w:right="-108"/>
              <w:contextualSpacing/>
              <w:jc w:val="center"/>
              <w:cnfStyle w:val="000000100000" w:firstRow="0" w:lastRow="0" w:firstColumn="0" w:lastColumn="0" w:oddVBand="0" w:evenVBand="0" w:oddHBand="1" w:evenHBand="0" w:firstRowFirstColumn="0" w:firstRowLastColumn="0" w:lastRowFirstColumn="0" w:lastRowLastColumn="0"/>
              <w:rPr>
                <w:sz w:val="21"/>
                <w:szCs w:val="21"/>
              </w:rPr>
            </w:pPr>
            <w:r w:rsidRPr="001219FB">
              <w:rPr>
                <w:sz w:val="21"/>
                <w:szCs w:val="21"/>
              </w:rPr>
              <w:t>$9,160,681</w:t>
            </w:r>
          </w:p>
        </w:tc>
      </w:tr>
    </w:tbl>
    <w:p w14:paraId="2E1B057D" w14:textId="452C8F8E" w:rsidR="0016739D" w:rsidRDefault="0016739D">
      <w:pPr>
        <w:pStyle w:val="Heading1"/>
        <w:spacing w:after="19" w:line="259" w:lineRule="auto"/>
        <w:ind w:left="-5"/>
        <w:rPr>
          <w:color w:val="002060"/>
        </w:rPr>
      </w:pPr>
    </w:p>
    <w:p w14:paraId="2E3787CB" w14:textId="01DE39F5" w:rsidR="005F3FF5" w:rsidRDefault="005F3FF5" w:rsidP="005F3FF5">
      <w:pPr>
        <w:pStyle w:val="Heading1"/>
        <w:spacing w:after="19" w:line="259" w:lineRule="auto"/>
        <w:ind w:left="-5"/>
      </w:pPr>
      <w:bookmarkStart w:id="26" w:name="_Toc40259530"/>
      <w:r>
        <w:rPr>
          <w:color w:val="002060"/>
        </w:rPr>
        <w:t xml:space="preserve">Section </w:t>
      </w:r>
      <w:r w:rsidR="00784AE1">
        <w:rPr>
          <w:color w:val="002060"/>
        </w:rPr>
        <w:t>8</w:t>
      </w:r>
      <w:r>
        <w:rPr>
          <w:color w:val="002060"/>
        </w:rPr>
        <w:t xml:space="preserve">: </w:t>
      </w:r>
      <w:r w:rsidR="00721B06">
        <w:rPr>
          <w:color w:val="002060"/>
        </w:rPr>
        <w:t>Evaluation Report</w:t>
      </w:r>
      <w:bookmarkEnd w:id="26"/>
      <w:r>
        <w:rPr>
          <w:color w:val="002060"/>
        </w:rPr>
        <w:t xml:space="preserve"> </w:t>
      </w:r>
    </w:p>
    <w:p w14:paraId="76AA1DE2" w14:textId="0094B409" w:rsidR="008202E7" w:rsidRDefault="009151C8" w:rsidP="00314C8C">
      <w:pPr>
        <w:ind w:left="0" w:firstLine="0"/>
      </w:pPr>
      <w:r>
        <w:t xml:space="preserve">The evaluation of the ESRD demonstration was completed by FSSA staff in alignment with the approved evaluation </w:t>
      </w:r>
      <w:r w:rsidR="008202E7">
        <w:t xml:space="preserve">design available at </w:t>
      </w:r>
      <w:hyperlink r:id="rId12" w:history="1">
        <w:r w:rsidR="008202E7">
          <w:rPr>
            <w:rStyle w:val="Hyperlink"/>
          </w:rPr>
          <w:t>https://www.medicaid.gov/Medicaid-CHIP-Program-Information/By-Topics/Waivers/1115/downloads/in/esrd/in-esrd-final-eval-dsgn-03222017.pdf</w:t>
        </w:r>
      </w:hyperlink>
      <w:r w:rsidR="00F037ED" w:rsidRPr="00F037ED">
        <w:rPr>
          <w:rStyle w:val="Hyperlink"/>
          <w:color w:val="auto"/>
          <w:u w:val="none"/>
        </w:rPr>
        <w:t xml:space="preserve">  </w:t>
      </w:r>
      <w:r w:rsidR="008202E7" w:rsidRPr="00F037ED">
        <w:rPr>
          <w:rStyle w:val="Hyperlink"/>
          <w:color w:val="auto"/>
          <w:u w:val="none"/>
        </w:rPr>
        <w:t>This evaluation</w:t>
      </w:r>
      <w:r w:rsidR="00F037ED">
        <w:rPr>
          <w:rStyle w:val="Hyperlink"/>
          <w:color w:val="auto"/>
          <w:u w:val="none"/>
        </w:rPr>
        <w:t xml:space="preserve"> report</w:t>
      </w:r>
      <w:r w:rsidR="008202E7" w:rsidRPr="00F037ED">
        <w:rPr>
          <w:rStyle w:val="Hyperlink"/>
          <w:color w:val="auto"/>
          <w:u w:val="none"/>
        </w:rPr>
        <w:t xml:space="preserve"> is posted for review concurrently with this extension request. </w:t>
      </w:r>
    </w:p>
    <w:p w14:paraId="026B6B6B" w14:textId="77777777" w:rsidR="00314C8C" w:rsidRDefault="00314C8C" w:rsidP="001D639D">
      <w:pPr>
        <w:pStyle w:val="Heading1"/>
        <w:spacing w:after="0" w:line="240" w:lineRule="auto"/>
        <w:ind w:left="0" w:hanging="14"/>
        <w:contextualSpacing/>
        <w:rPr>
          <w:color w:val="002060"/>
        </w:rPr>
      </w:pPr>
    </w:p>
    <w:p w14:paraId="557FC1D2" w14:textId="78BE8DAD" w:rsidR="00C86A25" w:rsidRDefault="003E756E" w:rsidP="001D639D">
      <w:pPr>
        <w:pStyle w:val="Heading1"/>
        <w:spacing w:after="0" w:line="240" w:lineRule="auto"/>
        <w:ind w:left="0" w:hanging="14"/>
        <w:contextualSpacing/>
      </w:pPr>
      <w:bookmarkStart w:id="27" w:name="_Toc40259531"/>
      <w:r>
        <w:rPr>
          <w:color w:val="002060"/>
        </w:rPr>
        <w:t xml:space="preserve">Section </w:t>
      </w:r>
      <w:r w:rsidR="00784AE1">
        <w:rPr>
          <w:color w:val="002060"/>
        </w:rPr>
        <w:t>9</w:t>
      </w:r>
      <w:r>
        <w:rPr>
          <w:color w:val="002060"/>
        </w:rPr>
        <w:t>: Public Comment Period</w:t>
      </w:r>
      <w:bookmarkEnd w:id="27"/>
      <w:r>
        <w:rPr>
          <w:color w:val="002060"/>
        </w:rPr>
        <w:t xml:space="preserve"> </w:t>
      </w:r>
    </w:p>
    <w:p w14:paraId="455D912A" w14:textId="63CB7DDB" w:rsidR="00C86A25" w:rsidRDefault="003E756E" w:rsidP="00AD1636">
      <w:pPr>
        <w:spacing w:after="203"/>
        <w:ind w:left="-5" w:right="13"/>
      </w:pPr>
      <w:r>
        <w:t>The Indiana Family and Social Services Administration (FSSA)</w:t>
      </w:r>
      <w:r w:rsidR="00314C8C">
        <w:t xml:space="preserve"> </w:t>
      </w:r>
      <w:r w:rsidR="00116C37">
        <w:t xml:space="preserve">is holding a 30-day public comment period </w:t>
      </w:r>
      <w:r w:rsidR="00314C8C">
        <w:t xml:space="preserve">for </w:t>
      </w:r>
      <w:r w:rsidR="00116C37">
        <w:t>this waiver from May 13</w:t>
      </w:r>
      <w:r w:rsidR="00116C37" w:rsidRPr="00F037ED">
        <w:rPr>
          <w:vertAlign w:val="superscript"/>
        </w:rPr>
        <w:t>th</w:t>
      </w:r>
      <w:r w:rsidR="00116C37">
        <w:t>, 2020 through June 12</w:t>
      </w:r>
      <w:r w:rsidR="00116C37" w:rsidRPr="00F037ED">
        <w:rPr>
          <w:vertAlign w:val="superscript"/>
        </w:rPr>
        <w:t>th</w:t>
      </w:r>
      <w:r w:rsidR="00116C37">
        <w:t>, 2020.   Hearings will be held virtually on May 19</w:t>
      </w:r>
      <w:r w:rsidR="00116C37" w:rsidRPr="00F037ED">
        <w:rPr>
          <w:vertAlign w:val="superscript"/>
        </w:rPr>
        <w:t>th</w:t>
      </w:r>
      <w:r w:rsidR="00116C37">
        <w:t xml:space="preserve"> and May 20</w:t>
      </w:r>
      <w:r w:rsidR="00116C37" w:rsidRPr="00F037ED">
        <w:rPr>
          <w:vertAlign w:val="superscript"/>
        </w:rPr>
        <w:t>th</w:t>
      </w:r>
      <w:r w:rsidR="00116C37">
        <w:t xml:space="preserve"> per the information contained</w:t>
      </w:r>
      <w:r w:rsidR="00F037ED">
        <w:t xml:space="preserve"> </w:t>
      </w:r>
      <w:r w:rsidR="00116C37">
        <w:t>in the public notices included as Attachments A and B.</w:t>
      </w:r>
    </w:p>
    <w:p w14:paraId="3196C117" w14:textId="618EFB6F" w:rsidR="00C86A25" w:rsidRDefault="00784AE1">
      <w:pPr>
        <w:pStyle w:val="Heading2"/>
        <w:ind w:left="-5"/>
      </w:pPr>
      <w:bookmarkStart w:id="28" w:name="_Toc40259532"/>
      <w:r>
        <w:t>9</w:t>
      </w:r>
      <w:r w:rsidR="003E756E">
        <w:t>.1 Summary of Public Comments</w:t>
      </w:r>
      <w:bookmarkEnd w:id="28"/>
      <w:r w:rsidR="003E756E">
        <w:rPr>
          <w:rFonts w:ascii="Cambria" w:eastAsia="Cambria" w:hAnsi="Cambria" w:cs="Cambria"/>
          <w:sz w:val="26"/>
        </w:rPr>
        <w:t xml:space="preserve"> </w:t>
      </w:r>
    </w:p>
    <w:p w14:paraId="154ADE8A" w14:textId="10A82A6E" w:rsidR="00C86A25" w:rsidRDefault="000C63AD" w:rsidP="006E1E4B">
      <w:pPr>
        <w:spacing w:after="203"/>
        <w:ind w:left="-5" w:right="13"/>
      </w:pPr>
      <w:r>
        <w:t>Following completion of the public comment period</w:t>
      </w:r>
      <w:r w:rsidR="00314C8C">
        <w:t>,</w:t>
      </w:r>
      <w:r>
        <w:t xml:space="preserve"> a summary of </w:t>
      </w:r>
      <w:r w:rsidR="00314C8C">
        <w:t xml:space="preserve">all </w:t>
      </w:r>
      <w:r>
        <w:t xml:space="preserve">public comments </w:t>
      </w:r>
      <w:r w:rsidR="00314C8C">
        <w:t xml:space="preserve">received </w:t>
      </w:r>
      <w:r>
        <w:t>will be included in this request.</w:t>
      </w:r>
    </w:p>
    <w:p w14:paraId="74480967" w14:textId="2E6E160F" w:rsidR="00C86A25" w:rsidRDefault="00784AE1">
      <w:pPr>
        <w:pStyle w:val="Heading2"/>
        <w:ind w:left="-5"/>
      </w:pPr>
      <w:bookmarkStart w:id="29" w:name="_Toc40259533"/>
      <w:r>
        <w:t>9</w:t>
      </w:r>
      <w:r w:rsidR="003E756E">
        <w:t>.2 Tribal Consultation</w:t>
      </w:r>
      <w:bookmarkEnd w:id="29"/>
      <w:r w:rsidR="003E756E">
        <w:t xml:space="preserve"> </w:t>
      </w:r>
    </w:p>
    <w:p w14:paraId="0A9DBA3E" w14:textId="7EABFF86" w:rsidR="00C86A25" w:rsidRDefault="003E756E" w:rsidP="001D639D">
      <w:pPr>
        <w:spacing w:after="0"/>
        <w:ind w:left="0" w:right="13" w:hanging="14"/>
        <w:contextualSpacing/>
      </w:pPr>
      <w:r>
        <w:t xml:space="preserve">The Medical Director of the Pokagon Band of Potawatomi was notified in writing on </w:t>
      </w:r>
      <w:r w:rsidR="008D77E8">
        <w:t>March 4, 2020</w:t>
      </w:r>
      <w:r>
        <w:t xml:space="preserve"> of the development of the waiver application and asked to submit comments or questions directly to FSSA by </w:t>
      </w:r>
      <w:r w:rsidR="008D77E8">
        <w:t>May 4,</w:t>
      </w:r>
      <w:r w:rsidR="00B6013B">
        <w:t xml:space="preserve"> </w:t>
      </w:r>
      <w:r w:rsidR="008D77E8">
        <w:t>2020</w:t>
      </w:r>
      <w:r>
        <w:t xml:space="preserve">.  </w:t>
      </w:r>
      <w:r w:rsidR="008D77E8">
        <w:t xml:space="preserve">A copy of the correspondence is included within Attachment C.  </w:t>
      </w:r>
      <w:r>
        <w:t xml:space="preserve">FSSA provided an opportunity for an in-person meeting to discuss the waiver and Tribal impact.  FSSA received no response or comments in response to the notice of Tribal comment period. </w:t>
      </w:r>
    </w:p>
    <w:p w14:paraId="4B46A730" w14:textId="77777777" w:rsidR="006F48FA" w:rsidRDefault="006F48FA" w:rsidP="001D639D">
      <w:pPr>
        <w:pStyle w:val="Heading2"/>
        <w:spacing w:after="0" w:line="269" w:lineRule="auto"/>
        <w:ind w:left="0" w:hanging="14"/>
        <w:contextualSpacing/>
      </w:pPr>
    </w:p>
    <w:p w14:paraId="5FFE9FE2" w14:textId="50510E4C" w:rsidR="00C86A25" w:rsidRDefault="00784AE1">
      <w:pPr>
        <w:pStyle w:val="Heading2"/>
        <w:ind w:left="-5"/>
      </w:pPr>
      <w:bookmarkStart w:id="30" w:name="_Toc40259534"/>
      <w:r>
        <w:t>9</w:t>
      </w:r>
      <w:r w:rsidR="003E756E">
        <w:t>.</w:t>
      </w:r>
      <w:r w:rsidR="00795CC9">
        <w:t>3</w:t>
      </w:r>
      <w:r w:rsidR="003E756E">
        <w:t xml:space="preserve"> State Response</w:t>
      </w:r>
      <w:bookmarkEnd w:id="30"/>
      <w:r w:rsidR="003E756E">
        <w:t xml:space="preserve"> </w:t>
      </w:r>
    </w:p>
    <w:p w14:paraId="686694D1" w14:textId="6657B361" w:rsidR="00C66E36" w:rsidRDefault="000C63AD" w:rsidP="00E10F10">
      <w:pPr>
        <w:spacing w:after="0"/>
        <w:ind w:left="0" w:right="14" w:hanging="14"/>
        <w:contextualSpacing/>
      </w:pPr>
      <w:r>
        <w:t>Following the completion of the comment period a response to received public comments will be included in this request.</w:t>
      </w:r>
    </w:p>
    <w:p w14:paraId="028F2451" w14:textId="77777777" w:rsidR="00E10F10" w:rsidRPr="00E10F10" w:rsidRDefault="00E10F10" w:rsidP="00E10F10">
      <w:pPr>
        <w:spacing w:after="0"/>
        <w:ind w:left="0" w:right="14" w:hanging="14"/>
        <w:contextualSpacing/>
      </w:pPr>
    </w:p>
    <w:p w14:paraId="67534DB1" w14:textId="4BBBA6EE" w:rsidR="00C86A25" w:rsidRDefault="003E756E" w:rsidP="001D639D">
      <w:pPr>
        <w:pStyle w:val="Heading1"/>
        <w:spacing w:after="19" w:line="259" w:lineRule="auto"/>
        <w:ind w:left="0" w:firstLine="0"/>
      </w:pPr>
      <w:bookmarkStart w:id="31" w:name="_Toc40259535"/>
      <w:r>
        <w:rPr>
          <w:color w:val="002060"/>
        </w:rPr>
        <w:t>Demonstration Administration</w:t>
      </w:r>
      <w:bookmarkEnd w:id="31"/>
      <w:r>
        <w:rPr>
          <w:color w:val="002060"/>
        </w:rPr>
        <w:t xml:space="preserve"> </w:t>
      </w:r>
    </w:p>
    <w:p w14:paraId="7300891B" w14:textId="13D6AAC9" w:rsidR="00933EB7" w:rsidRDefault="003E756E" w:rsidP="005B555B">
      <w:pPr>
        <w:spacing w:after="0" w:line="240" w:lineRule="auto"/>
        <w:ind w:left="-5" w:right="13"/>
      </w:pPr>
      <w:r w:rsidRPr="00315126">
        <w:rPr>
          <w:b/>
          <w:bCs/>
        </w:rPr>
        <w:t>Name and Title:</w:t>
      </w:r>
      <w:r w:rsidR="005B555B">
        <w:t xml:space="preserve"> Angela Todd, State Program Director</w:t>
      </w:r>
    </w:p>
    <w:p w14:paraId="01D87697" w14:textId="34B8A668" w:rsidR="00C86A25" w:rsidRDefault="00933EB7" w:rsidP="00315126">
      <w:pPr>
        <w:spacing w:after="0" w:line="240" w:lineRule="auto"/>
        <w:ind w:left="-5" w:right="13"/>
      </w:pPr>
      <w:r>
        <w:rPr>
          <w:b/>
          <w:bCs/>
        </w:rPr>
        <w:t xml:space="preserve">Organization: </w:t>
      </w:r>
      <w:r w:rsidR="005B555B">
        <w:t>Indiana Office of Medicaid Policy and Planning (OMPP)</w:t>
      </w:r>
    </w:p>
    <w:p w14:paraId="59158B75" w14:textId="77777777" w:rsidR="0056445F" w:rsidRDefault="003E756E" w:rsidP="001D639D">
      <w:pPr>
        <w:spacing w:after="0" w:line="240" w:lineRule="auto"/>
        <w:ind w:left="-5" w:right="13"/>
        <w:rPr>
          <w:b/>
          <w:bCs/>
        </w:rPr>
      </w:pPr>
      <w:r w:rsidRPr="00315126">
        <w:rPr>
          <w:b/>
          <w:bCs/>
        </w:rPr>
        <w:t>Telephone Number:</w:t>
      </w:r>
      <w:r>
        <w:t xml:space="preserve"> </w:t>
      </w:r>
      <w:r w:rsidR="005B555B" w:rsidRPr="006F48FA">
        <w:t>317-23</w:t>
      </w:r>
      <w:r w:rsidR="005B555B">
        <w:t>4</w:t>
      </w:r>
      <w:r w:rsidR="005B555B" w:rsidRPr="006F48FA">
        <w:t>-</w:t>
      </w:r>
      <w:r w:rsidR="005B555B">
        <w:t>803</w:t>
      </w:r>
    </w:p>
    <w:p w14:paraId="1DDE4FFF" w14:textId="4330B67A" w:rsidR="00C86A25" w:rsidRDefault="003E756E" w:rsidP="001D639D">
      <w:pPr>
        <w:spacing w:after="0" w:line="240" w:lineRule="auto"/>
        <w:ind w:left="-5" w:right="13"/>
      </w:pPr>
      <w:r w:rsidRPr="00315126">
        <w:rPr>
          <w:b/>
          <w:bCs/>
        </w:rPr>
        <w:t>Email Address:</w:t>
      </w:r>
      <w:r>
        <w:t xml:space="preserve">  </w:t>
      </w:r>
      <w:r w:rsidR="005B555B">
        <w:rPr>
          <w:color w:val="0000FF"/>
          <w:u w:val="single" w:color="0000FF"/>
        </w:rPr>
        <w:t>angela.todd@fssa.in.gov</w:t>
      </w:r>
    </w:p>
    <w:p w14:paraId="7C6B1CC2" w14:textId="77777777" w:rsidR="00E10F10" w:rsidRDefault="00E10F10" w:rsidP="001D639D">
      <w:pPr>
        <w:pStyle w:val="Heading1"/>
        <w:spacing w:after="245" w:line="259" w:lineRule="auto"/>
        <w:ind w:left="0" w:firstLine="0"/>
        <w:rPr>
          <w:color w:val="365F91"/>
          <w:sz w:val="28"/>
        </w:rPr>
      </w:pPr>
      <w:bookmarkStart w:id="32" w:name="_Toc40259536"/>
    </w:p>
    <w:p w14:paraId="28E77C49" w14:textId="77777777" w:rsidR="00A505B5" w:rsidRDefault="00A505B5" w:rsidP="00A505B5"/>
    <w:p w14:paraId="5397D5FC" w14:textId="77777777" w:rsidR="00A505B5" w:rsidRDefault="00A505B5" w:rsidP="00A505B5"/>
    <w:p w14:paraId="02F8F9BF" w14:textId="77777777" w:rsidR="00A505B5" w:rsidRDefault="00A505B5" w:rsidP="00A505B5"/>
    <w:p w14:paraId="2491B5A8" w14:textId="77777777" w:rsidR="00A505B5" w:rsidRDefault="00A505B5" w:rsidP="00A505B5"/>
    <w:p w14:paraId="04F2BA64" w14:textId="77777777" w:rsidR="00A505B5" w:rsidRDefault="00A505B5" w:rsidP="00A505B5"/>
    <w:p w14:paraId="6EE535F6" w14:textId="77777777" w:rsidR="00A505B5" w:rsidRDefault="00A505B5" w:rsidP="00A505B5"/>
    <w:p w14:paraId="6A5421F0" w14:textId="77777777" w:rsidR="00A505B5" w:rsidRDefault="00A505B5" w:rsidP="00A505B5"/>
    <w:p w14:paraId="38A6F2E4" w14:textId="77777777" w:rsidR="00A505B5" w:rsidRDefault="00A505B5" w:rsidP="00A505B5"/>
    <w:p w14:paraId="77C0F495" w14:textId="77777777" w:rsidR="00A505B5" w:rsidRDefault="00A505B5" w:rsidP="00A505B5"/>
    <w:p w14:paraId="4073FD94" w14:textId="77777777" w:rsidR="00A505B5" w:rsidRDefault="00A505B5" w:rsidP="00A505B5"/>
    <w:p w14:paraId="3CD3DD93" w14:textId="77777777" w:rsidR="00A505B5" w:rsidRDefault="00A505B5" w:rsidP="00A505B5"/>
    <w:p w14:paraId="26E81CD5" w14:textId="77777777" w:rsidR="00A505B5" w:rsidRDefault="00A505B5" w:rsidP="00A505B5"/>
    <w:p w14:paraId="31A6D559" w14:textId="77777777" w:rsidR="00A505B5" w:rsidRDefault="00A505B5" w:rsidP="00A505B5"/>
    <w:p w14:paraId="6853731F" w14:textId="77777777" w:rsidR="00A505B5" w:rsidRDefault="00A505B5" w:rsidP="00A505B5"/>
    <w:p w14:paraId="64746A84" w14:textId="77777777" w:rsidR="00A505B5" w:rsidRDefault="00A505B5" w:rsidP="00A505B5"/>
    <w:p w14:paraId="61272643" w14:textId="77777777" w:rsidR="00A505B5" w:rsidRDefault="00A505B5" w:rsidP="00A505B5"/>
    <w:p w14:paraId="35F3D027" w14:textId="77777777" w:rsidR="00A505B5" w:rsidRDefault="00A505B5" w:rsidP="00A505B5"/>
    <w:p w14:paraId="65852CA7" w14:textId="77777777" w:rsidR="00A505B5" w:rsidRDefault="00A505B5" w:rsidP="00A505B5"/>
    <w:p w14:paraId="410EDD42" w14:textId="77777777" w:rsidR="00A505B5" w:rsidRDefault="00A505B5" w:rsidP="00A505B5"/>
    <w:p w14:paraId="724AF79A" w14:textId="77777777" w:rsidR="00A505B5" w:rsidRDefault="00A505B5" w:rsidP="00A505B5"/>
    <w:p w14:paraId="4109CBDA" w14:textId="77777777" w:rsidR="00A505B5" w:rsidRDefault="00A505B5" w:rsidP="00A505B5"/>
    <w:p w14:paraId="2FDE3C3E" w14:textId="77777777" w:rsidR="00A505B5" w:rsidRDefault="00A505B5" w:rsidP="00A505B5"/>
    <w:p w14:paraId="7BB9EC63" w14:textId="77777777" w:rsidR="00A505B5" w:rsidRDefault="00A505B5" w:rsidP="00A505B5"/>
    <w:p w14:paraId="26AE9850" w14:textId="77777777" w:rsidR="00A505B5" w:rsidRDefault="00A505B5" w:rsidP="00A505B5"/>
    <w:p w14:paraId="131602C4" w14:textId="77777777" w:rsidR="00A505B5" w:rsidRDefault="00A505B5" w:rsidP="00A505B5"/>
    <w:p w14:paraId="4E74DA8A" w14:textId="77777777" w:rsidR="00A505B5" w:rsidRDefault="00A505B5" w:rsidP="00A505B5"/>
    <w:p w14:paraId="73F0C8F4" w14:textId="77777777" w:rsidR="00A505B5" w:rsidRDefault="00A505B5" w:rsidP="00A505B5"/>
    <w:p w14:paraId="775A3D43" w14:textId="77777777" w:rsidR="00A505B5" w:rsidRDefault="00A505B5" w:rsidP="00A505B5"/>
    <w:p w14:paraId="5BED20A9" w14:textId="77777777" w:rsidR="00A505B5" w:rsidRPr="00A505B5" w:rsidRDefault="00A505B5" w:rsidP="00A505B5"/>
    <w:p w14:paraId="74AFA966" w14:textId="4E59EA62" w:rsidR="00C86A25" w:rsidRDefault="003E756E" w:rsidP="001D639D">
      <w:pPr>
        <w:pStyle w:val="Heading1"/>
        <w:spacing w:after="245" w:line="259" w:lineRule="auto"/>
        <w:ind w:left="0" w:firstLine="0"/>
        <w:rPr>
          <w:color w:val="365F91"/>
          <w:sz w:val="28"/>
        </w:rPr>
      </w:pPr>
      <w:r>
        <w:rPr>
          <w:color w:val="365F91"/>
          <w:sz w:val="28"/>
        </w:rPr>
        <w:lastRenderedPageBreak/>
        <w:t xml:space="preserve">Appendix A: </w:t>
      </w:r>
      <w:r w:rsidR="008D77E8">
        <w:rPr>
          <w:color w:val="365F91"/>
          <w:sz w:val="28"/>
        </w:rPr>
        <w:t>Long Public Notice</w:t>
      </w:r>
      <w:bookmarkEnd w:id="32"/>
      <w:r>
        <w:rPr>
          <w:color w:val="365F91"/>
          <w:sz w:val="28"/>
        </w:rPr>
        <w:t xml:space="preserve"> </w:t>
      </w:r>
    </w:p>
    <w:p w14:paraId="0B195690" w14:textId="77777777" w:rsidR="00AC64DE" w:rsidRDefault="001F4D25" w:rsidP="001F4D25">
      <w:pPr>
        <w:contextualSpacing/>
        <w:jc w:val="center"/>
        <w:rPr>
          <w:rFonts w:cs="Times New Roman"/>
          <w:b/>
        </w:rPr>
      </w:pPr>
      <w:r>
        <w:rPr>
          <w:rFonts w:cs="Times New Roman"/>
          <w:b/>
        </w:rPr>
        <w:t xml:space="preserve">OFFICE OF THE SECRETARY OF FAMILY </w:t>
      </w:r>
      <w:r w:rsidRPr="005F22A7">
        <w:rPr>
          <w:rFonts w:cs="Times New Roman"/>
          <w:b/>
        </w:rPr>
        <w:t>AND SOCIAL SERVICES</w:t>
      </w:r>
      <w:r>
        <w:rPr>
          <w:rFonts w:cs="Times New Roman"/>
          <w:b/>
        </w:rPr>
        <w:t xml:space="preserve"> </w:t>
      </w:r>
    </w:p>
    <w:p w14:paraId="1EF1A110" w14:textId="661A821D" w:rsidR="001F4D25" w:rsidRPr="001D6438" w:rsidRDefault="001F4D25" w:rsidP="001F4D25">
      <w:pPr>
        <w:contextualSpacing/>
        <w:jc w:val="center"/>
        <w:rPr>
          <w:rFonts w:cs="Times New Roman"/>
          <w:b/>
        </w:rPr>
      </w:pPr>
      <w:r>
        <w:rPr>
          <w:rFonts w:cs="Times New Roman"/>
          <w:b/>
        </w:rPr>
        <w:t>ADMINISTRATION</w:t>
      </w:r>
    </w:p>
    <w:p w14:paraId="36BCA9FF" w14:textId="77777777" w:rsidR="001F4D25" w:rsidRDefault="001F4D25" w:rsidP="001F4D25">
      <w:pPr>
        <w:autoSpaceDE w:val="0"/>
        <w:autoSpaceDN w:val="0"/>
        <w:adjustRightInd w:val="0"/>
        <w:spacing w:after="0" w:line="240" w:lineRule="auto"/>
        <w:rPr>
          <w:rFonts w:cs="Times New Roman"/>
          <w:b/>
          <w:caps/>
        </w:rPr>
      </w:pPr>
    </w:p>
    <w:p w14:paraId="6F1B58CD" w14:textId="16D74D63" w:rsidR="00AC64DE" w:rsidRDefault="001F4D25" w:rsidP="001F4D25">
      <w:pPr>
        <w:autoSpaceDE w:val="0"/>
        <w:autoSpaceDN w:val="0"/>
        <w:adjustRightInd w:val="0"/>
        <w:spacing w:after="0" w:line="240" w:lineRule="auto"/>
        <w:jc w:val="center"/>
        <w:rPr>
          <w:rFonts w:cs="Times New Roman"/>
          <w:b/>
          <w:caps/>
        </w:rPr>
      </w:pPr>
      <w:r w:rsidRPr="00D031FA">
        <w:rPr>
          <w:rFonts w:cs="Times New Roman"/>
          <w:b/>
          <w:caps/>
        </w:rPr>
        <w:t xml:space="preserve">NOTICE OF PUBLIC COMMENT PERIOD TO EXTEND THE </w:t>
      </w:r>
      <w:r w:rsidR="00AC64DE">
        <w:rPr>
          <w:rFonts w:cs="Times New Roman"/>
          <w:b/>
          <w:caps/>
        </w:rPr>
        <w:t xml:space="preserve">end-staGE </w:t>
      </w:r>
      <w:r>
        <w:rPr>
          <w:rFonts w:cs="Times New Roman"/>
          <w:b/>
          <w:caps/>
        </w:rPr>
        <w:t xml:space="preserve">renal </w:t>
      </w:r>
    </w:p>
    <w:p w14:paraId="7ED2648A" w14:textId="072AAC1C" w:rsidR="001F4D25" w:rsidRDefault="001F4D25" w:rsidP="001F4D25">
      <w:pPr>
        <w:autoSpaceDE w:val="0"/>
        <w:autoSpaceDN w:val="0"/>
        <w:adjustRightInd w:val="0"/>
        <w:spacing w:after="0" w:line="240" w:lineRule="auto"/>
        <w:jc w:val="center"/>
        <w:rPr>
          <w:rFonts w:cs="Times New Roman"/>
          <w:b/>
          <w:caps/>
        </w:rPr>
      </w:pPr>
      <w:r>
        <w:rPr>
          <w:rFonts w:cs="Times New Roman"/>
          <w:b/>
          <w:caps/>
        </w:rPr>
        <w:t>disease</w:t>
      </w:r>
      <w:r w:rsidRPr="00D031FA">
        <w:rPr>
          <w:rFonts w:cs="Times New Roman"/>
          <w:b/>
          <w:caps/>
        </w:rPr>
        <w:t xml:space="preserve"> </w:t>
      </w:r>
      <w:r w:rsidR="00AC64DE">
        <w:rPr>
          <w:rFonts w:cs="Times New Roman"/>
          <w:b/>
          <w:caps/>
        </w:rPr>
        <w:t>S</w:t>
      </w:r>
      <w:r w:rsidRPr="00D031FA">
        <w:rPr>
          <w:rFonts w:cs="Times New Roman"/>
          <w:b/>
          <w:caps/>
        </w:rPr>
        <w:t>1115 DEMONSTRATION</w:t>
      </w:r>
    </w:p>
    <w:p w14:paraId="6867F838" w14:textId="77777777" w:rsidR="001F4D25" w:rsidRDefault="001F4D25" w:rsidP="001F4D25">
      <w:pPr>
        <w:autoSpaceDE w:val="0"/>
        <w:autoSpaceDN w:val="0"/>
        <w:adjustRightInd w:val="0"/>
        <w:spacing w:after="0" w:line="240" w:lineRule="auto"/>
        <w:rPr>
          <w:rFonts w:cs="Times New Roman"/>
        </w:rPr>
      </w:pPr>
    </w:p>
    <w:p w14:paraId="77AA605F" w14:textId="41E3827C" w:rsidR="001F4D25" w:rsidRDefault="001F4D25" w:rsidP="001F4D25">
      <w:pPr>
        <w:rPr>
          <w:rFonts w:cs="Times New Roman"/>
        </w:rPr>
      </w:pPr>
      <w:r w:rsidRPr="002B4EAF">
        <w:rPr>
          <w:rFonts w:cs="Times New Roman"/>
        </w:rPr>
        <w:t xml:space="preserve">In accordance with 42 CFR §431.408(a)(2)(ii), the Indiana Family and Social Services Administration (FSSA) will be holding public hearings on a proposed extension of the End Stage Renal Disease (ESRD) Section 1115 Medicaid demonstration that will be submitted to the Centers for Medicare and Medicaid Services (CMS).  </w:t>
      </w:r>
    </w:p>
    <w:p w14:paraId="5011A331" w14:textId="77777777" w:rsidR="00F037ED" w:rsidRPr="002B4EAF" w:rsidRDefault="00F037ED" w:rsidP="001F4D25">
      <w:pPr>
        <w:rPr>
          <w:rFonts w:cs="Times New Roman"/>
        </w:rPr>
      </w:pPr>
    </w:p>
    <w:p w14:paraId="5E400928" w14:textId="626CC2CC" w:rsidR="001F4D25" w:rsidRPr="002B4EAF" w:rsidRDefault="001F4D25" w:rsidP="00AC64DE">
      <w:r w:rsidRPr="002B4EAF">
        <w:t xml:space="preserve">This notice serves to open the 30-day public comment period, which closes </w:t>
      </w:r>
      <w:r w:rsidRPr="002B4EAF">
        <w:rPr>
          <w:b/>
          <w:bCs/>
        </w:rPr>
        <w:t>06/12/2020</w:t>
      </w:r>
      <w:r w:rsidRPr="002B4EAF">
        <w:t>.  In addition to the 30-day public comment period in which the public will be able to provide written comments, FSSA will host public hearings in which the public may provide oral comments.  Due to CDC COVID-19 social distancing recommendations, these</w:t>
      </w:r>
      <w:r w:rsidR="00AC64DE">
        <w:t xml:space="preserve"> </w:t>
      </w:r>
      <w:r w:rsidRPr="002B4EAF">
        <w:t xml:space="preserve">meetings will be virtual only.  Visit </w:t>
      </w:r>
      <w:hyperlink r:id="rId13" w:history="1">
        <w:r w:rsidR="00AC64DE" w:rsidRPr="00250A57">
          <w:rPr>
            <w:rStyle w:val="Hyperlink"/>
          </w:rPr>
          <w:t>https://www.in.gov/fssa/5537.htm</w:t>
        </w:r>
      </w:hyperlink>
      <w:r w:rsidR="00AC64DE">
        <w:t xml:space="preserve"> </w:t>
      </w:r>
      <w:r w:rsidRPr="002B4EAF">
        <w:t>for the most up to date information regarding the public hearings.</w:t>
      </w:r>
    </w:p>
    <w:p w14:paraId="59AC2C0E" w14:textId="4FAE67F7" w:rsidR="001F4D25" w:rsidRDefault="001F4D25" w:rsidP="001F4D25">
      <w:r w:rsidRPr="002B4EAF">
        <w:t>Hearings will be held as follows:</w:t>
      </w:r>
    </w:p>
    <w:p w14:paraId="70D74E69" w14:textId="77777777" w:rsidR="00F037ED" w:rsidRPr="002B4EAF" w:rsidRDefault="00F037ED" w:rsidP="001F4D25"/>
    <w:p w14:paraId="3D22FDD6" w14:textId="77777777" w:rsidR="001F4D25" w:rsidRPr="002B4EAF" w:rsidRDefault="001F4D25" w:rsidP="001F4D25">
      <w:pPr>
        <w:pStyle w:val="ListParagraph"/>
        <w:numPr>
          <w:ilvl w:val="0"/>
          <w:numId w:val="23"/>
        </w:numPr>
        <w:spacing w:after="0" w:line="240" w:lineRule="auto"/>
        <w:jc w:val="left"/>
      </w:pPr>
      <w:r w:rsidRPr="002B4EAF">
        <w:t>VIRTUAL MEETING</w:t>
      </w:r>
    </w:p>
    <w:p w14:paraId="0270D20A" w14:textId="77777777" w:rsidR="001F4D25" w:rsidRPr="002B4EAF" w:rsidRDefault="001F4D25" w:rsidP="001F4D25">
      <w:pPr>
        <w:spacing w:after="0" w:line="240" w:lineRule="auto"/>
        <w:ind w:left="720"/>
        <w:rPr>
          <w:b/>
          <w:bCs/>
        </w:rPr>
      </w:pPr>
      <w:r w:rsidRPr="002B4EAF">
        <w:rPr>
          <w:b/>
          <w:bCs/>
        </w:rPr>
        <w:t>Tuesday, 05/19/2020, 1pm-2:30pm</w:t>
      </w:r>
    </w:p>
    <w:p w14:paraId="3D366E33" w14:textId="77777777" w:rsidR="001F4D25" w:rsidRPr="002B4EAF" w:rsidRDefault="001F4D25" w:rsidP="001F4D25">
      <w:pPr>
        <w:spacing w:after="0" w:line="240" w:lineRule="auto"/>
        <w:ind w:left="720"/>
        <w:rPr>
          <w:u w:val="single"/>
        </w:rPr>
      </w:pPr>
      <w:r w:rsidRPr="002B4EAF">
        <w:rPr>
          <w:u w:val="single"/>
        </w:rPr>
        <w:t xml:space="preserve">To provide oral comments, access WebEx meeting: </w:t>
      </w:r>
    </w:p>
    <w:p w14:paraId="6B870C56" w14:textId="2DE34934" w:rsidR="00175DB9" w:rsidRDefault="001F4D25" w:rsidP="001F4D25">
      <w:pPr>
        <w:spacing w:after="0" w:line="240" w:lineRule="auto"/>
        <w:ind w:left="720"/>
      </w:pPr>
      <w:r w:rsidRPr="002B4EAF">
        <w:t xml:space="preserve">Online: </w:t>
      </w:r>
      <w:hyperlink r:id="rId14" w:history="1">
        <w:r w:rsidR="00175DB9" w:rsidRPr="00175DB9">
          <w:rPr>
            <w:rStyle w:val="Hyperlink"/>
          </w:rPr>
          <w:t>https://indiana.webex.com/indiana/j.php?MTID=m4a78c124ee8e153c0ff5722f104c4dc</w:t>
        </w:r>
        <w:r w:rsidR="00175DB9" w:rsidRPr="00535898">
          <w:rPr>
            <w:rStyle w:val="Hyperlink"/>
          </w:rPr>
          <w:t>7</w:t>
        </w:r>
      </w:hyperlink>
    </w:p>
    <w:p w14:paraId="6C2E6694" w14:textId="36F127D8" w:rsidR="001F4D25" w:rsidRPr="002B4EAF" w:rsidRDefault="001F4D25" w:rsidP="001F4D25">
      <w:pPr>
        <w:spacing w:after="0" w:line="240" w:lineRule="auto"/>
        <w:ind w:left="720"/>
      </w:pPr>
      <w:r w:rsidRPr="002B4EAF">
        <w:tab/>
        <w:t>Password: 432H8GpusJi</w:t>
      </w:r>
      <w:r w:rsidRPr="002B4EAF">
        <w:tab/>
      </w:r>
    </w:p>
    <w:p w14:paraId="4B223A9E" w14:textId="0179EA60" w:rsidR="001F4D25" w:rsidRPr="002B4EAF" w:rsidRDefault="001F4D25" w:rsidP="00175DB9">
      <w:pPr>
        <w:spacing w:after="0" w:line="240" w:lineRule="auto"/>
        <w:ind w:left="720"/>
      </w:pPr>
      <w:r w:rsidRPr="002B4EAF">
        <w:t xml:space="preserve">*One can also access online by going to </w:t>
      </w:r>
      <w:hyperlink r:id="rId15" w:history="1">
        <w:r w:rsidR="00175DB9" w:rsidRPr="00535898">
          <w:rPr>
            <w:rStyle w:val="Hyperlink"/>
          </w:rPr>
          <w:t>https://www.in.gov/fssa/5537.htm</w:t>
        </w:r>
      </w:hyperlink>
      <w:r w:rsidR="00175DB9" w:rsidRPr="00175DB9">
        <w:t xml:space="preserve"> </w:t>
      </w:r>
      <w:r w:rsidRPr="002B4EAF">
        <w:t xml:space="preserve">and clicking link to WebEx meeting and entering the password* </w:t>
      </w:r>
    </w:p>
    <w:p w14:paraId="7B2FAD2A" w14:textId="77777777" w:rsidR="001F4D25" w:rsidRPr="002B4EAF" w:rsidRDefault="001F4D25" w:rsidP="001F4D25">
      <w:pPr>
        <w:spacing w:after="0" w:line="240" w:lineRule="auto"/>
        <w:ind w:left="720"/>
      </w:pPr>
      <w:r w:rsidRPr="002B4EAF">
        <w:t>Call-in: Dial: 1-240-454-0887; Meeting ID (access code): 475 620 522</w:t>
      </w:r>
    </w:p>
    <w:p w14:paraId="6F13286E" w14:textId="77777777" w:rsidR="001F4D25" w:rsidRPr="002B4EAF" w:rsidRDefault="001F4D25" w:rsidP="001F4D25">
      <w:pPr>
        <w:spacing w:after="0" w:line="240" w:lineRule="auto"/>
        <w:ind w:left="720"/>
      </w:pPr>
    </w:p>
    <w:p w14:paraId="4D02EDAF" w14:textId="77777777" w:rsidR="001F4D25" w:rsidRPr="002B4EAF" w:rsidRDefault="001F4D25" w:rsidP="001F4D25">
      <w:pPr>
        <w:spacing w:after="0" w:line="240" w:lineRule="auto"/>
        <w:ind w:left="720"/>
      </w:pPr>
      <w:r w:rsidRPr="002B4EAF">
        <w:t xml:space="preserve">To post written comments online, login to Adobe Connect: </w:t>
      </w:r>
    </w:p>
    <w:p w14:paraId="046537CE" w14:textId="77777777" w:rsidR="001F4D25" w:rsidRPr="002B4EAF" w:rsidRDefault="00340541" w:rsidP="001F4D25">
      <w:pPr>
        <w:spacing w:after="0" w:line="240" w:lineRule="auto"/>
        <w:ind w:left="720"/>
      </w:pPr>
      <w:hyperlink r:id="rId16" w:history="1">
        <w:r w:rsidR="001F4D25" w:rsidRPr="002B4EAF">
          <w:rPr>
            <w:rStyle w:val="Hyperlink"/>
          </w:rPr>
          <w:t>https://Indiana.AdobeConnect.com/ompp</w:t>
        </w:r>
      </w:hyperlink>
    </w:p>
    <w:p w14:paraId="3A1A9C86" w14:textId="77777777" w:rsidR="001F4D25" w:rsidRPr="002B4EAF" w:rsidRDefault="001F4D25" w:rsidP="001F4D25">
      <w:pPr>
        <w:spacing w:after="0" w:line="240" w:lineRule="auto"/>
        <w:ind w:left="720"/>
        <w:rPr>
          <w:b/>
          <w:bCs/>
        </w:rPr>
      </w:pPr>
    </w:p>
    <w:p w14:paraId="29F38D7C" w14:textId="77777777" w:rsidR="001F4D25" w:rsidRPr="002B4EAF" w:rsidRDefault="001F4D25" w:rsidP="001F4D25">
      <w:pPr>
        <w:pStyle w:val="ListParagraph"/>
        <w:numPr>
          <w:ilvl w:val="0"/>
          <w:numId w:val="23"/>
        </w:numPr>
        <w:spacing w:after="0" w:line="240" w:lineRule="auto"/>
        <w:jc w:val="left"/>
      </w:pPr>
      <w:r w:rsidRPr="002B4EAF">
        <w:t>VIRTUAL MEETING</w:t>
      </w:r>
    </w:p>
    <w:p w14:paraId="7F87887D" w14:textId="77777777" w:rsidR="001F4D25" w:rsidRPr="002B4EAF" w:rsidRDefault="001F4D25" w:rsidP="001F4D25">
      <w:pPr>
        <w:spacing w:after="0" w:line="240" w:lineRule="auto"/>
        <w:ind w:left="720"/>
        <w:rPr>
          <w:b/>
          <w:bCs/>
        </w:rPr>
      </w:pPr>
      <w:r w:rsidRPr="002B4EAF">
        <w:rPr>
          <w:b/>
          <w:bCs/>
        </w:rPr>
        <w:t>Wednesday, 05/20/2020, 1pm-2:30pm</w:t>
      </w:r>
    </w:p>
    <w:p w14:paraId="0D8C1754" w14:textId="77777777" w:rsidR="001F4D25" w:rsidRPr="002B4EAF" w:rsidRDefault="001F4D25" w:rsidP="001F4D25">
      <w:pPr>
        <w:spacing w:after="0" w:line="240" w:lineRule="auto"/>
        <w:ind w:left="720"/>
        <w:rPr>
          <w:u w:val="single"/>
        </w:rPr>
      </w:pPr>
      <w:r w:rsidRPr="002B4EAF">
        <w:rPr>
          <w:u w:val="single"/>
        </w:rPr>
        <w:t xml:space="preserve">To provide oral comments, access WebEx meeting: </w:t>
      </w:r>
    </w:p>
    <w:p w14:paraId="037C23D0" w14:textId="511453CC" w:rsidR="00175DB9" w:rsidRPr="002B4EAF" w:rsidRDefault="001F4D25" w:rsidP="00175DB9">
      <w:pPr>
        <w:spacing w:after="0" w:line="240" w:lineRule="auto"/>
        <w:ind w:left="720"/>
      </w:pPr>
      <w:r w:rsidRPr="002B4EAF">
        <w:t xml:space="preserve">Online: </w:t>
      </w:r>
      <w:hyperlink r:id="rId17" w:history="1">
        <w:r w:rsidR="00175DB9" w:rsidRPr="00535898">
          <w:rPr>
            <w:rStyle w:val="Hyperlink"/>
          </w:rPr>
          <w:t>https://indiana.webex.com/indiana/j.php?MTID=m71c4353e84ab6a552c014330cd0795a6</w:t>
        </w:r>
      </w:hyperlink>
    </w:p>
    <w:p w14:paraId="6D3175F1" w14:textId="77777777" w:rsidR="001F4D25" w:rsidRPr="002B4EAF" w:rsidRDefault="001F4D25" w:rsidP="001F4D25">
      <w:pPr>
        <w:spacing w:after="0" w:line="240" w:lineRule="auto"/>
        <w:ind w:left="720"/>
      </w:pPr>
      <w:r w:rsidRPr="002B4EAF">
        <w:tab/>
        <w:t>Password: YGh9G5p7W52</w:t>
      </w:r>
    </w:p>
    <w:p w14:paraId="1D869E4E" w14:textId="3D210552" w:rsidR="001F4D25" w:rsidRPr="002B4EAF" w:rsidRDefault="001F4D25" w:rsidP="00175DB9">
      <w:pPr>
        <w:spacing w:after="0" w:line="240" w:lineRule="auto"/>
        <w:ind w:left="720"/>
      </w:pPr>
      <w:r w:rsidRPr="002B4EAF">
        <w:t xml:space="preserve">*One can also access online by going to </w:t>
      </w:r>
      <w:hyperlink r:id="rId18" w:history="1">
        <w:r w:rsidR="00175DB9" w:rsidRPr="00535898">
          <w:rPr>
            <w:rStyle w:val="Hyperlink"/>
          </w:rPr>
          <w:t>https://www.in.gov/fssa/5537.htm</w:t>
        </w:r>
      </w:hyperlink>
      <w:r w:rsidR="00175DB9">
        <w:t xml:space="preserve"> </w:t>
      </w:r>
      <w:r w:rsidRPr="002B4EAF">
        <w:t xml:space="preserve">and clicking link to WebEx meeting and entering the password* </w:t>
      </w:r>
    </w:p>
    <w:p w14:paraId="5073E4A3" w14:textId="77777777" w:rsidR="001F4D25" w:rsidRPr="002B4EAF" w:rsidRDefault="001F4D25" w:rsidP="001F4D25">
      <w:pPr>
        <w:spacing w:after="0" w:line="240" w:lineRule="auto"/>
        <w:ind w:left="720"/>
      </w:pPr>
      <w:r w:rsidRPr="002B4EAF">
        <w:t>Call-in:  Dial: 1-240-454-0887; Meeting ID (access code): 470 049 012</w:t>
      </w:r>
    </w:p>
    <w:p w14:paraId="091713F0" w14:textId="77777777" w:rsidR="001F4D25" w:rsidRPr="002B4EAF" w:rsidRDefault="001F4D25" w:rsidP="001F4D25">
      <w:pPr>
        <w:spacing w:after="0" w:line="240" w:lineRule="auto"/>
        <w:ind w:left="720"/>
      </w:pPr>
      <w:r w:rsidRPr="002B4EAF">
        <w:t xml:space="preserve">             </w:t>
      </w:r>
    </w:p>
    <w:p w14:paraId="5564A60B" w14:textId="77777777" w:rsidR="001F4D25" w:rsidRPr="002B4EAF" w:rsidRDefault="001F4D25" w:rsidP="001F4D25">
      <w:pPr>
        <w:spacing w:after="0" w:line="240" w:lineRule="auto"/>
        <w:ind w:left="720"/>
      </w:pPr>
      <w:r w:rsidRPr="002B4EAF">
        <w:t xml:space="preserve">To post written comments online, login to Adobe Connect: </w:t>
      </w:r>
    </w:p>
    <w:p w14:paraId="4BFBEF9C" w14:textId="36D5E738" w:rsidR="001F4D25" w:rsidRPr="002B4EAF" w:rsidRDefault="00340541" w:rsidP="001D639D">
      <w:pPr>
        <w:spacing w:after="0" w:line="240" w:lineRule="auto"/>
        <w:ind w:left="720" w:hanging="14"/>
        <w:contextualSpacing/>
      </w:pPr>
      <w:hyperlink r:id="rId19" w:history="1">
        <w:r w:rsidR="001F4D25" w:rsidRPr="002B4EAF">
          <w:rPr>
            <w:rStyle w:val="Hyperlink"/>
          </w:rPr>
          <w:t>https://Indiana.AdobeConnect.com/ompp</w:t>
        </w:r>
      </w:hyperlink>
      <w:r w:rsidR="001F4D25" w:rsidRPr="002B4EAF">
        <w:t xml:space="preserve"> </w:t>
      </w:r>
    </w:p>
    <w:p w14:paraId="1CD1F8AC" w14:textId="77777777" w:rsidR="00F6357C" w:rsidRDefault="00F6357C" w:rsidP="001D639D">
      <w:pPr>
        <w:spacing w:after="0" w:line="240" w:lineRule="auto"/>
        <w:ind w:left="0" w:firstLine="0"/>
        <w:contextualSpacing/>
      </w:pPr>
    </w:p>
    <w:p w14:paraId="3E3DB0D5" w14:textId="471418C6" w:rsidR="00F6357C" w:rsidRPr="002B4EAF" w:rsidRDefault="001F4D25" w:rsidP="001D639D">
      <w:pPr>
        <w:spacing w:after="0" w:line="240" w:lineRule="auto"/>
        <w:ind w:left="0" w:firstLine="0"/>
        <w:contextualSpacing/>
      </w:pPr>
      <w:r w:rsidRPr="002B4EAF">
        <w:lastRenderedPageBreak/>
        <w:t>Prior to finalizing the proposed ESRD demonstration, FSSA will consider all written and verbal public comments received.  The comments will be summarized and addressed in the final version to be submitted to CMS.</w:t>
      </w:r>
    </w:p>
    <w:p w14:paraId="5EA2BDF0" w14:textId="77777777" w:rsidR="001F4D25" w:rsidRPr="002B4EAF" w:rsidRDefault="001F4D25" w:rsidP="001D639D">
      <w:pPr>
        <w:spacing w:after="0" w:line="240" w:lineRule="auto"/>
        <w:ind w:left="0" w:firstLine="0"/>
        <w:contextualSpacing/>
        <w:rPr>
          <w:rFonts w:cs="Times New Roman"/>
          <w:b/>
        </w:rPr>
      </w:pPr>
    </w:p>
    <w:p w14:paraId="245D8BDD" w14:textId="77777777" w:rsidR="001F4D25" w:rsidRPr="002B4EAF" w:rsidRDefault="001F4D25" w:rsidP="00F6357C">
      <w:pPr>
        <w:spacing w:line="240" w:lineRule="auto"/>
        <w:ind w:left="0"/>
        <w:rPr>
          <w:rFonts w:cs="Times New Roman"/>
        </w:rPr>
      </w:pPr>
      <w:r w:rsidRPr="002B4EAF">
        <w:rPr>
          <w:rFonts w:cs="Times New Roman"/>
          <w:b/>
        </w:rPr>
        <w:t>EXTENSION P</w:t>
      </w:r>
      <w:r w:rsidRPr="002B4EAF">
        <w:rPr>
          <w:rFonts w:cs="Times New Roman"/>
          <w:b/>
          <w:bCs/>
        </w:rPr>
        <w:t xml:space="preserve">ROPOSAL SUMMARY AND OBJECTIVES </w:t>
      </w:r>
    </w:p>
    <w:p w14:paraId="6D82F10E" w14:textId="69073E11" w:rsidR="0065583A" w:rsidRDefault="001F4D25" w:rsidP="00F6357C">
      <w:pPr>
        <w:ind w:left="0"/>
        <w:rPr>
          <w:rFonts w:cs="Times New Roman"/>
        </w:rPr>
      </w:pPr>
      <w:r w:rsidRPr="002B4EAF">
        <w:rPr>
          <w:rFonts w:cs="Times New Roman"/>
        </w:rPr>
        <w:t>The ESRD demonstration has been a feature of Indiana’s Medicaid program since 2014.  The current approval to operate the ESRD demonstration expires December 31, 2020. Through this submission, FSSA is seeking a five-year extension of the ESRD demonstration with two primary changes</w:t>
      </w:r>
      <w:r w:rsidR="0065583A">
        <w:rPr>
          <w:rFonts w:cs="Times New Roman"/>
        </w:rPr>
        <w:t>:</w:t>
      </w:r>
      <w:r w:rsidRPr="002B4EAF">
        <w:rPr>
          <w:rFonts w:cs="Times New Roman"/>
        </w:rPr>
        <w:t xml:space="preserve"> </w:t>
      </w:r>
    </w:p>
    <w:p w14:paraId="33CB5170" w14:textId="55E4FFB8" w:rsidR="001F4D25" w:rsidRPr="002B4EAF" w:rsidRDefault="001F4D25" w:rsidP="0065583A">
      <w:pPr>
        <w:rPr>
          <w:rFonts w:cs="Times New Roman"/>
        </w:rPr>
      </w:pPr>
    </w:p>
    <w:p w14:paraId="21853366" w14:textId="20ACEAB9" w:rsidR="0065583A" w:rsidRDefault="001F4D25" w:rsidP="001D639D">
      <w:pPr>
        <w:pStyle w:val="ListParagraph"/>
        <w:numPr>
          <w:ilvl w:val="0"/>
          <w:numId w:val="32"/>
        </w:numPr>
        <w:spacing w:after="160" w:line="259" w:lineRule="auto"/>
        <w:jc w:val="left"/>
        <w:rPr>
          <w:rFonts w:cs="Times New Roman"/>
        </w:rPr>
      </w:pPr>
      <w:r w:rsidRPr="002B4EAF">
        <w:rPr>
          <w:rFonts w:cs="Times New Roman"/>
        </w:rPr>
        <w:t>In an effort to help promote access to program, the State seeks to increase asset limits from $1,500 to $2,250 for individuals, and increasing asset limits from $2,000 to $3,000 for couples.</w:t>
      </w:r>
    </w:p>
    <w:p w14:paraId="52758085" w14:textId="77777777" w:rsidR="00F6357C" w:rsidRPr="00EE2942" w:rsidRDefault="00F6357C" w:rsidP="001D639D">
      <w:pPr>
        <w:pStyle w:val="ListParagraph"/>
        <w:spacing w:after="160" w:line="259" w:lineRule="auto"/>
        <w:ind w:left="1080" w:firstLine="0"/>
        <w:jc w:val="left"/>
        <w:rPr>
          <w:rFonts w:cs="Times New Roman"/>
        </w:rPr>
      </w:pPr>
    </w:p>
    <w:p w14:paraId="33185A4B" w14:textId="4D33251D" w:rsidR="0065583A" w:rsidRPr="002B4EAF" w:rsidRDefault="001F4D25" w:rsidP="001D639D">
      <w:pPr>
        <w:pStyle w:val="ListParagraph"/>
        <w:numPr>
          <w:ilvl w:val="0"/>
          <w:numId w:val="32"/>
        </w:numPr>
        <w:spacing w:after="160" w:line="259" w:lineRule="auto"/>
        <w:jc w:val="left"/>
      </w:pPr>
      <w:r w:rsidRPr="0065583A">
        <w:rPr>
          <w:rFonts w:cs="Times New Roman"/>
        </w:rPr>
        <w:t>The program also seeks a modification around communication to beneficiaries. Beginning in January 2021, as required by the 21st Century Cures Act of 2016, all ESRD beneficiaries will have the option to enroll in Medicare Advantage (MA)</w:t>
      </w:r>
      <w:r w:rsidR="00B1506A">
        <w:rPr>
          <w:rFonts w:cs="Times New Roman"/>
        </w:rPr>
        <w:t xml:space="preserve"> plan</w:t>
      </w:r>
      <w:r w:rsidRPr="0065583A">
        <w:rPr>
          <w:rFonts w:cs="Times New Roman"/>
        </w:rPr>
        <w:t xml:space="preserve">.  MA is positioned to provide ESRD beneficiaries with better coverage compared to Traditional FFS Medicare due to its maximum out-of-pocket limit for consumers, supplemental benefits, and ability to coordinate care. Due to the change in MA covering individuals, the State will notify members of this new enrollment opportunity and will coordinate with the State Health Insurance Assistance Program (SHIP) to ensure members who wish to enroll in MA have the needed assistance.  Enrollment in MA will not impact an individual’s eligibility for the ESRD </w:t>
      </w:r>
      <w:r w:rsidR="0065583A">
        <w:rPr>
          <w:rFonts w:cs="Times New Roman"/>
        </w:rPr>
        <w:t>§</w:t>
      </w:r>
      <w:r w:rsidRPr="0065583A">
        <w:rPr>
          <w:rFonts w:cs="Times New Roman"/>
        </w:rPr>
        <w:t>1115 waiver.</w:t>
      </w:r>
    </w:p>
    <w:p w14:paraId="02A5F93D" w14:textId="77777777" w:rsidR="001F4D25" w:rsidRPr="001D639D" w:rsidRDefault="001F4D25" w:rsidP="001D639D">
      <w:pPr>
        <w:pStyle w:val="ListParagraph"/>
        <w:ind w:left="1080" w:firstLine="0"/>
        <w:rPr>
          <w:b/>
          <w:bCs/>
        </w:rPr>
      </w:pPr>
    </w:p>
    <w:p w14:paraId="130747B2" w14:textId="3E239942" w:rsidR="001F4D25" w:rsidRPr="002B4EAF" w:rsidRDefault="001F4D25" w:rsidP="001D639D">
      <w:pPr>
        <w:spacing w:after="0" w:line="240" w:lineRule="auto"/>
        <w:ind w:left="0" w:firstLine="0"/>
        <w:rPr>
          <w:b/>
          <w:bCs/>
        </w:rPr>
      </w:pPr>
      <w:r w:rsidRPr="002B4EAF">
        <w:rPr>
          <w:rFonts w:cs="Times New Roman"/>
          <w:b/>
        </w:rPr>
        <w:t>BENEFICIARIES &amp; ELIGIBILITY</w:t>
      </w:r>
    </w:p>
    <w:p w14:paraId="195633AF" w14:textId="311D1ACF" w:rsidR="001F4D25" w:rsidRPr="002B4EAF" w:rsidRDefault="001F4D25" w:rsidP="001D639D">
      <w:pPr>
        <w:spacing w:after="0" w:line="240" w:lineRule="auto"/>
        <w:ind w:left="-5" w:right="13"/>
        <w:contextualSpacing/>
      </w:pPr>
      <w:r w:rsidRPr="002B4EAF">
        <w:t xml:space="preserve">To gain full coverage under the ESRD </w:t>
      </w:r>
      <w:r w:rsidR="0065583A">
        <w:t>§</w:t>
      </w:r>
      <w:r w:rsidRPr="002B4EAF">
        <w:t xml:space="preserve">1115, each month all enrolled individuals, regardless of the enrollment dates, must incur medical expenses which bring their income to the Supplemental Security Income (SSI) federal benefit rate (FBR) by meeting their ESRD liability. </w:t>
      </w:r>
    </w:p>
    <w:p w14:paraId="42401126" w14:textId="77777777" w:rsidR="00B1506A" w:rsidRDefault="00B1506A" w:rsidP="001D639D">
      <w:pPr>
        <w:spacing w:after="0" w:line="240" w:lineRule="auto"/>
        <w:ind w:left="0" w:right="14" w:hanging="14"/>
        <w:contextualSpacing/>
      </w:pPr>
    </w:p>
    <w:p w14:paraId="1B098702" w14:textId="77777777" w:rsidR="001F4D25" w:rsidRDefault="001F4D25" w:rsidP="001D639D">
      <w:pPr>
        <w:spacing w:after="0"/>
        <w:ind w:left="0" w:right="14" w:hanging="14"/>
        <w:contextualSpacing/>
      </w:pPr>
      <w:r w:rsidRPr="002B4EAF">
        <w:t xml:space="preserve">In order to qualify for the ESRD demonstration, new enrollees must meet the following eligibility requirements: </w:t>
      </w:r>
    </w:p>
    <w:p w14:paraId="00D03D85" w14:textId="77777777" w:rsidR="00F6357C" w:rsidRPr="002B4EAF" w:rsidRDefault="00F6357C" w:rsidP="001D639D">
      <w:pPr>
        <w:spacing w:after="0"/>
        <w:ind w:left="0" w:right="14" w:hanging="14"/>
        <w:contextualSpacing/>
      </w:pPr>
    </w:p>
    <w:p w14:paraId="578D27AD" w14:textId="77777777" w:rsidR="001F4D25" w:rsidRPr="002B4EAF" w:rsidRDefault="001F4D25" w:rsidP="001F4D25">
      <w:pPr>
        <w:pStyle w:val="ListParagraph"/>
        <w:numPr>
          <w:ilvl w:val="0"/>
          <w:numId w:val="15"/>
        </w:numPr>
        <w:spacing w:after="0" w:line="240" w:lineRule="auto"/>
        <w:jc w:val="left"/>
        <w:rPr>
          <w:bCs/>
        </w:rPr>
      </w:pPr>
      <w:r w:rsidRPr="002B4EAF">
        <w:rPr>
          <w:bCs/>
        </w:rPr>
        <w:t>Enrollee has a current diagnosis of End-Stage Renal Disease,</w:t>
      </w:r>
    </w:p>
    <w:p w14:paraId="5D37EA6B" w14:textId="77777777" w:rsidR="001F4D25" w:rsidRPr="002B4EAF" w:rsidRDefault="001F4D25" w:rsidP="001F4D25">
      <w:pPr>
        <w:pStyle w:val="ListParagraph"/>
        <w:numPr>
          <w:ilvl w:val="0"/>
          <w:numId w:val="15"/>
        </w:numPr>
        <w:spacing w:after="0" w:line="240" w:lineRule="auto"/>
        <w:jc w:val="left"/>
        <w:rPr>
          <w:bCs/>
        </w:rPr>
      </w:pPr>
      <w:r w:rsidRPr="002B4EAF">
        <w:rPr>
          <w:bCs/>
        </w:rPr>
        <w:t>Enrollee is approved to receive Medicare part A and B,</w:t>
      </w:r>
    </w:p>
    <w:p w14:paraId="4528EB27" w14:textId="77777777" w:rsidR="001F4D25" w:rsidRPr="002B4EAF" w:rsidRDefault="001F4D25" w:rsidP="001F4D25">
      <w:pPr>
        <w:pStyle w:val="ListParagraph"/>
        <w:numPr>
          <w:ilvl w:val="0"/>
          <w:numId w:val="15"/>
        </w:numPr>
        <w:spacing w:after="0" w:line="240" w:lineRule="auto"/>
        <w:jc w:val="left"/>
        <w:rPr>
          <w:bCs/>
        </w:rPr>
      </w:pPr>
      <w:r w:rsidRPr="002B4EAF">
        <w:rPr>
          <w:bCs/>
        </w:rPr>
        <w:t>Enrollee has resources under $2,250 for an individual, under $3,000 for a couple,</w:t>
      </w:r>
    </w:p>
    <w:p w14:paraId="4DD220AB" w14:textId="77777777" w:rsidR="001F4D25" w:rsidRPr="002B4EAF" w:rsidRDefault="001F4D25" w:rsidP="001F4D25">
      <w:pPr>
        <w:pStyle w:val="ListParagraph"/>
        <w:numPr>
          <w:ilvl w:val="0"/>
          <w:numId w:val="15"/>
        </w:numPr>
        <w:spacing w:after="0" w:line="240" w:lineRule="auto"/>
        <w:jc w:val="left"/>
        <w:rPr>
          <w:bCs/>
        </w:rPr>
      </w:pPr>
      <w:r w:rsidRPr="002B4EAF">
        <w:rPr>
          <w:bCs/>
        </w:rPr>
        <w:t>Enrollee is not institutionalized,</w:t>
      </w:r>
    </w:p>
    <w:p w14:paraId="113C105F" w14:textId="77777777" w:rsidR="001F4D25" w:rsidRPr="002B4EAF" w:rsidRDefault="001F4D25" w:rsidP="001F4D25">
      <w:pPr>
        <w:pStyle w:val="ListParagraph"/>
        <w:numPr>
          <w:ilvl w:val="0"/>
          <w:numId w:val="15"/>
        </w:numPr>
        <w:spacing w:after="0" w:line="240" w:lineRule="auto"/>
        <w:jc w:val="left"/>
        <w:rPr>
          <w:bCs/>
        </w:rPr>
      </w:pPr>
      <w:r w:rsidRPr="002B4EAF">
        <w:rPr>
          <w:bCs/>
        </w:rPr>
        <w:t>Enrollee meets all non-financial Medicaid eligibility requirements, and</w:t>
      </w:r>
    </w:p>
    <w:p w14:paraId="5AB83919" w14:textId="76BB5D01" w:rsidR="009B2930" w:rsidRDefault="001F4D25" w:rsidP="001D639D">
      <w:pPr>
        <w:pStyle w:val="ListParagraph"/>
        <w:numPr>
          <w:ilvl w:val="0"/>
          <w:numId w:val="15"/>
        </w:numPr>
        <w:spacing w:after="204"/>
        <w:ind w:right="13"/>
      </w:pPr>
      <w:r w:rsidRPr="002B4EAF">
        <w:rPr>
          <w:bCs/>
        </w:rPr>
        <w:t>Enrollee is not eligible for any other Medicaid</w:t>
      </w:r>
      <w:r w:rsidRPr="002B4EAF">
        <w:t xml:space="preserve"> category.</w:t>
      </w:r>
    </w:p>
    <w:p w14:paraId="330ACDD6" w14:textId="77777777" w:rsidR="00A505B5" w:rsidRDefault="00A505B5" w:rsidP="001D639D">
      <w:pPr>
        <w:ind w:left="0" w:firstLine="0"/>
      </w:pPr>
    </w:p>
    <w:p w14:paraId="77D28E09" w14:textId="182C00A1" w:rsidR="00B1506A" w:rsidRDefault="001F4D25" w:rsidP="001D639D">
      <w:pPr>
        <w:ind w:left="0" w:firstLine="0"/>
        <w:rPr>
          <w:b/>
          <w:bCs/>
        </w:rPr>
      </w:pPr>
      <w:r w:rsidRPr="002B4EAF">
        <w:t>A summary of the ESRD eligibility criteria by population group is illustrated in Table 1 below</w:t>
      </w:r>
      <w:r w:rsidR="00314C8C">
        <w:t>:</w:t>
      </w:r>
    </w:p>
    <w:p w14:paraId="6B20D802" w14:textId="77777777" w:rsidR="00E10F10" w:rsidRDefault="00E10F10" w:rsidP="001D639D">
      <w:pPr>
        <w:ind w:left="0" w:firstLine="0"/>
        <w:rPr>
          <w:b/>
          <w:bCs/>
        </w:rPr>
      </w:pPr>
    </w:p>
    <w:p w14:paraId="343B4C51" w14:textId="77777777" w:rsidR="00E10F10" w:rsidRDefault="00E10F10" w:rsidP="001D639D">
      <w:pPr>
        <w:ind w:left="0" w:firstLine="0"/>
        <w:rPr>
          <w:b/>
          <w:bCs/>
        </w:rPr>
      </w:pPr>
    </w:p>
    <w:p w14:paraId="61EB936B" w14:textId="77777777" w:rsidR="00E10F10" w:rsidRDefault="00E10F10" w:rsidP="001D639D">
      <w:pPr>
        <w:ind w:left="0" w:firstLine="0"/>
        <w:rPr>
          <w:b/>
          <w:bCs/>
        </w:rPr>
      </w:pPr>
    </w:p>
    <w:p w14:paraId="3C3ED3CB" w14:textId="77777777" w:rsidR="00E10F10" w:rsidRDefault="00E10F10" w:rsidP="001D639D">
      <w:pPr>
        <w:ind w:left="0" w:firstLine="0"/>
        <w:rPr>
          <w:b/>
          <w:bCs/>
        </w:rPr>
      </w:pPr>
    </w:p>
    <w:p w14:paraId="683BD373" w14:textId="77777777" w:rsidR="001F4D25" w:rsidRPr="002B4EAF" w:rsidRDefault="001F4D25" w:rsidP="001D639D">
      <w:pPr>
        <w:ind w:left="0" w:firstLine="0"/>
        <w:rPr>
          <w:b/>
          <w:bCs/>
        </w:rPr>
      </w:pPr>
      <w:r w:rsidRPr="002B4EAF">
        <w:rPr>
          <w:b/>
          <w:bCs/>
        </w:rPr>
        <w:lastRenderedPageBreak/>
        <w:t xml:space="preserve">Table 1. Summary of ESRD 1115 demonstration eligibility. </w:t>
      </w:r>
    </w:p>
    <w:tbl>
      <w:tblPr>
        <w:tblStyle w:val="TableGrid"/>
        <w:tblW w:w="8869" w:type="dxa"/>
        <w:tblInd w:w="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3" w:type="dxa"/>
          <w:bottom w:w="7" w:type="dxa"/>
          <w:right w:w="82" w:type="dxa"/>
        </w:tblCellMar>
        <w:tblLook w:val="04A0" w:firstRow="1" w:lastRow="0" w:firstColumn="1" w:lastColumn="0" w:noHBand="0" w:noVBand="1"/>
      </w:tblPr>
      <w:tblGrid>
        <w:gridCol w:w="2283"/>
        <w:gridCol w:w="6586"/>
      </w:tblGrid>
      <w:tr w:rsidR="001F4D25" w:rsidRPr="002B4EAF" w14:paraId="2A375D80" w14:textId="77777777" w:rsidTr="001D639D">
        <w:trPr>
          <w:trHeight w:val="262"/>
        </w:trPr>
        <w:tc>
          <w:tcPr>
            <w:tcW w:w="2283" w:type="dxa"/>
            <w:tcBorders>
              <w:right w:val="nil"/>
            </w:tcBorders>
            <w:shd w:val="clear" w:color="auto" w:fill="4472C4" w:themeFill="accent1"/>
          </w:tcPr>
          <w:p w14:paraId="5A2BCB4D" w14:textId="77777777" w:rsidR="001F4D25" w:rsidRPr="002B4EAF" w:rsidRDefault="001F4D25" w:rsidP="00784AE1">
            <w:pPr>
              <w:ind w:left="82"/>
              <w:jc w:val="center"/>
              <w:rPr>
                <w:color w:val="FFFFFF" w:themeColor="background1"/>
              </w:rPr>
            </w:pPr>
            <w:r w:rsidRPr="002B4EAF">
              <w:rPr>
                <w:b/>
                <w:color w:val="FFFFFF" w:themeColor="background1"/>
              </w:rPr>
              <w:t xml:space="preserve">Group </w:t>
            </w:r>
          </w:p>
        </w:tc>
        <w:tc>
          <w:tcPr>
            <w:tcW w:w="6586" w:type="dxa"/>
            <w:tcBorders>
              <w:left w:val="nil"/>
            </w:tcBorders>
            <w:shd w:val="clear" w:color="auto" w:fill="4472C4" w:themeFill="accent1"/>
            <w:vAlign w:val="center"/>
          </w:tcPr>
          <w:p w14:paraId="5D2331B9" w14:textId="2D44D0B8" w:rsidR="001F4D25" w:rsidRPr="002B4EAF" w:rsidRDefault="001F4D25" w:rsidP="001D639D">
            <w:pPr>
              <w:ind w:left="624"/>
              <w:jc w:val="left"/>
              <w:rPr>
                <w:color w:val="FFFFFF" w:themeColor="background1"/>
              </w:rPr>
            </w:pPr>
            <w:r w:rsidRPr="002B4EAF">
              <w:rPr>
                <w:b/>
                <w:color w:val="FFFFFF" w:themeColor="background1"/>
              </w:rPr>
              <w:t>Eligibility Criteria</w:t>
            </w:r>
          </w:p>
        </w:tc>
      </w:tr>
      <w:tr w:rsidR="001F4D25" w:rsidRPr="002B4EAF" w14:paraId="7A868C4B" w14:textId="77777777" w:rsidTr="001D639D">
        <w:trPr>
          <w:trHeight w:val="2194"/>
        </w:trPr>
        <w:tc>
          <w:tcPr>
            <w:tcW w:w="2283" w:type="dxa"/>
            <w:vAlign w:val="center"/>
          </w:tcPr>
          <w:p w14:paraId="290AC26E" w14:textId="2A34404B" w:rsidR="001F4D25" w:rsidRPr="002B4EAF" w:rsidRDefault="001F4D25" w:rsidP="001D639D">
            <w:pPr>
              <w:ind w:left="108"/>
              <w:jc w:val="center"/>
              <w:rPr>
                <w:b/>
                <w:bCs/>
              </w:rPr>
            </w:pPr>
            <w:r w:rsidRPr="002B4EAF">
              <w:rPr>
                <w:b/>
                <w:bCs/>
              </w:rPr>
              <w:t>Population 1</w:t>
            </w:r>
            <w:r w:rsidR="00657492">
              <w:rPr>
                <w:b/>
                <w:bCs/>
              </w:rPr>
              <w:t xml:space="preserve">: </w:t>
            </w:r>
            <w:r w:rsidRPr="002B4EAF">
              <w:rPr>
                <w:b/>
                <w:bCs/>
              </w:rPr>
              <w:t xml:space="preserve"> Former Spend Down</w:t>
            </w:r>
          </w:p>
          <w:p w14:paraId="1CD1C204" w14:textId="67843C83" w:rsidR="001F4D25" w:rsidRPr="002B4EAF" w:rsidRDefault="001F4D25" w:rsidP="001D639D">
            <w:pPr>
              <w:ind w:left="108"/>
              <w:jc w:val="center"/>
              <w:rPr>
                <w:b/>
                <w:bCs/>
              </w:rPr>
            </w:pPr>
            <w:r w:rsidRPr="002B4EAF">
              <w:rPr>
                <w:b/>
                <w:bCs/>
              </w:rPr>
              <w:t>Enrollees</w:t>
            </w:r>
          </w:p>
        </w:tc>
        <w:tc>
          <w:tcPr>
            <w:tcW w:w="6586" w:type="dxa"/>
            <w:vAlign w:val="center"/>
          </w:tcPr>
          <w:p w14:paraId="360CD4F1" w14:textId="3193482D" w:rsidR="001F4D25" w:rsidRPr="001D639D" w:rsidRDefault="00B1506A" w:rsidP="00175DB9">
            <w:pPr>
              <w:pStyle w:val="ListParagraph"/>
              <w:numPr>
                <w:ilvl w:val="0"/>
                <w:numId w:val="20"/>
              </w:numPr>
              <w:spacing w:after="0" w:line="240" w:lineRule="auto"/>
              <w:jc w:val="left"/>
              <w:rPr>
                <w:b/>
                <w:sz w:val="20"/>
              </w:rPr>
            </w:pPr>
            <w:r>
              <w:rPr>
                <w:b/>
                <w:sz w:val="20"/>
              </w:rPr>
              <w:t xml:space="preserve">Enrolled in </w:t>
            </w:r>
            <w:r w:rsidR="001F4D25" w:rsidRPr="001D639D">
              <w:rPr>
                <w:b/>
                <w:sz w:val="20"/>
              </w:rPr>
              <w:t>Medicaid</w:t>
            </w:r>
            <w:r>
              <w:rPr>
                <w:b/>
                <w:sz w:val="20"/>
              </w:rPr>
              <w:t xml:space="preserve"> spend-down program</w:t>
            </w:r>
            <w:r w:rsidR="001F4D25" w:rsidRPr="001D639D">
              <w:rPr>
                <w:b/>
                <w:sz w:val="20"/>
              </w:rPr>
              <w:t xml:space="preserve"> before May 31, 2014</w:t>
            </w:r>
          </w:p>
          <w:p w14:paraId="2551F1F3" w14:textId="1B6F4E13" w:rsidR="001F4D25" w:rsidRPr="001D639D" w:rsidRDefault="001F4D25" w:rsidP="00175DB9">
            <w:pPr>
              <w:pStyle w:val="ListParagraph"/>
              <w:numPr>
                <w:ilvl w:val="0"/>
                <w:numId w:val="20"/>
              </w:numPr>
              <w:spacing w:after="0" w:line="240" w:lineRule="auto"/>
              <w:jc w:val="left"/>
              <w:rPr>
                <w:b/>
                <w:sz w:val="20"/>
              </w:rPr>
            </w:pPr>
            <w:r w:rsidRPr="001D639D">
              <w:rPr>
                <w:b/>
                <w:sz w:val="20"/>
              </w:rPr>
              <w:t>Non-MAGI income is over 150% FPL, with no upper limit</w:t>
            </w:r>
          </w:p>
          <w:p w14:paraId="53BBCD4B" w14:textId="77777777" w:rsidR="001F4D25" w:rsidRPr="001D639D" w:rsidRDefault="001F4D25" w:rsidP="00175DB9">
            <w:pPr>
              <w:pStyle w:val="ListParagraph"/>
              <w:numPr>
                <w:ilvl w:val="0"/>
                <w:numId w:val="20"/>
              </w:numPr>
              <w:spacing w:after="0" w:line="240" w:lineRule="auto"/>
              <w:jc w:val="left"/>
              <w:rPr>
                <w:bCs/>
                <w:sz w:val="20"/>
              </w:rPr>
            </w:pPr>
            <w:r w:rsidRPr="001D639D">
              <w:rPr>
                <w:bCs/>
                <w:sz w:val="20"/>
              </w:rPr>
              <w:t>Current diagnosis of End-Stage Renal Disease</w:t>
            </w:r>
          </w:p>
          <w:p w14:paraId="66BFA42A" w14:textId="77777777" w:rsidR="001F4D25" w:rsidRPr="001D639D" w:rsidRDefault="001F4D25" w:rsidP="00A45B18">
            <w:pPr>
              <w:pStyle w:val="ListParagraph"/>
              <w:numPr>
                <w:ilvl w:val="0"/>
                <w:numId w:val="20"/>
              </w:numPr>
              <w:spacing w:after="0" w:line="240" w:lineRule="auto"/>
              <w:jc w:val="left"/>
              <w:rPr>
                <w:bCs/>
                <w:sz w:val="20"/>
              </w:rPr>
            </w:pPr>
            <w:r w:rsidRPr="001D639D">
              <w:rPr>
                <w:bCs/>
                <w:sz w:val="20"/>
              </w:rPr>
              <w:t>Approved to receive Medicare part A and B</w:t>
            </w:r>
          </w:p>
          <w:p w14:paraId="6109CB01" w14:textId="77777777" w:rsidR="001F4D25" w:rsidRPr="001D639D" w:rsidRDefault="001F4D25" w:rsidP="00A45B18">
            <w:pPr>
              <w:pStyle w:val="ListParagraph"/>
              <w:numPr>
                <w:ilvl w:val="0"/>
                <w:numId w:val="20"/>
              </w:numPr>
              <w:spacing w:after="0" w:line="240" w:lineRule="auto"/>
              <w:jc w:val="left"/>
              <w:rPr>
                <w:bCs/>
                <w:sz w:val="20"/>
              </w:rPr>
            </w:pPr>
            <w:r w:rsidRPr="001D639D">
              <w:rPr>
                <w:bCs/>
                <w:sz w:val="20"/>
              </w:rPr>
              <w:t>Resources under $2,250 for an individual, under $3,000 for a couple</w:t>
            </w:r>
          </w:p>
          <w:p w14:paraId="4FBDC6D8" w14:textId="77777777" w:rsidR="001F4D25" w:rsidRPr="001D639D" w:rsidRDefault="001F4D25" w:rsidP="00F8067A">
            <w:pPr>
              <w:pStyle w:val="ListParagraph"/>
              <w:numPr>
                <w:ilvl w:val="0"/>
                <w:numId w:val="20"/>
              </w:numPr>
              <w:spacing w:after="0" w:line="240" w:lineRule="auto"/>
              <w:jc w:val="left"/>
              <w:rPr>
                <w:bCs/>
                <w:sz w:val="20"/>
              </w:rPr>
            </w:pPr>
            <w:r w:rsidRPr="001D639D">
              <w:rPr>
                <w:bCs/>
                <w:sz w:val="20"/>
              </w:rPr>
              <w:t>Not institutionalized</w:t>
            </w:r>
          </w:p>
          <w:p w14:paraId="3E82325F" w14:textId="77777777" w:rsidR="001F4D25" w:rsidRPr="001D639D" w:rsidRDefault="001F4D25" w:rsidP="0065583A">
            <w:pPr>
              <w:pStyle w:val="ListParagraph"/>
              <w:numPr>
                <w:ilvl w:val="0"/>
                <w:numId w:val="20"/>
              </w:numPr>
              <w:spacing w:after="0" w:line="240" w:lineRule="auto"/>
              <w:jc w:val="left"/>
              <w:rPr>
                <w:bCs/>
                <w:sz w:val="20"/>
              </w:rPr>
            </w:pPr>
            <w:r w:rsidRPr="001D639D">
              <w:rPr>
                <w:bCs/>
                <w:sz w:val="20"/>
              </w:rPr>
              <w:t>Meet all non-financial Medicaid eligibility requirements</w:t>
            </w:r>
          </w:p>
          <w:p w14:paraId="23D3418D" w14:textId="77777777" w:rsidR="001F4D25" w:rsidRPr="002B4EAF" w:rsidRDefault="001F4D25" w:rsidP="0065583A">
            <w:pPr>
              <w:pStyle w:val="ListParagraph"/>
              <w:numPr>
                <w:ilvl w:val="0"/>
                <w:numId w:val="20"/>
              </w:numPr>
              <w:spacing w:after="0" w:line="240" w:lineRule="auto"/>
              <w:jc w:val="left"/>
              <w:rPr>
                <w:bCs/>
              </w:rPr>
            </w:pPr>
            <w:r w:rsidRPr="001D639D">
              <w:rPr>
                <w:bCs/>
                <w:sz w:val="20"/>
              </w:rPr>
              <w:t>Not eligible for any other Medicaid</w:t>
            </w:r>
          </w:p>
        </w:tc>
      </w:tr>
      <w:tr w:rsidR="001F4D25" w:rsidRPr="002B4EAF" w14:paraId="6FF46C23" w14:textId="77777777" w:rsidTr="001D639D">
        <w:trPr>
          <w:trHeight w:val="2203"/>
        </w:trPr>
        <w:tc>
          <w:tcPr>
            <w:tcW w:w="2283" w:type="dxa"/>
            <w:shd w:val="clear" w:color="auto" w:fill="D9E2F3" w:themeFill="accent1" w:themeFillTint="33"/>
            <w:vAlign w:val="center"/>
          </w:tcPr>
          <w:p w14:paraId="404803D7" w14:textId="7A44B266" w:rsidR="001F4D25" w:rsidRPr="0056445F" w:rsidRDefault="001F4D25" w:rsidP="001D639D">
            <w:pPr>
              <w:ind w:left="108"/>
              <w:jc w:val="center"/>
              <w:rPr>
                <w:b/>
                <w:bCs/>
              </w:rPr>
            </w:pPr>
            <w:r w:rsidRPr="002B4EAF">
              <w:rPr>
                <w:b/>
                <w:bCs/>
              </w:rPr>
              <w:t>Population 2</w:t>
            </w:r>
            <w:r w:rsidR="00657492">
              <w:rPr>
                <w:b/>
                <w:bCs/>
              </w:rPr>
              <w:t xml:space="preserve">: </w:t>
            </w:r>
            <w:r w:rsidRPr="002B4EAF">
              <w:rPr>
                <w:b/>
                <w:bCs/>
              </w:rPr>
              <w:t xml:space="preserve"> New Enrollees</w:t>
            </w:r>
          </w:p>
        </w:tc>
        <w:tc>
          <w:tcPr>
            <w:tcW w:w="6586" w:type="dxa"/>
            <w:shd w:val="clear" w:color="auto" w:fill="D9E2F3" w:themeFill="accent1" w:themeFillTint="33"/>
            <w:vAlign w:val="center"/>
          </w:tcPr>
          <w:p w14:paraId="0A86D0AE" w14:textId="77777777" w:rsidR="001F4D25" w:rsidRPr="001D639D" w:rsidRDefault="001F4D25" w:rsidP="00175DB9">
            <w:pPr>
              <w:pStyle w:val="ListParagraph"/>
              <w:numPr>
                <w:ilvl w:val="0"/>
                <w:numId w:val="20"/>
              </w:numPr>
              <w:spacing w:after="0" w:line="240" w:lineRule="auto"/>
              <w:jc w:val="left"/>
              <w:rPr>
                <w:b/>
                <w:sz w:val="20"/>
              </w:rPr>
            </w:pPr>
            <w:r w:rsidRPr="001D639D">
              <w:rPr>
                <w:b/>
                <w:sz w:val="20"/>
              </w:rPr>
              <w:t>On Medicaid after May 31, 2014</w:t>
            </w:r>
          </w:p>
          <w:p w14:paraId="710063F2" w14:textId="77777777" w:rsidR="001F4D25" w:rsidRPr="001D639D" w:rsidRDefault="001F4D25" w:rsidP="00175DB9">
            <w:pPr>
              <w:pStyle w:val="ListParagraph"/>
              <w:numPr>
                <w:ilvl w:val="0"/>
                <w:numId w:val="20"/>
              </w:numPr>
              <w:spacing w:after="0" w:line="240" w:lineRule="auto"/>
              <w:jc w:val="left"/>
              <w:rPr>
                <w:b/>
                <w:sz w:val="20"/>
              </w:rPr>
            </w:pPr>
            <w:r w:rsidRPr="001D639D">
              <w:rPr>
                <w:b/>
                <w:sz w:val="20"/>
              </w:rPr>
              <w:t xml:space="preserve">Non-MAGI income is between 150% and 300% FPL </w:t>
            </w:r>
          </w:p>
          <w:p w14:paraId="370738B8" w14:textId="77777777" w:rsidR="001F4D25" w:rsidRPr="001D639D" w:rsidRDefault="001F4D25" w:rsidP="00175DB9">
            <w:pPr>
              <w:pStyle w:val="ListParagraph"/>
              <w:numPr>
                <w:ilvl w:val="0"/>
                <w:numId w:val="20"/>
              </w:numPr>
              <w:spacing w:after="0" w:line="240" w:lineRule="auto"/>
              <w:jc w:val="left"/>
              <w:rPr>
                <w:bCs/>
                <w:sz w:val="20"/>
              </w:rPr>
            </w:pPr>
            <w:r w:rsidRPr="001D639D">
              <w:rPr>
                <w:bCs/>
                <w:sz w:val="20"/>
              </w:rPr>
              <w:t>Current diagnosis of End-Stage Renal Disease</w:t>
            </w:r>
          </w:p>
          <w:p w14:paraId="2B17C3C9" w14:textId="77777777" w:rsidR="001F4D25" w:rsidRPr="001D639D" w:rsidRDefault="001F4D25" w:rsidP="00A45B18">
            <w:pPr>
              <w:pStyle w:val="ListParagraph"/>
              <w:numPr>
                <w:ilvl w:val="0"/>
                <w:numId w:val="20"/>
              </w:numPr>
              <w:spacing w:after="0" w:line="240" w:lineRule="auto"/>
              <w:jc w:val="left"/>
              <w:rPr>
                <w:bCs/>
                <w:sz w:val="20"/>
              </w:rPr>
            </w:pPr>
            <w:r w:rsidRPr="001D639D">
              <w:rPr>
                <w:bCs/>
                <w:sz w:val="20"/>
              </w:rPr>
              <w:t>Approved to receive Medicare part A and B</w:t>
            </w:r>
          </w:p>
          <w:p w14:paraId="49BEC0CC" w14:textId="77777777" w:rsidR="001F4D25" w:rsidRPr="001D639D" w:rsidRDefault="001F4D25" w:rsidP="00A45B18">
            <w:pPr>
              <w:pStyle w:val="ListParagraph"/>
              <w:numPr>
                <w:ilvl w:val="0"/>
                <w:numId w:val="20"/>
              </w:numPr>
              <w:spacing w:after="0" w:line="240" w:lineRule="auto"/>
              <w:jc w:val="left"/>
              <w:rPr>
                <w:bCs/>
                <w:sz w:val="20"/>
              </w:rPr>
            </w:pPr>
            <w:r w:rsidRPr="001D639D">
              <w:rPr>
                <w:bCs/>
                <w:sz w:val="20"/>
              </w:rPr>
              <w:t>Resources under $2,250 for an individual, under $3,000 for a couple</w:t>
            </w:r>
          </w:p>
          <w:p w14:paraId="35F73697" w14:textId="77777777" w:rsidR="001F4D25" w:rsidRPr="001D639D" w:rsidRDefault="001F4D25" w:rsidP="00F8067A">
            <w:pPr>
              <w:pStyle w:val="ListParagraph"/>
              <w:numPr>
                <w:ilvl w:val="0"/>
                <w:numId w:val="20"/>
              </w:numPr>
              <w:spacing w:after="0" w:line="240" w:lineRule="auto"/>
              <w:jc w:val="left"/>
              <w:rPr>
                <w:bCs/>
                <w:sz w:val="20"/>
              </w:rPr>
            </w:pPr>
            <w:r w:rsidRPr="001D639D">
              <w:rPr>
                <w:bCs/>
                <w:sz w:val="20"/>
              </w:rPr>
              <w:t>Not institutionalized</w:t>
            </w:r>
          </w:p>
          <w:p w14:paraId="67F60895" w14:textId="77777777" w:rsidR="001F4D25" w:rsidRPr="001D639D" w:rsidRDefault="001F4D25" w:rsidP="0065583A">
            <w:pPr>
              <w:pStyle w:val="ListParagraph"/>
              <w:numPr>
                <w:ilvl w:val="0"/>
                <w:numId w:val="20"/>
              </w:numPr>
              <w:spacing w:after="0" w:line="240" w:lineRule="auto"/>
              <w:jc w:val="left"/>
              <w:rPr>
                <w:bCs/>
                <w:sz w:val="20"/>
              </w:rPr>
            </w:pPr>
            <w:r w:rsidRPr="001D639D">
              <w:rPr>
                <w:bCs/>
                <w:sz w:val="20"/>
              </w:rPr>
              <w:t>Meet all non-financial Medicaid eligibility requirements</w:t>
            </w:r>
          </w:p>
          <w:p w14:paraId="64B43224" w14:textId="77777777" w:rsidR="001F4D25" w:rsidRPr="002B4EAF" w:rsidRDefault="001F4D25" w:rsidP="0065583A">
            <w:pPr>
              <w:pStyle w:val="ListParagraph"/>
              <w:numPr>
                <w:ilvl w:val="0"/>
                <w:numId w:val="21"/>
              </w:numPr>
              <w:spacing w:after="0" w:line="240" w:lineRule="auto"/>
              <w:jc w:val="left"/>
              <w:rPr>
                <w:bCs/>
              </w:rPr>
            </w:pPr>
            <w:r w:rsidRPr="001D639D">
              <w:rPr>
                <w:bCs/>
                <w:sz w:val="20"/>
              </w:rPr>
              <w:t>Not eligible for any other Medicaid</w:t>
            </w:r>
          </w:p>
        </w:tc>
      </w:tr>
    </w:tbl>
    <w:p w14:paraId="660BB56B" w14:textId="77777777" w:rsidR="00E10F10" w:rsidRDefault="00E10F10" w:rsidP="00175DB9">
      <w:pPr>
        <w:spacing w:after="0" w:line="240" w:lineRule="auto"/>
        <w:ind w:left="0"/>
        <w:rPr>
          <w:rFonts w:cs="Times New Roman"/>
          <w:b/>
        </w:rPr>
      </w:pPr>
    </w:p>
    <w:p w14:paraId="037038C9" w14:textId="387CDAE8" w:rsidR="001F4D25" w:rsidRPr="002B4EAF" w:rsidRDefault="001F4D25" w:rsidP="00175DB9">
      <w:pPr>
        <w:spacing w:after="0" w:line="240" w:lineRule="auto"/>
        <w:ind w:left="0"/>
        <w:rPr>
          <w:b/>
          <w:bCs/>
        </w:rPr>
      </w:pPr>
      <w:r w:rsidRPr="002B4EAF">
        <w:rPr>
          <w:rFonts w:cs="Times New Roman"/>
          <w:b/>
        </w:rPr>
        <w:t>ENROLLMENT &amp; FISCAL PROJECTIONS</w:t>
      </w:r>
    </w:p>
    <w:p w14:paraId="033F1A51" w14:textId="77777777" w:rsidR="001F4D25" w:rsidRPr="002B4EAF" w:rsidRDefault="001F4D25" w:rsidP="00175DB9">
      <w:pPr>
        <w:spacing w:line="240" w:lineRule="auto"/>
        <w:ind w:left="0"/>
        <w:contextualSpacing/>
        <w:rPr>
          <w:rFonts w:cs="Times New Roman"/>
        </w:rPr>
      </w:pPr>
      <w:r w:rsidRPr="002B4EAF">
        <w:rPr>
          <w:rFonts w:cs="Times New Roman"/>
        </w:rPr>
        <w:t>The ESRD demonstration extension will have no impact on expected annual Medicaid enrollment as the program has maintained no more than four hundred and forty enrollees since 2014.  Further, it is expected to be budget neutral as outlined within the two tables below.</w:t>
      </w:r>
    </w:p>
    <w:p w14:paraId="26E137BF" w14:textId="77777777" w:rsidR="001F4D25" w:rsidRDefault="001F4D25" w:rsidP="001F4D25">
      <w:pPr>
        <w:rPr>
          <w:b/>
          <w:bCs/>
        </w:rPr>
      </w:pPr>
    </w:p>
    <w:p w14:paraId="29245536" w14:textId="28E6C6D5" w:rsidR="001F4D25" w:rsidRPr="00EA2E2E" w:rsidRDefault="001F4D25" w:rsidP="001F4D25">
      <w:pPr>
        <w:rPr>
          <w:rFonts w:ascii="Times New Roman" w:hAnsi="Times New Roman"/>
          <w:b/>
          <w:bCs/>
        </w:rPr>
      </w:pPr>
      <w:r w:rsidRPr="002B4EAF">
        <w:rPr>
          <w:b/>
          <w:bCs/>
        </w:rPr>
        <w:t xml:space="preserve">Table </w:t>
      </w:r>
      <w:r w:rsidR="003311E2">
        <w:rPr>
          <w:b/>
          <w:bCs/>
        </w:rPr>
        <w:t>2</w:t>
      </w:r>
      <w:r w:rsidRPr="002B4EAF">
        <w:rPr>
          <w:b/>
          <w:bCs/>
        </w:rPr>
        <w:t>. Projected ESRD Expenditures Without Waiver Authority, 2021 – 2025.</w:t>
      </w:r>
    </w:p>
    <w:tbl>
      <w:tblPr>
        <w:tblStyle w:val="GridTable4-Accent1"/>
        <w:tblW w:w="9742" w:type="dxa"/>
        <w:tblLook w:val="04A0" w:firstRow="1" w:lastRow="0" w:firstColumn="1" w:lastColumn="0" w:noHBand="0" w:noVBand="1"/>
      </w:tblPr>
      <w:tblGrid>
        <w:gridCol w:w="1248"/>
        <w:gridCol w:w="1141"/>
        <w:gridCol w:w="1315"/>
        <w:gridCol w:w="1241"/>
        <w:gridCol w:w="1199"/>
        <w:gridCol w:w="1387"/>
        <w:gridCol w:w="1098"/>
        <w:gridCol w:w="1113"/>
      </w:tblGrid>
      <w:tr w:rsidR="00DA60B7" w:rsidRPr="00EA2E2E" w14:paraId="2E07EC6C" w14:textId="77777777" w:rsidTr="001D639D">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0" w:type="dxa"/>
          </w:tcPr>
          <w:p w14:paraId="71E5B349" w14:textId="77777777" w:rsidR="001F4D25" w:rsidRPr="00EA2E2E" w:rsidRDefault="001F4D25" w:rsidP="00784AE1">
            <w:pPr>
              <w:rPr>
                <w:rFonts w:cs="Times New Roman"/>
              </w:rPr>
            </w:pPr>
          </w:p>
        </w:tc>
        <w:tc>
          <w:tcPr>
            <w:tcW w:w="1110" w:type="dxa"/>
            <w:noWrap/>
            <w:vAlign w:val="bottom"/>
          </w:tcPr>
          <w:p w14:paraId="141BD9FA" w14:textId="77777777" w:rsidR="001F4D25" w:rsidRPr="001D639D" w:rsidRDefault="001F4D25" w:rsidP="0056445F">
            <w:pPr>
              <w:ind w:left="-8" w:right="-108"/>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rPr>
            </w:pPr>
            <w:r w:rsidRPr="001D639D">
              <w:rPr>
                <w:rFonts w:cs="Times New Roman"/>
                <w:color w:val="FFFFFF" w:themeColor="background1"/>
              </w:rPr>
              <w:t>Historical</w:t>
            </w:r>
          </w:p>
        </w:tc>
        <w:tc>
          <w:tcPr>
            <w:tcW w:w="1280" w:type="dxa"/>
            <w:noWrap/>
            <w:vAlign w:val="bottom"/>
          </w:tcPr>
          <w:p w14:paraId="0B861960" w14:textId="77777777" w:rsidR="001F4D25" w:rsidRPr="001D639D" w:rsidRDefault="001F4D25" w:rsidP="0056445F">
            <w:pPr>
              <w:ind w:left="-18" w:right="-88"/>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rPr>
            </w:pPr>
            <w:r w:rsidRPr="001D639D">
              <w:rPr>
                <w:rFonts w:cs="Times New Roman"/>
                <w:color w:val="FFFFFF" w:themeColor="background1"/>
              </w:rPr>
              <w:t>2021</w:t>
            </w:r>
          </w:p>
        </w:tc>
        <w:tc>
          <w:tcPr>
            <w:tcW w:w="1208" w:type="dxa"/>
            <w:noWrap/>
            <w:vAlign w:val="bottom"/>
          </w:tcPr>
          <w:p w14:paraId="32882B47" w14:textId="77777777" w:rsidR="001F4D25" w:rsidRPr="001D639D" w:rsidRDefault="001F4D25" w:rsidP="00AC64DE">
            <w:pPr>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rPr>
            </w:pPr>
            <w:r w:rsidRPr="001D639D">
              <w:rPr>
                <w:rFonts w:cs="Times New Roman"/>
                <w:color w:val="FFFFFF" w:themeColor="background1"/>
              </w:rPr>
              <w:t>2022</w:t>
            </w:r>
          </w:p>
        </w:tc>
        <w:tc>
          <w:tcPr>
            <w:tcW w:w="1167" w:type="dxa"/>
            <w:noWrap/>
            <w:vAlign w:val="bottom"/>
          </w:tcPr>
          <w:p w14:paraId="2CF10D7F" w14:textId="77777777" w:rsidR="001F4D25" w:rsidRPr="001D639D" w:rsidRDefault="001F4D25" w:rsidP="00AC64DE">
            <w:pPr>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rPr>
            </w:pPr>
            <w:r w:rsidRPr="001D639D">
              <w:rPr>
                <w:rFonts w:cs="Times New Roman"/>
                <w:color w:val="FFFFFF" w:themeColor="background1"/>
              </w:rPr>
              <w:t>2023</w:t>
            </w:r>
          </w:p>
        </w:tc>
        <w:tc>
          <w:tcPr>
            <w:tcW w:w="1350" w:type="dxa"/>
            <w:noWrap/>
            <w:vAlign w:val="bottom"/>
          </w:tcPr>
          <w:p w14:paraId="369F9EA6" w14:textId="77777777" w:rsidR="001F4D25" w:rsidRPr="001D639D" w:rsidRDefault="001F4D25" w:rsidP="001D639D">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1D639D">
              <w:rPr>
                <w:color w:val="FFFFFF" w:themeColor="background1"/>
              </w:rPr>
              <w:t>2024</w:t>
            </w:r>
          </w:p>
        </w:tc>
        <w:tc>
          <w:tcPr>
            <w:tcW w:w="0" w:type="dxa"/>
            <w:noWrap/>
            <w:vAlign w:val="bottom"/>
          </w:tcPr>
          <w:p w14:paraId="24961428" w14:textId="77777777" w:rsidR="001F4D25" w:rsidRPr="001D639D" w:rsidRDefault="001F4D25" w:rsidP="001D639D">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1D639D">
              <w:rPr>
                <w:color w:val="FFFFFF" w:themeColor="background1"/>
              </w:rPr>
              <w:t>2025</w:t>
            </w:r>
          </w:p>
        </w:tc>
        <w:tc>
          <w:tcPr>
            <w:tcW w:w="0" w:type="dxa"/>
            <w:noWrap/>
            <w:vAlign w:val="bottom"/>
          </w:tcPr>
          <w:p w14:paraId="2C9011CF" w14:textId="77777777" w:rsidR="001F4D25" w:rsidRPr="001D639D" w:rsidRDefault="001F4D25" w:rsidP="001D639D">
            <w:pPr>
              <w:ind w:left="-42"/>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1D639D">
              <w:rPr>
                <w:color w:val="FFFFFF" w:themeColor="background1"/>
              </w:rPr>
              <w:t>Total</w:t>
            </w:r>
          </w:p>
        </w:tc>
      </w:tr>
      <w:tr w:rsidR="00DA60B7" w:rsidRPr="00EA2E2E" w14:paraId="6E7ED04D" w14:textId="77777777" w:rsidTr="001D639D">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0105A3E2" w14:textId="77777777" w:rsidR="001F4D25" w:rsidRPr="00EA2E2E" w:rsidRDefault="001F4D25" w:rsidP="001D639D">
            <w:pPr>
              <w:ind w:left="-113" w:right="-105"/>
              <w:jc w:val="center"/>
              <w:rPr>
                <w:rFonts w:cs="Times New Roman"/>
                <w:b w:val="0"/>
                <w:bCs w:val="0"/>
              </w:rPr>
            </w:pPr>
            <w:r w:rsidRPr="00EA2E2E">
              <w:rPr>
                <w:rFonts w:cs="Times New Roman"/>
              </w:rPr>
              <w:t>Eligible Member Months</w:t>
            </w:r>
          </w:p>
        </w:tc>
        <w:tc>
          <w:tcPr>
            <w:tcW w:w="1110" w:type="dxa"/>
            <w:noWrap/>
            <w:vAlign w:val="center"/>
            <w:hideMark/>
          </w:tcPr>
          <w:p w14:paraId="506CD4DD" w14:textId="77777777" w:rsidR="001F4D25" w:rsidRPr="00EA2E2E" w:rsidRDefault="001F4D25" w:rsidP="00DA60B7">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EA2E2E">
              <w:rPr>
                <w:rFonts w:cs="Times New Roman"/>
              </w:rPr>
              <w:t>2,805</w:t>
            </w:r>
          </w:p>
        </w:tc>
        <w:tc>
          <w:tcPr>
            <w:tcW w:w="1280" w:type="dxa"/>
            <w:noWrap/>
            <w:vAlign w:val="center"/>
            <w:hideMark/>
          </w:tcPr>
          <w:p w14:paraId="7A2F123A" w14:textId="77777777" w:rsidR="001F4D25" w:rsidRPr="00EA2E2E" w:rsidRDefault="001F4D25" w:rsidP="00DA60B7">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EA2E2E">
              <w:rPr>
                <w:rFonts w:cs="Times New Roman"/>
              </w:rPr>
              <w:t>2,805</w:t>
            </w:r>
          </w:p>
        </w:tc>
        <w:tc>
          <w:tcPr>
            <w:tcW w:w="1208" w:type="dxa"/>
            <w:noWrap/>
            <w:vAlign w:val="center"/>
            <w:hideMark/>
          </w:tcPr>
          <w:p w14:paraId="7ADB2E9B" w14:textId="77777777" w:rsidR="001F4D25" w:rsidRPr="00EA2E2E" w:rsidRDefault="001F4D25" w:rsidP="00DA60B7">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EA2E2E">
              <w:rPr>
                <w:rFonts w:cs="Times New Roman"/>
              </w:rPr>
              <w:t>2,805</w:t>
            </w:r>
          </w:p>
        </w:tc>
        <w:tc>
          <w:tcPr>
            <w:tcW w:w="1167" w:type="dxa"/>
            <w:noWrap/>
            <w:vAlign w:val="center"/>
            <w:hideMark/>
          </w:tcPr>
          <w:p w14:paraId="4597F41C" w14:textId="77777777" w:rsidR="001F4D25" w:rsidRPr="00EA2E2E" w:rsidRDefault="001F4D25" w:rsidP="00DA60B7">
            <w:pPr>
              <w:jc w:val="center"/>
              <w:cnfStyle w:val="000000100000" w:firstRow="0" w:lastRow="0" w:firstColumn="0" w:lastColumn="0" w:oddVBand="0" w:evenVBand="0" w:oddHBand="1" w:evenHBand="0" w:firstRowFirstColumn="0" w:firstRowLastColumn="0" w:lastRowFirstColumn="0" w:lastRowLastColumn="0"/>
            </w:pPr>
            <w:r w:rsidRPr="00EA2E2E">
              <w:rPr>
                <w:rFonts w:cs="Times New Roman"/>
              </w:rPr>
              <w:t>2,805</w:t>
            </w:r>
          </w:p>
        </w:tc>
        <w:tc>
          <w:tcPr>
            <w:tcW w:w="1350" w:type="dxa"/>
            <w:noWrap/>
            <w:vAlign w:val="center"/>
            <w:hideMark/>
          </w:tcPr>
          <w:p w14:paraId="717C9D20" w14:textId="77777777" w:rsidR="001F4D25" w:rsidRPr="00EA2E2E" w:rsidRDefault="001F4D25" w:rsidP="001D639D">
            <w:pPr>
              <w:jc w:val="center"/>
              <w:cnfStyle w:val="000000100000" w:firstRow="0" w:lastRow="0" w:firstColumn="0" w:lastColumn="0" w:oddVBand="0" w:evenVBand="0" w:oddHBand="1" w:evenHBand="0" w:firstRowFirstColumn="0" w:firstRowLastColumn="0" w:lastRowFirstColumn="0" w:lastRowLastColumn="0"/>
            </w:pPr>
            <w:r w:rsidRPr="00EA2E2E">
              <w:t>2,805</w:t>
            </w:r>
          </w:p>
        </w:tc>
        <w:tc>
          <w:tcPr>
            <w:tcW w:w="0" w:type="dxa"/>
            <w:noWrap/>
            <w:vAlign w:val="center"/>
            <w:hideMark/>
          </w:tcPr>
          <w:p w14:paraId="54A4D55A" w14:textId="77777777" w:rsidR="001F4D25" w:rsidRPr="00EA2E2E" w:rsidRDefault="001F4D25" w:rsidP="001D639D">
            <w:pPr>
              <w:jc w:val="center"/>
              <w:cnfStyle w:val="000000100000" w:firstRow="0" w:lastRow="0" w:firstColumn="0" w:lastColumn="0" w:oddVBand="0" w:evenVBand="0" w:oddHBand="1" w:evenHBand="0" w:firstRowFirstColumn="0" w:firstRowLastColumn="0" w:lastRowFirstColumn="0" w:lastRowLastColumn="0"/>
            </w:pPr>
            <w:r w:rsidRPr="00EA2E2E">
              <w:t>2,805</w:t>
            </w:r>
          </w:p>
        </w:tc>
        <w:tc>
          <w:tcPr>
            <w:tcW w:w="0" w:type="dxa"/>
            <w:noWrap/>
            <w:vAlign w:val="center"/>
            <w:hideMark/>
          </w:tcPr>
          <w:p w14:paraId="5299B9EE" w14:textId="16FEEE16" w:rsidR="001F4D25" w:rsidRPr="00EA2E2E" w:rsidRDefault="001F4D25" w:rsidP="001D639D">
            <w:pPr>
              <w:jc w:val="center"/>
              <w:cnfStyle w:val="000000100000" w:firstRow="0" w:lastRow="0" w:firstColumn="0" w:lastColumn="0" w:oddVBand="0" w:evenVBand="0" w:oddHBand="1" w:evenHBand="0" w:firstRowFirstColumn="0" w:firstRowLastColumn="0" w:lastRowFirstColumn="0" w:lastRowLastColumn="0"/>
            </w:pPr>
          </w:p>
        </w:tc>
      </w:tr>
      <w:tr w:rsidR="00DA60B7" w:rsidRPr="00EA2E2E" w14:paraId="40B96A26" w14:textId="77777777" w:rsidTr="001D639D">
        <w:trPr>
          <w:trHeight w:val="399"/>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20A08F2" w14:textId="77777777" w:rsidR="001F4D25" w:rsidRPr="00EA2E2E" w:rsidRDefault="001F4D25" w:rsidP="001D639D">
            <w:pPr>
              <w:ind w:left="-113" w:right="-105"/>
              <w:jc w:val="center"/>
              <w:rPr>
                <w:rFonts w:cs="Times New Roman"/>
                <w:b w:val="0"/>
                <w:bCs w:val="0"/>
              </w:rPr>
            </w:pPr>
            <w:r w:rsidRPr="00EA2E2E">
              <w:rPr>
                <w:rFonts w:cs="Times New Roman"/>
              </w:rPr>
              <w:t>PMPM Cost</w:t>
            </w:r>
          </w:p>
        </w:tc>
        <w:tc>
          <w:tcPr>
            <w:tcW w:w="1110" w:type="dxa"/>
            <w:noWrap/>
            <w:vAlign w:val="center"/>
            <w:hideMark/>
          </w:tcPr>
          <w:p w14:paraId="2605DFD7" w14:textId="386696F9" w:rsidR="001F4D25" w:rsidRPr="00EA2E2E" w:rsidRDefault="001F4D25" w:rsidP="00DA60B7">
            <w:pPr>
              <w:jc w:val="center"/>
              <w:cnfStyle w:val="000000000000" w:firstRow="0" w:lastRow="0" w:firstColumn="0" w:lastColumn="0" w:oddVBand="0" w:evenVBand="0" w:oddHBand="0" w:evenHBand="0" w:firstRowFirstColumn="0" w:firstRowLastColumn="0" w:lastRowFirstColumn="0" w:lastRowLastColumn="0"/>
            </w:pPr>
            <w:r>
              <w:t>$5</w:t>
            </w:r>
            <w:r w:rsidRPr="00EA2E2E">
              <w:t>21</w:t>
            </w:r>
          </w:p>
        </w:tc>
        <w:tc>
          <w:tcPr>
            <w:tcW w:w="1280" w:type="dxa"/>
            <w:noWrap/>
            <w:vAlign w:val="center"/>
            <w:hideMark/>
          </w:tcPr>
          <w:p w14:paraId="4A691039" w14:textId="52BA8DC5" w:rsidR="001F4D25" w:rsidRPr="00EA2E2E" w:rsidRDefault="001F4D25" w:rsidP="00DA60B7">
            <w:pPr>
              <w:jc w:val="center"/>
              <w:cnfStyle w:val="000000000000" w:firstRow="0" w:lastRow="0" w:firstColumn="0" w:lastColumn="0" w:oddVBand="0" w:evenVBand="0" w:oddHBand="0" w:evenHBand="0" w:firstRowFirstColumn="0" w:firstRowLastColumn="0" w:lastRowFirstColumn="0" w:lastRowLastColumn="0"/>
            </w:pPr>
            <w:r w:rsidRPr="00EA2E2E">
              <w:rPr>
                <w:rFonts w:cs="Times New Roman"/>
              </w:rPr>
              <w:t>$596</w:t>
            </w:r>
          </w:p>
        </w:tc>
        <w:tc>
          <w:tcPr>
            <w:tcW w:w="1208" w:type="dxa"/>
            <w:noWrap/>
            <w:vAlign w:val="center"/>
            <w:hideMark/>
          </w:tcPr>
          <w:p w14:paraId="3BA041BC" w14:textId="7E6AFD4D" w:rsidR="001F4D25" w:rsidRPr="00EA2E2E" w:rsidRDefault="001F4D25" w:rsidP="001D639D">
            <w:pPr>
              <w:jc w:val="center"/>
              <w:cnfStyle w:val="000000000000" w:firstRow="0" w:lastRow="0" w:firstColumn="0" w:lastColumn="0" w:oddVBand="0" w:evenVBand="0" w:oddHBand="0" w:evenHBand="0" w:firstRowFirstColumn="0" w:firstRowLastColumn="0" w:lastRowFirstColumn="0" w:lastRowLastColumn="0"/>
            </w:pPr>
            <w:r w:rsidRPr="00EA2E2E">
              <w:rPr>
                <w:rFonts w:cs="Times New Roman"/>
              </w:rPr>
              <w:t>$</w:t>
            </w:r>
            <w:r w:rsidRPr="00EA2E2E">
              <w:t>623</w:t>
            </w:r>
          </w:p>
        </w:tc>
        <w:tc>
          <w:tcPr>
            <w:tcW w:w="1167" w:type="dxa"/>
            <w:noWrap/>
            <w:vAlign w:val="center"/>
            <w:hideMark/>
          </w:tcPr>
          <w:p w14:paraId="0E0699C6" w14:textId="6984781E" w:rsidR="001F4D25" w:rsidRPr="00EA2E2E" w:rsidRDefault="001F4D25" w:rsidP="001D639D">
            <w:pPr>
              <w:jc w:val="center"/>
              <w:cnfStyle w:val="000000000000" w:firstRow="0" w:lastRow="0" w:firstColumn="0" w:lastColumn="0" w:oddVBand="0" w:evenVBand="0" w:oddHBand="0" w:evenHBand="0" w:firstRowFirstColumn="0" w:firstRowLastColumn="0" w:lastRowFirstColumn="0" w:lastRowLastColumn="0"/>
            </w:pPr>
            <w:r w:rsidRPr="00EA2E2E">
              <w:t>$652</w:t>
            </w:r>
          </w:p>
        </w:tc>
        <w:tc>
          <w:tcPr>
            <w:tcW w:w="1350" w:type="dxa"/>
            <w:noWrap/>
            <w:vAlign w:val="center"/>
            <w:hideMark/>
          </w:tcPr>
          <w:p w14:paraId="2E45F78E" w14:textId="359860DC" w:rsidR="001F4D25" w:rsidRPr="00EA2E2E" w:rsidRDefault="001F4D25" w:rsidP="001D639D">
            <w:pPr>
              <w:jc w:val="center"/>
              <w:cnfStyle w:val="000000000000" w:firstRow="0" w:lastRow="0" w:firstColumn="0" w:lastColumn="0" w:oddVBand="0" w:evenVBand="0" w:oddHBand="0" w:evenHBand="0" w:firstRowFirstColumn="0" w:firstRowLastColumn="0" w:lastRowFirstColumn="0" w:lastRowLastColumn="0"/>
            </w:pPr>
            <w:r w:rsidRPr="00EA2E2E">
              <w:t>$682</w:t>
            </w:r>
          </w:p>
        </w:tc>
        <w:tc>
          <w:tcPr>
            <w:tcW w:w="0" w:type="dxa"/>
            <w:noWrap/>
            <w:vAlign w:val="center"/>
            <w:hideMark/>
          </w:tcPr>
          <w:p w14:paraId="4D36C605" w14:textId="7CB147FD" w:rsidR="001F4D25" w:rsidRPr="00EA2E2E" w:rsidRDefault="001F4D25" w:rsidP="001D639D">
            <w:pPr>
              <w:jc w:val="center"/>
              <w:cnfStyle w:val="000000000000" w:firstRow="0" w:lastRow="0" w:firstColumn="0" w:lastColumn="0" w:oddVBand="0" w:evenVBand="0" w:oddHBand="0" w:evenHBand="0" w:firstRowFirstColumn="0" w:firstRowLastColumn="0" w:lastRowFirstColumn="0" w:lastRowLastColumn="0"/>
            </w:pPr>
            <w:r w:rsidRPr="00EA2E2E">
              <w:t>$713</w:t>
            </w:r>
          </w:p>
        </w:tc>
        <w:tc>
          <w:tcPr>
            <w:tcW w:w="0" w:type="dxa"/>
            <w:noWrap/>
            <w:vAlign w:val="center"/>
            <w:hideMark/>
          </w:tcPr>
          <w:p w14:paraId="495799F0" w14:textId="2C2DA297" w:rsidR="001F4D25" w:rsidRPr="00EA2E2E" w:rsidRDefault="001F4D25" w:rsidP="001D639D">
            <w:pPr>
              <w:jc w:val="center"/>
              <w:cnfStyle w:val="000000000000" w:firstRow="0" w:lastRow="0" w:firstColumn="0" w:lastColumn="0" w:oddVBand="0" w:evenVBand="0" w:oddHBand="0" w:evenHBand="0" w:firstRowFirstColumn="0" w:firstRowLastColumn="0" w:lastRowFirstColumn="0" w:lastRowLastColumn="0"/>
            </w:pPr>
          </w:p>
        </w:tc>
      </w:tr>
      <w:tr w:rsidR="00DA60B7" w:rsidRPr="00EA2E2E" w14:paraId="50657F26" w14:textId="77777777" w:rsidTr="001D639D">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242A051B" w14:textId="77777777" w:rsidR="001F4D25" w:rsidRPr="00EA2E2E" w:rsidRDefault="001F4D25" w:rsidP="001D639D">
            <w:pPr>
              <w:ind w:left="-113" w:right="-118"/>
              <w:jc w:val="center"/>
              <w:rPr>
                <w:rFonts w:cs="Times New Roman"/>
                <w:b w:val="0"/>
                <w:bCs w:val="0"/>
              </w:rPr>
            </w:pPr>
            <w:r w:rsidRPr="00EA2E2E">
              <w:rPr>
                <w:rFonts w:cs="Times New Roman"/>
              </w:rPr>
              <w:t>Total Expenditure</w:t>
            </w:r>
          </w:p>
        </w:tc>
        <w:tc>
          <w:tcPr>
            <w:tcW w:w="1110" w:type="dxa"/>
            <w:noWrap/>
            <w:vAlign w:val="center"/>
            <w:hideMark/>
          </w:tcPr>
          <w:p w14:paraId="7B12935A" w14:textId="77777777" w:rsidR="001F4D25" w:rsidRPr="00EA2E2E" w:rsidRDefault="001F4D25" w:rsidP="00DA60B7">
            <w:pPr>
              <w:jc w:val="center"/>
              <w:cnfStyle w:val="000000100000" w:firstRow="0" w:lastRow="0" w:firstColumn="0" w:lastColumn="0" w:oddVBand="0" w:evenVBand="0" w:oddHBand="1" w:evenHBand="0" w:firstRowFirstColumn="0" w:firstRowLastColumn="0" w:lastRowFirstColumn="0" w:lastRowLastColumn="0"/>
              <w:rPr>
                <w:rFonts w:cs="Times New Roman"/>
              </w:rPr>
            </w:pPr>
          </w:p>
        </w:tc>
        <w:tc>
          <w:tcPr>
            <w:tcW w:w="1280" w:type="dxa"/>
            <w:noWrap/>
            <w:vAlign w:val="center"/>
            <w:hideMark/>
          </w:tcPr>
          <w:p w14:paraId="12ABECE4" w14:textId="77777777" w:rsidR="001F4D25" w:rsidRPr="00EA2E2E" w:rsidRDefault="001F4D25" w:rsidP="00D73576">
            <w:pPr>
              <w:ind w:left="-88" w:right="-56"/>
              <w:jc w:val="center"/>
              <w:cnfStyle w:val="000000100000" w:firstRow="0" w:lastRow="0" w:firstColumn="0" w:lastColumn="0" w:oddVBand="0" w:evenVBand="0" w:oddHBand="1" w:evenHBand="0" w:firstRowFirstColumn="0" w:firstRowLastColumn="0" w:lastRowFirstColumn="0" w:lastRowLastColumn="0"/>
            </w:pPr>
            <w:r w:rsidRPr="00EA2E2E">
              <w:rPr>
                <w:rFonts w:cs="Times New Roman"/>
              </w:rPr>
              <w:t>$</w:t>
            </w:r>
            <w:r w:rsidRPr="00EA2E2E">
              <w:t>1,671,135</w:t>
            </w:r>
          </w:p>
        </w:tc>
        <w:tc>
          <w:tcPr>
            <w:tcW w:w="1208" w:type="dxa"/>
            <w:noWrap/>
            <w:vAlign w:val="center"/>
            <w:hideMark/>
          </w:tcPr>
          <w:p w14:paraId="68ABB0C8" w14:textId="77777777" w:rsidR="001F4D25" w:rsidRPr="00EA2E2E" w:rsidRDefault="001F4D25" w:rsidP="00DA60B7">
            <w:pPr>
              <w:ind w:left="-160" w:right="-105"/>
              <w:jc w:val="center"/>
              <w:cnfStyle w:val="000000100000" w:firstRow="0" w:lastRow="0" w:firstColumn="0" w:lastColumn="0" w:oddVBand="0" w:evenVBand="0" w:oddHBand="1" w:evenHBand="0" w:firstRowFirstColumn="0" w:firstRowLastColumn="0" w:lastRowFirstColumn="0" w:lastRowLastColumn="0"/>
            </w:pPr>
            <w:r w:rsidRPr="00EA2E2E">
              <w:rPr>
                <w:rFonts w:cs="Times New Roman"/>
              </w:rPr>
              <w:t>$</w:t>
            </w:r>
            <w:r w:rsidRPr="00EA2E2E">
              <w:t>1,748,020</w:t>
            </w:r>
          </w:p>
        </w:tc>
        <w:tc>
          <w:tcPr>
            <w:tcW w:w="1167" w:type="dxa"/>
            <w:noWrap/>
            <w:vAlign w:val="center"/>
            <w:hideMark/>
          </w:tcPr>
          <w:p w14:paraId="1DA9CD36" w14:textId="77777777" w:rsidR="001F4D25" w:rsidRPr="00EA2E2E" w:rsidRDefault="001F4D25" w:rsidP="00DA60B7">
            <w:pPr>
              <w:ind w:left="-111" w:right="-136"/>
              <w:jc w:val="center"/>
              <w:cnfStyle w:val="000000100000" w:firstRow="0" w:lastRow="0" w:firstColumn="0" w:lastColumn="0" w:oddVBand="0" w:evenVBand="0" w:oddHBand="1" w:evenHBand="0" w:firstRowFirstColumn="0" w:firstRowLastColumn="0" w:lastRowFirstColumn="0" w:lastRowLastColumn="0"/>
            </w:pPr>
            <w:r w:rsidRPr="00EA2E2E">
              <w:rPr>
                <w:rFonts w:cs="Times New Roman"/>
              </w:rPr>
              <w:t>$</w:t>
            </w:r>
            <w:r w:rsidRPr="00EA2E2E">
              <w:t>1,828,439</w:t>
            </w:r>
          </w:p>
        </w:tc>
        <w:tc>
          <w:tcPr>
            <w:tcW w:w="1350" w:type="dxa"/>
            <w:noWrap/>
            <w:vAlign w:val="center"/>
            <w:hideMark/>
          </w:tcPr>
          <w:p w14:paraId="16326151" w14:textId="77777777" w:rsidR="001F4D25" w:rsidRPr="00EA2E2E" w:rsidRDefault="001F4D25" w:rsidP="00DA60B7">
            <w:pPr>
              <w:ind w:left="-80" w:right="-77"/>
              <w:jc w:val="center"/>
              <w:cnfStyle w:val="000000100000" w:firstRow="0" w:lastRow="0" w:firstColumn="0" w:lastColumn="0" w:oddVBand="0" w:evenVBand="0" w:oddHBand="1" w:evenHBand="0" w:firstRowFirstColumn="0" w:firstRowLastColumn="0" w:lastRowFirstColumn="0" w:lastRowLastColumn="0"/>
            </w:pPr>
            <w:r w:rsidRPr="00EA2E2E">
              <w:t>$1,912,561</w:t>
            </w:r>
          </w:p>
        </w:tc>
        <w:tc>
          <w:tcPr>
            <w:tcW w:w="0" w:type="dxa"/>
            <w:noWrap/>
            <w:vAlign w:val="center"/>
            <w:hideMark/>
          </w:tcPr>
          <w:p w14:paraId="25CC2BF5" w14:textId="77777777" w:rsidR="001F4D25" w:rsidRPr="00EA2E2E" w:rsidRDefault="001F4D25" w:rsidP="00DA60B7">
            <w:pPr>
              <w:ind w:left="-139" w:right="-111"/>
              <w:jc w:val="center"/>
              <w:cnfStyle w:val="000000100000" w:firstRow="0" w:lastRow="0" w:firstColumn="0" w:lastColumn="0" w:oddVBand="0" w:evenVBand="0" w:oddHBand="1" w:evenHBand="0" w:firstRowFirstColumn="0" w:firstRowLastColumn="0" w:lastRowFirstColumn="0" w:lastRowLastColumn="0"/>
            </w:pPr>
            <w:r w:rsidRPr="00EA2E2E">
              <w:t>$2,000,526</w:t>
            </w:r>
          </w:p>
        </w:tc>
        <w:tc>
          <w:tcPr>
            <w:tcW w:w="0" w:type="dxa"/>
            <w:noWrap/>
            <w:vAlign w:val="center"/>
            <w:hideMark/>
          </w:tcPr>
          <w:p w14:paraId="24BF0D14" w14:textId="77777777" w:rsidR="001F4D25" w:rsidRPr="00EA2E2E" w:rsidRDefault="001F4D25" w:rsidP="001D639D">
            <w:pPr>
              <w:ind w:left="-125" w:right="-122"/>
              <w:jc w:val="center"/>
              <w:cnfStyle w:val="000000100000" w:firstRow="0" w:lastRow="0" w:firstColumn="0" w:lastColumn="0" w:oddVBand="0" w:evenVBand="0" w:oddHBand="1" w:evenHBand="0" w:firstRowFirstColumn="0" w:firstRowLastColumn="0" w:lastRowFirstColumn="0" w:lastRowLastColumn="0"/>
            </w:pPr>
            <w:r w:rsidRPr="00EA2E2E">
              <w:t>$9,160,681</w:t>
            </w:r>
          </w:p>
        </w:tc>
      </w:tr>
    </w:tbl>
    <w:p w14:paraId="7C2BA621" w14:textId="77777777" w:rsidR="00E10F10" w:rsidRDefault="00E10F10" w:rsidP="00E10F10">
      <w:pPr>
        <w:ind w:left="0"/>
        <w:rPr>
          <w:b/>
          <w:bCs/>
        </w:rPr>
      </w:pPr>
    </w:p>
    <w:p w14:paraId="514FEA1D" w14:textId="77777777" w:rsidR="00E10F10" w:rsidRDefault="00E10F10" w:rsidP="00E10F10">
      <w:pPr>
        <w:ind w:left="0"/>
        <w:rPr>
          <w:b/>
          <w:bCs/>
        </w:rPr>
      </w:pPr>
    </w:p>
    <w:p w14:paraId="00008CBD" w14:textId="3823B8DC" w:rsidR="001F4D25" w:rsidRDefault="001F4D25" w:rsidP="00E10F10">
      <w:pPr>
        <w:ind w:left="0"/>
        <w:rPr>
          <w:b/>
          <w:bCs/>
        </w:rPr>
      </w:pPr>
      <w:r w:rsidRPr="002B4EAF">
        <w:rPr>
          <w:b/>
          <w:bCs/>
        </w:rPr>
        <w:t xml:space="preserve">Table </w:t>
      </w:r>
      <w:r w:rsidR="003311E2">
        <w:rPr>
          <w:b/>
          <w:bCs/>
        </w:rPr>
        <w:t>3</w:t>
      </w:r>
      <w:r w:rsidRPr="002B4EAF">
        <w:rPr>
          <w:b/>
          <w:bCs/>
        </w:rPr>
        <w:t>. Projected ESRD Expenditures With Waiver Authority, 2021 – 2025.</w:t>
      </w:r>
    </w:p>
    <w:tbl>
      <w:tblPr>
        <w:tblStyle w:val="GridTable4-Accent1"/>
        <w:tblW w:w="9715" w:type="dxa"/>
        <w:tblLook w:val="04A0" w:firstRow="1" w:lastRow="0" w:firstColumn="1" w:lastColumn="0" w:noHBand="0" w:noVBand="1"/>
      </w:tblPr>
      <w:tblGrid>
        <w:gridCol w:w="1438"/>
        <w:gridCol w:w="1180"/>
        <w:gridCol w:w="1157"/>
        <w:gridCol w:w="1170"/>
        <w:gridCol w:w="1319"/>
        <w:gridCol w:w="1201"/>
        <w:gridCol w:w="1170"/>
        <w:gridCol w:w="1100"/>
      </w:tblGrid>
      <w:tr w:rsidR="001F4D25" w:rsidRPr="00EA2E2E" w14:paraId="26A0BB8D" w14:textId="77777777" w:rsidTr="001D639D">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438" w:type="dxa"/>
            <w:vAlign w:val="center"/>
          </w:tcPr>
          <w:p w14:paraId="3023EAD4" w14:textId="77777777" w:rsidR="001F4D25" w:rsidRPr="001D639D" w:rsidRDefault="001F4D25" w:rsidP="001D639D">
            <w:pPr>
              <w:jc w:val="center"/>
              <w:rPr>
                <w:rFonts w:cs="Times New Roman"/>
                <w:color w:val="FFFFFF" w:themeColor="background1"/>
              </w:rPr>
            </w:pPr>
          </w:p>
        </w:tc>
        <w:tc>
          <w:tcPr>
            <w:tcW w:w="1180" w:type="dxa"/>
            <w:noWrap/>
            <w:vAlign w:val="bottom"/>
          </w:tcPr>
          <w:p w14:paraId="6CF49B62" w14:textId="77777777" w:rsidR="001F4D25" w:rsidRPr="001D639D" w:rsidRDefault="001F4D25" w:rsidP="0056445F">
            <w:pPr>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rPr>
            </w:pPr>
            <w:r w:rsidRPr="001D639D">
              <w:rPr>
                <w:rFonts w:cs="Times New Roman"/>
                <w:color w:val="FFFFFF" w:themeColor="background1"/>
              </w:rPr>
              <w:t>Historical</w:t>
            </w:r>
          </w:p>
        </w:tc>
        <w:tc>
          <w:tcPr>
            <w:tcW w:w="1157" w:type="dxa"/>
            <w:noWrap/>
            <w:vAlign w:val="bottom"/>
          </w:tcPr>
          <w:p w14:paraId="7EF9FA74" w14:textId="77777777" w:rsidR="001F4D25" w:rsidRPr="001D639D" w:rsidRDefault="001F4D25" w:rsidP="0056445F">
            <w:pPr>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rPr>
            </w:pPr>
            <w:r w:rsidRPr="001D639D">
              <w:rPr>
                <w:rFonts w:cs="Times New Roman"/>
                <w:color w:val="FFFFFF" w:themeColor="background1"/>
              </w:rPr>
              <w:t>2021</w:t>
            </w:r>
          </w:p>
        </w:tc>
        <w:tc>
          <w:tcPr>
            <w:tcW w:w="1170" w:type="dxa"/>
            <w:noWrap/>
            <w:vAlign w:val="bottom"/>
          </w:tcPr>
          <w:p w14:paraId="570A3E15" w14:textId="77777777" w:rsidR="001F4D25" w:rsidRPr="001D639D" w:rsidRDefault="001F4D25" w:rsidP="00AC64DE">
            <w:pPr>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rPr>
            </w:pPr>
            <w:r w:rsidRPr="001D639D">
              <w:rPr>
                <w:rFonts w:cs="Times New Roman"/>
                <w:color w:val="FFFFFF" w:themeColor="background1"/>
              </w:rPr>
              <w:t>2022</w:t>
            </w:r>
          </w:p>
        </w:tc>
        <w:tc>
          <w:tcPr>
            <w:tcW w:w="1319" w:type="dxa"/>
            <w:noWrap/>
            <w:vAlign w:val="bottom"/>
          </w:tcPr>
          <w:p w14:paraId="3EFC94E7" w14:textId="77777777" w:rsidR="001F4D25" w:rsidRPr="001D639D" w:rsidRDefault="001F4D25" w:rsidP="00AC64DE">
            <w:pPr>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rPr>
            </w:pPr>
            <w:r w:rsidRPr="001D639D">
              <w:rPr>
                <w:rFonts w:cs="Times New Roman"/>
                <w:color w:val="FFFFFF" w:themeColor="background1"/>
              </w:rPr>
              <w:t>2023</w:t>
            </w:r>
          </w:p>
        </w:tc>
        <w:tc>
          <w:tcPr>
            <w:tcW w:w="1201" w:type="dxa"/>
            <w:noWrap/>
            <w:vAlign w:val="bottom"/>
          </w:tcPr>
          <w:p w14:paraId="7AE9439F" w14:textId="77777777" w:rsidR="001F4D25" w:rsidRPr="001D639D" w:rsidRDefault="001F4D25" w:rsidP="001D639D">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1D639D">
              <w:rPr>
                <w:color w:val="FFFFFF" w:themeColor="background1"/>
              </w:rPr>
              <w:t>2024</w:t>
            </w:r>
          </w:p>
        </w:tc>
        <w:tc>
          <w:tcPr>
            <w:tcW w:w="1170" w:type="dxa"/>
            <w:noWrap/>
            <w:vAlign w:val="bottom"/>
          </w:tcPr>
          <w:p w14:paraId="61D42591" w14:textId="77777777" w:rsidR="001F4D25" w:rsidRPr="001D639D" w:rsidRDefault="001F4D25" w:rsidP="001D639D">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1D639D">
              <w:rPr>
                <w:color w:val="FFFFFF" w:themeColor="background1"/>
              </w:rPr>
              <w:t>2025</w:t>
            </w:r>
          </w:p>
        </w:tc>
        <w:tc>
          <w:tcPr>
            <w:tcW w:w="1080" w:type="dxa"/>
            <w:noWrap/>
            <w:vAlign w:val="bottom"/>
          </w:tcPr>
          <w:p w14:paraId="22B220CA" w14:textId="77777777" w:rsidR="001F4D25" w:rsidRPr="001D639D" w:rsidRDefault="001F4D25" w:rsidP="001D639D">
            <w:pPr>
              <w:ind w:left="-108"/>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1D639D">
              <w:rPr>
                <w:color w:val="FFFFFF" w:themeColor="background1"/>
              </w:rPr>
              <w:t>Total</w:t>
            </w:r>
          </w:p>
        </w:tc>
      </w:tr>
      <w:tr w:rsidR="001F4D25" w:rsidRPr="00EA2E2E" w14:paraId="7592B87D" w14:textId="77777777" w:rsidTr="001D639D">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438" w:type="dxa"/>
            <w:vAlign w:val="center"/>
            <w:hideMark/>
          </w:tcPr>
          <w:p w14:paraId="7F47E5B6" w14:textId="77777777" w:rsidR="001F4D25" w:rsidRPr="00EA2E2E" w:rsidRDefault="001F4D25" w:rsidP="001D639D">
            <w:pPr>
              <w:jc w:val="center"/>
              <w:rPr>
                <w:rFonts w:cs="Times New Roman"/>
                <w:b w:val="0"/>
                <w:bCs w:val="0"/>
              </w:rPr>
            </w:pPr>
            <w:r w:rsidRPr="00EA2E2E">
              <w:rPr>
                <w:rFonts w:cs="Times New Roman"/>
              </w:rPr>
              <w:t>Eligible Member Months</w:t>
            </w:r>
          </w:p>
        </w:tc>
        <w:tc>
          <w:tcPr>
            <w:tcW w:w="1180" w:type="dxa"/>
            <w:noWrap/>
            <w:vAlign w:val="center"/>
            <w:hideMark/>
          </w:tcPr>
          <w:p w14:paraId="044480FD" w14:textId="77777777" w:rsidR="001F4D25" w:rsidRPr="00EA2E2E" w:rsidRDefault="001F4D25" w:rsidP="00D73576">
            <w:pPr>
              <w:ind w:left="-111" w:right="-95"/>
              <w:jc w:val="center"/>
              <w:cnfStyle w:val="000000100000" w:firstRow="0" w:lastRow="0" w:firstColumn="0" w:lastColumn="0" w:oddVBand="0" w:evenVBand="0" w:oddHBand="1" w:evenHBand="0" w:firstRowFirstColumn="0" w:firstRowLastColumn="0" w:lastRowFirstColumn="0" w:lastRowLastColumn="0"/>
              <w:rPr>
                <w:rFonts w:cs="Times New Roman"/>
              </w:rPr>
            </w:pPr>
            <w:r w:rsidRPr="00EA2E2E">
              <w:rPr>
                <w:rFonts w:cs="Times New Roman"/>
              </w:rPr>
              <w:t>2,805</w:t>
            </w:r>
          </w:p>
        </w:tc>
        <w:tc>
          <w:tcPr>
            <w:tcW w:w="1157" w:type="dxa"/>
            <w:noWrap/>
            <w:vAlign w:val="center"/>
            <w:hideMark/>
          </w:tcPr>
          <w:p w14:paraId="531525C7" w14:textId="77777777" w:rsidR="001F4D25" w:rsidRPr="00EA2E2E" w:rsidRDefault="001F4D25" w:rsidP="00D73576">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EA2E2E">
              <w:rPr>
                <w:rFonts w:cs="Times New Roman"/>
              </w:rPr>
              <w:t>2,805</w:t>
            </w:r>
          </w:p>
        </w:tc>
        <w:tc>
          <w:tcPr>
            <w:tcW w:w="1170" w:type="dxa"/>
            <w:noWrap/>
            <w:vAlign w:val="center"/>
            <w:hideMark/>
          </w:tcPr>
          <w:p w14:paraId="6D572226" w14:textId="77777777" w:rsidR="001F4D25" w:rsidRPr="00EA2E2E" w:rsidRDefault="001F4D25" w:rsidP="00D73576">
            <w:pPr>
              <w:jc w:val="center"/>
              <w:cnfStyle w:val="000000100000" w:firstRow="0" w:lastRow="0" w:firstColumn="0" w:lastColumn="0" w:oddVBand="0" w:evenVBand="0" w:oddHBand="1" w:evenHBand="0" w:firstRowFirstColumn="0" w:firstRowLastColumn="0" w:lastRowFirstColumn="0" w:lastRowLastColumn="0"/>
              <w:rPr>
                <w:rFonts w:cs="Times New Roman"/>
              </w:rPr>
            </w:pPr>
            <w:r w:rsidRPr="00EA2E2E">
              <w:rPr>
                <w:rFonts w:cs="Times New Roman"/>
              </w:rPr>
              <w:t>2,805</w:t>
            </w:r>
          </w:p>
        </w:tc>
        <w:tc>
          <w:tcPr>
            <w:tcW w:w="1319" w:type="dxa"/>
            <w:noWrap/>
            <w:vAlign w:val="center"/>
            <w:hideMark/>
          </w:tcPr>
          <w:p w14:paraId="42C60A5C" w14:textId="77777777" w:rsidR="001F4D25" w:rsidRPr="00EA2E2E" w:rsidRDefault="001F4D25" w:rsidP="00D73576">
            <w:pPr>
              <w:jc w:val="center"/>
              <w:cnfStyle w:val="000000100000" w:firstRow="0" w:lastRow="0" w:firstColumn="0" w:lastColumn="0" w:oddVBand="0" w:evenVBand="0" w:oddHBand="1" w:evenHBand="0" w:firstRowFirstColumn="0" w:firstRowLastColumn="0" w:lastRowFirstColumn="0" w:lastRowLastColumn="0"/>
            </w:pPr>
            <w:r w:rsidRPr="00EA2E2E">
              <w:rPr>
                <w:rFonts w:cs="Times New Roman"/>
              </w:rPr>
              <w:t>2,805</w:t>
            </w:r>
          </w:p>
        </w:tc>
        <w:tc>
          <w:tcPr>
            <w:tcW w:w="1201" w:type="dxa"/>
            <w:noWrap/>
            <w:vAlign w:val="center"/>
            <w:hideMark/>
          </w:tcPr>
          <w:p w14:paraId="42883D52" w14:textId="77777777" w:rsidR="001F4D25" w:rsidRPr="00EA2E2E" w:rsidRDefault="001F4D25" w:rsidP="001D639D">
            <w:pPr>
              <w:jc w:val="center"/>
              <w:cnfStyle w:val="000000100000" w:firstRow="0" w:lastRow="0" w:firstColumn="0" w:lastColumn="0" w:oddVBand="0" w:evenVBand="0" w:oddHBand="1" w:evenHBand="0" w:firstRowFirstColumn="0" w:firstRowLastColumn="0" w:lastRowFirstColumn="0" w:lastRowLastColumn="0"/>
            </w:pPr>
            <w:r w:rsidRPr="00EA2E2E">
              <w:t>2,805</w:t>
            </w:r>
          </w:p>
        </w:tc>
        <w:tc>
          <w:tcPr>
            <w:tcW w:w="1170" w:type="dxa"/>
            <w:noWrap/>
            <w:vAlign w:val="center"/>
            <w:hideMark/>
          </w:tcPr>
          <w:p w14:paraId="7FA53AB7" w14:textId="77777777" w:rsidR="001F4D25" w:rsidRPr="00EA2E2E" w:rsidRDefault="001F4D25" w:rsidP="001D639D">
            <w:pPr>
              <w:jc w:val="center"/>
              <w:cnfStyle w:val="000000100000" w:firstRow="0" w:lastRow="0" w:firstColumn="0" w:lastColumn="0" w:oddVBand="0" w:evenVBand="0" w:oddHBand="1" w:evenHBand="0" w:firstRowFirstColumn="0" w:firstRowLastColumn="0" w:lastRowFirstColumn="0" w:lastRowLastColumn="0"/>
            </w:pPr>
            <w:r w:rsidRPr="00EA2E2E">
              <w:t>2,805</w:t>
            </w:r>
          </w:p>
        </w:tc>
        <w:tc>
          <w:tcPr>
            <w:tcW w:w="1080" w:type="dxa"/>
            <w:noWrap/>
            <w:vAlign w:val="center"/>
            <w:hideMark/>
          </w:tcPr>
          <w:p w14:paraId="00CA8D13" w14:textId="70C204A8" w:rsidR="001F4D25" w:rsidRPr="00EA2E2E" w:rsidRDefault="001F4D25" w:rsidP="001D639D">
            <w:pPr>
              <w:jc w:val="center"/>
              <w:cnfStyle w:val="000000100000" w:firstRow="0" w:lastRow="0" w:firstColumn="0" w:lastColumn="0" w:oddVBand="0" w:evenVBand="0" w:oddHBand="1" w:evenHBand="0" w:firstRowFirstColumn="0" w:firstRowLastColumn="0" w:lastRowFirstColumn="0" w:lastRowLastColumn="0"/>
            </w:pPr>
          </w:p>
        </w:tc>
      </w:tr>
      <w:tr w:rsidR="001F4D25" w:rsidRPr="00EA2E2E" w14:paraId="07DE6FA6" w14:textId="77777777" w:rsidTr="001D639D">
        <w:trPr>
          <w:trHeight w:val="399"/>
        </w:trPr>
        <w:tc>
          <w:tcPr>
            <w:cnfStyle w:val="001000000000" w:firstRow="0" w:lastRow="0" w:firstColumn="1" w:lastColumn="0" w:oddVBand="0" w:evenVBand="0" w:oddHBand="0" w:evenHBand="0" w:firstRowFirstColumn="0" w:firstRowLastColumn="0" w:lastRowFirstColumn="0" w:lastRowLastColumn="0"/>
            <w:tcW w:w="1438" w:type="dxa"/>
            <w:vAlign w:val="center"/>
            <w:hideMark/>
          </w:tcPr>
          <w:p w14:paraId="18BC8228" w14:textId="77777777" w:rsidR="001F4D25" w:rsidRPr="00EA2E2E" w:rsidRDefault="001F4D25" w:rsidP="001D639D">
            <w:pPr>
              <w:jc w:val="center"/>
              <w:rPr>
                <w:rFonts w:cs="Times New Roman"/>
                <w:b w:val="0"/>
                <w:bCs w:val="0"/>
              </w:rPr>
            </w:pPr>
            <w:r w:rsidRPr="00EA2E2E">
              <w:rPr>
                <w:rFonts w:cs="Times New Roman"/>
              </w:rPr>
              <w:t>PMPM Cost</w:t>
            </w:r>
          </w:p>
        </w:tc>
        <w:tc>
          <w:tcPr>
            <w:tcW w:w="1180" w:type="dxa"/>
            <w:noWrap/>
            <w:vAlign w:val="center"/>
            <w:hideMark/>
          </w:tcPr>
          <w:p w14:paraId="12DA0962" w14:textId="4D77A4D1" w:rsidR="001F4D25" w:rsidRPr="00EA2E2E" w:rsidRDefault="001F4D25" w:rsidP="00D73576">
            <w:pPr>
              <w:ind w:left="-111" w:right="-95"/>
              <w:jc w:val="center"/>
              <w:cnfStyle w:val="000000000000" w:firstRow="0" w:lastRow="0" w:firstColumn="0" w:lastColumn="0" w:oddVBand="0" w:evenVBand="0" w:oddHBand="0" w:evenHBand="0" w:firstRowFirstColumn="0" w:firstRowLastColumn="0" w:lastRowFirstColumn="0" w:lastRowLastColumn="0"/>
            </w:pPr>
            <w:r>
              <w:t>$5</w:t>
            </w:r>
            <w:r w:rsidRPr="00EA2E2E">
              <w:t>21</w:t>
            </w:r>
          </w:p>
        </w:tc>
        <w:tc>
          <w:tcPr>
            <w:tcW w:w="1157" w:type="dxa"/>
            <w:noWrap/>
            <w:vAlign w:val="center"/>
            <w:hideMark/>
          </w:tcPr>
          <w:p w14:paraId="51A6A7B4" w14:textId="01FAB80D" w:rsidR="001F4D25" w:rsidRPr="00EA2E2E" w:rsidRDefault="001F4D25" w:rsidP="00D73576">
            <w:pPr>
              <w:jc w:val="center"/>
              <w:cnfStyle w:val="000000000000" w:firstRow="0" w:lastRow="0" w:firstColumn="0" w:lastColumn="0" w:oddVBand="0" w:evenVBand="0" w:oddHBand="0" w:evenHBand="0" w:firstRowFirstColumn="0" w:firstRowLastColumn="0" w:lastRowFirstColumn="0" w:lastRowLastColumn="0"/>
            </w:pPr>
            <w:r w:rsidRPr="00EA2E2E">
              <w:rPr>
                <w:rFonts w:cs="Times New Roman"/>
              </w:rPr>
              <w:t>$596</w:t>
            </w:r>
          </w:p>
        </w:tc>
        <w:tc>
          <w:tcPr>
            <w:tcW w:w="1170" w:type="dxa"/>
            <w:noWrap/>
            <w:vAlign w:val="center"/>
            <w:hideMark/>
          </w:tcPr>
          <w:p w14:paraId="017C7997" w14:textId="30BBEC8A" w:rsidR="001F4D25" w:rsidRPr="00EA2E2E" w:rsidRDefault="001F4D25" w:rsidP="001D639D">
            <w:pPr>
              <w:jc w:val="center"/>
              <w:cnfStyle w:val="000000000000" w:firstRow="0" w:lastRow="0" w:firstColumn="0" w:lastColumn="0" w:oddVBand="0" w:evenVBand="0" w:oddHBand="0" w:evenHBand="0" w:firstRowFirstColumn="0" w:firstRowLastColumn="0" w:lastRowFirstColumn="0" w:lastRowLastColumn="0"/>
            </w:pPr>
            <w:r w:rsidRPr="00EA2E2E">
              <w:rPr>
                <w:rFonts w:cs="Times New Roman"/>
              </w:rPr>
              <w:t>$</w:t>
            </w:r>
            <w:r w:rsidRPr="00EA2E2E">
              <w:t>623</w:t>
            </w:r>
          </w:p>
        </w:tc>
        <w:tc>
          <w:tcPr>
            <w:tcW w:w="1319" w:type="dxa"/>
            <w:noWrap/>
            <w:vAlign w:val="center"/>
            <w:hideMark/>
          </w:tcPr>
          <w:p w14:paraId="1F513720" w14:textId="020EB14E" w:rsidR="001F4D25" w:rsidRPr="00EA2E2E" w:rsidRDefault="001F4D25" w:rsidP="001D639D">
            <w:pPr>
              <w:jc w:val="center"/>
              <w:cnfStyle w:val="000000000000" w:firstRow="0" w:lastRow="0" w:firstColumn="0" w:lastColumn="0" w:oddVBand="0" w:evenVBand="0" w:oddHBand="0" w:evenHBand="0" w:firstRowFirstColumn="0" w:firstRowLastColumn="0" w:lastRowFirstColumn="0" w:lastRowLastColumn="0"/>
            </w:pPr>
            <w:r w:rsidRPr="00EA2E2E">
              <w:t>$652</w:t>
            </w:r>
          </w:p>
        </w:tc>
        <w:tc>
          <w:tcPr>
            <w:tcW w:w="1201" w:type="dxa"/>
            <w:noWrap/>
            <w:vAlign w:val="center"/>
            <w:hideMark/>
          </w:tcPr>
          <w:p w14:paraId="09BC92FB" w14:textId="08B4B2B0" w:rsidR="001F4D25" w:rsidRPr="00EA2E2E" w:rsidRDefault="001F4D25" w:rsidP="001D639D">
            <w:pPr>
              <w:jc w:val="center"/>
              <w:cnfStyle w:val="000000000000" w:firstRow="0" w:lastRow="0" w:firstColumn="0" w:lastColumn="0" w:oddVBand="0" w:evenVBand="0" w:oddHBand="0" w:evenHBand="0" w:firstRowFirstColumn="0" w:firstRowLastColumn="0" w:lastRowFirstColumn="0" w:lastRowLastColumn="0"/>
            </w:pPr>
            <w:r w:rsidRPr="00EA2E2E">
              <w:t>$682</w:t>
            </w:r>
          </w:p>
        </w:tc>
        <w:tc>
          <w:tcPr>
            <w:tcW w:w="1170" w:type="dxa"/>
            <w:noWrap/>
            <w:vAlign w:val="center"/>
            <w:hideMark/>
          </w:tcPr>
          <w:p w14:paraId="225F69AF" w14:textId="524D5E72" w:rsidR="001F4D25" w:rsidRPr="00EA2E2E" w:rsidRDefault="001F4D25" w:rsidP="001D639D">
            <w:pPr>
              <w:jc w:val="center"/>
              <w:cnfStyle w:val="000000000000" w:firstRow="0" w:lastRow="0" w:firstColumn="0" w:lastColumn="0" w:oddVBand="0" w:evenVBand="0" w:oddHBand="0" w:evenHBand="0" w:firstRowFirstColumn="0" w:firstRowLastColumn="0" w:lastRowFirstColumn="0" w:lastRowLastColumn="0"/>
            </w:pPr>
            <w:r w:rsidRPr="00EA2E2E">
              <w:t>$713</w:t>
            </w:r>
          </w:p>
        </w:tc>
        <w:tc>
          <w:tcPr>
            <w:tcW w:w="1080" w:type="dxa"/>
            <w:noWrap/>
            <w:vAlign w:val="center"/>
            <w:hideMark/>
          </w:tcPr>
          <w:p w14:paraId="41662D23" w14:textId="2D70B2DD" w:rsidR="001F4D25" w:rsidRPr="00EA2E2E" w:rsidRDefault="001F4D25" w:rsidP="001D639D">
            <w:pPr>
              <w:jc w:val="center"/>
              <w:cnfStyle w:val="000000000000" w:firstRow="0" w:lastRow="0" w:firstColumn="0" w:lastColumn="0" w:oddVBand="0" w:evenVBand="0" w:oddHBand="0" w:evenHBand="0" w:firstRowFirstColumn="0" w:firstRowLastColumn="0" w:lastRowFirstColumn="0" w:lastRowLastColumn="0"/>
            </w:pPr>
          </w:p>
        </w:tc>
      </w:tr>
      <w:tr w:rsidR="001F4D25" w:rsidRPr="00EA2E2E" w14:paraId="3BD339CC" w14:textId="77777777" w:rsidTr="001D639D">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1438" w:type="dxa"/>
            <w:vAlign w:val="center"/>
            <w:hideMark/>
          </w:tcPr>
          <w:p w14:paraId="7B6DD984" w14:textId="77777777" w:rsidR="001F4D25" w:rsidRPr="00EA2E2E" w:rsidRDefault="001F4D25" w:rsidP="001D639D">
            <w:pPr>
              <w:jc w:val="center"/>
              <w:rPr>
                <w:rFonts w:cs="Times New Roman"/>
                <w:b w:val="0"/>
                <w:bCs w:val="0"/>
              </w:rPr>
            </w:pPr>
            <w:r w:rsidRPr="00EA2E2E">
              <w:rPr>
                <w:rFonts w:cs="Times New Roman"/>
              </w:rPr>
              <w:t>Total Expenditure</w:t>
            </w:r>
          </w:p>
        </w:tc>
        <w:tc>
          <w:tcPr>
            <w:tcW w:w="1180" w:type="dxa"/>
            <w:noWrap/>
            <w:vAlign w:val="center"/>
            <w:hideMark/>
          </w:tcPr>
          <w:p w14:paraId="403E8F38" w14:textId="77777777" w:rsidR="001F4D25" w:rsidRPr="00EA2E2E" w:rsidRDefault="001F4D25" w:rsidP="00D73576">
            <w:pPr>
              <w:ind w:left="-111"/>
              <w:jc w:val="center"/>
              <w:cnfStyle w:val="000000100000" w:firstRow="0" w:lastRow="0" w:firstColumn="0" w:lastColumn="0" w:oddVBand="0" w:evenVBand="0" w:oddHBand="1" w:evenHBand="0" w:firstRowFirstColumn="0" w:firstRowLastColumn="0" w:lastRowFirstColumn="0" w:lastRowLastColumn="0"/>
              <w:rPr>
                <w:rFonts w:cs="Times New Roman"/>
              </w:rPr>
            </w:pPr>
          </w:p>
        </w:tc>
        <w:tc>
          <w:tcPr>
            <w:tcW w:w="1157" w:type="dxa"/>
            <w:noWrap/>
            <w:vAlign w:val="center"/>
            <w:hideMark/>
          </w:tcPr>
          <w:p w14:paraId="3B093155" w14:textId="77777777" w:rsidR="001F4D25" w:rsidRPr="00EA2E2E" w:rsidRDefault="001F4D25" w:rsidP="00D73576">
            <w:pPr>
              <w:ind w:left="-121" w:right="-126"/>
              <w:jc w:val="center"/>
              <w:cnfStyle w:val="000000100000" w:firstRow="0" w:lastRow="0" w:firstColumn="0" w:lastColumn="0" w:oddVBand="0" w:evenVBand="0" w:oddHBand="1" w:evenHBand="0" w:firstRowFirstColumn="0" w:firstRowLastColumn="0" w:lastRowFirstColumn="0" w:lastRowLastColumn="0"/>
            </w:pPr>
            <w:r w:rsidRPr="00EA2E2E">
              <w:rPr>
                <w:rFonts w:cs="Times New Roman"/>
              </w:rPr>
              <w:t>$</w:t>
            </w:r>
            <w:r w:rsidRPr="00EA2E2E">
              <w:t>1,671,135</w:t>
            </w:r>
          </w:p>
        </w:tc>
        <w:tc>
          <w:tcPr>
            <w:tcW w:w="1170" w:type="dxa"/>
            <w:noWrap/>
            <w:vAlign w:val="center"/>
            <w:hideMark/>
          </w:tcPr>
          <w:p w14:paraId="6AB6697C" w14:textId="77777777" w:rsidR="001F4D25" w:rsidRPr="00EA2E2E" w:rsidRDefault="001F4D25" w:rsidP="00D73576">
            <w:pPr>
              <w:ind w:left="-108" w:right="-139"/>
              <w:jc w:val="center"/>
              <w:cnfStyle w:val="000000100000" w:firstRow="0" w:lastRow="0" w:firstColumn="0" w:lastColumn="0" w:oddVBand="0" w:evenVBand="0" w:oddHBand="1" w:evenHBand="0" w:firstRowFirstColumn="0" w:firstRowLastColumn="0" w:lastRowFirstColumn="0" w:lastRowLastColumn="0"/>
            </w:pPr>
            <w:r w:rsidRPr="00EA2E2E">
              <w:rPr>
                <w:rFonts w:cs="Times New Roman"/>
              </w:rPr>
              <w:t>$</w:t>
            </w:r>
            <w:r w:rsidRPr="00EA2E2E">
              <w:t>1,748,020</w:t>
            </w:r>
          </w:p>
        </w:tc>
        <w:tc>
          <w:tcPr>
            <w:tcW w:w="1319" w:type="dxa"/>
            <w:noWrap/>
            <w:vAlign w:val="center"/>
            <w:hideMark/>
          </w:tcPr>
          <w:p w14:paraId="72F9B18E" w14:textId="77777777" w:rsidR="001F4D25" w:rsidRPr="00EA2E2E" w:rsidRDefault="001F4D25" w:rsidP="00D73576">
            <w:pPr>
              <w:ind w:left="-108" w:right="-139"/>
              <w:jc w:val="center"/>
              <w:cnfStyle w:val="000000100000" w:firstRow="0" w:lastRow="0" w:firstColumn="0" w:lastColumn="0" w:oddVBand="0" w:evenVBand="0" w:oddHBand="1" w:evenHBand="0" w:firstRowFirstColumn="0" w:firstRowLastColumn="0" w:lastRowFirstColumn="0" w:lastRowLastColumn="0"/>
            </w:pPr>
            <w:r w:rsidRPr="00EA2E2E">
              <w:rPr>
                <w:rFonts w:cs="Times New Roman"/>
              </w:rPr>
              <w:t>$</w:t>
            </w:r>
            <w:r w:rsidRPr="00EA2E2E">
              <w:t>1,828,439</w:t>
            </w:r>
          </w:p>
        </w:tc>
        <w:tc>
          <w:tcPr>
            <w:tcW w:w="1201" w:type="dxa"/>
            <w:noWrap/>
            <w:vAlign w:val="center"/>
            <w:hideMark/>
          </w:tcPr>
          <w:p w14:paraId="701D89EC" w14:textId="77777777" w:rsidR="001F4D25" w:rsidRPr="00EA2E2E" w:rsidRDefault="001F4D25" w:rsidP="00D73576">
            <w:pPr>
              <w:ind w:left="-167" w:right="-170"/>
              <w:jc w:val="center"/>
              <w:cnfStyle w:val="000000100000" w:firstRow="0" w:lastRow="0" w:firstColumn="0" w:lastColumn="0" w:oddVBand="0" w:evenVBand="0" w:oddHBand="1" w:evenHBand="0" w:firstRowFirstColumn="0" w:firstRowLastColumn="0" w:lastRowFirstColumn="0" w:lastRowLastColumn="0"/>
            </w:pPr>
            <w:r w:rsidRPr="00EA2E2E">
              <w:t>$1,912,561</w:t>
            </w:r>
          </w:p>
        </w:tc>
        <w:tc>
          <w:tcPr>
            <w:tcW w:w="1170" w:type="dxa"/>
            <w:noWrap/>
            <w:vAlign w:val="center"/>
            <w:hideMark/>
          </w:tcPr>
          <w:p w14:paraId="38410DF5" w14:textId="77777777" w:rsidR="001F4D25" w:rsidRPr="00EA2E2E" w:rsidRDefault="001F4D25" w:rsidP="00D73576">
            <w:pPr>
              <w:ind w:left="-108" w:right="-103"/>
              <w:jc w:val="center"/>
              <w:cnfStyle w:val="000000100000" w:firstRow="0" w:lastRow="0" w:firstColumn="0" w:lastColumn="0" w:oddVBand="0" w:evenVBand="0" w:oddHBand="1" w:evenHBand="0" w:firstRowFirstColumn="0" w:firstRowLastColumn="0" w:lastRowFirstColumn="0" w:lastRowLastColumn="0"/>
            </w:pPr>
            <w:r w:rsidRPr="00EA2E2E">
              <w:t>$2,000,526</w:t>
            </w:r>
          </w:p>
        </w:tc>
        <w:tc>
          <w:tcPr>
            <w:tcW w:w="1080" w:type="dxa"/>
            <w:noWrap/>
            <w:vAlign w:val="center"/>
            <w:hideMark/>
          </w:tcPr>
          <w:p w14:paraId="32C14726" w14:textId="77777777" w:rsidR="001F4D25" w:rsidRPr="00EA2E2E" w:rsidRDefault="001F4D25" w:rsidP="001D639D">
            <w:pPr>
              <w:ind w:left="-108" w:right="-88"/>
              <w:jc w:val="center"/>
              <w:cnfStyle w:val="000000100000" w:firstRow="0" w:lastRow="0" w:firstColumn="0" w:lastColumn="0" w:oddVBand="0" w:evenVBand="0" w:oddHBand="1" w:evenHBand="0" w:firstRowFirstColumn="0" w:firstRowLastColumn="0" w:lastRowFirstColumn="0" w:lastRowLastColumn="0"/>
            </w:pPr>
            <w:r w:rsidRPr="00EA2E2E">
              <w:t>$9,160,681</w:t>
            </w:r>
          </w:p>
        </w:tc>
      </w:tr>
    </w:tbl>
    <w:p w14:paraId="4D3936C2" w14:textId="7D2D210D" w:rsidR="001F4D25" w:rsidRPr="002B4EAF" w:rsidRDefault="001F4D25" w:rsidP="001D639D">
      <w:pPr>
        <w:spacing w:line="240" w:lineRule="auto"/>
        <w:ind w:left="-10" w:firstLine="0"/>
        <w:contextualSpacing/>
        <w:rPr>
          <w:rFonts w:cs="Times New Roman"/>
        </w:rPr>
      </w:pPr>
      <w:r w:rsidRPr="002B4EAF">
        <w:rPr>
          <w:rFonts w:cs="Times New Roman"/>
          <w:b/>
        </w:rPr>
        <w:lastRenderedPageBreak/>
        <w:t>BENEFITS, COST SHARING, AND DELIVERY SYSTEM</w:t>
      </w:r>
    </w:p>
    <w:p w14:paraId="2D27603D" w14:textId="5AA3C858" w:rsidR="00E10F10" w:rsidRPr="00E10F10" w:rsidRDefault="001F4D25" w:rsidP="00E10F10">
      <w:pPr>
        <w:spacing w:after="203"/>
        <w:ind w:left="-15" w:right="13"/>
      </w:pPr>
      <w:r w:rsidRPr="002B4EAF">
        <w:t xml:space="preserve">This demonstration does not propose any changes to cost-sharing. Individuals eligible under this demonstration will continue to be eligible for State Plan benefits after they meet their ESRD liability. </w:t>
      </w:r>
    </w:p>
    <w:p w14:paraId="5AFFB8C7" w14:textId="4759EBF4" w:rsidR="001F4D25" w:rsidRPr="001D639D" w:rsidRDefault="001F4D25" w:rsidP="001F4D25">
      <w:pPr>
        <w:pStyle w:val="Heading4"/>
        <w:spacing w:after="0" w:line="259" w:lineRule="auto"/>
        <w:ind w:right="4"/>
        <w:rPr>
          <w:rFonts w:asciiTheme="minorHAnsi" w:hAnsiTheme="minorHAnsi" w:cstheme="minorHAnsi"/>
        </w:rPr>
      </w:pPr>
      <w:r w:rsidRPr="001D639D">
        <w:rPr>
          <w:rFonts w:asciiTheme="minorHAnsi" w:hAnsiTheme="minorHAnsi" w:cstheme="minorHAnsi"/>
        </w:rPr>
        <w:t xml:space="preserve">Table </w:t>
      </w:r>
      <w:r w:rsidR="003311E2">
        <w:rPr>
          <w:rFonts w:asciiTheme="minorHAnsi" w:hAnsiTheme="minorHAnsi" w:cstheme="minorHAnsi"/>
        </w:rPr>
        <w:t>4</w:t>
      </w:r>
      <w:r w:rsidRPr="001D639D">
        <w:rPr>
          <w:rFonts w:asciiTheme="minorHAnsi" w:hAnsiTheme="minorHAnsi" w:cstheme="minorHAnsi"/>
        </w:rPr>
        <w:t>. ESRD Benefit Package Summary.</w:t>
      </w:r>
    </w:p>
    <w:tbl>
      <w:tblPr>
        <w:tblStyle w:val="GridTable4-Accent1"/>
        <w:tblW w:w="9576" w:type="dxa"/>
        <w:tblLook w:val="04A0" w:firstRow="1" w:lastRow="0" w:firstColumn="1" w:lastColumn="0" w:noHBand="0" w:noVBand="1"/>
      </w:tblPr>
      <w:tblGrid>
        <w:gridCol w:w="4765"/>
        <w:gridCol w:w="4811"/>
      </w:tblGrid>
      <w:tr w:rsidR="001F4D25" w:rsidRPr="002B4EAF" w14:paraId="55B6E207" w14:textId="77777777" w:rsidTr="001D639D">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4765" w:type="dxa"/>
            <w:tcBorders>
              <w:top w:val="none" w:sz="0" w:space="0" w:color="auto"/>
              <w:left w:val="none" w:sz="0" w:space="0" w:color="auto"/>
              <w:bottom w:val="none" w:sz="0" w:space="0" w:color="auto"/>
            </w:tcBorders>
            <w:vAlign w:val="center"/>
          </w:tcPr>
          <w:p w14:paraId="1F6092E5" w14:textId="6288323D" w:rsidR="001F4D25" w:rsidRPr="001D639D" w:rsidRDefault="001F4D25" w:rsidP="0056445F">
            <w:pPr>
              <w:spacing w:line="259" w:lineRule="auto"/>
              <w:ind w:right="243"/>
              <w:jc w:val="center"/>
              <w:rPr>
                <w:color w:val="FFFFFF" w:themeColor="background1"/>
              </w:rPr>
            </w:pPr>
            <w:r w:rsidRPr="001D639D">
              <w:rPr>
                <w:color w:val="FFFFFF" w:themeColor="background1"/>
              </w:rPr>
              <w:t>Eligibility Group</w:t>
            </w:r>
          </w:p>
        </w:tc>
        <w:tc>
          <w:tcPr>
            <w:tcW w:w="4811" w:type="dxa"/>
            <w:tcBorders>
              <w:top w:val="none" w:sz="0" w:space="0" w:color="auto"/>
              <w:bottom w:val="none" w:sz="0" w:space="0" w:color="auto"/>
              <w:right w:val="none" w:sz="0" w:space="0" w:color="auto"/>
            </w:tcBorders>
            <w:vAlign w:val="center"/>
          </w:tcPr>
          <w:p w14:paraId="56F0248C" w14:textId="1DFC2BF9" w:rsidR="001F4D25" w:rsidRPr="001D639D" w:rsidRDefault="001F4D25" w:rsidP="0056445F">
            <w:pPr>
              <w:spacing w:line="259" w:lineRule="auto"/>
              <w:ind w:right="151"/>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1D639D">
              <w:rPr>
                <w:color w:val="FFFFFF" w:themeColor="background1"/>
              </w:rPr>
              <w:t>Benefit Package</w:t>
            </w:r>
          </w:p>
        </w:tc>
      </w:tr>
      <w:tr w:rsidR="001F4D25" w:rsidRPr="002B4EAF" w14:paraId="728CBD0C" w14:textId="77777777" w:rsidTr="001D639D">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4765" w:type="dxa"/>
            <w:shd w:val="clear" w:color="auto" w:fill="FFFFFF" w:themeFill="background1"/>
            <w:vAlign w:val="center"/>
          </w:tcPr>
          <w:p w14:paraId="640A1835" w14:textId="77777777" w:rsidR="001F4D25" w:rsidRPr="002B4EAF" w:rsidRDefault="001F4D25" w:rsidP="0056445F">
            <w:pPr>
              <w:spacing w:line="259" w:lineRule="auto"/>
              <w:jc w:val="center"/>
            </w:pPr>
            <w:r w:rsidRPr="002B4EAF">
              <w:t>Former Spend-Down Enrollees</w:t>
            </w:r>
          </w:p>
        </w:tc>
        <w:tc>
          <w:tcPr>
            <w:tcW w:w="4811" w:type="dxa"/>
            <w:vMerge w:val="restart"/>
            <w:shd w:val="clear" w:color="auto" w:fill="FFFFFF" w:themeFill="background1"/>
            <w:vAlign w:val="center"/>
          </w:tcPr>
          <w:p w14:paraId="724F9825" w14:textId="77777777" w:rsidR="001F4D25" w:rsidRPr="002B4EAF" w:rsidRDefault="001F4D25" w:rsidP="00784AE1">
            <w:pPr>
              <w:spacing w:line="259" w:lineRule="auto"/>
              <w:ind w:left="3"/>
              <w:jc w:val="center"/>
              <w:cnfStyle w:val="000000100000" w:firstRow="0" w:lastRow="0" w:firstColumn="0" w:lastColumn="0" w:oddVBand="0" w:evenVBand="0" w:oddHBand="1" w:evenHBand="0" w:firstRowFirstColumn="0" w:firstRowLastColumn="0" w:lastRowFirstColumn="0" w:lastRowLastColumn="0"/>
            </w:pPr>
            <w:r w:rsidRPr="002B4EAF">
              <w:t xml:space="preserve">Full State Plan – Package A </w:t>
            </w:r>
          </w:p>
        </w:tc>
      </w:tr>
      <w:tr w:rsidR="001F4D25" w:rsidRPr="002B4EAF" w14:paraId="54D2ADBD" w14:textId="77777777" w:rsidTr="001D639D">
        <w:trPr>
          <w:trHeight w:val="444"/>
        </w:trPr>
        <w:tc>
          <w:tcPr>
            <w:cnfStyle w:val="001000000000" w:firstRow="0" w:lastRow="0" w:firstColumn="1" w:lastColumn="0" w:oddVBand="0" w:evenVBand="0" w:oddHBand="0" w:evenHBand="0" w:firstRowFirstColumn="0" w:firstRowLastColumn="0" w:lastRowFirstColumn="0" w:lastRowLastColumn="0"/>
            <w:tcW w:w="4765" w:type="dxa"/>
            <w:shd w:val="clear" w:color="auto" w:fill="FFFFFF" w:themeFill="background1"/>
            <w:vAlign w:val="center"/>
          </w:tcPr>
          <w:p w14:paraId="1C3D6E12" w14:textId="77777777" w:rsidR="001F4D25" w:rsidRPr="002B4EAF" w:rsidRDefault="001F4D25" w:rsidP="0056445F">
            <w:pPr>
              <w:spacing w:line="259" w:lineRule="auto"/>
              <w:ind w:right="1"/>
              <w:jc w:val="center"/>
            </w:pPr>
            <w:r w:rsidRPr="002B4EAF">
              <w:t>New Enrollees</w:t>
            </w:r>
          </w:p>
        </w:tc>
        <w:tc>
          <w:tcPr>
            <w:tcW w:w="4811" w:type="dxa"/>
            <w:vMerge/>
            <w:shd w:val="clear" w:color="auto" w:fill="FFFFFF" w:themeFill="background1"/>
          </w:tcPr>
          <w:p w14:paraId="7BB473FD" w14:textId="77777777" w:rsidR="001F4D25" w:rsidRPr="002B4EAF" w:rsidRDefault="001F4D25" w:rsidP="00784AE1">
            <w:pPr>
              <w:spacing w:after="160" w:line="259" w:lineRule="auto"/>
              <w:cnfStyle w:val="000000000000" w:firstRow="0" w:lastRow="0" w:firstColumn="0" w:lastColumn="0" w:oddVBand="0" w:evenVBand="0" w:oddHBand="0" w:evenHBand="0" w:firstRowFirstColumn="0" w:firstRowLastColumn="0" w:lastRowFirstColumn="0" w:lastRowLastColumn="0"/>
            </w:pPr>
          </w:p>
        </w:tc>
      </w:tr>
    </w:tbl>
    <w:p w14:paraId="31601D2D" w14:textId="77777777" w:rsidR="001F4D25" w:rsidRPr="00B235DF" w:rsidRDefault="001F4D25" w:rsidP="00E10F10">
      <w:pPr>
        <w:spacing w:after="0" w:line="240" w:lineRule="auto"/>
        <w:ind w:hanging="14"/>
        <w:contextualSpacing/>
        <w:rPr>
          <w:iCs/>
        </w:rPr>
      </w:pPr>
      <w:r w:rsidRPr="002B4EAF">
        <w:rPr>
          <w:i/>
          <w:color w:val="17365D"/>
        </w:rPr>
        <w:t xml:space="preserve"> </w:t>
      </w:r>
    </w:p>
    <w:p w14:paraId="4F4C284E" w14:textId="08774C44" w:rsidR="001F4D25" w:rsidRPr="002B4EAF" w:rsidRDefault="001F4D25" w:rsidP="00E10F10">
      <w:pPr>
        <w:spacing w:after="0" w:line="240" w:lineRule="auto"/>
        <w:ind w:left="-5" w:right="13" w:hanging="14"/>
        <w:contextualSpacing/>
      </w:pPr>
      <w:r w:rsidRPr="002B4EAF">
        <w:t xml:space="preserve">ESRD </w:t>
      </w:r>
      <w:r w:rsidR="00B1506A">
        <w:t>§</w:t>
      </w:r>
      <w:r w:rsidRPr="002B4EAF">
        <w:t xml:space="preserve">1115 enrollees will be eligible for all medically necessary Medicaid covered services after meeting an ESRD liability. The liability will be calculated using </w:t>
      </w:r>
      <w:r w:rsidR="00B1506A" w:rsidRPr="002B4EAF">
        <w:t>spend</w:t>
      </w:r>
      <w:r w:rsidR="00B1506A">
        <w:t>-</w:t>
      </w:r>
      <w:r w:rsidRPr="002B4EAF">
        <w:t>down methodology based on incurred medical costs.</w:t>
      </w:r>
      <w:r w:rsidR="00175DB9">
        <w:t xml:space="preserve">  </w:t>
      </w:r>
      <w:r w:rsidRPr="002B4EAF">
        <w:t xml:space="preserve">Individuals who incur medical expenses that bring their </w:t>
      </w:r>
      <w:r w:rsidR="00B1506A" w:rsidRPr="002B4EAF">
        <w:t>income</w:t>
      </w:r>
      <w:r w:rsidR="00B1506A">
        <w:t xml:space="preserve"> down </w:t>
      </w:r>
      <w:r w:rsidRPr="002B4EAF">
        <w:t xml:space="preserve">to the Supplemental Security Income (SSI) federal benefit rate (FBR) will have no further incurred costs subject to the ESRD liability, but will have some cost sharing as described below.  </w:t>
      </w:r>
    </w:p>
    <w:p w14:paraId="721A347F" w14:textId="7AB832C2" w:rsidR="00314C8C" w:rsidRPr="002B4EAF" w:rsidRDefault="001F4D25" w:rsidP="00E10F10">
      <w:pPr>
        <w:spacing w:after="0" w:line="240" w:lineRule="auto"/>
        <w:ind w:left="0" w:right="14" w:hanging="14"/>
        <w:contextualSpacing/>
      </w:pPr>
      <w:r w:rsidRPr="002B4EAF">
        <w:t>As illustrated by Table 3, copayments within the ERSD demonstration will be the same as the copayment amounts with the State Plan.</w:t>
      </w:r>
    </w:p>
    <w:p w14:paraId="5849BD0C" w14:textId="77777777" w:rsidR="00E10F10" w:rsidRDefault="00E10F10" w:rsidP="001F4D25">
      <w:pPr>
        <w:ind w:left="-5" w:right="13"/>
        <w:rPr>
          <w:b/>
          <w:bCs/>
        </w:rPr>
      </w:pPr>
    </w:p>
    <w:p w14:paraId="6C0C572C" w14:textId="63B59408" w:rsidR="001F4D25" w:rsidRPr="002B4EAF" w:rsidRDefault="001F4D25" w:rsidP="001F4D25">
      <w:pPr>
        <w:ind w:left="-5" w:right="13"/>
        <w:rPr>
          <w:b/>
          <w:bCs/>
        </w:rPr>
      </w:pPr>
      <w:r w:rsidRPr="002B4EAF">
        <w:rPr>
          <w:b/>
          <w:bCs/>
        </w:rPr>
        <w:t xml:space="preserve">Table </w:t>
      </w:r>
      <w:r w:rsidR="003311E2">
        <w:rPr>
          <w:b/>
          <w:bCs/>
        </w:rPr>
        <w:t>5</w:t>
      </w:r>
      <w:r w:rsidRPr="002B4EAF">
        <w:rPr>
          <w:b/>
          <w:bCs/>
        </w:rPr>
        <w:t xml:space="preserve">. ESRD Copayment Amounts. </w:t>
      </w:r>
    </w:p>
    <w:tbl>
      <w:tblPr>
        <w:tblStyle w:val="GridTable4-Accent1"/>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2250"/>
        <w:gridCol w:w="3955"/>
      </w:tblGrid>
      <w:tr w:rsidR="001F4D25" w:rsidRPr="002B4EAF" w14:paraId="4BCBA26D" w14:textId="77777777" w:rsidTr="001D639D">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8EAADB" w:themeColor="accent1" w:themeTint="99"/>
              <w:left w:val="single" w:sz="4" w:space="0" w:color="8EAADB" w:themeColor="accent1" w:themeTint="99"/>
              <w:bottom w:val="single" w:sz="4" w:space="0" w:color="8EAADB" w:themeColor="accent1" w:themeTint="99"/>
            </w:tcBorders>
            <w:vAlign w:val="center"/>
          </w:tcPr>
          <w:p w14:paraId="307924CD" w14:textId="77777777" w:rsidR="001F4D25" w:rsidRPr="001D639D" w:rsidRDefault="001F4D25" w:rsidP="001D639D">
            <w:pPr>
              <w:jc w:val="left"/>
              <w:rPr>
                <w:bCs w:val="0"/>
                <w:color w:val="FFFFFF" w:themeColor="background1"/>
              </w:rPr>
            </w:pPr>
            <w:r w:rsidRPr="001D639D">
              <w:rPr>
                <w:color w:val="FFFFFF" w:themeColor="background1"/>
              </w:rPr>
              <w:t xml:space="preserve">Service </w:t>
            </w:r>
          </w:p>
        </w:tc>
        <w:tc>
          <w:tcPr>
            <w:tcW w:w="6205" w:type="dxa"/>
            <w:gridSpan w:val="2"/>
            <w:tcBorders>
              <w:top w:val="single" w:sz="4" w:space="0" w:color="8EAADB" w:themeColor="accent1" w:themeTint="99"/>
              <w:bottom w:val="single" w:sz="4" w:space="0" w:color="8EAADB" w:themeColor="accent1" w:themeTint="99"/>
              <w:right w:val="single" w:sz="4" w:space="0" w:color="8EAADB" w:themeColor="accent1" w:themeTint="99"/>
            </w:tcBorders>
            <w:vAlign w:val="center"/>
          </w:tcPr>
          <w:p w14:paraId="3285A304" w14:textId="77777777" w:rsidR="001F4D25" w:rsidRPr="001D639D" w:rsidRDefault="001F4D25" w:rsidP="001D639D">
            <w:pPr>
              <w:jc w:val="left"/>
              <w:cnfStyle w:val="100000000000" w:firstRow="1" w:lastRow="0" w:firstColumn="0" w:lastColumn="0" w:oddVBand="0" w:evenVBand="0" w:oddHBand="0" w:evenHBand="0" w:firstRowFirstColumn="0" w:firstRowLastColumn="0" w:lastRowFirstColumn="0" w:lastRowLastColumn="0"/>
              <w:rPr>
                <w:bCs w:val="0"/>
                <w:color w:val="FFFFFF" w:themeColor="background1"/>
              </w:rPr>
            </w:pPr>
            <w:r w:rsidRPr="001D639D">
              <w:rPr>
                <w:color w:val="FFFFFF" w:themeColor="background1"/>
              </w:rPr>
              <w:t xml:space="preserve">Copayment Amount </w:t>
            </w:r>
          </w:p>
        </w:tc>
      </w:tr>
      <w:tr w:rsidR="001F4D25" w:rsidRPr="002B4EAF" w14:paraId="32031F35" w14:textId="77777777" w:rsidTr="001D639D">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3145" w:type="dxa"/>
            <w:vMerge w:val="restart"/>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E22FE7F" w14:textId="77777777" w:rsidR="001F4D25" w:rsidRPr="002B4EAF" w:rsidRDefault="001F4D25" w:rsidP="00784AE1">
            <w:r w:rsidRPr="002B4EAF">
              <w:t xml:space="preserve">Transportation </w:t>
            </w:r>
          </w:p>
        </w:tc>
        <w:tc>
          <w:tcPr>
            <w:tcW w:w="22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73B641C6" w14:textId="47FCF41C" w:rsidR="001F4D25" w:rsidRPr="002B4EAF" w:rsidRDefault="001F4D25" w:rsidP="001D639D">
            <w:pPr>
              <w:ind w:left="1"/>
              <w:jc w:val="left"/>
              <w:cnfStyle w:val="000000100000" w:firstRow="0" w:lastRow="0" w:firstColumn="0" w:lastColumn="0" w:oddVBand="0" w:evenVBand="0" w:oddHBand="1" w:evenHBand="0" w:firstRowFirstColumn="0" w:firstRowLastColumn="0" w:lastRowFirstColumn="0" w:lastRowLastColumn="0"/>
            </w:pPr>
            <w:r w:rsidRPr="002B4EAF">
              <w:t xml:space="preserve">$0.50 each one-way trip </w:t>
            </w:r>
          </w:p>
        </w:tc>
        <w:tc>
          <w:tcPr>
            <w:tcW w:w="39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32062D43" w14:textId="77777777" w:rsidR="001F4D25" w:rsidRPr="002B4EAF" w:rsidRDefault="001F4D25" w:rsidP="001D639D">
            <w:pPr>
              <w:ind w:left="1"/>
              <w:jc w:val="left"/>
              <w:cnfStyle w:val="000000100000" w:firstRow="0" w:lastRow="0" w:firstColumn="0" w:lastColumn="0" w:oddVBand="0" w:evenVBand="0" w:oddHBand="1" w:evenHBand="0" w:firstRowFirstColumn="0" w:firstRowLastColumn="0" w:lastRowFirstColumn="0" w:lastRowLastColumn="0"/>
            </w:pPr>
            <w:r w:rsidRPr="002B4EAF">
              <w:t xml:space="preserve">Transportation services that pay $10 or less </w:t>
            </w:r>
          </w:p>
        </w:tc>
      </w:tr>
      <w:tr w:rsidR="001F4D25" w:rsidRPr="002B4EAF" w14:paraId="74063FA7" w14:textId="77777777" w:rsidTr="001D639D">
        <w:trPr>
          <w:trHeight w:val="547"/>
        </w:trPr>
        <w:tc>
          <w:tcPr>
            <w:cnfStyle w:val="001000000000" w:firstRow="0" w:lastRow="0" w:firstColumn="1" w:lastColumn="0" w:oddVBand="0" w:evenVBand="0" w:oddHBand="0" w:evenHBand="0" w:firstRowFirstColumn="0" w:firstRowLastColumn="0" w:lastRowFirstColumn="0" w:lastRowLastColumn="0"/>
            <w:tcW w:w="3145" w:type="dxa"/>
            <w:vMerge/>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CD1131D" w14:textId="77777777" w:rsidR="001F4D25" w:rsidRPr="002B4EAF" w:rsidRDefault="001F4D25" w:rsidP="00784AE1"/>
        </w:tc>
        <w:tc>
          <w:tcPr>
            <w:tcW w:w="22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3BD717BA" w14:textId="77777777" w:rsidR="001F4D25" w:rsidRPr="002B4EAF" w:rsidRDefault="001F4D25" w:rsidP="001D639D">
            <w:pPr>
              <w:ind w:left="1"/>
              <w:jc w:val="left"/>
              <w:cnfStyle w:val="000000000000" w:firstRow="0" w:lastRow="0" w:firstColumn="0" w:lastColumn="0" w:oddVBand="0" w:evenVBand="0" w:oddHBand="0" w:evenHBand="0" w:firstRowFirstColumn="0" w:firstRowLastColumn="0" w:lastRowFirstColumn="0" w:lastRowLastColumn="0"/>
            </w:pPr>
            <w:r w:rsidRPr="002B4EAF">
              <w:t xml:space="preserve">$1 each one-way trip </w:t>
            </w:r>
          </w:p>
        </w:tc>
        <w:tc>
          <w:tcPr>
            <w:tcW w:w="39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45B60C64" w14:textId="77777777" w:rsidR="001F4D25" w:rsidRPr="002B4EAF" w:rsidRDefault="001F4D25" w:rsidP="001D639D">
            <w:pPr>
              <w:ind w:left="1"/>
              <w:jc w:val="left"/>
              <w:cnfStyle w:val="000000000000" w:firstRow="0" w:lastRow="0" w:firstColumn="0" w:lastColumn="0" w:oddVBand="0" w:evenVBand="0" w:oddHBand="0" w:evenHBand="0" w:firstRowFirstColumn="0" w:firstRowLastColumn="0" w:lastRowFirstColumn="0" w:lastRowLastColumn="0"/>
            </w:pPr>
            <w:r w:rsidRPr="002B4EAF">
              <w:t xml:space="preserve">Transportation services that pay $10.01 to $50 </w:t>
            </w:r>
          </w:p>
        </w:tc>
      </w:tr>
      <w:tr w:rsidR="001F4D25" w:rsidRPr="002B4EAF" w14:paraId="4016D301" w14:textId="77777777" w:rsidTr="001D639D">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3145" w:type="dxa"/>
            <w:vMerge/>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EC4D604" w14:textId="77777777" w:rsidR="001F4D25" w:rsidRPr="002B4EAF" w:rsidRDefault="001F4D25" w:rsidP="00784AE1"/>
        </w:tc>
        <w:tc>
          <w:tcPr>
            <w:tcW w:w="225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5053241B" w14:textId="77777777" w:rsidR="001F4D25" w:rsidRPr="002B4EAF" w:rsidRDefault="001F4D25" w:rsidP="001D639D">
            <w:pPr>
              <w:ind w:left="1"/>
              <w:jc w:val="left"/>
              <w:cnfStyle w:val="000000100000" w:firstRow="0" w:lastRow="0" w:firstColumn="0" w:lastColumn="0" w:oddVBand="0" w:evenVBand="0" w:oddHBand="1" w:evenHBand="0" w:firstRowFirstColumn="0" w:firstRowLastColumn="0" w:lastRowFirstColumn="0" w:lastRowLastColumn="0"/>
            </w:pPr>
            <w:r w:rsidRPr="002B4EAF">
              <w:t xml:space="preserve">$2 each one-way trip </w:t>
            </w:r>
          </w:p>
        </w:tc>
        <w:tc>
          <w:tcPr>
            <w:tcW w:w="395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209CF2AE" w14:textId="77777777" w:rsidR="001F4D25" w:rsidRPr="002B4EAF" w:rsidRDefault="001F4D25" w:rsidP="001D639D">
            <w:pPr>
              <w:ind w:left="1"/>
              <w:jc w:val="left"/>
              <w:cnfStyle w:val="000000100000" w:firstRow="0" w:lastRow="0" w:firstColumn="0" w:lastColumn="0" w:oddVBand="0" w:evenVBand="0" w:oddHBand="1" w:evenHBand="0" w:firstRowFirstColumn="0" w:firstRowLastColumn="0" w:lastRowFirstColumn="0" w:lastRowLastColumn="0"/>
            </w:pPr>
            <w:r w:rsidRPr="002B4EAF">
              <w:t xml:space="preserve">Transportation services that pay $50.01 or more </w:t>
            </w:r>
          </w:p>
        </w:tc>
      </w:tr>
      <w:tr w:rsidR="001F4D25" w:rsidRPr="002B4EAF" w14:paraId="183FABE8" w14:textId="77777777" w:rsidTr="001D639D">
        <w:trPr>
          <w:trHeight w:val="417"/>
        </w:trPr>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46A9A661" w14:textId="77777777" w:rsidR="001F4D25" w:rsidRPr="002B4EAF" w:rsidRDefault="001F4D25" w:rsidP="001D639D">
            <w:pPr>
              <w:jc w:val="left"/>
            </w:pPr>
            <w:r w:rsidRPr="002B4EAF">
              <w:t xml:space="preserve">Pharmacy </w:t>
            </w:r>
          </w:p>
        </w:tc>
        <w:tc>
          <w:tcPr>
            <w:tcW w:w="6205"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7560A8FB" w14:textId="77777777" w:rsidR="001F4D25" w:rsidRPr="002B4EAF" w:rsidRDefault="001F4D25" w:rsidP="001D639D">
            <w:pPr>
              <w:ind w:left="-18"/>
              <w:jc w:val="left"/>
              <w:cnfStyle w:val="000000000000" w:firstRow="0" w:lastRow="0" w:firstColumn="0" w:lastColumn="0" w:oddVBand="0" w:evenVBand="0" w:oddHBand="0" w:evenHBand="0" w:firstRowFirstColumn="0" w:firstRowLastColumn="0" w:lastRowFirstColumn="0" w:lastRowLastColumn="0"/>
            </w:pPr>
            <w:r w:rsidRPr="002B4EAF">
              <w:t xml:space="preserve">$3 </w:t>
            </w:r>
          </w:p>
        </w:tc>
      </w:tr>
      <w:tr w:rsidR="001F4D25" w:rsidRPr="002B4EAF" w14:paraId="78B5E3F4" w14:textId="77777777" w:rsidTr="001D639D">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5DB2AD89" w14:textId="77777777" w:rsidR="001F4D25" w:rsidRPr="002B4EAF" w:rsidRDefault="001F4D25" w:rsidP="001D639D">
            <w:pPr>
              <w:jc w:val="left"/>
            </w:pPr>
            <w:r w:rsidRPr="002B4EAF">
              <w:t xml:space="preserve">Non-Emergency Use of the ED </w:t>
            </w:r>
          </w:p>
        </w:tc>
        <w:tc>
          <w:tcPr>
            <w:tcW w:w="6205"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tcPr>
          <w:p w14:paraId="2AB83AD6" w14:textId="77777777" w:rsidR="001F4D25" w:rsidRPr="002B4EAF" w:rsidRDefault="001F4D25" w:rsidP="001D639D">
            <w:pPr>
              <w:ind w:left="0"/>
              <w:jc w:val="left"/>
              <w:cnfStyle w:val="000000100000" w:firstRow="0" w:lastRow="0" w:firstColumn="0" w:lastColumn="0" w:oddVBand="0" w:evenVBand="0" w:oddHBand="1" w:evenHBand="0" w:firstRowFirstColumn="0" w:firstRowLastColumn="0" w:lastRowFirstColumn="0" w:lastRowLastColumn="0"/>
            </w:pPr>
            <w:r w:rsidRPr="002B4EAF">
              <w:t xml:space="preserve">$3 </w:t>
            </w:r>
          </w:p>
        </w:tc>
      </w:tr>
    </w:tbl>
    <w:p w14:paraId="74F6FB07" w14:textId="77777777" w:rsidR="001F4D25" w:rsidRPr="002B4EAF" w:rsidRDefault="001F4D25" w:rsidP="001D639D">
      <w:pPr>
        <w:spacing w:after="0" w:line="240" w:lineRule="auto"/>
        <w:ind w:left="115" w:hanging="14"/>
        <w:contextualSpacing/>
      </w:pPr>
    </w:p>
    <w:p w14:paraId="42093141" w14:textId="4CC5B23B" w:rsidR="001F4D25" w:rsidRPr="002B4EAF" w:rsidRDefault="001F4D25" w:rsidP="001D639D">
      <w:pPr>
        <w:ind w:left="0" w:right="13" w:firstLine="0"/>
      </w:pPr>
      <w:r w:rsidRPr="002B4EAF">
        <w:t xml:space="preserve">Outside of the required ESRD liability, ESRD </w:t>
      </w:r>
      <w:r w:rsidR="00B1506A">
        <w:t>§</w:t>
      </w:r>
      <w:r w:rsidRPr="002B4EAF">
        <w:t xml:space="preserve">1115 enrollees will not spend more than 5 percent of their household income on </w:t>
      </w:r>
      <w:r w:rsidR="00B1506A">
        <w:t>s</w:t>
      </w:r>
      <w:r w:rsidR="00B1506A" w:rsidRPr="002B4EAF">
        <w:t xml:space="preserve">tate </w:t>
      </w:r>
      <w:r w:rsidR="00B1506A">
        <w:t>p</w:t>
      </w:r>
      <w:r w:rsidR="00B1506A" w:rsidRPr="002B4EAF">
        <w:t xml:space="preserve">lan </w:t>
      </w:r>
      <w:r w:rsidRPr="002B4EAF">
        <w:t>cost sharing requirements.  ESRD enrollees are not subject to premium payments.</w:t>
      </w:r>
    </w:p>
    <w:p w14:paraId="3F61A696" w14:textId="77777777" w:rsidR="00C34CAD" w:rsidRDefault="00C34CAD" w:rsidP="001F4D25">
      <w:pPr>
        <w:ind w:left="-5" w:right="13"/>
        <w:rPr>
          <w:rFonts w:cs="Times New Roman"/>
          <w:b/>
        </w:rPr>
      </w:pPr>
    </w:p>
    <w:p w14:paraId="75B3723C" w14:textId="77777777" w:rsidR="001F4D25" w:rsidRDefault="001F4D25" w:rsidP="001F4D25">
      <w:pPr>
        <w:ind w:left="-5" w:right="13"/>
        <w:rPr>
          <w:rFonts w:cs="Times New Roman"/>
          <w:b/>
        </w:rPr>
      </w:pPr>
      <w:r w:rsidRPr="002B4EAF">
        <w:rPr>
          <w:rFonts w:cs="Times New Roman"/>
          <w:b/>
        </w:rPr>
        <w:t>HYPOTHESES &amp; EVALUATION</w:t>
      </w:r>
    </w:p>
    <w:p w14:paraId="11E963DB" w14:textId="77777777" w:rsidR="003311E2" w:rsidRDefault="0056445F" w:rsidP="0056445F">
      <w:pPr>
        <w:spacing w:after="0" w:line="240" w:lineRule="auto"/>
        <w:ind w:left="0" w:right="14" w:hanging="14"/>
        <w:contextualSpacing/>
      </w:pPr>
      <w:r w:rsidRPr="0056445F">
        <w:t xml:space="preserve">Between May 2014 and March 2020, the ESRD demonstration ensured coverage to 760 unique enrollees, covering on average approximately 400 unique enrollees per year.  Enrollment has slightly declined over the course of the program but there continues to be comparable new enrollments (approximately 10 per quarter).   The program has allowed individuals with end-stage renal disease who do not have another source of supplemental coverage the ability to remain on transplants lists and it provides comprehensive coverage for enrollees before during and after transplant.   </w:t>
      </w:r>
    </w:p>
    <w:p w14:paraId="2DCC2181" w14:textId="77777777" w:rsidR="00E10F10" w:rsidRDefault="00E10F10" w:rsidP="0056445F">
      <w:pPr>
        <w:spacing w:after="0" w:line="240" w:lineRule="auto"/>
        <w:ind w:left="0" w:right="14" w:hanging="14"/>
        <w:contextualSpacing/>
      </w:pPr>
    </w:p>
    <w:p w14:paraId="028DFF17" w14:textId="41A8778A" w:rsidR="0056445F" w:rsidRDefault="0056445F" w:rsidP="0056445F">
      <w:pPr>
        <w:spacing w:after="0" w:line="240" w:lineRule="auto"/>
        <w:ind w:left="0" w:right="14" w:hanging="14"/>
        <w:contextualSpacing/>
      </w:pPr>
      <w:r w:rsidRPr="0056445F">
        <w:t>Through the ESRD demonstration enrollees access the full range of Medicaid State Plan benefits including dialysis services needed to maintain their condition.   The ESRD program continues to meet the goals and objectives as established at the onset of</w:t>
      </w:r>
      <w:r w:rsidR="00AC64DE">
        <w:t xml:space="preserve"> this demonstration.</w:t>
      </w:r>
    </w:p>
    <w:p w14:paraId="3E5D4B64" w14:textId="54B996C7" w:rsidR="00AC64DE" w:rsidRPr="002B4EAF" w:rsidRDefault="00AC64DE" w:rsidP="001D639D">
      <w:pPr>
        <w:spacing w:after="0" w:line="240" w:lineRule="auto"/>
        <w:ind w:left="0" w:right="14" w:firstLine="0"/>
        <w:contextualSpacing/>
        <w:rPr>
          <w:b/>
          <w:bCs/>
        </w:rPr>
      </w:pPr>
      <w:r w:rsidRPr="002B4EAF">
        <w:rPr>
          <w:b/>
          <w:bCs/>
        </w:rPr>
        <w:lastRenderedPageBreak/>
        <w:t xml:space="preserve">Table </w:t>
      </w:r>
      <w:r w:rsidR="003311E2">
        <w:rPr>
          <w:b/>
          <w:bCs/>
        </w:rPr>
        <w:t>6</w:t>
      </w:r>
      <w:r w:rsidRPr="002B4EAF">
        <w:rPr>
          <w:b/>
          <w:bCs/>
        </w:rPr>
        <w:t xml:space="preserve">. </w:t>
      </w:r>
      <w:r>
        <w:rPr>
          <w:b/>
          <w:bCs/>
        </w:rPr>
        <w:t>ESRD Health Care Utilization May 1, 2014 – December 31, 2019</w:t>
      </w:r>
    </w:p>
    <w:p w14:paraId="56F79EE8" w14:textId="77777777" w:rsidR="00AC64DE" w:rsidRPr="00CB2B1F" w:rsidRDefault="00AC64DE" w:rsidP="001D639D">
      <w:pPr>
        <w:keepNext/>
        <w:spacing w:after="0" w:line="240" w:lineRule="auto"/>
        <w:ind w:left="0" w:hanging="14"/>
        <w:contextualSpacing/>
        <w:rPr>
          <w:i/>
          <w:sz w:val="16"/>
        </w:rPr>
      </w:pPr>
      <w:r w:rsidRPr="00477400">
        <w:rPr>
          <w:noProof/>
        </w:rPr>
        <w:drawing>
          <wp:inline distT="0" distB="0" distL="0" distR="0" wp14:anchorId="7498017F" wp14:editId="22903665">
            <wp:extent cx="6347460" cy="20872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10827" cy="2108082"/>
                    </a:xfrm>
                    <a:prstGeom prst="rect">
                      <a:avLst/>
                    </a:prstGeom>
                    <a:noFill/>
                    <a:ln>
                      <a:noFill/>
                    </a:ln>
                  </pic:spPr>
                </pic:pic>
              </a:graphicData>
            </a:graphic>
          </wp:inline>
        </w:drawing>
      </w:r>
      <w:r w:rsidRPr="00CB2B1F">
        <w:rPr>
          <w:i/>
          <w:sz w:val="16"/>
        </w:rPr>
        <w:t>*Total unique enrollee count for the demonstration year</w:t>
      </w:r>
    </w:p>
    <w:p w14:paraId="7C6641EC" w14:textId="77777777" w:rsidR="0056445F" w:rsidRDefault="0056445F" w:rsidP="001D639D">
      <w:pPr>
        <w:spacing w:after="0" w:line="240" w:lineRule="auto"/>
        <w:ind w:left="0" w:right="14" w:firstLine="0"/>
        <w:contextualSpacing/>
      </w:pPr>
    </w:p>
    <w:p w14:paraId="2A002BFC" w14:textId="77777777" w:rsidR="001F4D25" w:rsidRPr="002B4EAF" w:rsidRDefault="001F4D25" w:rsidP="0056445F">
      <w:pPr>
        <w:spacing w:after="0" w:line="240" w:lineRule="auto"/>
        <w:ind w:left="0" w:right="14" w:hanging="14"/>
        <w:contextualSpacing/>
      </w:pPr>
      <w:r w:rsidRPr="002B4EAF">
        <w:t>The current objectives of this demonstration are to:</w:t>
      </w:r>
    </w:p>
    <w:p w14:paraId="63A436EA" w14:textId="587DBC62" w:rsidR="001F4D25" w:rsidRPr="002B4EAF" w:rsidRDefault="001F4D25" w:rsidP="001D639D">
      <w:pPr>
        <w:pStyle w:val="ListParagraph"/>
        <w:numPr>
          <w:ilvl w:val="0"/>
          <w:numId w:val="30"/>
        </w:numPr>
        <w:spacing w:after="204"/>
        <w:ind w:left="720" w:right="13"/>
      </w:pPr>
      <w:r w:rsidRPr="002B4EAF">
        <w:t xml:space="preserve">Ensure that ESRD </w:t>
      </w:r>
      <w:r w:rsidR="00175DB9">
        <w:t>§</w:t>
      </w:r>
      <w:r w:rsidRPr="002B4EAF">
        <w:t xml:space="preserve">1115 waiver enrollees maintain access to kidney transplant waiting lists.   </w:t>
      </w:r>
    </w:p>
    <w:p w14:paraId="2DDBAB77" w14:textId="6AB0CEB2" w:rsidR="001F4D25" w:rsidRPr="002B4EAF" w:rsidRDefault="001F4D25" w:rsidP="001D639D">
      <w:pPr>
        <w:pStyle w:val="ListParagraph"/>
        <w:numPr>
          <w:ilvl w:val="0"/>
          <w:numId w:val="30"/>
        </w:numPr>
        <w:spacing w:after="204"/>
        <w:ind w:left="720" w:right="13"/>
      </w:pPr>
      <w:r w:rsidRPr="002B4EAF">
        <w:t xml:space="preserve">Ensure that ESRD </w:t>
      </w:r>
      <w:r w:rsidR="00175DB9">
        <w:t>§</w:t>
      </w:r>
      <w:r w:rsidRPr="002B4EAF">
        <w:t xml:space="preserve">1115 waiver enrollees have access kidney to transplants.  </w:t>
      </w:r>
    </w:p>
    <w:p w14:paraId="5F4DC2C1" w14:textId="77777777" w:rsidR="001F4D25" w:rsidRPr="002B4EAF" w:rsidRDefault="001F4D25" w:rsidP="001D639D">
      <w:pPr>
        <w:pStyle w:val="ListParagraph"/>
        <w:numPr>
          <w:ilvl w:val="0"/>
          <w:numId w:val="30"/>
        </w:numPr>
        <w:spacing w:after="204"/>
        <w:ind w:left="720" w:right="13"/>
      </w:pPr>
      <w:r w:rsidRPr="002B4EAF">
        <w:t>Ensure that individuals eligible for the ESRD demonstration through Medicare/Medicaid spend-down have access to the program.</w:t>
      </w:r>
    </w:p>
    <w:p w14:paraId="45354DBD" w14:textId="77777777" w:rsidR="001F4D25" w:rsidRPr="002B4EAF" w:rsidRDefault="001F4D25" w:rsidP="001D639D">
      <w:pPr>
        <w:spacing w:after="0" w:line="240" w:lineRule="auto"/>
        <w:ind w:left="115" w:right="14" w:hanging="14"/>
        <w:contextualSpacing/>
      </w:pPr>
      <w:r w:rsidRPr="002B4EAF">
        <w:t xml:space="preserve">The hypotheses for the current objectives are: </w:t>
      </w:r>
    </w:p>
    <w:p w14:paraId="28F42D85" w14:textId="1BF66D5D" w:rsidR="001F4D25" w:rsidRPr="002B4EAF" w:rsidRDefault="001F4D25" w:rsidP="001D639D">
      <w:pPr>
        <w:pStyle w:val="ListParagraph"/>
        <w:numPr>
          <w:ilvl w:val="0"/>
          <w:numId w:val="30"/>
        </w:numPr>
        <w:spacing w:after="204"/>
        <w:ind w:left="720" w:right="13"/>
      </w:pPr>
      <w:r w:rsidRPr="002B4EAF">
        <w:t xml:space="preserve">ESRD </w:t>
      </w:r>
      <w:r w:rsidR="00175DB9">
        <w:t>§</w:t>
      </w:r>
      <w:r w:rsidRPr="002B4EAF">
        <w:t xml:space="preserve">1115 waiver enrollees will maintain access to kidney transplant waiting lists.   </w:t>
      </w:r>
    </w:p>
    <w:p w14:paraId="3A830356" w14:textId="57CE5570" w:rsidR="001F4D25" w:rsidRPr="002B4EAF" w:rsidRDefault="001F4D25" w:rsidP="001D639D">
      <w:pPr>
        <w:pStyle w:val="ListParagraph"/>
        <w:numPr>
          <w:ilvl w:val="0"/>
          <w:numId w:val="30"/>
        </w:numPr>
        <w:spacing w:after="204"/>
        <w:ind w:left="720" w:right="13"/>
      </w:pPr>
      <w:r w:rsidRPr="002B4EAF">
        <w:t xml:space="preserve">ESRD </w:t>
      </w:r>
      <w:r w:rsidR="00175DB9">
        <w:t>§</w:t>
      </w:r>
      <w:r w:rsidRPr="002B4EAF">
        <w:t xml:space="preserve">1115 waiver enrollees will access kidney transplants, ending their diagnosis of ESRD and increasing their access to alternative forms of health insurance coverage.  </w:t>
      </w:r>
    </w:p>
    <w:p w14:paraId="798992A8" w14:textId="3773D457" w:rsidR="00E10F10" w:rsidRPr="00A505B5" w:rsidRDefault="001F4D25" w:rsidP="00A505B5">
      <w:pPr>
        <w:pStyle w:val="ListParagraph"/>
        <w:numPr>
          <w:ilvl w:val="0"/>
          <w:numId w:val="30"/>
        </w:numPr>
        <w:spacing w:after="204"/>
        <w:ind w:left="720" w:right="13"/>
      </w:pPr>
      <w:r w:rsidRPr="002B4EAF">
        <w:t xml:space="preserve">The ESRD </w:t>
      </w:r>
      <w:r w:rsidR="00175DB9">
        <w:t>§</w:t>
      </w:r>
      <w:r w:rsidRPr="002B4EAF">
        <w:t>1115 waiver demonstration will enroll individuals who are eligible through Medicare/Medicaid spend-down.</w:t>
      </w:r>
    </w:p>
    <w:p w14:paraId="29A37CCC" w14:textId="77777777" w:rsidR="001F4D25" w:rsidRPr="002B4EAF" w:rsidRDefault="001F4D25" w:rsidP="001F4D25">
      <w:pPr>
        <w:spacing w:line="240" w:lineRule="auto"/>
        <w:rPr>
          <w:rFonts w:cs="Times New Roman"/>
          <w:b/>
        </w:rPr>
      </w:pPr>
      <w:r w:rsidRPr="002B4EAF">
        <w:rPr>
          <w:rFonts w:cs="Times New Roman"/>
          <w:b/>
        </w:rPr>
        <w:t xml:space="preserve">WAIVER &amp; EXPENDITURE AUTHORITY </w:t>
      </w:r>
    </w:p>
    <w:p w14:paraId="7FF770AD" w14:textId="77777777" w:rsidR="001F4D25" w:rsidRPr="002B4EAF" w:rsidRDefault="001F4D25" w:rsidP="001F4D25">
      <w:pPr>
        <w:spacing w:after="0" w:line="240" w:lineRule="auto"/>
        <w:rPr>
          <w:rFonts w:cs="Times New Roman"/>
        </w:rPr>
      </w:pPr>
      <w:r w:rsidRPr="002B4EAF">
        <w:rPr>
          <w:rFonts w:cs="Times New Roman"/>
        </w:rPr>
        <w:t>As specified in the ESRD demonstration extension, the requested waivers include:</w:t>
      </w:r>
    </w:p>
    <w:p w14:paraId="52AAA37E" w14:textId="77777777" w:rsidR="001F4D25" w:rsidRPr="002B4EAF" w:rsidRDefault="001F4D25" w:rsidP="001F4D25">
      <w:pPr>
        <w:spacing w:line="240" w:lineRule="auto"/>
        <w:rPr>
          <w:rFonts w:cs="Times New Roman"/>
          <w:b/>
        </w:rPr>
      </w:pPr>
    </w:p>
    <w:p w14:paraId="774F0258" w14:textId="77777777" w:rsidR="001F4D25" w:rsidRPr="001D639D" w:rsidRDefault="001F4D25" w:rsidP="001F4D25">
      <w:pPr>
        <w:pStyle w:val="ListParagraph"/>
        <w:numPr>
          <w:ilvl w:val="0"/>
          <w:numId w:val="24"/>
        </w:numPr>
        <w:spacing w:after="0" w:line="240" w:lineRule="auto"/>
        <w:jc w:val="left"/>
        <w:rPr>
          <w:bCs/>
          <w:i/>
          <w:u w:val="single"/>
        </w:rPr>
      </w:pPr>
      <w:r w:rsidRPr="001D639D">
        <w:rPr>
          <w:bCs/>
          <w:i/>
          <w:u w:val="single"/>
        </w:rPr>
        <w:t xml:space="preserve">Amount, Duration and Scope of Services – Section 1902(a)(10)(B) </w:t>
      </w:r>
    </w:p>
    <w:p w14:paraId="2D19E78D" w14:textId="217F11C8" w:rsidR="001F4D25" w:rsidRPr="002B4EAF" w:rsidRDefault="001F4D25" w:rsidP="001D639D">
      <w:pPr>
        <w:spacing w:after="0" w:line="240" w:lineRule="auto"/>
        <w:ind w:left="720" w:hanging="14"/>
        <w:contextualSpacing/>
        <w:rPr>
          <w:b/>
          <w:bCs/>
        </w:rPr>
      </w:pPr>
      <w:r w:rsidRPr="002B4EAF">
        <w:t xml:space="preserve">To the extent necessary to enable the State to provide </w:t>
      </w:r>
      <w:r w:rsidR="00314C8C">
        <w:t>s</w:t>
      </w:r>
      <w:r w:rsidR="00314C8C" w:rsidRPr="002B4EAF">
        <w:t xml:space="preserve">tate </w:t>
      </w:r>
      <w:r w:rsidR="00314C8C">
        <w:t>p</w:t>
      </w:r>
      <w:r w:rsidR="00314C8C" w:rsidRPr="002B4EAF">
        <w:t xml:space="preserve">lan </w:t>
      </w:r>
      <w:r w:rsidRPr="002B4EAF">
        <w:t xml:space="preserve">benefits only after an individual meets an ESRD liability, calculated using </w:t>
      </w:r>
      <w:r w:rsidR="003311E2" w:rsidRPr="002B4EAF">
        <w:t>spend</w:t>
      </w:r>
      <w:r w:rsidR="003311E2">
        <w:t>-</w:t>
      </w:r>
      <w:r w:rsidRPr="002B4EAF">
        <w:t xml:space="preserve">down methodologies.   </w:t>
      </w:r>
    </w:p>
    <w:p w14:paraId="55D4D02E" w14:textId="77777777" w:rsidR="001F4D25" w:rsidRPr="002B4EAF" w:rsidRDefault="001F4D25" w:rsidP="001D639D">
      <w:pPr>
        <w:spacing w:after="0" w:line="240" w:lineRule="auto"/>
        <w:ind w:hanging="14"/>
        <w:contextualSpacing/>
      </w:pPr>
      <w:r w:rsidRPr="002B4EAF">
        <w:t xml:space="preserve"> </w:t>
      </w:r>
    </w:p>
    <w:p w14:paraId="60436B3F" w14:textId="77777777" w:rsidR="001F4D25" w:rsidRPr="001D639D" w:rsidRDefault="001F4D25" w:rsidP="001D639D">
      <w:pPr>
        <w:pStyle w:val="ListParagraph"/>
        <w:numPr>
          <w:ilvl w:val="0"/>
          <w:numId w:val="24"/>
        </w:numPr>
        <w:spacing w:after="0" w:line="240" w:lineRule="auto"/>
        <w:jc w:val="left"/>
        <w:rPr>
          <w:bCs/>
          <w:i/>
          <w:u w:val="single"/>
        </w:rPr>
      </w:pPr>
      <w:r w:rsidRPr="001D639D">
        <w:rPr>
          <w:bCs/>
          <w:i/>
          <w:u w:val="single"/>
        </w:rPr>
        <w:t>Cost-Sharing Requirements – Section 1902(a)(14) related to provisions in section 1916</w:t>
      </w:r>
    </w:p>
    <w:p w14:paraId="076FF766" w14:textId="22D9E51F" w:rsidR="00175DB9" w:rsidRDefault="001F4D25" w:rsidP="001D639D">
      <w:pPr>
        <w:spacing w:after="0" w:line="240" w:lineRule="auto"/>
        <w:ind w:left="720" w:firstLine="0"/>
        <w:contextualSpacing/>
      </w:pPr>
      <w:r w:rsidRPr="002B4EAF">
        <w:t xml:space="preserve">To the extent necessary to enable the State to impose a </w:t>
      </w:r>
      <w:r w:rsidR="00314C8C" w:rsidRPr="002B4EAF">
        <w:t>spend</w:t>
      </w:r>
      <w:r w:rsidR="00314C8C">
        <w:t>-</w:t>
      </w:r>
      <w:r w:rsidRPr="002B4EAF">
        <w:t>down methodology based on incurred medical costs. Individuals who incur medical expenses that bring their income to the Supplemental Security Income (SSI) federal benefit rate (FBR) will have no further incurred costs subject to the ESRD liability.</w:t>
      </w:r>
    </w:p>
    <w:p w14:paraId="1576375E" w14:textId="6D72AE89" w:rsidR="001F4D25" w:rsidRPr="00B235DF" w:rsidRDefault="001F4D25" w:rsidP="001D639D">
      <w:pPr>
        <w:spacing w:after="0" w:line="240" w:lineRule="auto"/>
        <w:ind w:left="720" w:firstLine="0"/>
        <w:contextualSpacing/>
        <w:rPr>
          <w:b/>
          <w:bCs/>
        </w:rPr>
      </w:pPr>
      <w:r w:rsidRPr="002B4EAF">
        <w:t xml:space="preserve">  </w:t>
      </w:r>
      <w:r w:rsidRPr="002B4EAF">
        <w:rPr>
          <w:color w:val="1F497D"/>
        </w:rPr>
        <w:t xml:space="preserve"> </w:t>
      </w:r>
    </w:p>
    <w:p w14:paraId="7336BEB4" w14:textId="77777777" w:rsidR="001F4D25" w:rsidRPr="001D639D" w:rsidRDefault="001F4D25" w:rsidP="001F4D25">
      <w:pPr>
        <w:pStyle w:val="ListParagraph"/>
        <w:numPr>
          <w:ilvl w:val="0"/>
          <w:numId w:val="24"/>
        </w:numPr>
        <w:spacing w:after="0" w:line="240" w:lineRule="auto"/>
        <w:jc w:val="left"/>
        <w:rPr>
          <w:bCs/>
          <w:i/>
          <w:u w:val="single"/>
        </w:rPr>
      </w:pPr>
      <w:r w:rsidRPr="001D639D">
        <w:rPr>
          <w:bCs/>
          <w:i/>
          <w:u w:val="single"/>
        </w:rPr>
        <w:t>Comparability – Section 1902(a)(17)</w:t>
      </w:r>
    </w:p>
    <w:p w14:paraId="163EEA04" w14:textId="1E8E5114" w:rsidR="001F4D25" w:rsidRPr="002B4EAF" w:rsidRDefault="001F4D25" w:rsidP="001F4D25">
      <w:pPr>
        <w:spacing w:after="0" w:line="240" w:lineRule="auto"/>
        <w:ind w:left="720"/>
        <w:rPr>
          <w:b/>
          <w:bCs/>
        </w:rPr>
      </w:pPr>
      <w:r w:rsidRPr="002B4EAF">
        <w:t>To the extent necessary to enable the State to apply a</w:t>
      </w:r>
      <w:r w:rsidR="00314C8C">
        <w:t xml:space="preserve"> </w:t>
      </w:r>
      <w:r w:rsidRPr="002B4EAF">
        <w:t>spend</w:t>
      </w:r>
      <w:r w:rsidR="003311E2">
        <w:t>-</w:t>
      </w:r>
      <w:r w:rsidRPr="002B4EAF">
        <w:t xml:space="preserve">down methodology based on incurred medical costs. </w:t>
      </w:r>
      <w:r w:rsidRPr="002B4EAF">
        <w:rPr>
          <w:rFonts w:eastAsia="Times New Roman" w:cs="Times New Roman"/>
        </w:rPr>
        <w:t xml:space="preserve"> </w:t>
      </w:r>
    </w:p>
    <w:p w14:paraId="34C39098" w14:textId="77777777" w:rsidR="00C34CAD" w:rsidRDefault="00C34CAD" w:rsidP="00A505B5">
      <w:pPr>
        <w:spacing w:line="240" w:lineRule="auto"/>
        <w:ind w:left="0" w:firstLine="0"/>
        <w:rPr>
          <w:rFonts w:cs="Times New Roman"/>
          <w:b/>
        </w:rPr>
      </w:pPr>
    </w:p>
    <w:p w14:paraId="6B323293" w14:textId="77777777" w:rsidR="001F4D25" w:rsidRPr="002B4EAF" w:rsidRDefault="001F4D25" w:rsidP="001F4D25">
      <w:pPr>
        <w:spacing w:line="240" w:lineRule="auto"/>
        <w:rPr>
          <w:rFonts w:cs="Times New Roman"/>
          <w:b/>
        </w:rPr>
      </w:pPr>
      <w:r w:rsidRPr="002B4EAF">
        <w:rPr>
          <w:rFonts w:cs="Times New Roman"/>
          <w:b/>
        </w:rPr>
        <w:t>REVIEW OF DOCUMENTS &amp; SUBMISSION OF COMMENTS</w:t>
      </w:r>
    </w:p>
    <w:p w14:paraId="7FCB290F" w14:textId="4451DC7F" w:rsidR="001F4D25" w:rsidRDefault="001F4D25" w:rsidP="001F4D25">
      <w:pPr>
        <w:spacing w:after="0" w:line="240" w:lineRule="auto"/>
      </w:pPr>
      <w:r w:rsidRPr="002B4EAF">
        <w:t xml:space="preserve">All information regarding the submission, including the public notice, the ESRD demonstration extension, and other documentation regarding the proposal are available for public review at the FSSA, Office of </w:t>
      </w:r>
      <w:r w:rsidRPr="002B4EAF">
        <w:lastRenderedPageBreak/>
        <w:t xml:space="preserve">General Counsel, 402 W. Washington Street, Room W451, Indianapolis, Indiana 46204. The full </w:t>
      </w:r>
      <w:r w:rsidR="00175DB9">
        <w:t>p</w:t>
      </w:r>
      <w:r w:rsidR="00175DB9" w:rsidRPr="002B4EAF">
        <w:t xml:space="preserve">ublic </w:t>
      </w:r>
      <w:r w:rsidR="00175DB9">
        <w:t>n</w:t>
      </w:r>
      <w:r w:rsidR="00175DB9" w:rsidRPr="002B4EAF">
        <w:t>otice</w:t>
      </w:r>
      <w:r w:rsidR="003311E2">
        <w:t xml:space="preserve"> </w:t>
      </w:r>
      <w:r w:rsidRPr="002B4EAF">
        <w:t xml:space="preserve">and ESRD demonstration documents are also available to be viewed online at </w:t>
      </w:r>
      <w:hyperlink r:id="rId21" w:history="1">
        <w:r w:rsidR="00175DB9" w:rsidRPr="00535898">
          <w:rPr>
            <w:rStyle w:val="Hyperlink"/>
          </w:rPr>
          <w:t>https://www.in.gov/fssa/5537.htm</w:t>
        </w:r>
      </w:hyperlink>
    </w:p>
    <w:p w14:paraId="30F668EC" w14:textId="77777777" w:rsidR="00175DB9" w:rsidRDefault="00175DB9" w:rsidP="001F4D25">
      <w:pPr>
        <w:spacing w:after="0" w:line="240" w:lineRule="auto"/>
      </w:pPr>
    </w:p>
    <w:p w14:paraId="1E4AA6FC" w14:textId="6726F547" w:rsidR="001F4D25" w:rsidRPr="002B4EAF" w:rsidRDefault="001F4D25" w:rsidP="001F4D25">
      <w:pPr>
        <w:spacing w:after="0" w:line="240" w:lineRule="auto"/>
      </w:pPr>
      <w:r w:rsidRPr="002B4EAF">
        <w:t xml:space="preserve">Written comments may be sent to the FSSA via mail at 402 West Washington Street, Room W374, Indianapolis, Indiana 46204, Attention: </w:t>
      </w:r>
      <w:r w:rsidR="00175DB9">
        <w:t>Andrew Bean</w:t>
      </w:r>
      <w:r w:rsidRPr="002B4EAF">
        <w:t xml:space="preserve"> or via electronic mail at </w:t>
      </w:r>
      <w:r w:rsidR="00175DB9">
        <w:t>Andrew.Bean</w:t>
      </w:r>
      <w:r w:rsidRPr="002B4EAF">
        <w:t xml:space="preserve">@fssa.in.gov through </w:t>
      </w:r>
      <w:r w:rsidRPr="002B4EAF">
        <w:rPr>
          <w:b/>
          <w:bCs/>
        </w:rPr>
        <w:t xml:space="preserve">06/12/2020 </w:t>
      </w:r>
      <w:r w:rsidRPr="002B4EAF">
        <w:t xml:space="preserve">at 5:00 pm.  </w:t>
      </w:r>
    </w:p>
    <w:p w14:paraId="30F4DE46" w14:textId="77777777" w:rsidR="001F4D25" w:rsidRDefault="001F4D25" w:rsidP="001D639D">
      <w:pPr>
        <w:spacing w:after="0" w:line="240" w:lineRule="auto"/>
        <w:ind w:hanging="14"/>
        <w:contextualSpacing/>
      </w:pPr>
    </w:p>
    <w:p w14:paraId="3CFFFD45" w14:textId="77777777" w:rsidR="001F4D25" w:rsidRPr="00E04E86" w:rsidRDefault="001F4D25" w:rsidP="001D639D">
      <w:pPr>
        <w:spacing w:after="0" w:line="240" w:lineRule="auto"/>
        <w:ind w:left="720" w:hanging="14"/>
        <w:contextualSpacing/>
        <w:rPr>
          <w:b/>
          <w:bCs/>
        </w:rPr>
      </w:pPr>
    </w:p>
    <w:p w14:paraId="43A411BD" w14:textId="77777777" w:rsidR="001F4D25" w:rsidRPr="00982BE5" w:rsidRDefault="001F4D25" w:rsidP="001D639D">
      <w:pPr>
        <w:spacing w:after="0" w:line="240" w:lineRule="auto"/>
        <w:ind w:hanging="14"/>
        <w:contextualSpacing/>
      </w:pPr>
    </w:p>
    <w:p w14:paraId="1DF3F1F2" w14:textId="625F7E9C" w:rsidR="001F4D25" w:rsidRDefault="001F4D25" w:rsidP="001D639D">
      <w:pPr>
        <w:spacing w:after="0" w:line="240" w:lineRule="auto"/>
        <w:ind w:hanging="14"/>
        <w:contextualSpacing/>
      </w:pPr>
    </w:p>
    <w:p w14:paraId="04891E7C" w14:textId="2C76E744" w:rsidR="00F037ED" w:rsidRDefault="00F037ED" w:rsidP="001D639D">
      <w:pPr>
        <w:spacing w:after="0" w:line="240" w:lineRule="auto"/>
        <w:ind w:hanging="14"/>
        <w:contextualSpacing/>
      </w:pPr>
    </w:p>
    <w:p w14:paraId="6892F23E" w14:textId="0553D666" w:rsidR="00F037ED" w:rsidRDefault="00F037ED" w:rsidP="001D639D">
      <w:pPr>
        <w:spacing w:after="0" w:line="240" w:lineRule="auto"/>
        <w:ind w:hanging="14"/>
        <w:contextualSpacing/>
      </w:pPr>
    </w:p>
    <w:p w14:paraId="7C54ADF0" w14:textId="69983DEE" w:rsidR="00F037ED" w:rsidRDefault="00F037ED" w:rsidP="001D639D">
      <w:pPr>
        <w:spacing w:after="0" w:line="240" w:lineRule="auto"/>
        <w:ind w:hanging="14"/>
        <w:contextualSpacing/>
      </w:pPr>
    </w:p>
    <w:p w14:paraId="108CCDAC" w14:textId="138F1DB4" w:rsidR="00F037ED" w:rsidRDefault="00F037ED" w:rsidP="001D639D">
      <w:pPr>
        <w:spacing w:after="0" w:line="240" w:lineRule="auto"/>
        <w:ind w:hanging="14"/>
        <w:contextualSpacing/>
      </w:pPr>
    </w:p>
    <w:p w14:paraId="747334F7" w14:textId="44EEB63F" w:rsidR="00F037ED" w:rsidRDefault="00F037ED" w:rsidP="001D639D">
      <w:pPr>
        <w:spacing w:after="0" w:line="240" w:lineRule="auto"/>
        <w:ind w:hanging="14"/>
        <w:contextualSpacing/>
      </w:pPr>
    </w:p>
    <w:p w14:paraId="14D26D4D" w14:textId="7297B399" w:rsidR="00F037ED" w:rsidRDefault="00F037ED" w:rsidP="001D639D">
      <w:pPr>
        <w:spacing w:after="0" w:line="240" w:lineRule="auto"/>
        <w:ind w:hanging="14"/>
        <w:contextualSpacing/>
      </w:pPr>
    </w:p>
    <w:p w14:paraId="6CC0CC0B" w14:textId="77777777" w:rsidR="00AE29AB" w:rsidRDefault="00AE29AB" w:rsidP="001D639D">
      <w:pPr>
        <w:pStyle w:val="Heading1"/>
        <w:spacing w:after="245" w:line="259" w:lineRule="auto"/>
        <w:ind w:left="0" w:firstLine="0"/>
        <w:rPr>
          <w:b w:val="0"/>
          <w:color w:val="000000"/>
        </w:rPr>
      </w:pPr>
    </w:p>
    <w:p w14:paraId="3B60AEA5" w14:textId="77777777" w:rsidR="00AE29AB" w:rsidRDefault="00AE29AB" w:rsidP="001D639D"/>
    <w:p w14:paraId="0718B21B" w14:textId="77777777" w:rsidR="00AE29AB" w:rsidRDefault="00AE29AB" w:rsidP="001D639D"/>
    <w:p w14:paraId="59757832" w14:textId="77777777" w:rsidR="00AE29AB" w:rsidRDefault="00AE29AB" w:rsidP="001D639D"/>
    <w:p w14:paraId="0A90ED76" w14:textId="77777777" w:rsidR="00AE29AB" w:rsidRDefault="00AE29AB" w:rsidP="001D639D"/>
    <w:p w14:paraId="74F26C6E" w14:textId="77777777" w:rsidR="00AE29AB" w:rsidRDefault="00AE29AB" w:rsidP="001D639D"/>
    <w:p w14:paraId="1336AA61" w14:textId="77777777" w:rsidR="00AE29AB" w:rsidRDefault="00AE29AB" w:rsidP="001D639D"/>
    <w:p w14:paraId="33330CCD" w14:textId="77777777" w:rsidR="00AE29AB" w:rsidRDefault="00AE29AB" w:rsidP="001D639D"/>
    <w:p w14:paraId="487EEBD7" w14:textId="77777777" w:rsidR="00AE29AB" w:rsidRDefault="00AE29AB" w:rsidP="001D639D"/>
    <w:p w14:paraId="249BDE10" w14:textId="77777777" w:rsidR="00E10F10" w:rsidRDefault="00E10F10" w:rsidP="001D639D">
      <w:pPr>
        <w:pStyle w:val="Heading1"/>
        <w:spacing w:after="245" w:line="259" w:lineRule="auto"/>
        <w:ind w:left="0" w:firstLine="0"/>
        <w:rPr>
          <w:color w:val="365F91"/>
          <w:sz w:val="28"/>
        </w:rPr>
      </w:pPr>
      <w:bookmarkStart w:id="33" w:name="_Toc40259537"/>
    </w:p>
    <w:p w14:paraId="6EB308C1" w14:textId="77777777" w:rsidR="00E10F10" w:rsidRPr="00E10F10" w:rsidRDefault="00E10F10" w:rsidP="00E10F10"/>
    <w:p w14:paraId="4D8EF075" w14:textId="77777777" w:rsidR="00C34CAD" w:rsidRDefault="00C34CAD" w:rsidP="001D639D">
      <w:pPr>
        <w:pStyle w:val="Heading1"/>
        <w:spacing w:after="245" w:line="259" w:lineRule="auto"/>
        <w:ind w:left="0" w:firstLine="0"/>
        <w:rPr>
          <w:color w:val="365F91"/>
          <w:sz w:val="28"/>
        </w:rPr>
      </w:pPr>
    </w:p>
    <w:p w14:paraId="7FAB9F27" w14:textId="77777777" w:rsidR="00C34CAD" w:rsidRDefault="00C34CAD" w:rsidP="001D639D">
      <w:pPr>
        <w:pStyle w:val="Heading1"/>
        <w:spacing w:after="245" w:line="259" w:lineRule="auto"/>
        <w:ind w:left="0" w:firstLine="0"/>
        <w:rPr>
          <w:color w:val="365F91"/>
          <w:sz w:val="28"/>
        </w:rPr>
      </w:pPr>
    </w:p>
    <w:p w14:paraId="76059586" w14:textId="77777777" w:rsidR="00C34CAD" w:rsidRDefault="00C34CAD" w:rsidP="001D639D">
      <w:pPr>
        <w:pStyle w:val="Heading1"/>
        <w:spacing w:after="245" w:line="259" w:lineRule="auto"/>
        <w:ind w:left="0" w:firstLine="0"/>
        <w:rPr>
          <w:color w:val="365F91"/>
          <w:sz w:val="28"/>
        </w:rPr>
      </w:pPr>
    </w:p>
    <w:p w14:paraId="4F462758" w14:textId="77777777" w:rsidR="00C34CAD" w:rsidRDefault="00C34CAD" w:rsidP="001D639D">
      <w:pPr>
        <w:pStyle w:val="Heading1"/>
        <w:spacing w:after="245" w:line="259" w:lineRule="auto"/>
        <w:ind w:left="0" w:firstLine="0"/>
        <w:rPr>
          <w:color w:val="365F91"/>
          <w:sz w:val="28"/>
        </w:rPr>
      </w:pPr>
    </w:p>
    <w:p w14:paraId="76015666" w14:textId="77777777" w:rsidR="00C34CAD" w:rsidRDefault="00C34CAD" w:rsidP="00C34CAD"/>
    <w:p w14:paraId="2C5C7B92" w14:textId="77777777" w:rsidR="00C34CAD" w:rsidRPr="00C34CAD" w:rsidRDefault="00C34CAD" w:rsidP="00C34CAD"/>
    <w:p w14:paraId="71A5EEB6" w14:textId="77777777" w:rsidR="00A505B5" w:rsidRDefault="00A505B5" w:rsidP="001D639D">
      <w:pPr>
        <w:pStyle w:val="Heading1"/>
        <w:spacing w:after="245" w:line="259" w:lineRule="auto"/>
        <w:ind w:left="0" w:firstLine="0"/>
        <w:rPr>
          <w:color w:val="365F91"/>
          <w:sz w:val="28"/>
        </w:rPr>
      </w:pPr>
    </w:p>
    <w:p w14:paraId="3DB28EDA" w14:textId="77777777" w:rsidR="00A505B5" w:rsidRPr="00A505B5" w:rsidRDefault="00A505B5" w:rsidP="00A505B5"/>
    <w:p w14:paraId="45922381" w14:textId="3922CA3A" w:rsidR="008D77E8" w:rsidRDefault="008D77E8" w:rsidP="001D639D">
      <w:pPr>
        <w:pStyle w:val="Heading1"/>
        <w:spacing w:after="245" w:line="259" w:lineRule="auto"/>
        <w:ind w:left="0" w:firstLine="0"/>
        <w:rPr>
          <w:color w:val="365F91"/>
          <w:sz w:val="28"/>
        </w:rPr>
      </w:pPr>
      <w:r>
        <w:rPr>
          <w:color w:val="365F91"/>
          <w:sz w:val="28"/>
        </w:rPr>
        <w:lastRenderedPageBreak/>
        <w:t>Appendix B: Abbreviated Public Notice</w:t>
      </w:r>
      <w:bookmarkEnd w:id="33"/>
      <w:r>
        <w:rPr>
          <w:color w:val="365F91"/>
          <w:sz w:val="28"/>
        </w:rPr>
        <w:t xml:space="preserve"> </w:t>
      </w:r>
    </w:p>
    <w:p w14:paraId="5A1A7C17" w14:textId="77777777" w:rsidR="00AE29AB" w:rsidRDefault="00116C37" w:rsidP="00116C37">
      <w:pPr>
        <w:contextualSpacing/>
        <w:jc w:val="center"/>
        <w:rPr>
          <w:rFonts w:cs="Times New Roman"/>
          <w:b/>
        </w:rPr>
      </w:pPr>
      <w:r>
        <w:rPr>
          <w:rFonts w:cs="Times New Roman"/>
          <w:b/>
        </w:rPr>
        <w:t xml:space="preserve">OFFICE OF THE SECRETARY OF FAMILY </w:t>
      </w:r>
      <w:r w:rsidRPr="005F22A7">
        <w:rPr>
          <w:rFonts w:cs="Times New Roman"/>
          <w:b/>
        </w:rPr>
        <w:t>AND SOCIAL SERVICES</w:t>
      </w:r>
      <w:r>
        <w:rPr>
          <w:rFonts w:cs="Times New Roman"/>
          <w:b/>
        </w:rPr>
        <w:t xml:space="preserve"> </w:t>
      </w:r>
    </w:p>
    <w:p w14:paraId="2F232B4E" w14:textId="451764A2" w:rsidR="00116C37" w:rsidRPr="001D6438" w:rsidRDefault="00116C37" w:rsidP="00116C37">
      <w:pPr>
        <w:contextualSpacing/>
        <w:jc w:val="center"/>
        <w:rPr>
          <w:rFonts w:cs="Times New Roman"/>
          <w:b/>
        </w:rPr>
      </w:pPr>
      <w:r>
        <w:rPr>
          <w:rFonts w:cs="Times New Roman"/>
          <w:b/>
        </w:rPr>
        <w:t>ADMINISTRATION</w:t>
      </w:r>
    </w:p>
    <w:p w14:paraId="7341249A" w14:textId="77777777" w:rsidR="00116C37" w:rsidRPr="00452DB5" w:rsidRDefault="00116C37" w:rsidP="00116C37">
      <w:pPr>
        <w:contextualSpacing/>
        <w:jc w:val="center"/>
        <w:rPr>
          <w:rFonts w:cs="Times New Roman"/>
          <w:b/>
          <w:caps/>
        </w:rPr>
      </w:pPr>
      <w:r w:rsidRPr="00452DB5">
        <w:rPr>
          <w:rFonts w:cs="Times New Roman"/>
          <w:b/>
          <w:caps/>
        </w:rPr>
        <w:t>Notice of Public Hearing</w:t>
      </w:r>
    </w:p>
    <w:p w14:paraId="25261CE9" w14:textId="77777777" w:rsidR="00116C37" w:rsidRDefault="00116C37" w:rsidP="00116C37">
      <w:pPr>
        <w:autoSpaceDE w:val="0"/>
        <w:autoSpaceDN w:val="0"/>
        <w:adjustRightInd w:val="0"/>
        <w:spacing w:after="0" w:line="240" w:lineRule="auto"/>
        <w:rPr>
          <w:rFonts w:cs="Times New Roman"/>
        </w:rPr>
      </w:pPr>
    </w:p>
    <w:p w14:paraId="379FB147" w14:textId="5C9C8EE4" w:rsidR="009B2930" w:rsidRPr="00EE2942" w:rsidRDefault="00116C37" w:rsidP="001D639D">
      <w:pPr>
        <w:spacing w:after="0"/>
        <w:contextualSpacing/>
        <w:rPr>
          <w:rFonts w:cs="Times New Roman"/>
        </w:rPr>
      </w:pPr>
      <w:r w:rsidRPr="00F33A8A">
        <w:rPr>
          <w:rFonts w:cs="Times New Roman"/>
        </w:rPr>
        <w:t xml:space="preserve">In accordance with 42 CFR §431.408(a)(2)(ii), the Indiana Family and Social Services Administration </w:t>
      </w:r>
      <w:r w:rsidRPr="00982BE5">
        <w:rPr>
          <w:rFonts w:cs="Times New Roman"/>
        </w:rPr>
        <w:t xml:space="preserve">(FSSA) will be holding public hearings on a proposed extension of the End Stage Renal Disease (ESRD) Section 1115 Medicaid demonstration that will be submitted to the Centers for Medicare and Medicaid Services (CMS).  The ESRD demonstration has been a feature of Indiana’s Medicaid program since 2014.  The current approval to operate the ESRD demonstration expires December 31, 2020. Through this submission, FSSA is seeking a five-year extension of the ESRD demonstration with two primary changes.  </w:t>
      </w:r>
    </w:p>
    <w:p w14:paraId="6F7DF4A8" w14:textId="77777777" w:rsidR="009B2930" w:rsidRDefault="009B2930" w:rsidP="001D639D">
      <w:pPr>
        <w:pStyle w:val="ListParagraph"/>
        <w:spacing w:after="160" w:line="259" w:lineRule="auto"/>
        <w:ind w:left="1080" w:firstLine="0"/>
        <w:jc w:val="left"/>
        <w:rPr>
          <w:rFonts w:cs="Times New Roman"/>
        </w:rPr>
      </w:pPr>
    </w:p>
    <w:p w14:paraId="18FF1D47" w14:textId="64424761" w:rsidR="009B2930" w:rsidRPr="00EE2942" w:rsidRDefault="00116C37" w:rsidP="001D639D">
      <w:pPr>
        <w:pStyle w:val="ListParagraph"/>
        <w:numPr>
          <w:ilvl w:val="0"/>
          <w:numId w:val="34"/>
        </w:numPr>
        <w:spacing w:after="160" w:line="259" w:lineRule="auto"/>
        <w:jc w:val="left"/>
        <w:rPr>
          <w:rFonts w:cs="Times New Roman"/>
        </w:rPr>
      </w:pPr>
      <w:r w:rsidRPr="00EE2942">
        <w:rPr>
          <w:rFonts w:cs="Times New Roman"/>
        </w:rPr>
        <w:t>In an effort to help promote access to program, the State seeks to increase asset limits from $1,500 to $2,250 for individuals, and increasing asset limits from $2,000 to $3,000 for couples.</w:t>
      </w:r>
    </w:p>
    <w:p w14:paraId="3E2B1FD2" w14:textId="0427B10B" w:rsidR="00116C37" w:rsidRPr="00982BE5" w:rsidRDefault="00116C37" w:rsidP="001D639D">
      <w:pPr>
        <w:pStyle w:val="ListParagraph"/>
        <w:numPr>
          <w:ilvl w:val="0"/>
          <w:numId w:val="34"/>
        </w:numPr>
        <w:spacing w:after="160" w:line="259" w:lineRule="auto"/>
        <w:jc w:val="left"/>
      </w:pPr>
      <w:r w:rsidRPr="00EE2942">
        <w:rPr>
          <w:rFonts w:cs="Times New Roman"/>
        </w:rPr>
        <w:t>The program also seeks a modification around communication to beneficiaries. Beginning in January 2021, as required by the 21st Century Cures Act of 2016, all ESRD beneficiaries will have the option to enroll in Medicare Advantage (MA).  MA is positioned to provide ESRD beneficiaries with better coverage compared to Traditional FFS Medicare due to its maximum out-of-pocket limit for consumers, supplemental benefits, and ability to coordinate care. Due to the change in MA coveri</w:t>
      </w:r>
      <w:r w:rsidRPr="002D7AE8">
        <w:rPr>
          <w:rFonts w:cs="Times New Roman"/>
        </w:rPr>
        <w:t>ng individuals, the State will notify members of this new enrollment opportunity and will coordinate with the State Health Insurance Assistance Program (SHIP) to ensure members who wish to enroll in MA have the needed assistance.  Enrollment in MA will not impact an individual’s eligibility for the ESRD 1115 waiver.</w:t>
      </w:r>
    </w:p>
    <w:p w14:paraId="17707E94" w14:textId="77777777" w:rsidR="00116C37" w:rsidRDefault="00116C37" w:rsidP="00116C37">
      <w:r w:rsidRPr="00982BE5">
        <w:t>This notice serves to open the 30-day public comment period</w:t>
      </w:r>
      <w:r>
        <w:t xml:space="preserve">, which closes </w:t>
      </w:r>
      <w:r w:rsidRPr="00E32BAD">
        <w:rPr>
          <w:b/>
          <w:bCs/>
        </w:rPr>
        <w:t>06/</w:t>
      </w:r>
      <w:r>
        <w:rPr>
          <w:b/>
          <w:bCs/>
        </w:rPr>
        <w:t>12</w:t>
      </w:r>
      <w:r w:rsidRPr="00E32BAD">
        <w:rPr>
          <w:b/>
          <w:bCs/>
        </w:rPr>
        <w:t>/</w:t>
      </w:r>
      <w:r>
        <w:rPr>
          <w:b/>
          <w:bCs/>
        </w:rPr>
        <w:t>2020</w:t>
      </w:r>
      <w:r>
        <w:t>.  In addition to the 30-day public comment period in which the public will be able to provide written comments, FSSA will host public hearings in which the public may provide oral comments and post written comments.  Due to the current state of emergency present at a state and federal level and CDC COVID-19 social distancing recommendations, these meetings will be virtual only.  Visit https://www.in.gov/fssa/5537.htm for the most up to date information regarding the public hearings.</w:t>
      </w:r>
    </w:p>
    <w:p w14:paraId="51B4AB96" w14:textId="77777777" w:rsidR="00116C37" w:rsidRDefault="00116C37" w:rsidP="00116C37">
      <w:r>
        <w:t>Hearings will be held as follows:</w:t>
      </w:r>
    </w:p>
    <w:p w14:paraId="1B277FB2" w14:textId="77777777" w:rsidR="00116C37" w:rsidRDefault="00116C37" w:rsidP="00116C37">
      <w:pPr>
        <w:pStyle w:val="ListParagraph"/>
        <w:spacing w:after="0" w:line="240" w:lineRule="auto"/>
      </w:pPr>
    </w:p>
    <w:p w14:paraId="555AA036" w14:textId="77777777" w:rsidR="00116C37" w:rsidRDefault="00116C37" w:rsidP="00116C37">
      <w:pPr>
        <w:pStyle w:val="ListParagraph"/>
        <w:numPr>
          <w:ilvl w:val="0"/>
          <w:numId w:val="23"/>
        </w:numPr>
        <w:spacing w:after="0" w:line="240" w:lineRule="auto"/>
        <w:jc w:val="left"/>
      </w:pPr>
      <w:r w:rsidRPr="00E04E86">
        <w:t>VIRTUAL MEETING</w:t>
      </w:r>
    </w:p>
    <w:p w14:paraId="10C11B93" w14:textId="77777777" w:rsidR="00116C37" w:rsidRPr="00E04E86" w:rsidRDefault="00116C37" w:rsidP="00116C37">
      <w:pPr>
        <w:spacing w:after="0" w:line="240" w:lineRule="auto"/>
        <w:ind w:firstLine="720"/>
      </w:pPr>
      <w:r w:rsidRPr="00E32BAD">
        <w:rPr>
          <w:b/>
          <w:bCs/>
        </w:rPr>
        <w:t>Tuesday, 05/1</w:t>
      </w:r>
      <w:r>
        <w:rPr>
          <w:b/>
          <w:bCs/>
        </w:rPr>
        <w:t>9</w:t>
      </w:r>
      <w:r w:rsidRPr="00E32BAD">
        <w:rPr>
          <w:b/>
          <w:bCs/>
        </w:rPr>
        <w:t>/</w:t>
      </w:r>
      <w:r>
        <w:rPr>
          <w:b/>
          <w:bCs/>
        </w:rPr>
        <w:t>2020, 1pm-2:30pm</w:t>
      </w:r>
    </w:p>
    <w:p w14:paraId="5B4B95B7" w14:textId="77777777" w:rsidR="00116C37" w:rsidRPr="00D43770" w:rsidRDefault="00116C37" w:rsidP="00116C37">
      <w:pPr>
        <w:spacing w:after="0" w:line="240" w:lineRule="auto"/>
        <w:ind w:left="720"/>
        <w:rPr>
          <w:u w:val="single"/>
        </w:rPr>
      </w:pPr>
      <w:r w:rsidRPr="00D43770">
        <w:rPr>
          <w:u w:val="single"/>
        </w:rPr>
        <w:t xml:space="preserve">To provide oral comments, </w:t>
      </w:r>
      <w:r>
        <w:rPr>
          <w:u w:val="single"/>
        </w:rPr>
        <w:t>access</w:t>
      </w:r>
      <w:r w:rsidRPr="00D43770">
        <w:rPr>
          <w:u w:val="single"/>
        </w:rPr>
        <w:t xml:space="preserve"> WebEx </w:t>
      </w:r>
      <w:r>
        <w:rPr>
          <w:u w:val="single"/>
        </w:rPr>
        <w:t>m</w:t>
      </w:r>
      <w:r w:rsidRPr="00D43770">
        <w:rPr>
          <w:u w:val="single"/>
        </w:rPr>
        <w:t xml:space="preserve">eeting: </w:t>
      </w:r>
    </w:p>
    <w:p w14:paraId="27B75CCB" w14:textId="5A1A9D27" w:rsidR="00AE29AB" w:rsidRDefault="00116C37" w:rsidP="00116C37">
      <w:pPr>
        <w:spacing w:after="0" w:line="240" w:lineRule="auto"/>
        <w:ind w:left="720" w:right="-450"/>
        <w:rPr>
          <w:bCs/>
        </w:rPr>
      </w:pPr>
      <w:r w:rsidRPr="00D43770">
        <w:rPr>
          <w:i/>
        </w:rPr>
        <w:t>Online</w:t>
      </w:r>
      <w:r>
        <w:t xml:space="preserve">: </w:t>
      </w:r>
      <w:hyperlink r:id="rId22" w:history="1">
        <w:r w:rsidR="00AE29AB" w:rsidRPr="00250A57">
          <w:rPr>
            <w:rStyle w:val="Hyperlink"/>
            <w:bCs/>
          </w:rPr>
          <w:t>https://indiana.webex.com/indiana/j.php?MTID=m4a78c124ee8e153c0ff5722f104c4dc7</w:t>
        </w:r>
      </w:hyperlink>
    </w:p>
    <w:p w14:paraId="7DBB79F9" w14:textId="7D22A275" w:rsidR="00116C37" w:rsidRDefault="00AE29AB" w:rsidP="00116C37">
      <w:pPr>
        <w:spacing w:after="0" w:line="240" w:lineRule="auto"/>
        <w:ind w:left="720" w:right="-450"/>
        <w:rPr>
          <w:bCs/>
        </w:rPr>
      </w:pPr>
      <w:r>
        <w:rPr>
          <w:bCs/>
        </w:rPr>
        <w:tab/>
      </w:r>
      <w:r>
        <w:rPr>
          <w:bCs/>
        </w:rPr>
        <w:tab/>
      </w:r>
      <w:r w:rsidR="00116C37">
        <w:rPr>
          <w:bCs/>
        </w:rPr>
        <w:t xml:space="preserve">Password: </w:t>
      </w:r>
      <w:r w:rsidR="00116C37" w:rsidRPr="0080723B">
        <w:rPr>
          <w:bCs/>
        </w:rPr>
        <w:t>432H8GpusJi</w:t>
      </w:r>
      <w:r w:rsidR="00116C37">
        <w:rPr>
          <w:bCs/>
        </w:rPr>
        <w:tab/>
      </w:r>
    </w:p>
    <w:p w14:paraId="1C434643" w14:textId="34BF5658" w:rsidR="00116C37" w:rsidRDefault="00116C37" w:rsidP="00AE29AB">
      <w:pPr>
        <w:spacing w:after="0" w:line="240" w:lineRule="auto"/>
        <w:ind w:left="1440"/>
        <w:rPr>
          <w:bCs/>
        </w:rPr>
      </w:pPr>
      <w:r>
        <w:rPr>
          <w:bCs/>
        </w:rPr>
        <w:t xml:space="preserve">*One can also access online by going to </w:t>
      </w:r>
      <w:hyperlink r:id="rId23" w:history="1">
        <w:r w:rsidR="00AE29AB" w:rsidRPr="00250A57">
          <w:rPr>
            <w:rStyle w:val="Hyperlink"/>
            <w:bCs/>
          </w:rPr>
          <w:t>https://www.in.gov/fssa/5537.htm</w:t>
        </w:r>
      </w:hyperlink>
      <w:r w:rsidR="00AE29AB">
        <w:rPr>
          <w:bCs/>
        </w:rPr>
        <w:t xml:space="preserve"> </w:t>
      </w:r>
      <w:r>
        <w:rPr>
          <w:bCs/>
        </w:rPr>
        <w:t xml:space="preserve">and clicking link to WebEx meeting and entering the password* </w:t>
      </w:r>
    </w:p>
    <w:p w14:paraId="5BEB351B" w14:textId="77777777" w:rsidR="00116C37" w:rsidRPr="00D43770" w:rsidRDefault="00116C37" w:rsidP="00116C37">
      <w:pPr>
        <w:spacing w:after="0" w:line="240" w:lineRule="auto"/>
        <w:ind w:left="720" w:right="-450"/>
        <w:rPr>
          <w:bCs/>
        </w:rPr>
      </w:pPr>
      <w:r w:rsidRPr="00D43770">
        <w:rPr>
          <w:bCs/>
          <w:i/>
        </w:rPr>
        <w:t>Call-in</w:t>
      </w:r>
      <w:r>
        <w:rPr>
          <w:bCs/>
        </w:rPr>
        <w:t xml:space="preserve">: </w:t>
      </w:r>
      <w:r w:rsidRPr="00D43770">
        <w:rPr>
          <w:bCs/>
        </w:rPr>
        <w:t>Dial</w:t>
      </w:r>
      <w:r>
        <w:rPr>
          <w:bCs/>
        </w:rPr>
        <w:t xml:space="preserve">: </w:t>
      </w:r>
      <w:r w:rsidRPr="007F7453">
        <w:rPr>
          <w:bCs/>
        </w:rPr>
        <w:t>1-240-454-0887</w:t>
      </w:r>
      <w:r>
        <w:rPr>
          <w:bCs/>
        </w:rPr>
        <w:t xml:space="preserve">; </w:t>
      </w:r>
      <w:r w:rsidRPr="00D43770">
        <w:rPr>
          <w:bCs/>
        </w:rPr>
        <w:t>Meeting ID (access code):</w:t>
      </w:r>
      <w:r>
        <w:rPr>
          <w:bCs/>
        </w:rPr>
        <w:t xml:space="preserve"> </w:t>
      </w:r>
      <w:r w:rsidRPr="00D43770">
        <w:rPr>
          <w:bCs/>
        </w:rPr>
        <w:t>475 620 522</w:t>
      </w:r>
    </w:p>
    <w:p w14:paraId="6961328F" w14:textId="77777777" w:rsidR="00116C37" w:rsidRDefault="00116C37" w:rsidP="00116C37">
      <w:pPr>
        <w:spacing w:after="0" w:line="240" w:lineRule="auto"/>
        <w:rPr>
          <w:b/>
          <w:bCs/>
        </w:rPr>
      </w:pPr>
    </w:p>
    <w:p w14:paraId="72FD54E5" w14:textId="77777777" w:rsidR="00C34CAD" w:rsidRDefault="00C34CAD" w:rsidP="00116C37">
      <w:pPr>
        <w:spacing w:after="0" w:line="240" w:lineRule="auto"/>
        <w:rPr>
          <w:b/>
          <w:bCs/>
        </w:rPr>
      </w:pPr>
    </w:p>
    <w:p w14:paraId="50DD8B6A" w14:textId="77777777" w:rsidR="00116C37" w:rsidRDefault="00116C37" w:rsidP="00116C37">
      <w:pPr>
        <w:spacing w:after="0" w:line="240" w:lineRule="auto"/>
        <w:ind w:firstLine="720"/>
        <w:rPr>
          <w:bCs/>
        </w:rPr>
      </w:pPr>
      <w:r w:rsidRPr="00AC5493">
        <w:rPr>
          <w:bCs/>
          <w:u w:val="single"/>
        </w:rPr>
        <w:lastRenderedPageBreak/>
        <w:t>To post written comments online, login to Adobe Connect</w:t>
      </w:r>
      <w:r>
        <w:rPr>
          <w:bCs/>
        </w:rPr>
        <w:t xml:space="preserve">: </w:t>
      </w:r>
    </w:p>
    <w:p w14:paraId="5E3A37D3" w14:textId="42FF6233" w:rsidR="00116C37" w:rsidRDefault="00AE29AB" w:rsidP="00116C37">
      <w:pPr>
        <w:spacing w:after="0" w:line="240" w:lineRule="auto"/>
        <w:ind w:firstLine="720"/>
        <w:rPr>
          <w:bCs/>
        </w:rPr>
      </w:pPr>
      <w:hyperlink r:id="rId24" w:history="1">
        <w:r w:rsidRPr="00250A57">
          <w:rPr>
            <w:rStyle w:val="Hyperlink"/>
            <w:bCs/>
          </w:rPr>
          <w:t>https://Indiana.AdobeConnect.com/ompp</w:t>
        </w:r>
      </w:hyperlink>
    </w:p>
    <w:p w14:paraId="7A7C7D14" w14:textId="77777777" w:rsidR="00116C37" w:rsidRDefault="00116C37" w:rsidP="001D639D">
      <w:pPr>
        <w:spacing w:after="0" w:line="240" w:lineRule="auto"/>
        <w:ind w:left="0" w:firstLine="0"/>
        <w:rPr>
          <w:b/>
          <w:bCs/>
        </w:rPr>
      </w:pPr>
    </w:p>
    <w:p w14:paraId="14D769E5" w14:textId="77777777" w:rsidR="00116C37" w:rsidRDefault="00116C37" w:rsidP="00116C37">
      <w:pPr>
        <w:pStyle w:val="ListParagraph"/>
        <w:numPr>
          <w:ilvl w:val="0"/>
          <w:numId w:val="23"/>
        </w:numPr>
        <w:spacing w:after="0" w:line="240" w:lineRule="auto"/>
        <w:jc w:val="left"/>
      </w:pPr>
      <w:r w:rsidRPr="00E04E86">
        <w:t>VIRTUAL MEETING</w:t>
      </w:r>
    </w:p>
    <w:p w14:paraId="270632F6" w14:textId="77777777" w:rsidR="00116C37" w:rsidRPr="00E04E86" w:rsidRDefault="00116C37" w:rsidP="00116C37">
      <w:pPr>
        <w:spacing w:after="0" w:line="240" w:lineRule="auto"/>
        <w:ind w:firstLine="720"/>
      </w:pPr>
      <w:r>
        <w:rPr>
          <w:b/>
          <w:bCs/>
        </w:rPr>
        <w:t>Wednesday</w:t>
      </w:r>
      <w:r w:rsidRPr="00E32BAD">
        <w:rPr>
          <w:b/>
          <w:bCs/>
        </w:rPr>
        <w:t>, 05/</w:t>
      </w:r>
      <w:r>
        <w:rPr>
          <w:b/>
          <w:bCs/>
        </w:rPr>
        <w:t>20</w:t>
      </w:r>
      <w:r w:rsidRPr="00E32BAD">
        <w:rPr>
          <w:b/>
          <w:bCs/>
        </w:rPr>
        <w:t>/</w:t>
      </w:r>
      <w:r>
        <w:rPr>
          <w:b/>
          <w:bCs/>
        </w:rPr>
        <w:t>2020, 1pm-2:30pm</w:t>
      </w:r>
    </w:p>
    <w:p w14:paraId="33DDC6C2" w14:textId="77777777" w:rsidR="00116C37" w:rsidRDefault="00116C37" w:rsidP="00116C37">
      <w:pPr>
        <w:spacing w:after="0" w:line="240" w:lineRule="auto"/>
        <w:ind w:left="720"/>
      </w:pPr>
      <w:r w:rsidRPr="00D43770">
        <w:rPr>
          <w:u w:val="single"/>
        </w:rPr>
        <w:t xml:space="preserve">To provide oral comments, </w:t>
      </w:r>
      <w:r>
        <w:rPr>
          <w:u w:val="single"/>
        </w:rPr>
        <w:t>access WebEx meeting</w:t>
      </w:r>
      <w:r>
        <w:t xml:space="preserve">: </w:t>
      </w:r>
    </w:p>
    <w:p w14:paraId="5E1ECD94" w14:textId="24DF5718" w:rsidR="00116C37" w:rsidRDefault="00116C37" w:rsidP="00116C37">
      <w:pPr>
        <w:spacing w:after="0" w:line="240" w:lineRule="auto"/>
        <w:ind w:left="720" w:right="-720"/>
        <w:rPr>
          <w:bCs/>
        </w:rPr>
      </w:pPr>
      <w:r w:rsidRPr="00D43770">
        <w:rPr>
          <w:i/>
        </w:rPr>
        <w:t>Online</w:t>
      </w:r>
      <w:r>
        <w:t xml:space="preserve">: </w:t>
      </w:r>
      <w:hyperlink r:id="rId25" w:history="1">
        <w:r w:rsidR="00AE29AB" w:rsidRPr="00250A57">
          <w:rPr>
            <w:rStyle w:val="Hyperlink"/>
            <w:bCs/>
          </w:rPr>
          <w:t>https://indiana.webex.com/indiana/j.php?MTID=m71c4353e84ab6a552c014330cd0795a6</w:t>
        </w:r>
      </w:hyperlink>
    </w:p>
    <w:p w14:paraId="5EC17D15" w14:textId="2B6040EA" w:rsidR="00116C37" w:rsidRDefault="00AE29AB" w:rsidP="00116C37">
      <w:pPr>
        <w:spacing w:after="0" w:line="240" w:lineRule="auto"/>
        <w:ind w:left="720"/>
        <w:rPr>
          <w:bCs/>
        </w:rPr>
      </w:pPr>
      <w:r>
        <w:rPr>
          <w:bCs/>
        </w:rPr>
        <w:tab/>
      </w:r>
      <w:r w:rsidR="00116C37">
        <w:rPr>
          <w:bCs/>
        </w:rPr>
        <w:tab/>
      </w:r>
      <w:r w:rsidR="00116C37" w:rsidRPr="00D43770">
        <w:rPr>
          <w:bCs/>
        </w:rPr>
        <w:t>Password:</w:t>
      </w:r>
      <w:r w:rsidR="00116C37">
        <w:rPr>
          <w:bCs/>
        </w:rPr>
        <w:t xml:space="preserve"> </w:t>
      </w:r>
      <w:r w:rsidR="00116C37" w:rsidRPr="007569CC">
        <w:rPr>
          <w:bCs/>
        </w:rPr>
        <w:t>YGh9G5p7W52</w:t>
      </w:r>
    </w:p>
    <w:p w14:paraId="3FE8720F" w14:textId="26A72DC5" w:rsidR="00116C37" w:rsidRDefault="00116C37" w:rsidP="00AE29AB">
      <w:pPr>
        <w:spacing w:after="0" w:line="240" w:lineRule="auto"/>
        <w:ind w:left="1440"/>
        <w:rPr>
          <w:bCs/>
        </w:rPr>
      </w:pPr>
      <w:r>
        <w:rPr>
          <w:bCs/>
        </w:rPr>
        <w:t xml:space="preserve">*One can also access online by going to </w:t>
      </w:r>
      <w:hyperlink r:id="rId26" w:history="1">
        <w:r w:rsidR="00AE29AB" w:rsidRPr="00250A57">
          <w:rPr>
            <w:rStyle w:val="Hyperlink"/>
            <w:bCs/>
          </w:rPr>
          <w:t>https://www.in.gov/fssa/5537.htm</w:t>
        </w:r>
      </w:hyperlink>
      <w:r w:rsidR="00AE29AB">
        <w:rPr>
          <w:bCs/>
        </w:rPr>
        <w:t xml:space="preserve"> </w:t>
      </w:r>
      <w:r>
        <w:rPr>
          <w:bCs/>
        </w:rPr>
        <w:t xml:space="preserve">and clicking link to WebEx meeting and entering the password* </w:t>
      </w:r>
    </w:p>
    <w:p w14:paraId="536C84B6" w14:textId="77777777" w:rsidR="00116C37" w:rsidRDefault="00116C37" w:rsidP="00116C37">
      <w:pPr>
        <w:spacing w:after="0" w:line="240" w:lineRule="auto"/>
        <w:ind w:left="720" w:right="-270"/>
        <w:rPr>
          <w:bCs/>
        </w:rPr>
      </w:pPr>
      <w:r w:rsidRPr="00D43770">
        <w:rPr>
          <w:bCs/>
          <w:i/>
        </w:rPr>
        <w:t>Call-in</w:t>
      </w:r>
      <w:r>
        <w:rPr>
          <w:bCs/>
        </w:rPr>
        <w:t xml:space="preserve">:  </w:t>
      </w:r>
      <w:r w:rsidRPr="00D43770">
        <w:rPr>
          <w:bCs/>
        </w:rPr>
        <w:t>Dial</w:t>
      </w:r>
      <w:r>
        <w:rPr>
          <w:bCs/>
        </w:rPr>
        <w:t xml:space="preserve">: </w:t>
      </w:r>
      <w:r w:rsidRPr="007F7453">
        <w:rPr>
          <w:bCs/>
        </w:rPr>
        <w:t>1-240-454-0887</w:t>
      </w:r>
      <w:r>
        <w:rPr>
          <w:bCs/>
        </w:rPr>
        <w:t xml:space="preserve">; </w:t>
      </w:r>
      <w:r w:rsidRPr="00D43770">
        <w:rPr>
          <w:bCs/>
        </w:rPr>
        <w:t>Meeting ID (access code):</w:t>
      </w:r>
      <w:r>
        <w:rPr>
          <w:bCs/>
        </w:rPr>
        <w:t xml:space="preserve"> </w:t>
      </w:r>
      <w:r w:rsidRPr="0036624A">
        <w:rPr>
          <w:bCs/>
        </w:rPr>
        <w:t>470 049 012</w:t>
      </w:r>
    </w:p>
    <w:p w14:paraId="052C1D1A" w14:textId="77777777" w:rsidR="00116C37" w:rsidRPr="004C75C2" w:rsidRDefault="00116C37" w:rsidP="00116C37">
      <w:pPr>
        <w:spacing w:after="0" w:line="240" w:lineRule="auto"/>
        <w:ind w:left="720"/>
        <w:rPr>
          <w:bCs/>
        </w:rPr>
      </w:pPr>
      <w:r>
        <w:rPr>
          <w:bCs/>
        </w:rPr>
        <w:t xml:space="preserve">             </w:t>
      </w:r>
    </w:p>
    <w:p w14:paraId="08651FE7" w14:textId="77777777" w:rsidR="00116C37" w:rsidRDefault="00116C37" w:rsidP="00116C37">
      <w:pPr>
        <w:spacing w:after="0" w:line="240" w:lineRule="auto"/>
        <w:ind w:left="720"/>
        <w:rPr>
          <w:bCs/>
        </w:rPr>
      </w:pPr>
      <w:r w:rsidRPr="00D43770">
        <w:rPr>
          <w:bCs/>
          <w:u w:val="single"/>
        </w:rPr>
        <w:t>To post written comments online, login to Adobe Connect</w:t>
      </w:r>
      <w:r>
        <w:rPr>
          <w:bCs/>
        </w:rPr>
        <w:t xml:space="preserve">: </w:t>
      </w:r>
    </w:p>
    <w:p w14:paraId="2A858FE6" w14:textId="0D746977" w:rsidR="00116C37" w:rsidRDefault="00AE29AB" w:rsidP="00116C37">
      <w:pPr>
        <w:spacing w:after="0" w:line="240" w:lineRule="auto"/>
        <w:ind w:left="720"/>
        <w:rPr>
          <w:bCs/>
        </w:rPr>
      </w:pPr>
      <w:hyperlink r:id="rId27" w:history="1">
        <w:r w:rsidRPr="00250A57">
          <w:rPr>
            <w:rStyle w:val="Hyperlink"/>
            <w:bCs/>
          </w:rPr>
          <w:t>https://Indiana.AdobeConnect.com/ompp</w:t>
        </w:r>
      </w:hyperlink>
    </w:p>
    <w:p w14:paraId="60EE401F" w14:textId="77777777" w:rsidR="00116C37" w:rsidRPr="007569CC" w:rsidRDefault="00116C37" w:rsidP="00116C37">
      <w:pPr>
        <w:pStyle w:val="ListParagraph"/>
        <w:spacing w:after="0" w:line="240" w:lineRule="auto"/>
        <w:rPr>
          <w:b/>
          <w:bCs/>
        </w:rPr>
      </w:pPr>
    </w:p>
    <w:p w14:paraId="2F1ECFBC" w14:textId="37FC7FD4" w:rsidR="00116C37" w:rsidRPr="004A3A10" w:rsidRDefault="00116C37" w:rsidP="00AE29AB">
      <w:pPr>
        <w:spacing w:after="0" w:line="240" w:lineRule="auto"/>
      </w:pPr>
      <w:r w:rsidRPr="004A3A10">
        <w:t xml:space="preserve">The full Public Notice and </w:t>
      </w:r>
      <w:r>
        <w:t>ESRD demonstration</w:t>
      </w:r>
      <w:r w:rsidRPr="004A3A10">
        <w:t xml:space="preserve"> documents are available to be viewed online at </w:t>
      </w:r>
      <w:hyperlink r:id="rId28" w:history="1">
        <w:r w:rsidR="00AE29AB" w:rsidRPr="00250A57">
          <w:rPr>
            <w:rStyle w:val="Hyperlink"/>
          </w:rPr>
          <w:t>https://www.in.gov/fssa/5537.htm</w:t>
        </w:r>
      </w:hyperlink>
      <w:r>
        <w:t>.</w:t>
      </w:r>
    </w:p>
    <w:p w14:paraId="4C143D68" w14:textId="77777777" w:rsidR="00116C37" w:rsidRDefault="00116C37" w:rsidP="00116C37">
      <w:pPr>
        <w:spacing w:after="0" w:line="240" w:lineRule="auto"/>
      </w:pPr>
    </w:p>
    <w:p w14:paraId="3F849E04" w14:textId="77777777" w:rsidR="00116C37" w:rsidRPr="009505CC" w:rsidRDefault="00116C37" w:rsidP="00116C37">
      <w:pPr>
        <w:spacing w:after="0" w:line="240" w:lineRule="auto"/>
        <w:rPr>
          <w:rFonts w:cs="Times New Roman"/>
          <w:szCs w:val="24"/>
        </w:rPr>
      </w:pPr>
      <w:r>
        <w:t>Written comments may be sent to the FSSA via mail at 402 West Washington Street, Room W374, Indianapolis, Indiana 46204, Attention: Andrew Bean or</w:t>
      </w:r>
      <w:r>
        <w:rPr>
          <w:rFonts w:cs="Times New Roman"/>
          <w:szCs w:val="24"/>
        </w:rPr>
        <w:t xml:space="preserve"> </w:t>
      </w:r>
      <w:r w:rsidRPr="004A3A10">
        <w:t xml:space="preserve">via electronic mail </w:t>
      </w:r>
      <w:r>
        <w:t>to</w:t>
      </w:r>
      <w:r w:rsidRPr="004A3A10">
        <w:t xml:space="preserve"> </w:t>
      </w:r>
      <w:r>
        <w:t>Andrew.Bean</w:t>
      </w:r>
      <w:r w:rsidRPr="004A3A10">
        <w:t xml:space="preserve">@fssa.in.gov through </w:t>
      </w:r>
      <w:r w:rsidRPr="00E32BAD">
        <w:rPr>
          <w:b/>
          <w:bCs/>
        </w:rPr>
        <w:t>06/</w:t>
      </w:r>
      <w:r>
        <w:rPr>
          <w:b/>
          <w:bCs/>
        </w:rPr>
        <w:t>12</w:t>
      </w:r>
      <w:r w:rsidRPr="00E32BAD">
        <w:rPr>
          <w:b/>
          <w:bCs/>
        </w:rPr>
        <w:t>/</w:t>
      </w:r>
      <w:r>
        <w:rPr>
          <w:b/>
          <w:bCs/>
        </w:rPr>
        <w:t xml:space="preserve">2020 </w:t>
      </w:r>
      <w:r w:rsidRPr="004A3A10">
        <w:t xml:space="preserve">at 5:00 pm.  </w:t>
      </w:r>
    </w:p>
    <w:p w14:paraId="5DAED41F" w14:textId="77777777" w:rsidR="00116C37" w:rsidRDefault="00116C37" w:rsidP="00116C37">
      <w:pPr>
        <w:spacing w:after="0" w:line="240" w:lineRule="auto"/>
      </w:pPr>
    </w:p>
    <w:p w14:paraId="170C8CD8" w14:textId="77777777" w:rsidR="00116C37" w:rsidRPr="00083CC7" w:rsidRDefault="00116C37" w:rsidP="00116C37">
      <w:pPr>
        <w:spacing w:after="0" w:line="240" w:lineRule="auto"/>
      </w:pPr>
      <w:r>
        <w:t>Prior to finalizing the proposed ESRD demonstration, FSSA will consider all written and verbal public comments received.  The comments will be summarized and addressed in the final version to be submitted to CMS.</w:t>
      </w:r>
    </w:p>
    <w:p w14:paraId="06B4E51F" w14:textId="77777777" w:rsidR="00116C37" w:rsidRPr="00F037ED" w:rsidRDefault="00116C37" w:rsidP="001D639D">
      <w:pPr>
        <w:ind w:left="0" w:firstLine="0"/>
      </w:pPr>
    </w:p>
    <w:p w14:paraId="69C15E9F" w14:textId="3EB0443A" w:rsidR="008D77E8" w:rsidRDefault="008D77E8" w:rsidP="008D77E8">
      <w:pPr>
        <w:pStyle w:val="Heading1"/>
        <w:spacing w:after="245" w:line="259" w:lineRule="auto"/>
        <w:ind w:left="-5"/>
        <w:rPr>
          <w:color w:val="365F91"/>
          <w:sz w:val="28"/>
        </w:rPr>
      </w:pPr>
      <w:bookmarkStart w:id="34" w:name="_Toc40259538"/>
      <w:r>
        <w:rPr>
          <w:color w:val="365F91"/>
          <w:sz w:val="28"/>
        </w:rPr>
        <w:lastRenderedPageBreak/>
        <w:t>Appendix C: Tribal Consultation Public Notice</w:t>
      </w:r>
      <w:bookmarkEnd w:id="34"/>
      <w:r>
        <w:rPr>
          <w:color w:val="365F91"/>
          <w:sz w:val="28"/>
        </w:rPr>
        <w:t xml:space="preserve"> </w:t>
      </w:r>
    </w:p>
    <w:p w14:paraId="0B36425C" w14:textId="18A60830" w:rsidR="008D77E8" w:rsidRPr="008D77E8" w:rsidRDefault="008D77E8" w:rsidP="008D77E8">
      <w:r>
        <w:rPr>
          <w:noProof/>
        </w:rPr>
        <w:drawing>
          <wp:inline distT="0" distB="0" distL="0" distR="0" wp14:anchorId="2726C97A" wp14:editId="5C14248F">
            <wp:extent cx="5512777" cy="7064684"/>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512777" cy="7064684"/>
                    </a:xfrm>
                    <a:prstGeom prst="rect">
                      <a:avLst/>
                    </a:prstGeom>
                    <a:noFill/>
                    <a:ln>
                      <a:noFill/>
                    </a:ln>
                  </pic:spPr>
                </pic:pic>
              </a:graphicData>
            </a:graphic>
          </wp:inline>
        </w:drawing>
      </w:r>
    </w:p>
    <w:p w14:paraId="47A27672" w14:textId="300FBC57" w:rsidR="002D7AE8" w:rsidRDefault="002D7AE8" w:rsidP="00722639">
      <w:pPr>
        <w:ind w:left="0" w:firstLine="0"/>
      </w:pPr>
    </w:p>
    <w:p w14:paraId="66B91A2A" w14:textId="662D9ED0" w:rsidR="002D7AE8" w:rsidRDefault="002D7AE8" w:rsidP="00722639">
      <w:pPr>
        <w:ind w:left="0" w:firstLine="0"/>
      </w:pPr>
    </w:p>
    <w:p w14:paraId="7F327E6E" w14:textId="4F293F3E" w:rsidR="002D7AE8" w:rsidRDefault="002D7AE8" w:rsidP="00722639">
      <w:pPr>
        <w:ind w:left="0" w:firstLine="0"/>
      </w:pPr>
    </w:p>
    <w:p w14:paraId="7C6BFBF8" w14:textId="55AE601D" w:rsidR="002D7AE8" w:rsidRDefault="002D7AE8" w:rsidP="00722639">
      <w:pPr>
        <w:ind w:left="0" w:firstLine="0"/>
      </w:pPr>
    </w:p>
    <w:p w14:paraId="6AA9B051" w14:textId="7246AA6F" w:rsidR="002D7AE8" w:rsidRDefault="002D7AE8" w:rsidP="00B744FD">
      <w:pPr>
        <w:pStyle w:val="Heading1"/>
        <w:spacing w:after="0" w:line="240" w:lineRule="auto"/>
        <w:ind w:left="0" w:hanging="14"/>
        <w:contextualSpacing/>
        <w:rPr>
          <w:color w:val="365F91"/>
          <w:sz w:val="28"/>
        </w:rPr>
      </w:pPr>
      <w:bookmarkStart w:id="35" w:name="_Toc40259539"/>
      <w:r w:rsidRPr="001D639D">
        <w:rPr>
          <w:color w:val="365F91"/>
          <w:sz w:val="28"/>
        </w:rPr>
        <w:lastRenderedPageBreak/>
        <w:t>Attachment D: Draft Evaluation Design</w:t>
      </w:r>
      <w:bookmarkEnd w:id="35"/>
    </w:p>
    <w:p w14:paraId="5A6CF70F" w14:textId="63A5EB50" w:rsidR="00B744FD" w:rsidRDefault="00B744FD" w:rsidP="00B744FD">
      <w:r>
        <w:rPr>
          <w:noProof/>
        </w:rPr>
        <mc:AlternateContent>
          <mc:Choice Requires="wps">
            <w:drawing>
              <wp:anchor distT="0" distB="0" distL="114300" distR="114300" simplePos="0" relativeHeight="251659264" behindDoc="0" locked="0" layoutInCell="1" allowOverlap="1" wp14:anchorId="59FAD1E0" wp14:editId="543DD875">
                <wp:simplePos x="0" y="0"/>
                <wp:positionH relativeFrom="column">
                  <wp:posOffset>4197350</wp:posOffset>
                </wp:positionH>
                <wp:positionV relativeFrom="paragraph">
                  <wp:posOffset>-914400</wp:posOffset>
                </wp:positionV>
                <wp:extent cx="2241550" cy="10375900"/>
                <wp:effectExtent l="6350" t="9525" r="9525" b="63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0" cy="10375900"/>
                        </a:xfrm>
                        <a:prstGeom prst="rect">
                          <a:avLst/>
                        </a:prstGeom>
                        <a:solidFill>
                          <a:srgbClr val="A8D08D">
                            <a:alpha val="56862"/>
                          </a:srgbClr>
                        </a:solidFill>
                        <a:ln w="12700" algn="ctr">
                          <a:solidFill>
                            <a:srgbClr val="A9D18E"/>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423E11C" id="Rectangle 6" o:spid="_x0000_s1026" style="position:absolute;margin-left:330.5pt;margin-top:-1in;width:176.5pt;height:8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" fillcolor="#a8d08d" strokecolor="#a9d18e" strokeweight="1pt">
                <v:fill opacity="37265f"/>
              </v:rect>
            </w:pict>
          </mc:Fallback>
        </mc:AlternateContent>
      </w:r>
    </w:p>
    <w:p w14:paraId="214EE620" w14:textId="010047C0" w:rsidR="00B744FD" w:rsidRPr="001219FB" w:rsidRDefault="00B744FD" w:rsidP="00B744FD">
      <w:pPr>
        <w:pStyle w:val="NoSpacing"/>
        <w:jc w:val="center"/>
        <w:rPr>
          <w:rFonts w:asciiTheme="minorHAnsi" w:hAnsiTheme="minorHAnsi" w:cstheme="minorHAnsi"/>
          <w:b/>
        </w:rPr>
      </w:pPr>
      <w:r>
        <w:rPr>
          <w:noProof/>
        </w:rPr>
        <mc:AlternateContent>
          <mc:Choice Requires="wps">
            <w:drawing>
              <wp:anchor distT="45720" distB="45720" distL="114300" distR="114300" simplePos="0" relativeHeight="251662336" behindDoc="0" locked="0" layoutInCell="1" allowOverlap="1" wp14:anchorId="06525200" wp14:editId="769659CF">
                <wp:simplePos x="0" y="0"/>
                <wp:positionH relativeFrom="page">
                  <wp:posOffset>107950</wp:posOffset>
                </wp:positionH>
                <wp:positionV relativeFrom="paragraph">
                  <wp:posOffset>2154555</wp:posOffset>
                </wp:positionV>
                <wp:extent cx="4984750" cy="604139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0" cy="6041390"/>
                        </a:xfrm>
                        <a:prstGeom prst="rect">
                          <a:avLst/>
                        </a:prstGeom>
                        <a:noFill/>
                        <a:ln w="9525">
                          <a:noFill/>
                          <a:miter lim="800000"/>
                          <a:headEnd/>
                          <a:tailEnd/>
                        </a:ln>
                      </wps:spPr>
                      <wps:txbx>
                        <w:txbxContent>
                          <w:p w14:paraId="024AEBD9" w14:textId="77777777" w:rsidR="00B744FD" w:rsidRDefault="00B744FD" w:rsidP="00B744FD">
                            <w:pPr>
                              <w:pStyle w:val="Title"/>
                              <w:jc w:val="center"/>
                              <w:rPr>
                                <w:rFonts w:ascii="Times New Roman" w:hAnsi="Times New Roman"/>
                                <w:sz w:val="36"/>
                                <w:szCs w:val="36"/>
                              </w:rPr>
                            </w:pPr>
                          </w:p>
                          <w:p w14:paraId="0F46A0FA" w14:textId="77777777" w:rsidR="00B744FD" w:rsidRPr="00D378B9" w:rsidRDefault="00B744FD" w:rsidP="00B744FD">
                            <w:pPr>
                              <w:pStyle w:val="Title"/>
                              <w:jc w:val="center"/>
                              <w:rPr>
                                <w:rFonts w:ascii="Times New Roman" w:hAnsi="Times New Roman"/>
                                <w:sz w:val="36"/>
                                <w:szCs w:val="36"/>
                              </w:rPr>
                            </w:pPr>
                            <w:r w:rsidRPr="00D378B9">
                              <w:rPr>
                                <w:rFonts w:ascii="Times New Roman" w:hAnsi="Times New Roman"/>
                                <w:sz w:val="36"/>
                                <w:szCs w:val="36"/>
                              </w:rPr>
                              <w:t>Evaluation Design</w:t>
                            </w:r>
                            <w:r>
                              <w:rPr>
                                <w:rFonts w:ascii="Times New Roman" w:hAnsi="Times New Roman"/>
                                <w:sz w:val="36"/>
                                <w:szCs w:val="36"/>
                              </w:rPr>
                              <w:t>:</w:t>
                            </w:r>
                          </w:p>
                          <w:p w14:paraId="239A52B1" w14:textId="77777777" w:rsidR="00B744FD" w:rsidRDefault="00B744FD" w:rsidP="00B744FD">
                            <w:pPr>
                              <w:spacing w:after="0" w:line="240" w:lineRule="auto"/>
                              <w:contextualSpacing/>
                              <w:jc w:val="center"/>
                              <w:rPr>
                                <w:rFonts w:ascii="Times New Roman" w:hAnsi="Times New Roman"/>
                                <w:sz w:val="36"/>
                                <w:szCs w:val="36"/>
                              </w:rPr>
                            </w:pPr>
                            <w:r w:rsidRPr="00D378B9">
                              <w:rPr>
                                <w:rFonts w:ascii="Times New Roman" w:hAnsi="Times New Roman"/>
                                <w:sz w:val="36"/>
                                <w:szCs w:val="36"/>
                              </w:rPr>
                              <w:t>End</w:t>
                            </w:r>
                            <w:r>
                              <w:rPr>
                                <w:rFonts w:ascii="Times New Roman" w:hAnsi="Times New Roman"/>
                                <w:sz w:val="36"/>
                                <w:szCs w:val="36"/>
                              </w:rPr>
                              <w:t>-</w:t>
                            </w:r>
                            <w:r w:rsidRPr="00D378B9">
                              <w:rPr>
                                <w:rFonts w:ascii="Times New Roman" w:hAnsi="Times New Roman"/>
                                <w:sz w:val="36"/>
                                <w:szCs w:val="36"/>
                              </w:rPr>
                              <w:t xml:space="preserve">Stage Renal Disease (ESRD) </w:t>
                            </w:r>
                            <w:r>
                              <w:rPr>
                                <w:rFonts w:ascii="Times New Roman" w:hAnsi="Times New Roman"/>
                                <w:sz w:val="36"/>
                                <w:szCs w:val="36"/>
                              </w:rPr>
                              <w:t>§1115</w:t>
                            </w:r>
                            <w:r w:rsidRPr="00D378B9">
                              <w:rPr>
                                <w:rFonts w:ascii="Times New Roman" w:hAnsi="Times New Roman"/>
                                <w:sz w:val="36"/>
                                <w:szCs w:val="36"/>
                              </w:rPr>
                              <w:t xml:space="preserve"> Demonstration Waiver</w:t>
                            </w:r>
                          </w:p>
                          <w:p w14:paraId="72631FCC" w14:textId="77777777" w:rsidR="00B744FD" w:rsidRDefault="00B744FD" w:rsidP="00B744FD">
                            <w:pPr>
                              <w:spacing w:after="0" w:line="240" w:lineRule="auto"/>
                              <w:contextualSpacing/>
                              <w:jc w:val="center"/>
                              <w:rPr>
                                <w:rFonts w:ascii="Times New Roman" w:hAnsi="Times New Roman"/>
                                <w:sz w:val="24"/>
                                <w:szCs w:val="24"/>
                              </w:rPr>
                            </w:pPr>
                          </w:p>
                          <w:p w14:paraId="5FC7CA98" w14:textId="77777777" w:rsidR="00B744FD" w:rsidRDefault="00B744FD" w:rsidP="00B744FD">
                            <w:pPr>
                              <w:spacing w:after="0" w:line="240" w:lineRule="auto"/>
                              <w:contextualSpacing/>
                              <w:jc w:val="center"/>
                              <w:rPr>
                                <w:rFonts w:ascii="Times New Roman" w:hAnsi="Times New Roman"/>
                                <w:sz w:val="24"/>
                                <w:szCs w:val="24"/>
                              </w:rPr>
                            </w:pPr>
                          </w:p>
                          <w:p w14:paraId="0EB4223B" w14:textId="77777777" w:rsidR="00B744FD" w:rsidRPr="001219FB" w:rsidRDefault="00B744FD" w:rsidP="00B744FD">
                            <w:pPr>
                              <w:spacing w:after="0" w:line="240" w:lineRule="auto"/>
                              <w:contextualSpacing/>
                              <w:jc w:val="center"/>
                              <w:rPr>
                                <w:rFonts w:ascii="Times New Roman" w:hAnsi="Times New Roman"/>
                                <w:sz w:val="24"/>
                                <w:szCs w:val="24"/>
                              </w:rPr>
                            </w:pPr>
                            <w:r>
                              <w:rPr>
                                <w:rFonts w:ascii="Times New Roman" w:hAnsi="Times New Roman"/>
                                <w:sz w:val="24"/>
                                <w:szCs w:val="24"/>
                              </w:rPr>
                              <w:t>[Project Number 11-W-00237/5]</w:t>
                            </w:r>
                          </w:p>
                          <w:p w14:paraId="2F91F253" w14:textId="77777777" w:rsidR="00B744FD" w:rsidRDefault="00B744FD" w:rsidP="00B744FD">
                            <w:pPr>
                              <w:rPr>
                                <w:sz w:val="24"/>
                              </w:rPr>
                            </w:pPr>
                          </w:p>
                          <w:p w14:paraId="0D0A192C" w14:textId="77777777" w:rsidR="00B744FD" w:rsidRDefault="00B744FD" w:rsidP="00B744FD">
                            <w:pPr>
                              <w:rPr>
                                <w:sz w:val="24"/>
                              </w:rPr>
                            </w:pPr>
                          </w:p>
                          <w:p w14:paraId="5774573E" w14:textId="77777777" w:rsidR="00B744FD" w:rsidRDefault="00B744FD" w:rsidP="00B744FD">
                            <w:pPr>
                              <w:rPr>
                                <w:sz w:val="24"/>
                              </w:rPr>
                            </w:pPr>
                          </w:p>
                          <w:p w14:paraId="2543D073" w14:textId="77777777" w:rsidR="00B744FD" w:rsidRDefault="00B744FD" w:rsidP="00B744FD">
                            <w:pPr>
                              <w:rPr>
                                <w:sz w:val="24"/>
                              </w:rPr>
                            </w:pPr>
                          </w:p>
                          <w:p w14:paraId="35A086F9" w14:textId="77777777" w:rsidR="00B744FD" w:rsidRDefault="00B744FD" w:rsidP="00B744FD">
                            <w:pPr>
                              <w:rPr>
                                <w:sz w:val="24"/>
                              </w:rPr>
                            </w:pPr>
                          </w:p>
                          <w:p w14:paraId="6A66C4F6" w14:textId="77777777" w:rsidR="00B744FD" w:rsidRDefault="00B744FD" w:rsidP="00B744FD">
                            <w:pPr>
                              <w:rPr>
                                <w:sz w:val="24"/>
                              </w:rPr>
                            </w:pPr>
                          </w:p>
                          <w:p w14:paraId="039F0EA7" w14:textId="77777777" w:rsidR="00B744FD" w:rsidRDefault="00B744FD" w:rsidP="00B744FD">
                            <w:pPr>
                              <w:rPr>
                                <w:sz w:val="24"/>
                              </w:rPr>
                            </w:pPr>
                          </w:p>
                          <w:p w14:paraId="0801C4C2" w14:textId="77777777" w:rsidR="00B744FD" w:rsidRDefault="00B744FD" w:rsidP="00B744FD">
                            <w:pPr>
                              <w:rPr>
                                <w:sz w:val="24"/>
                              </w:rPr>
                            </w:pPr>
                          </w:p>
                          <w:p w14:paraId="46E600C5" w14:textId="77777777" w:rsidR="00B744FD" w:rsidRDefault="00B744FD" w:rsidP="00B744FD">
                            <w:pPr>
                              <w:rPr>
                                <w:sz w:val="24"/>
                              </w:rPr>
                            </w:pPr>
                          </w:p>
                          <w:p w14:paraId="00B86B8C" w14:textId="77777777" w:rsidR="00B744FD" w:rsidRDefault="00B744FD" w:rsidP="00B744FD">
                            <w:pPr>
                              <w:rPr>
                                <w:sz w:val="24"/>
                              </w:rPr>
                            </w:pPr>
                          </w:p>
                          <w:p w14:paraId="3E029581" w14:textId="77777777" w:rsidR="00B744FD" w:rsidRDefault="00B744FD" w:rsidP="00B744FD">
                            <w:pPr>
                              <w:rPr>
                                <w:sz w:val="24"/>
                              </w:rPr>
                            </w:pPr>
                          </w:p>
                          <w:p w14:paraId="042E3FD3" w14:textId="77777777" w:rsidR="00B744FD" w:rsidRDefault="00B744FD" w:rsidP="00B744FD">
                            <w:pPr>
                              <w:rPr>
                                <w:sz w:val="24"/>
                              </w:rPr>
                            </w:pPr>
                          </w:p>
                          <w:p w14:paraId="7D5324F1" w14:textId="77777777" w:rsidR="00B744FD" w:rsidRPr="001219FB" w:rsidRDefault="00B744FD" w:rsidP="00B744FD">
                            <w:pPr>
                              <w:spacing w:after="0" w:line="240" w:lineRule="auto"/>
                              <w:jc w:val="center"/>
                              <w:rPr>
                                <w:szCs w:val="32"/>
                              </w:rPr>
                            </w:pPr>
                            <w:r w:rsidRPr="001219FB">
                              <w:rPr>
                                <w:szCs w:val="32"/>
                              </w:rPr>
                              <w:t>Indiana Family and Social Services Administration</w:t>
                            </w:r>
                          </w:p>
                          <w:p w14:paraId="79BD2097" w14:textId="77777777" w:rsidR="00B744FD" w:rsidRPr="001219FB" w:rsidRDefault="00B744FD" w:rsidP="00B744FD">
                            <w:pPr>
                              <w:spacing w:after="0" w:line="240" w:lineRule="auto"/>
                              <w:jc w:val="center"/>
                              <w:rPr>
                                <w:sz w:val="28"/>
                                <w:szCs w:val="32"/>
                              </w:rPr>
                            </w:pPr>
                            <w:r w:rsidRPr="001219FB">
                              <w:rPr>
                                <w:szCs w:val="32"/>
                              </w:rPr>
                              <w:t>Office of Medicaid Policy and Planning</w:t>
                            </w:r>
                          </w:p>
                          <w:p w14:paraId="6798488C" w14:textId="77777777" w:rsidR="00B744FD" w:rsidRDefault="00B744FD" w:rsidP="00B744FD">
                            <w:pPr>
                              <w:spacing w:after="0" w:line="240" w:lineRule="auto"/>
                              <w:jc w:val="center"/>
                              <w:rPr>
                                <w:sz w:val="32"/>
                                <w:szCs w:val="32"/>
                              </w:rPr>
                            </w:pPr>
                            <w:r w:rsidRPr="001219FB">
                              <w:rPr>
                                <w:sz w:val="20"/>
                                <w:szCs w:val="32"/>
                              </w:rPr>
                              <w:t>May 13, 2020</w:t>
                            </w:r>
                            <w:r>
                              <w:rPr>
                                <w:sz w:val="32"/>
                                <w:szCs w:val="32"/>
                              </w:rPr>
                              <w:t xml:space="preserve"> </w:t>
                            </w:r>
                          </w:p>
                          <w:p w14:paraId="58242143" w14:textId="77777777" w:rsidR="00B744FD" w:rsidRPr="00616B76" w:rsidRDefault="00B744FD" w:rsidP="00B744FD">
                            <w:pPr>
                              <w:spacing w:after="0" w:line="240" w:lineRule="auto"/>
                              <w:jc w:val="center"/>
                              <w:rPr>
                                <w:sz w:val="32"/>
                                <w:szCs w:val="3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525200" id="_x0000_t202" coordsize="21600,21600" o:spt="202" path="m,l,21600r21600,l21600,xe">
                <v:stroke joinstyle="miter"/>
                <v:path gradientshapeok="t" o:connecttype="rect"/>
              </v:shapetype>
              <v:shape id="Text Box 217" o:spid="_x0000_s1026" type="#_x0000_t202" style="position:absolute;left:0;text-align:left;margin-left:8.5pt;margin-top:169.65pt;width:392.5pt;height:475.7pt;z-index:25166233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" filled="f" stroked="f">
                <v:textbox style="mso-fit-shape-to-text:t">
                  <w:txbxContent>
                    <w:p w14:paraId="024AEBD9" w14:textId="77777777" w:rsidR="00B744FD" w:rsidRDefault="00B744FD" w:rsidP="00B744FD">
                      <w:pPr>
                        <w:pStyle w:val="Title"/>
                        <w:jc w:val="center"/>
                        <w:rPr>
                          <w:rFonts w:ascii="Times New Roman" w:hAnsi="Times New Roman"/>
                          <w:sz w:val="36"/>
                          <w:szCs w:val="36"/>
                        </w:rPr>
                      </w:pPr>
                    </w:p>
                    <w:p w14:paraId="0F46A0FA" w14:textId="77777777" w:rsidR="00B744FD" w:rsidRPr="00D378B9" w:rsidRDefault="00B744FD" w:rsidP="00B744FD">
                      <w:pPr>
                        <w:pStyle w:val="Title"/>
                        <w:jc w:val="center"/>
                        <w:rPr>
                          <w:rFonts w:ascii="Times New Roman" w:hAnsi="Times New Roman"/>
                          <w:sz w:val="36"/>
                          <w:szCs w:val="36"/>
                        </w:rPr>
                      </w:pPr>
                      <w:r w:rsidRPr="00D378B9">
                        <w:rPr>
                          <w:rFonts w:ascii="Times New Roman" w:hAnsi="Times New Roman"/>
                          <w:sz w:val="36"/>
                          <w:szCs w:val="36"/>
                        </w:rPr>
                        <w:t>Evaluation Design</w:t>
                      </w:r>
                      <w:r>
                        <w:rPr>
                          <w:rFonts w:ascii="Times New Roman" w:hAnsi="Times New Roman"/>
                          <w:sz w:val="36"/>
                          <w:szCs w:val="36"/>
                        </w:rPr>
                        <w:t>:</w:t>
                      </w:r>
                    </w:p>
                    <w:p w14:paraId="239A52B1" w14:textId="77777777" w:rsidR="00B744FD" w:rsidRDefault="00B744FD" w:rsidP="00B744FD">
                      <w:pPr>
                        <w:spacing w:after="0" w:line="240" w:lineRule="auto"/>
                        <w:contextualSpacing/>
                        <w:jc w:val="center"/>
                        <w:rPr>
                          <w:rFonts w:ascii="Times New Roman" w:hAnsi="Times New Roman"/>
                          <w:sz w:val="36"/>
                          <w:szCs w:val="36"/>
                        </w:rPr>
                      </w:pPr>
                      <w:r w:rsidRPr="00D378B9">
                        <w:rPr>
                          <w:rFonts w:ascii="Times New Roman" w:hAnsi="Times New Roman"/>
                          <w:sz w:val="36"/>
                          <w:szCs w:val="36"/>
                        </w:rPr>
                        <w:t>End</w:t>
                      </w:r>
                      <w:r>
                        <w:rPr>
                          <w:rFonts w:ascii="Times New Roman" w:hAnsi="Times New Roman"/>
                          <w:sz w:val="36"/>
                          <w:szCs w:val="36"/>
                        </w:rPr>
                        <w:t>-</w:t>
                      </w:r>
                      <w:r w:rsidRPr="00D378B9">
                        <w:rPr>
                          <w:rFonts w:ascii="Times New Roman" w:hAnsi="Times New Roman"/>
                          <w:sz w:val="36"/>
                          <w:szCs w:val="36"/>
                        </w:rPr>
                        <w:t xml:space="preserve">Stage Renal Disease (ESRD) </w:t>
                      </w:r>
                      <w:r>
                        <w:rPr>
                          <w:rFonts w:ascii="Times New Roman" w:hAnsi="Times New Roman"/>
                          <w:sz w:val="36"/>
                          <w:szCs w:val="36"/>
                        </w:rPr>
                        <w:t>§1115</w:t>
                      </w:r>
                      <w:r w:rsidRPr="00D378B9">
                        <w:rPr>
                          <w:rFonts w:ascii="Times New Roman" w:hAnsi="Times New Roman"/>
                          <w:sz w:val="36"/>
                          <w:szCs w:val="36"/>
                        </w:rPr>
                        <w:t xml:space="preserve"> Demonstration Waiver</w:t>
                      </w:r>
                    </w:p>
                    <w:p w14:paraId="72631FCC" w14:textId="77777777" w:rsidR="00B744FD" w:rsidRDefault="00B744FD" w:rsidP="00B744FD">
                      <w:pPr>
                        <w:spacing w:after="0" w:line="240" w:lineRule="auto"/>
                        <w:contextualSpacing/>
                        <w:jc w:val="center"/>
                        <w:rPr>
                          <w:rFonts w:ascii="Times New Roman" w:hAnsi="Times New Roman"/>
                          <w:sz w:val="24"/>
                          <w:szCs w:val="24"/>
                        </w:rPr>
                      </w:pPr>
                    </w:p>
                    <w:p w14:paraId="5FC7CA98" w14:textId="77777777" w:rsidR="00B744FD" w:rsidRDefault="00B744FD" w:rsidP="00B744FD">
                      <w:pPr>
                        <w:spacing w:after="0" w:line="240" w:lineRule="auto"/>
                        <w:contextualSpacing/>
                        <w:jc w:val="center"/>
                        <w:rPr>
                          <w:rFonts w:ascii="Times New Roman" w:hAnsi="Times New Roman"/>
                          <w:sz w:val="24"/>
                          <w:szCs w:val="24"/>
                        </w:rPr>
                      </w:pPr>
                    </w:p>
                    <w:p w14:paraId="0EB4223B" w14:textId="77777777" w:rsidR="00B744FD" w:rsidRPr="001219FB" w:rsidRDefault="00B744FD" w:rsidP="00B744FD">
                      <w:pPr>
                        <w:spacing w:after="0" w:line="240" w:lineRule="auto"/>
                        <w:contextualSpacing/>
                        <w:jc w:val="center"/>
                        <w:rPr>
                          <w:rFonts w:ascii="Times New Roman" w:hAnsi="Times New Roman"/>
                          <w:sz w:val="24"/>
                          <w:szCs w:val="24"/>
                        </w:rPr>
                      </w:pPr>
                      <w:r>
                        <w:rPr>
                          <w:rFonts w:ascii="Times New Roman" w:hAnsi="Times New Roman"/>
                          <w:sz w:val="24"/>
                          <w:szCs w:val="24"/>
                        </w:rPr>
                        <w:t>[Project Number 11-W-00237/5]</w:t>
                      </w:r>
                    </w:p>
                    <w:p w14:paraId="2F91F253" w14:textId="77777777" w:rsidR="00B744FD" w:rsidRDefault="00B744FD" w:rsidP="00B744FD">
                      <w:pPr>
                        <w:rPr>
                          <w:sz w:val="24"/>
                        </w:rPr>
                      </w:pPr>
                    </w:p>
                    <w:p w14:paraId="0D0A192C" w14:textId="77777777" w:rsidR="00B744FD" w:rsidRDefault="00B744FD" w:rsidP="00B744FD">
                      <w:pPr>
                        <w:rPr>
                          <w:sz w:val="24"/>
                        </w:rPr>
                      </w:pPr>
                    </w:p>
                    <w:p w14:paraId="5774573E" w14:textId="77777777" w:rsidR="00B744FD" w:rsidRDefault="00B744FD" w:rsidP="00B744FD">
                      <w:pPr>
                        <w:rPr>
                          <w:sz w:val="24"/>
                        </w:rPr>
                      </w:pPr>
                    </w:p>
                    <w:p w14:paraId="2543D073" w14:textId="77777777" w:rsidR="00B744FD" w:rsidRDefault="00B744FD" w:rsidP="00B744FD">
                      <w:pPr>
                        <w:rPr>
                          <w:sz w:val="24"/>
                        </w:rPr>
                      </w:pPr>
                    </w:p>
                    <w:p w14:paraId="35A086F9" w14:textId="77777777" w:rsidR="00B744FD" w:rsidRDefault="00B744FD" w:rsidP="00B744FD">
                      <w:pPr>
                        <w:rPr>
                          <w:sz w:val="24"/>
                        </w:rPr>
                      </w:pPr>
                    </w:p>
                    <w:p w14:paraId="6A66C4F6" w14:textId="77777777" w:rsidR="00B744FD" w:rsidRDefault="00B744FD" w:rsidP="00B744FD">
                      <w:pPr>
                        <w:rPr>
                          <w:sz w:val="24"/>
                        </w:rPr>
                      </w:pPr>
                    </w:p>
                    <w:p w14:paraId="039F0EA7" w14:textId="77777777" w:rsidR="00B744FD" w:rsidRDefault="00B744FD" w:rsidP="00B744FD">
                      <w:pPr>
                        <w:rPr>
                          <w:sz w:val="24"/>
                        </w:rPr>
                      </w:pPr>
                    </w:p>
                    <w:p w14:paraId="0801C4C2" w14:textId="77777777" w:rsidR="00B744FD" w:rsidRDefault="00B744FD" w:rsidP="00B744FD">
                      <w:pPr>
                        <w:rPr>
                          <w:sz w:val="24"/>
                        </w:rPr>
                      </w:pPr>
                    </w:p>
                    <w:p w14:paraId="46E600C5" w14:textId="77777777" w:rsidR="00B744FD" w:rsidRDefault="00B744FD" w:rsidP="00B744FD">
                      <w:pPr>
                        <w:rPr>
                          <w:sz w:val="24"/>
                        </w:rPr>
                      </w:pPr>
                    </w:p>
                    <w:p w14:paraId="00B86B8C" w14:textId="77777777" w:rsidR="00B744FD" w:rsidRDefault="00B744FD" w:rsidP="00B744FD">
                      <w:pPr>
                        <w:rPr>
                          <w:sz w:val="24"/>
                        </w:rPr>
                      </w:pPr>
                    </w:p>
                    <w:p w14:paraId="3E029581" w14:textId="77777777" w:rsidR="00B744FD" w:rsidRDefault="00B744FD" w:rsidP="00B744FD">
                      <w:pPr>
                        <w:rPr>
                          <w:sz w:val="24"/>
                        </w:rPr>
                      </w:pPr>
                    </w:p>
                    <w:p w14:paraId="042E3FD3" w14:textId="77777777" w:rsidR="00B744FD" w:rsidRDefault="00B744FD" w:rsidP="00B744FD">
                      <w:pPr>
                        <w:rPr>
                          <w:sz w:val="24"/>
                        </w:rPr>
                      </w:pPr>
                    </w:p>
                    <w:p w14:paraId="7D5324F1" w14:textId="77777777" w:rsidR="00B744FD" w:rsidRPr="001219FB" w:rsidRDefault="00B744FD" w:rsidP="00B744FD">
                      <w:pPr>
                        <w:spacing w:after="0" w:line="240" w:lineRule="auto"/>
                        <w:jc w:val="center"/>
                        <w:rPr>
                          <w:szCs w:val="32"/>
                        </w:rPr>
                      </w:pPr>
                      <w:r w:rsidRPr="001219FB">
                        <w:rPr>
                          <w:szCs w:val="32"/>
                        </w:rPr>
                        <w:t>Indiana Family and Social Services Administration</w:t>
                      </w:r>
                    </w:p>
                    <w:p w14:paraId="79BD2097" w14:textId="77777777" w:rsidR="00B744FD" w:rsidRPr="001219FB" w:rsidRDefault="00B744FD" w:rsidP="00B744FD">
                      <w:pPr>
                        <w:spacing w:after="0" w:line="240" w:lineRule="auto"/>
                        <w:jc w:val="center"/>
                        <w:rPr>
                          <w:sz w:val="28"/>
                          <w:szCs w:val="32"/>
                        </w:rPr>
                      </w:pPr>
                      <w:r w:rsidRPr="001219FB">
                        <w:rPr>
                          <w:szCs w:val="32"/>
                        </w:rPr>
                        <w:t>Office of Medicaid Policy and Planning</w:t>
                      </w:r>
                    </w:p>
                    <w:p w14:paraId="6798488C" w14:textId="77777777" w:rsidR="00B744FD" w:rsidRDefault="00B744FD" w:rsidP="00B744FD">
                      <w:pPr>
                        <w:spacing w:after="0" w:line="240" w:lineRule="auto"/>
                        <w:jc w:val="center"/>
                        <w:rPr>
                          <w:sz w:val="32"/>
                          <w:szCs w:val="32"/>
                        </w:rPr>
                      </w:pPr>
                      <w:r w:rsidRPr="001219FB">
                        <w:rPr>
                          <w:sz w:val="20"/>
                          <w:szCs w:val="32"/>
                        </w:rPr>
                        <w:t>May 13, 2020</w:t>
                      </w:r>
                      <w:r>
                        <w:rPr>
                          <w:sz w:val="32"/>
                          <w:szCs w:val="32"/>
                        </w:rPr>
                        <w:t xml:space="preserve"> </w:t>
                      </w:r>
                    </w:p>
                    <w:p w14:paraId="58242143" w14:textId="77777777" w:rsidR="00B744FD" w:rsidRPr="00616B76" w:rsidRDefault="00B744FD" w:rsidP="00B744FD">
                      <w:pPr>
                        <w:spacing w:after="0" w:line="240" w:lineRule="auto"/>
                        <w:jc w:val="center"/>
                        <w:rPr>
                          <w:sz w:val="32"/>
                          <w:szCs w:val="32"/>
                        </w:rPr>
                      </w:pPr>
                    </w:p>
                  </w:txbxContent>
                </v:textbox>
                <w10:wrap type="square" anchorx="page"/>
              </v:shape>
            </w:pict>
          </mc:Fallback>
        </mc:AlternateContent>
      </w:r>
      <w:r>
        <w:rPr>
          <w:noProof/>
        </w:rPr>
        <mc:AlternateContent>
          <mc:Choice Requires="wps">
            <w:drawing>
              <wp:anchor distT="0" distB="0" distL="114300" distR="114300" simplePos="0" relativeHeight="251660288" behindDoc="0" locked="0" layoutInCell="1" allowOverlap="1" wp14:anchorId="1F207264" wp14:editId="6857B968">
                <wp:simplePos x="0" y="0"/>
                <wp:positionH relativeFrom="margin">
                  <wp:posOffset>3879850</wp:posOffset>
                </wp:positionH>
                <wp:positionV relativeFrom="paragraph">
                  <wp:posOffset>5958840</wp:posOffset>
                </wp:positionV>
                <wp:extent cx="2673350" cy="20637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3350" cy="20637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5BBBF" id="Rectangle 4" o:spid="_x0000_s1026" style="position:absolute;margin-left:305.5pt;margin-top:469.2pt;width:210.5pt;height:1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" fillcolor="window" stroked="f" strokeweight="1pt">
                <v:path arrowok="t"/>
                <w10:wrap anchorx="margin"/>
              </v:rect>
            </w:pict>
          </mc:Fallback>
        </mc:AlternateContent>
      </w:r>
      <w:r>
        <w:rPr>
          <w:noProof/>
        </w:rPr>
        <w:drawing>
          <wp:anchor distT="0" distB="0" distL="114300" distR="114300" simplePos="0" relativeHeight="251661312" behindDoc="0" locked="0" layoutInCell="1" allowOverlap="1" wp14:anchorId="3AD11622" wp14:editId="5206532B">
            <wp:simplePos x="0" y="0"/>
            <wp:positionH relativeFrom="margin">
              <wp:posOffset>4330700</wp:posOffset>
            </wp:positionH>
            <wp:positionV relativeFrom="paragraph">
              <wp:posOffset>6019800</wp:posOffset>
            </wp:positionV>
            <wp:extent cx="1968500" cy="1968500"/>
            <wp:effectExtent l="0" t="0" r="0" b="0"/>
            <wp:wrapNone/>
            <wp:docPr id="2" name="Picture 2" descr="FSSA logo - green for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SA logo - green for letterhea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68500" cy="1968500"/>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r w:rsidRPr="001219FB">
        <w:rPr>
          <w:rFonts w:asciiTheme="minorHAnsi" w:hAnsiTheme="minorHAnsi" w:cstheme="minorHAnsi"/>
          <w:b/>
        </w:rPr>
        <w:lastRenderedPageBreak/>
        <w:t>DRAFT EVALUATION DESIGN:</w:t>
      </w:r>
    </w:p>
    <w:p w14:paraId="6ADF0DC6" w14:textId="77777777" w:rsidR="00B744FD" w:rsidRPr="001219FB" w:rsidRDefault="00B744FD" w:rsidP="00B744FD">
      <w:pPr>
        <w:pStyle w:val="NoSpacing"/>
        <w:jc w:val="center"/>
        <w:rPr>
          <w:rFonts w:asciiTheme="minorHAnsi" w:hAnsiTheme="minorHAnsi" w:cstheme="minorHAnsi"/>
          <w:b/>
        </w:rPr>
      </w:pPr>
      <w:r w:rsidRPr="001219FB">
        <w:rPr>
          <w:rFonts w:asciiTheme="minorHAnsi" w:hAnsiTheme="minorHAnsi" w:cstheme="minorHAnsi"/>
          <w:b/>
        </w:rPr>
        <w:t xml:space="preserve">END-STAGE RENAL DISEASE (ESRD) </w:t>
      </w:r>
    </w:p>
    <w:p w14:paraId="0A204EF5" w14:textId="77777777" w:rsidR="00B744FD" w:rsidRPr="001219FB" w:rsidRDefault="00B744FD" w:rsidP="00B744FD">
      <w:pPr>
        <w:pStyle w:val="NoSpacing"/>
        <w:jc w:val="center"/>
        <w:rPr>
          <w:rFonts w:asciiTheme="minorHAnsi" w:hAnsiTheme="minorHAnsi" w:cstheme="minorHAnsi"/>
          <w:b/>
        </w:rPr>
      </w:pPr>
      <w:r w:rsidRPr="001219FB">
        <w:rPr>
          <w:rFonts w:asciiTheme="minorHAnsi" w:hAnsiTheme="minorHAnsi" w:cstheme="minorHAnsi"/>
          <w:b/>
        </w:rPr>
        <w:t>§1115 DEMONSTRATION</w:t>
      </w:r>
      <w:r w:rsidRPr="001219FB">
        <w:rPr>
          <w:rFonts w:asciiTheme="minorHAnsi" w:hAnsiTheme="minorHAnsi" w:cstheme="minorHAnsi"/>
          <w:b/>
          <w:i/>
        </w:rPr>
        <w:t xml:space="preserve"> </w:t>
      </w:r>
      <w:r w:rsidRPr="001219FB">
        <w:rPr>
          <w:rFonts w:asciiTheme="minorHAnsi" w:hAnsiTheme="minorHAnsi" w:cstheme="minorHAnsi"/>
          <w:b/>
        </w:rPr>
        <w:t>WAIVER</w:t>
      </w:r>
    </w:p>
    <w:p w14:paraId="1481C162" w14:textId="77777777" w:rsidR="00B744FD" w:rsidRPr="001219FB" w:rsidRDefault="00B744FD" w:rsidP="00B744FD">
      <w:pPr>
        <w:rPr>
          <w:rFonts w:asciiTheme="minorHAnsi" w:hAnsiTheme="minorHAnsi" w:cstheme="minorHAnsi"/>
          <w:b/>
          <w:i/>
        </w:rPr>
      </w:pPr>
    </w:p>
    <w:p w14:paraId="50E47ECE" w14:textId="77777777" w:rsidR="00B744FD" w:rsidRPr="001219FB" w:rsidRDefault="00B744FD" w:rsidP="00B744FD">
      <w:pPr>
        <w:spacing w:after="0" w:line="240" w:lineRule="auto"/>
        <w:contextualSpacing/>
        <w:rPr>
          <w:rFonts w:asciiTheme="minorHAnsi" w:hAnsiTheme="minorHAnsi" w:cstheme="minorHAnsi"/>
          <w:b/>
        </w:rPr>
      </w:pPr>
      <w:r w:rsidRPr="001219FB">
        <w:rPr>
          <w:rFonts w:asciiTheme="minorHAnsi" w:hAnsiTheme="minorHAnsi" w:cstheme="minorHAnsi"/>
          <w:b/>
        </w:rPr>
        <w:t xml:space="preserve">Introduction:  </w:t>
      </w:r>
    </w:p>
    <w:p w14:paraId="68E17322" w14:textId="77777777" w:rsidR="00B744FD" w:rsidRPr="001219FB" w:rsidRDefault="00B744FD" w:rsidP="00B744FD">
      <w:pPr>
        <w:rPr>
          <w:rFonts w:asciiTheme="minorHAnsi" w:hAnsiTheme="minorHAnsi" w:cstheme="minorHAnsi"/>
        </w:rPr>
      </w:pPr>
      <w:r w:rsidRPr="001219FB">
        <w:rPr>
          <w:rFonts w:asciiTheme="minorHAnsi" w:hAnsiTheme="minorHAnsi" w:cstheme="minorHAnsi"/>
        </w:rPr>
        <w:t xml:space="preserve">The Indiana End-Stage Renal Disease (ESRD) §1115 demonstration waiver has ensured critical access to supplemental wraparound coverage for Medicare-enrolled individuals with ESRD who would otherwise be ineligible for Medicaid coverage and would not qualify for other supplemental benefits such as Medicare Advantage (MA) plans, federal marketplace participation, or Medigap policies.  Without supplemental health benefits, these individuals are at increased risk of being removed from transplant waiting lists.  Through the ESRD §1115 waiver, demonstration enrollees  have been able to access kidney transplants and related services, something which would be difficult to accomplish otherwise absent access to other supplemental benefits. </w:t>
      </w:r>
    </w:p>
    <w:p w14:paraId="6F41464F" w14:textId="77777777" w:rsidR="00B744FD" w:rsidRDefault="00B744FD" w:rsidP="00B744FD">
      <w:pPr>
        <w:rPr>
          <w:rFonts w:asciiTheme="minorHAnsi" w:hAnsiTheme="minorHAnsi" w:cstheme="minorHAnsi"/>
          <w:i/>
        </w:rPr>
      </w:pPr>
    </w:p>
    <w:p w14:paraId="2C0AD870" w14:textId="77777777" w:rsidR="00B744FD" w:rsidRPr="001219FB" w:rsidRDefault="00B744FD" w:rsidP="00B744FD">
      <w:pPr>
        <w:rPr>
          <w:rFonts w:asciiTheme="minorHAnsi" w:hAnsiTheme="minorHAnsi" w:cstheme="minorHAnsi"/>
          <w:i/>
        </w:rPr>
      </w:pPr>
      <w:r w:rsidRPr="001219FB">
        <w:rPr>
          <w:rFonts w:asciiTheme="minorHAnsi" w:hAnsiTheme="minorHAnsi" w:cstheme="minorHAnsi"/>
          <w:i/>
        </w:rPr>
        <w:t>The objectives</w:t>
      </w:r>
      <w:r w:rsidRPr="001219FB">
        <w:rPr>
          <w:rFonts w:asciiTheme="minorHAnsi" w:hAnsiTheme="minorHAnsi" w:cstheme="minorHAnsi"/>
          <w:i/>
        </w:rPr>
        <w:t xml:space="preserve"> </w:t>
      </w:r>
      <w:r w:rsidRPr="001219FB">
        <w:rPr>
          <w:rFonts w:asciiTheme="minorHAnsi" w:hAnsiTheme="minorHAnsi" w:cstheme="minorHAnsi"/>
          <w:i/>
        </w:rPr>
        <w:t>of the current ESRD §1115 demonstration are to:</w:t>
      </w:r>
    </w:p>
    <w:p w14:paraId="371E088B" w14:textId="77777777" w:rsidR="00B744FD" w:rsidRPr="001219FB" w:rsidRDefault="00B744FD" w:rsidP="00B744FD">
      <w:pPr>
        <w:numPr>
          <w:ilvl w:val="0"/>
          <w:numId w:val="39"/>
        </w:numPr>
        <w:spacing w:after="0" w:line="259" w:lineRule="auto"/>
        <w:jc w:val="left"/>
        <w:rPr>
          <w:rFonts w:asciiTheme="minorHAnsi" w:hAnsiTheme="minorHAnsi" w:cstheme="minorHAnsi"/>
        </w:rPr>
      </w:pPr>
      <w:r w:rsidRPr="001219FB">
        <w:rPr>
          <w:rFonts w:asciiTheme="minorHAnsi" w:hAnsiTheme="minorHAnsi" w:cstheme="minorHAnsi"/>
        </w:rPr>
        <w:t xml:space="preserve">Ensure that ESRD §1115 waiver enrollees maintain access to kidney transplant waiting lists.   </w:t>
      </w:r>
    </w:p>
    <w:p w14:paraId="163A9DC2" w14:textId="77777777" w:rsidR="00B744FD" w:rsidRPr="001219FB" w:rsidRDefault="00B744FD" w:rsidP="00B744FD">
      <w:pPr>
        <w:numPr>
          <w:ilvl w:val="0"/>
          <w:numId w:val="39"/>
        </w:numPr>
        <w:spacing w:after="0" w:line="259" w:lineRule="auto"/>
        <w:jc w:val="left"/>
        <w:rPr>
          <w:rFonts w:asciiTheme="minorHAnsi" w:hAnsiTheme="minorHAnsi" w:cstheme="minorHAnsi"/>
        </w:rPr>
      </w:pPr>
      <w:r w:rsidRPr="001219FB">
        <w:rPr>
          <w:rFonts w:asciiTheme="minorHAnsi" w:hAnsiTheme="minorHAnsi" w:cstheme="minorHAnsi"/>
        </w:rPr>
        <w:t xml:space="preserve">Ensure that ESRD §1115 waiver enrollees have access kidney to transplants.  </w:t>
      </w:r>
    </w:p>
    <w:p w14:paraId="61C2C61C" w14:textId="77777777" w:rsidR="00B744FD" w:rsidRPr="001219FB" w:rsidRDefault="00B744FD" w:rsidP="00B744FD">
      <w:pPr>
        <w:numPr>
          <w:ilvl w:val="0"/>
          <w:numId w:val="39"/>
        </w:numPr>
        <w:spacing w:after="0" w:line="259" w:lineRule="auto"/>
        <w:jc w:val="left"/>
        <w:rPr>
          <w:rFonts w:asciiTheme="minorHAnsi" w:hAnsiTheme="minorHAnsi" w:cstheme="minorHAnsi"/>
        </w:rPr>
      </w:pPr>
      <w:r w:rsidRPr="001219FB">
        <w:rPr>
          <w:rFonts w:asciiTheme="minorHAnsi" w:hAnsiTheme="minorHAnsi" w:cstheme="minorHAnsi"/>
        </w:rPr>
        <w:t>Ensure that there is continued access to the program for new enrollees.</w:t>
      </w:r>
    </w:p>
    <w:p w14:paraId="08370794" w14:textId="77777777" w:rsidR="00B744FD" w:rsidRPr="001219FB" w:rsidRDefault="00B744FD" w:rsidP="00B744FD">
      <w:pPr>
        <w:numPr>
          <w:ilvl w:val="0"/>
          <w:numId w:val="39"/>
        </w:numPr>
        <w:spacing w:after="0" w:line="259" w:lineRule="auto"/>
        <w:jc w:val="left"/>
        <w:rPr>
          <w:rFonts w:asciiTheme="minorHAnsi" w:hAnsiTheme="minorHAnsi" w:cstheme="minorHAnsi"/>
        </w:rPr>
      </w:pPr>
      <w:r w:rsidRPr="001219FB">
        <w:rPr>
          <w:rFonts w:asciiTheme="minorHAnsi" w:hAnsiTheme="minorHAnsi" w:cstheme="minorHAnsi"/>
        </w:rPr>
        <w:t xml:space="preserve">Promote and increase Medicare Advantage (MA) awareness among ESRD waiver enrollees. </w:t>
      </w:r>
    </w:p>
    <w:p w14:paraId="422A5F5B" w14:textId="77777777" w:rsidR="00B744FD" w:rsidRPr="001219FB" w:rsidRDefault="00B744FD" w:rsidP="00B744FD">
      <w:pPr>
        <w:spacing w:after="0" w:line="240" w:lineRule="auto"/>
        <w:ind w:left="720"/>
        <w:rPr>
          <w:rFonts w:asciiTheme="minorHAnsi" w:hAnsiTheme="minorHAnsi" w:cstheme="minorHAnsi"/>
        </w:rPr>
      </w:pPr>
    </w:p>
    <w:p w14:paraId="6E98EE70" w14:textId="77777777" w:rsidR="00B744FD" w:rsidRPr="001219FB" w:rsidRDefault="00B744FD" w:rsidP="00B744FD">
      <w:pPr>
        <w:rPr>
          <w:rFonts w:asciiTheme="minorHAnsi" w:hAnsiTheme="minorHAnsi" w:cstheme="minorHAnsi"/>
          <w:b/>
        </w:rPr>
      </w:pPr>
      <w:r w:rsidRPr="001219FB">
        <w:rPr>
          <w:rFonts w:asciiTheme="minorHAnsi" w:hAnsiTheme="minorHAnsi" w:cstheme="minorHAnsi"/>
        </w:rPr>
        <w:t xml:space="preserve">The State of Indiana respectfully submits this Draft Evaluation Design for the End-Stage Renal Disease (ESRD) §1115 Demonstration Waiver.  </w:t>
      </w:r>
    </w:p>
    <w:p w14:paraId="7C002A5B" w14:textId="77777777" w:rsidR="00B744FD" w:rsidRDefault="00B744FD" w:rsidP="00B744FD">
      <w:pPr>
        <w:pStyle w:val="NoSpacing"/>
        <w:rPr>
          <w:rFonts w:asciiTheme="minorHAnsi" w:hAnsiTheme="minorHAnsi" w:cstheme="minorHAnsi"/>
          <w:b/>
        </w:rPr>
      </w:pPr>
    </w:p>
    <w:p w14:paraId="2D65E603" w14:textId="77777777" w:rsidR="00B744FD" w:rsidRPr="001219FB" w:rsidRDefault="00B744FD" w:rsidP="00B744FD">
      <w:pPr>
        <w:pStyle w:val="NoSpacing"/>
        <w:rPr>
          <w:rFonts w:asciiTheme="minorHAnsi" w:hAnsiTheme="minorHAnsi" w:cstheme="minorHAnsi"/>
          <w:b/>
        </w:rPr>
      </w:pPr>
      <w:r w:rsidRPr="001219FB">
        <w:rPr>
          <w:rFonts w:asciiTheme="minorHAnsi" w:hAnsiTheme="minorHAnsi" w:cstheme="minorHAnsi"/>
          <w:b/>
        </w:rPr>
        <w:t>Background:</w:t>
      </w:r>
    </w:p>
    <w:p w14:paraId="3935CBCB" w14:textId="77777777" w:rsidR="00B744FD" w:rsidRPr="001219FB" w:rsidRDefault="00B744FD" w:rsidP="00B744FD">
      <w:pPr>
        <w:pStyle w:val="paragraph"/>
        <w:textAlignment w:val="baseline"/>
        <w:rPr>
          <w:rFonts w:asciiTheme="minorHAnsi" w:hAnsiTheme="minorHAnsi" w:cstheme="minorHAnsi"/>
        </w:rPr>
      </w:pPr>
      <w:r w:rsidRPr="001219FB">
        <w:rPr>
          <w:rStyle w:val="normaltextrun1"/>
          <w:rFonts w:asciiTheme="minorHAnsi" w:hAnsiTheme="minorHAnsi" w:cstheme="minorHAnsi"/>
          <w:sz w:val="22"/>
          <w:szCs w:val="22"/>
        </w:rPr>
        <w:t>The §1115 End Stage Renal Disease (ESRD) demonstration waiver originally began as an outgrowth from Indiana’s original Healthy Indiana Plan (HIP) demonstration waiver.  HIP 1.0 began in January 2008 with the purpose of supplementing state plan benefits for Medicaid eligible children and otherwise eligible adults who were not aged, blind, or disabled.  </w:t>
      </w:r>
      <w:r w:rsidRPr="001219FB">
        <w:rPr>
          <w:rStyle w:val="eop"/>
          <w:rFonts w:asciiTheme="minorHAnsi" w:eastAsia="Calibri" w:hAnsiTheme="minorHAnsi" w:cstheme="minorHAnsi"/>
          <w:sz w:val="22"/>
          <w:szCs w:val="22"/>
        </w:rPr>
        <w:t> </w:t>
      </w:r>
    </w:p>
    <w:p w14:paraId="5FD80841" w14:textId="77777777" w:rsidR="00B744FD" w:rsidRPr="001219FB" w:rsidRDefault="00B744FD" w:rsidP="00B744FD">
      <w:pPr>
        <w:pStyle w:val="paragraph"/>
        <w:textAlignment w:val="baseline"/>
        <w:rPr>
          <w:rStyle w:val="normaltextrun1"/>
          <w:rFonts w:asciiTheme="minorHAnsi" w:hAnsiTheme="minorHAnsi" w:cstheme="minorHAnsi"/>
          <w:sz w:val="22"/>
          <w:szCs w:val="22"/>
        </w:rPr>
      </w:pPr>
    </w:p>
    <w:p w14:paraId="7DC199D3" w14:textId="77777777" w:rsidR="00B744FD" w:rsidRPr="001219FB" w:rsidRDefault="00B744FD" w:rsidP="00B744FD">
      <w:pPr>
        <w:pStyle w:val="paragraph"/>
        <w:textAlignment w:val="baseline"/>
        <w:rPr>
          <w:rFonts w:asciiTheme="minorHAnsi" w:hAnsiTheme="minorHAnsi" w:cstheme="minorHAnsi"/>
        </w:rPr>
      </w:pPr>
      <w:r w:rsidRPr="001219FB">
        <w:rPr>
          <w:rStyle w:val="normaltextrun1"/>
          <w:rFonts w:asciiTheme="minorHAnsi" w:hAnsiTheme="minorHAnsi" w:cstheme="minorHAnsi"/>
          <w:sz w:val="22"/>
          <w:szCs w:val="22"/>
        </w:rPr>
        <w:t>Although it was set to expire at the end of 2013, HIP 1.0 was extended for an additional year through December 31, 2014.  In May of the extension year, CMS approved an amendment allowing the State to include individuals diagnosed with ESRD who were at risk of losing supplemental coverage due to the Indiana’s transition from 204(b) status to 1634.  </w:t>
      </w:r>
      <w:r w:rsidRPr="001219FB">
        <w:rPr>
          <w:rStyle w:val="eop"/>
          <w:rFonts w:asciiTheme="minorHAnsi" w:eastAsia="Calibri" w:hAnsiTheme="minorHAnsi" w:cstheme="minorHAnsi"/>
          <w:sz w:val="22"/>
          <w:szCs w:val="22"/>
        </w:rPr>
        <w:t> </w:t>
      </w:r>
    </w:p>
    <w:p w14:paraId="0737294B" w14:textId="77777777" w:rsidR="00B744FD" w:rsidRPr="001219FB" w:rsidRDefault="00B744FD" w:rsidP="00B744FD">
      <w:pPr>
        <w:pStyle w:val="paragraph"/>
        <w:textAlignment w:val="baseline"/>
        <w:rPr>
          <w:rFonts w:asciiTheme="minorHAnsi" w:hAnsiTheme="minorHAnsi" w:cstheme="minorHAnsi"/>
        </w:rPr>
      </w:pPr>
      <w:r w:rsidRPr="001219FB">
        <w:rPr>
          <w:rStyle w:val="eop"/>
          <w:rFonts w:asciiTheme="minorHAnsi" w:eastAsia="Calibri" w:hAnsiTheme="minorHAnsi" w:cstheme="minorHAnsi"/>
          <w:sz w:val="22"/>
          <w:szCs w:val="22"/>
        </w:rPr>
        <w:t> </w:t>
      </w:r>
    </w:p>
    <w:p w14:paraId="6A37DC9D" w14:textId="77777777" w:rsidR="00B744FD" w:rsidRPr="001219FB" w:rsidRDefault="00B744FD" w:rsidP="00B744FD">
      <w:pPr>
        <w:pStyle w:val="paragraph"/>
        <w:textAlignment w:val="baseline"/>
        <w:rPr>
          <w:rFonts w:asciiTheme="minorHAnsi" w:hAnsiTheme="minorHAnsi" w:cstheme="minorHAnsi"/>
        </w:rPr>
      </w:pPr>
      <w:r w:rsidRPr="001219FB">
        <w:rPr>
          <w:rStyle w:val="normaltextrun1"/>
          <w:rFonts w:asciiTheme="minorHAnsi" w:hAnsiTheme="minorHAnsi" w:cstheme="minorHAnsi"/>
          <w:sz w:val="22"/>
          <w:szCs w:val="22"/>
        </w:rPr>
        <w:t>This population included individuals diagnosed with ESRD who were enrolled under the State’s spend-down program as of May 31, 2014 and were 1) eligible for Medicare; 2) were not institutionalized; and 3) had income over 150% of the federal poverty level (FPL).  The amendment allowed the State to continue providing supplemental coverage and needed access to a highly vulnerable population with virtually no other options for supplemental coverage.   </w:t>
      </w:r>
      <w:r w:rsidRPr="001219FB">
        <w:rPr>
          <w:rStyle w:val="eop"/>
          <w:rFonts w:asciiTheme="minorHAnsi" w:eastAsia="Calibri" w:hAnsiTheme="minorHAnsi" w:cstheme="minorHAnsi"/>
          <w:sz w:val="22"/>
          <w:szCs w:val="22"/>
        </w:rPr>
        <w:t> </w:t>
      </w:r>
    </w:p>
    <w:p w14:paraId="7C175FFA" w14:textId="77777777" w:rsidR="00B744FD" w:rsidRPr="001219FB" w:rsidRDefault="00B744FD" w:rsidP="00B744FD">
      <w:pPr>
        <w:pStyle w:val="paragraph"/>
        <w:textAlignment w:val="baseline"/>
        <w:rPr>
          <w:rFonts w:asciiTheme="minorHAnsi" w:hAnsiTheme="minorHAnsi" w:cstheme="minorHAnsi"/>
        </w:rPr>
      </w:pPr>
      <w:r w:rsidRPr="001219FB">
        <w:rPr>
          <w:rStyle w:val="eop"/>
          <w:rFonts w:asciiTheme="minorHAnsi" w:eastAsia="Calibri" w:hAnsiTheme="minorHAnsi" w:cstheme="minorHAnsi"/>
          <w:sz w:val="22"/>
          <w:szCs w:val="22"/>
        </w:rPr>
        <w:t> </w:t>
      </w:r>
    </w:p>
    <w:p w14:paraId="27C9FE12" w14:textId="77777777" w:rsidR="00B744FD" w:rsidRPr="001219FB" w:rsidRDefault="00B744FD" w:rsidP="00B744FD">
      <w:pPr>
        <w:pStyle w:val="paragraph"/>
        <w:textAlignment w:val="baseline"/>
        <w:rPr>
          <w:rFonts w:asciiTheme="minorHAnsi" w:hAnsiTheme="minorHAnsi" w:cstheme="minorHAnsi"/>
        </w:rPr>
      </w:pPr>
      <w:r w:rsidRPr="001219FB">
        <w:rPr>
          <w:rStyle w:val="normaltextrun1"/>
          <w:rFonts w:asciiTheme="minorHAnsi" w:hAnsiTheme="minorHAnsi" w:cstheme="minorHAnsi"/>
          <w:sz w:val="22"/>
          <w:szCs w:val="22"/>
        </w:rPr>
        <w:t xml:space="preserve">In January 2015, CMS approved the Healthy Indiana Plan 2.0 (HIP 2.0).  All HIP 1.0 populations were subsequently transitioned to HIP 2.0 except for the ESRD population.   In order to develop a more permanent solution, HIP 1.0 continued to operate under temporary extension until July 28, 2016 when CMS renewed the waiver for a five-year extension and renamed it: </w:t>
      </w:r>
      <w:r w:rsidRPr="001219FB">
        <w:rPr>
          <w:rStyle w:val="normaltextrun1"/>
          <w:rFonts w:asciiTheme="minorHAnsi" w:hAnsiTheme="minorHAnsi" w:cstheme="minorHAnsi"/>
          <w:i/>
          <w:sz w:val="22"/>
          <w:szCs w:val="22"/>
        </w:rPr>
        <w:t>End Stage Renal Disease</w:t>
      </w:r>
      <w:r w:rsidRPr="001219FB">
        <w:rPr>
          <w:rStyle w:val="normaltextrun1"/>
          <w:rFonts w:asciiTheme="minorHAnsi" w:hAnsiTheme="minorHAnsi" w:cstheme="minorHAnsi"/>
          <w:sz w:val="22"/>
          <w:szCs w:val="22"/>
        </w:rPr>
        <w:t xml:space="preserve"> </w:t>
      </w:r>
      <w:r w:rsidRPr="001219FB">
        <w:rPr>
          <w:rStyle w:val="normaltextrun1"/>
          <w:rFonts w:asciiTheme="minorHAnsi" w:hAnsiTheme="minorHAnsi" w:cstheme="minorHAnsi"/>
          <w:i/>
          <w:sz w:val="22"/>
          <w:szCs w:val="22"/>
        </w:rPr>
        <w:t>§1115 Demonstration Waiver</w:t>
      </w:r>
      <w:r w:rsidRPr="001219FB">
        <w:rPr>
          <w:rStyle w:val="normaltextrun1"/>
          <w:rFonts w:asciiTheme="minorHAnsi" w:hAnsiTheme="minorHAnsi" w:cstheme="minorHAnsi"/>
          <w:sz w:val="22"/>
          <w:szCs w:val="22"/>
        </w:rPr>
        <w:t xml:space="preserve"> (Project Number 11-W-00237/5).  The current ESRD demonstration is effective through December 31, 2020.  </w:t>
      </w:r>
      <w:r w:rsidRPr="001219FB">
        <w:rPr>
          <w:rStyle w:val="eop"/>
          <w:rFonts w:asciiTheme="minorHAnsi" w:eastAsia="Calibri" w:hAnsiTheme="minorHAnsi" w:cstheme="minorHAnsi"/>
          <w:sz w:val="22"/>
          <w:szCs w:val="22"/>
        </w:rPr>
        <w:t> </w:t>
      </w:r>
    </w:p>
    <w:p w14:paraId="0B24C2F2" w14:textId="77777777" w:rsidR="00B744FD" w:rsidRPr="001219FB" w:rsidRDefault="00B744FD" w:rsidP="00B744FD">
      <w:pPr>
        <w:pStyle w:val="paragraph"/>
        <w:textAlignment w:val="baseline"/>
        <w:rPr>
          <w:rFonts w:asciiTheme="minorHAnsi" w:hAnsiTheme="minorHAnsi" w:cstheme="minorHAnsi"/>
        </w:rPr>
      </w:pPr>
      <w:r w:rsidRPr="001219FB">
        <w:rPr>
          <w:rStyle w:val="eop"/>
          <w:rFonts w:asciiTheme="minorHAnsi" w:eastAsia="Calibri" w:hAnsiTheme="minorHAnsi" w:cstheme="minorHAnsi"/>
          <w:sz w:val="22"/>
          <w:szCs w:val="22"/>
        </w:rPr>
        <w:lastRenderedPageBreak/>
        <w:t> </w:t>
      </w:r>
    </w:p>
    <w:p w14:paraId="1C577F8E" w14:textId="65690060" w:rsidR="00B744FD" w:rsidRPr="001219FB" w:rsidRDefault="00B744FD" w:rsidP="00B744FD">
      <w:pPr>
        <w:pStyle w:val="paragraph"/>
        <w:textAlignment w:val="baseline"/>
        <w:rPr>
          <w:rStyle w:val="normaltextrun1"/>
          <w:rFonts w:asciiTheme="minorHAnsi" w:hAnsiTheme="minorHAnsi" w:cstheme="minorHAnsi"/>
          <w:sz w:val="22"/>
          <w:szCs w:val="22"/>
        </w:rPr>
      </w:pPr>
      <w:r w:rsidRPr="001219FB">
        <w:rPr>
          <w:rStyle w:val="normaltextrun1"/>
          <w:rFonts w:asciiTheme="minorHAnsi" w:hAnsiTheme="minorHAnsi" w:cstheme="minorHAnsi"/>
          <w:sz w:val="22"/>
          <w:szCs w:val="22"/>
        </w:rPr>
        <w:t xml:space="preserve">The State has continued to operate the ESRD demonstration with the goal of ensuring access to supplemental coverage for a small but highly vulnerable ESRD population.   This population continues to face many of the same obstacles it did when the waiver began in 2014.  ESRD individuals are still generally foreclosed from enrolling in Medicare Advantage (MA) plans as well as purchasing supplemental coverage through the federal marketplace.  Furthermore, </w:t>
      </w:r>
      <w:r>
        <w:rPr>
          <w:rStyle w:val="normaltextrun1"/>
          <w:rFonts w:asciiTheme="minorHAnsi" w:hAnsiTheme="minorHAnsi" w:cstheme="minorHAnsi"/>
          <w:sz w:val="22"/>
          <w:szCs w:val="22"/>
        </w:rPr>
        <w:t>Indiana</w:t>
      </w:r>
      <w:r w:rsidRPr="001219FB">
        <w:rPr>
          <w:rStyle w:val="normaltextrun1"/>
          <w:rFonts w:asciiTheme="minorHAnsi" w:hAnsiTheme="minorHAnsi" w:cstheme="minorHAnsi"/>
          <w:sz w:val="22"/>
          <w:szCs w:val="22"/>
        </w:rPr>
        <w:t xml:space="preserve"> does not require guaranteed issue of Medigap policies for individuals under 65, which effectively limits access to younger individuals with ESRD.  The §1115 ESRD demonstration waiver enables this population to maintain necessary supplemental coverage for treatment that allows them to remain on kidney transplant lists. </w:t>
      </w:r>
    </w:p>
    <w:p w14:paraId="63C5228E" w14:textId="77777777" w:rsidR="00B744FD" w:rsidRPr="001219FB" w:rsidRDefault="00B744FD" w:rsidP="00B744FD">
      <w:pPr>
        <w:pStyle w:val="paragraph"/>
        <w:textAlignment w:val="baseline"/>
        <w:rPr>
          <w:rFonts w:asciiTheme="minorHAnsi" w:hAnsiTheme="minorHAnsi" w:cstheme="minorHAnsi"/>
        </w:rPr>
      </w:pPr>
    </w:p>
    <w:p w14:paraId="1CCB95BA" w14:textId="77777777" w:rsidR="00B744FD" w:rsidRPr="001219FB" w:rsidRDefault="00B744FD" w:rsidP="00B744FD">
      <w:pPr>
        <w:pStyle w:val="NoSpacing"/>
        <w:rPr>
          <w:rFonts w:asciiTheme="minorHAnsi" w:hAnsiTheme="minorHAnsi" w:cstheme="minorHAnsi"/>
          <w:b/>
        </w:rPr>
      </w:pPr>
      <w:r w:rsidRPr="001219FB">
        <w:rPr>
          <w:rFonts w:asciiTheme="minorHAnsi" w:hAnsiTheme="minorHAnsi" w:cstheme="minorHAnsi"/>
          <w:b/>
        </w:rPr>
        <w:t>Overview:</w:t>
      </w:r>
    </w:p>
    <w:p w14:paraId="493BC8E0" w14:textId="77777777" w:rsidR="00B744FD" w:rsidRPr="001219FB" w:rsidRDefault="00B744FD" w:rsidP="00B744FD">
      <w:pPr>
        <w:pStyle w:val="NoSpacing"/>
        <w:rPr>
          <w:rFonts w:asciiTheme="minorHAnsi" w:hAnsiTheme="minorHAnsi" w:cstheme="minorHAnsi"/>
        </w:rPr>
      </w:pPr>
      <w:r w:rsidRPr="001219FB">
        <w:rPr>
          <w:rFonts w:asciiTheme="minorHAnsi" w:hAnsiTheme="minorHAnsi" w:cstheme="minorHAnsi"/>
        </w:rPr>
        <w:t>This demonstration will continue to provide coverage for individuals with ESRD that are not otherwise eligible to receive Medicaid services. The demonstration covers approximately 350 individuals with ESRD, who would otherwise be unduly burdened in procuring supplemental kidney transplant services and would be at an increased risk of removal from kidney transplant lists.  With the ESRD demonstration extension, Indiana expects to improve on previous waiver objectives, drive increased access to supplemental coverage for ESRD waiver enrollees, and foster improved ESRD program outcomes.</w:t>
      </w:r>
    </w:p>
    <w:p w14:paraId="15961E15" w14:textId="77777777" w:rsidR="00B744FD" w:rsidRPr="001219FB" w:rsidRDefault="00B744FD" w:rsidP="00B744FD">
      <w:pPr>
        <w:pStyle w:val="NoSpacing"/>
        <w:rPr>
          <w:rFonts w:asciiTheme="minorHAnsi" w:hAnsiTheme="minorHAnsi" w:cstheme="minorHAnsi"/>
        </w:rPr>
      </w:pPr>
    </w:p>
    <w:p w14:paraId="3B0CC3E7" w14:textId="77777777" w:rsidR="00B744FD" w:rsidRPr="001219FB" w:rsidRDefault="00B744FD" w:rsidP="00B744FD">
      <w:pPr>
        <w:pStyle w:val="NoSpacing"/>
        <w:rPr>
          <w:rFonts w:asciiTheme="minorHAnsi" w:hAnsiTheme="minorHAnsi" w:cstheme="minorHAnsi"/>
        </w:rPr>
      </w:pPr>
      <w:r w:rsidRPr="001219FB">
        <w:rPr>
          <w:rFonts w:asciiTheme="minorHAnsi" w:hAnsiTheme="minorHAnsi" w:cstheme="minorHAnsi"/>
        </w:rPr>
        <w:t>The ESRD §1115 demonstration waiver includes two distinct populations that are eligible for supplemental wraparound services provided through the Medicaid state plan.  Table 1 provides a general overview of both populations and the respective criteria for demonstration eligibility:</w:t>
      </w:r>
    </w:p>
    <w:p w14:paraId="73C43833" w14:textId="77777777" w:rsidR="00B744FD" w:rsidRPr="001219FB" w:rsidRDefault="00B744FD" w:rsidP="00B744FD">
      <w:pPr>
        <w:pStyle w:val="NoSpacing"/>
      </w:pPr>
    </w:p>
    <w:p w14:paraId="49AD0113" w14:textId="77777777" w:rsidR="00B744FD" w:rsidRPr="001219FB" w:rsidRDefault="00B744FD" w:rsidP="00B744FD">
      <w:pPr>
        <w:spacing w:after="0" w:line="240" w:lineRule="auto"/>
        <w:contextualSpacing/>
        <w:jc w:val="left"/>
        <w:rPr>
          <w:rFonts w:asciiTheme="minorHAnsi" w:hAnsiTheme="minorHAnsi" w:cstheme="minorHAnsi"/>
          <w:b/>
        </w:rPr>
      </w:pPr>
      <w:r w:rsidRPr="001219FB">
        <w:rPr>
          <w:rFonts w:asciiTheme="minorHAnsi" w:hAnsiTheme="minorHAnsi" w:cstheme="minorHAnsi"/>
          <w:b/>
        </w:rPr>
        <w:t>Table 1</w:t>
      </w:r>
      <w:r>
        <w:rPr>
          <w:rFonts w:asciiTheme="minorHAnsi" w:hAnsiTheme="minorHAnsi" w:cstheme="minorHAnsi"/>
          <w:b/>
        </w:rPr>
        <w:t xml:space="preserve">: </w:t>
      </w:r>
      <w:r w:rsidRPr="001219FB">
        <w:rPr>
          <w:rFonts w:asciiTheme="minorHAnsi" w:hAnsiTheme="minorHAnsi" w:cstheme="minorHAnsi"/>
          <w:b/>
        </w:rPr>
        <w:t>ESRD Demonstration Waiver Populations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4287"/>
        <w:gridCol w:w="2570"/>
      </w:tblGrid>
      <w:tr w:rsidR="00B744FD" w:rsidRPr="001219FB" w14:paraId="60DAFBF8" w14:textId="77777777" w:rsidTr="001219FB">
        <w:trPr>
          <w:trHeight w:val="665"/>
        </w:trPr>
        <w:tc>
          <w:tcPr>
            <w:tcW w:w="2520" w:type="dxa"/>
            <w:shd w:val="clear" w:color="auto" w:fill="auto"/>
            <w:vAlign w:val="center"/>
          </w:tcPr>
          <w:p w14:paraId="0D0F1C2F" w14:textId="77777777" w:rsidR="00B744FD" w:rsidRPr="001219FB" w:rsidRDefault="00B744FD" w:rsidP="001219FB">
            <w:pPr>
              <w:spacing w:after="0" w:line="240" w:lineRule="auto"/>
              <w:contextualSpacing/>
              <w:jc w:val="center"/>
              <w:rPr>
                <w:rFonts w:asciiTheme="minorHAnsi" w:hAnsiTheme="minorHAnsi" w:cstheme="minorHAnsi"/>
                <w:b/>
              </w:rPr>
            </w:pPr>
            <w:r w:rsidRPr="001219FB">
              <w:rPr>
                <w:rFonts w:asciiTheme="minorHAnsi" w:hAnsiTheme="minorHAnsi" w:cstheme="minorHAnsi"/>
                <w:b/>
                <w:sz w:val="24"/>
              </w:rPr>
              <w:t>Description</w:t>
            </w:r>
          </w:p>
        </w:tc>
        <w:tc>
          <w:tcPr>
            <w:tcW w:w="4680" w:type="dxa"/>
            <w:shd w:val="clear" w:color="auto" w:fill="auto"/>
            <w:vAlign w:val="center"/>
          </w:tcPr>
          <w:p w14:paraId="17B8E83B" w14:textId="77777777" w:rsidR="00B744FD" w:rsidRPr="001219FB" w:rsidRDefault="00B744FD" w:rsidP="001219FB">
            <w:pPr>
              <w:spacing w:after="0" w:line="240" w:lineRule="auto"/>
              <w:contextualSpacing/>
              <w:jc w:val="center"/>
              <w:rPr>
                <w:rFonts w:asciiTheme="minorHAnsi" w:hAnsiTheme="minorHAnsi" w:cstheme="minorHAnsi"/>
                <w:b/>
              </w:rPr>
            </w:pPr>
            <w:r w:rsidRPr="001219FB">
              <w:rPr>
                <w:rFonts w:asciiTheme="minorHAnsi" w:hAnsiTheme="minorHAnsi" w:cstheme="minorHAnsi"/>
                <w:b/>
                <w:sz w:val="24"/>
              </w:rPr>
              <w:t>Eligibility Criteria</w:t>
            </w:r>
          </w:p>
        </w:tc>
        <w:tc>
          <w:tcPr>
            <w:tcW w:w="2700" w:type="dxa"/>
            <w:shd w:val="clear" w:color="auto" w:fill="auto"/>
            <w:vAlign w:val="center"/>
          </w:tcPr>
          <w:p w14:paraId="2BB1D8E8" w14:textId="77777777" w:rsidR="00B744FD" w:rsidRPr="001219FB" w:rsidRDefault="00B744FD" w:rsidP="001219FB">
            <w:pPr>
              <w:spacing w:after="0" w:line="240" w:lineRule="auto"/>
              <w:contextualSpacing/>
              <w:jc w:val="center"/>
              <w:rPr>
                <w:rFonts w:asciiTheme="minorHAnsi" w:hAnsiTheme="minorHAnsi" w:cstheme="minorHAnsi"/>
                <w:b/>
              </w:rPr>
            </w:pPr>
            <w:r w:rsidRPr="001219FB">
              <w:rPr>
                <w:rFonts w:asciiTheme="minorHAnsi" w:hAnsiTheme="minorHAnsi" w:cstheme="minorHAnsi"/>
                <w:b/>
                <w:sz w:val="24"/>
              </w:rPr>
              <w:t>Demonstration Population</w:t>
            </w:r>
          </w:p>
        </w:tc>
      </w:tr>
      <w:tr w:rsidR="00B744FD" w:rsidRPr="001219FB" w14:paraId="0B323B3B" w14:textId="77777777" w:rsidTr="001219FB">
        <w:trPr>
          <w:trHeight w:val="2420"/>
        </w:trPr>
        <w:tc>
          <w:tcPr>
            <w:tcW w:w="2520" w:type="dxa"/>
            <w:shd w:val="clear" w:color="auto" w:fill="auto"/>
            <w:vAlign w:val="center"/>
          </w:tcPr>
          <w:p w14:paraId="4C014211" w14:textId="77777777" w:rsidR="00B744FD" w:rsidRPr="001219FB" w:rsidRDefault="00B744FD" w:rsidP="001219FB">
            <w:pPr>
              <w:ind w:left="360" w:right="252"/>
              <w:jc w:val="center"/>
              <w:rPr>
                <w:rFonts w:asciiTheme="minorHAnsi" w:hAnsiTheme="minorHAnsi" w:cstheme="minorHAnsi"/>
              </w:rPr>
            </w:pPr>
            <w:r w:rsidRPr="001219FB">
              <w:rPr>
                <w:rFonts w:asciiTheme="minorHAnsi" w:hAnsiTheme="minorHAnsi" w:cstheme="minorHAnsi"/>
              </w:rPr>
              <w:t>Former spend down enrollees effective May 31, 2014</w:t>
            </w:r>
          </w:p>
        </w:tc>
        <w:tc>
          <w:tcPr>
            <w:tcW w:w="4680" w:type="dxa"/>
            <w:shd w:val="clear" w:color="auto" w:fill="auto"/>
            <w:vAlign w:val="center"/>
          </w:tcPr>
          <w:p w14:paraId="6750725F" w14:textId="77777777" w:rsidR="00B744FD" w:rsidRPr="001219FB" w:rsidRDefault="00B744FD" w:rsidP="001219FB">
            <w:pPr>
              <w:spacing w:after="0" w:line="240" w:lineRule="auto"/>
              <w:ind w:left="158" w:right="158"/>
              <w:contextualSpacing/>
              <w:rPr>
                <w:rFonts w:asciiTheme="minorHAnsi" w:hAnsiTheme="minorHAnsi" w:cstheme="minorHAnsi"/>
              </w:rPr>
            </w:pPr>
            <w:r w:rsidRPr="001219FB">
              <w:rPr>
                <w:rFonts w:asciiTheme="minorHAnsi" w:hAnsiTheme="minorHAnsi" w:cstheme="minorHAnsi"/>
              </w:rPr>
              <w:t>Enrolled in Medicaid spend down effective May 31, 2014, have Medicare, have resources less than $1,500 for an individual and $2,250 for a couple, have income over 150% of FPL, have a diagnosis of ESRD, are not institutionalized, and meet all other criteria, but not otherwise Medicaid eligible.</w:t>
            </w:r>
          </w:p>
        </w:tc>
        <w:tc>
          <w:tcPr>
            <w:tcW w:w="2700" w:type="dxa"/>
            <w:shd w:val="clear" w:color="auto" w:fill="auto"/>
            <w:vAlign w:val="center"/>
          </w:tcPr>
          <w:p w14:paraId="14408B71" w14:textId="77777777" w:rsidR="00B744FD" w:rsidRPr="001219FB" w:rsidRDefault="00B744FD" w:rsidP="001219FB">
            <w:pPr>
              <w:jc w:val="center"/>
              <w:rPr>
                <w:rFonts w:asciiTheme="minorHAnsi" w:hAnsiTheme="minorHAnsi" w:cstheme="minorHAnsi"/>
              </w:rPr>
            </w:pPr>
            <w:r w:rsidRPr="001219FB">
              <w:rPr>
                <w:rFonts w:asciiTheme="minorHAnsi" w:hAnsiTheme="minorHAnsi" w:cstheme="minorHAnsi"/>
              </w:rPr>
              <w:t>Population 1</w:t>
            </w:r>
          </w:p>
        </w:tc>
      </w:tr>
      <w:tr w:rsidR="00B744FD" w:rsidRPr="001219FB" w14:paraId="6D9F8E7A" w14:textId="77777777" w:rsidTr="001219FB">
        <w:trPr>
          <w:trHeight w:val="2699"/>
        </w:trPr>
        <w:tc>
          <w:tcPr>
            <w:tcW w:w="2520" w:type="dxa"/>
            <w:shd w:val="clear" w:color="auto" w:fill="auto"/>
            <w:vAlign w:val="center"/>
          </w:tcPr>
          <w:p w14:paraId="2116FD5C" w14:textId="77777777" w:rsidR="00B744FD" w:rsidRPr="001219FB" w:rsidRDefault="00B744FD" w:rsidP="001219FB">
            <w:pPr>
              <w:jc w:val="center"/>
              <w:rPr>
                <w:rFonts w:asciiTheme="minorHAnsi" w:hAnsiTheme="minorHAnsi" w:cstheme="minorHAnsi"/>
              </w:rPr>
            </w:pPr>
            <w:r w:rsidRPr="001219FB">
              <w:rPr>
                <w:rFonts w:asciiTheme="minorHAnsi" w:hAnsiTheme="minorHAnsi" w:cstheme="minorHAnsi"/>
              </w:rPr>
              <w:t>New Enrollees</w:t>
            </w:r>
          </w:p>
        </w:tc>
        <w:tc>
          <w:tcPr>
            <w:tcW w:w="4680" w:type="dxa"/>
            <w:shd w:val="clear" w:color="auto" w:fill="auto"/>
            <w:vAlign w:val="center"/>
          </w:tcPr>
          <w:p w14:paraId="0A026B5F" w14:textId="77777777" w:rsidR="00B744FD" w:rsidRPr="001219FB" w:rsidRDefault="00B744FD" w:rsidP="001219FB">
            <w:pPr>
              <w:spacing w:after="0" w:line="240" w:lineRule="auto"/>
              <w:ind w:left="158"/>
              <w:contextualSpacing/>
              <w:rPr>
                <w:rFonts w:asciiTheme="minorHAnsi" w:hAnsiTheme="minorHAnsi" w:cstheme="minorHAnsi"/>
              </w:rPr>
            </w:pPr>
            <w:r w:rsidRPr="001219FB">
              <w:rPr>
                <w:rFonts w:asciiTheme="minorHAnsi" w:hAnsiTheme="minorHAnsi" w:cstheme="minorHAnsi"/>
              </w:rPr>
              <w:t>Income between 150% and 300% of FPL, have Medicare, have a diagnosis of ESRD, have resources less than $1,500 for an individual and $2,250 for a couple, are not institutionalized, and meet all other Medicaid non-financial eligibility criteria but are not otherwise Medicaid or Demonstration Population 1.</w:t>
            </w:r>
          </w:p>
        </w:tc>
        <w:tc>
          <w:tcPr>
            <w:tcW w:w="2700" w:type="dxa"/>
            <w:shd w:val="clear" w:color="auto" w:fill="auto"/>
            <w:vAlign w:val="center"/>
          </w:tcPr>
          <w:p w14:paraId="19DDD0CA" w14:textId="77777777" w:rsidR="00B744FD" w:rsidRPr="001219FB" w:rsidRDefault="00B744FD" w:rsidP="001219FB">
            <w:pPr>
              <w:jc w:val="center"/>
              <w:rPr>
                <w:rFonts w:asciiTheme="minorHAnsi" w:hAnsiTheme="minorHAnsi" w:cstheme="minorHAnsi"/>
              </w:rPr>
            </w:pPr>
            <w:r w:rsidRPr="001219FB">
              <w:rPr>
                <w:rFonts w:asciiTheme="minorHAnsi" w:hAnsiTheme="minorHAnsi" w:cstheme="minorHAnsi"/>
              </w:rPr>
              <w:t>Population 2</w:t>
            </w:r>
          </w:p>
        </w:tc>
      </w:tr>
    </w:tbl>
    <w:p w14:paraId="1D29C7E6" w14:textId="77777777" w:rsidR="00B744FD" w:rsidRPr="001219FB" w:rsidRDefault="00B744FD" w:rsidP="00B744FD">
      <w:pPr>
        <w:jc w:val="left"/>
        <w:rPr>
          <w:rFonts w:asciiTheme="minorHAnsi" w:hAnsiTheme="minorHAnsi" w:cstheme="minorHAnsi"/>
          <w:b/>
        </w:rPr>
      </w:pPr>
    </w:p>
    <w:p w14:paraId="66E6737B" w14:textId="77777777" w:rsidR="00B744FD" w:rsidRPr="001219FB" w:rsidRDefault="00B744FD" w:rsidP="00B744FD">
      <w:pPr>
        <w:pStyle w:val="NoSpacing"/>
        <w:rPr>
          <w:rFonts w:asciiTheme="minorHAnsi" w:hAnsiTheme="minorHAnsi" w:cstheme="minorHAnsi"/>
        </w:rPr>
      </w:pPr>
      <w:r w:rsidRPr="001219FB">
        <w:rPr>
          <w:rFonts w:asciiTheme="minorHAnsi" w:hAnsiTheme="minorHAnsi" w:cstheme="minorHAnsi"/>
        </w:rPr>
        <w:t>The state anticipates that</w:t>
      </w:r>
      <w:r>
        <w:rPr>
          <w:rFonts w:asciiTheme="minorHAnsi" w:hAnsiTheme="minorHAnsi" w:cstheme="minorHAnsi"/>
        </w:rPr>
        <w:t>, similar to the previous waiver timeline, a</w:t>
      </w:r>
      <w:r w:rsidRPr="001219FB">
        <w:rPr>
          <w:rFonts w:asciiTheme="minorHAnsi" w:hAnsiTheme="minorHAnsi" w:cstheme="minorHAnsi"/>
        </w:rPr>
        <w:t xml:space="preserve"> draft of the </w:t>
      </w:r>
      <w:r>
        <w:rPr>
          <w:rFonts w:asciiTheme="minorHAnsi" w:hAnsiTheme="minorHAnsi" w:cstheme="minorHAnsi"/>
        </w:rPr>
        <w:t>evaluation</w:t>
      </w:r>
      <w:r w:rsidRPr="001219FB">
        <w:rPr>
          <w:rFonts w:asciiTheme="minorHAnsi" w:hAnsiTheme="minorHAnsi" w:cstheme="minorHAnsi"/>
        </w:rPr>
        <w:t xml:space="preserve"> </w:t>
      </w:r>
      <w:r w:rsidRPr="001219FB">
        <w:rPr>
          <w:rFonts w:asciiTheme="minorHAnsi" w:hAnsiTheme="minorHAnsi" w:cstheme="minorHAnsi"/>
        </w:rPr>
        <w:t>report will be submitted</w:t>
      </w:r>
      <w:r>
        <w:rPr>
          <w:rFonts w:asciiTheme="minorHAnsi" w:hAnsiTheme="minorHAnsi" w:cstheme="minorHAnsi"/>
        </w:rPr>
        <w:t xml:space="preserve"> to CMS by May 2, 2021 which is roughly 120 days from the effective date of the renewal </w:t>
      </w:r>
      <w:r>
        <w:rPr>
          <w:rFonts w:asciiTheme="minorHAnsi" w:hAnsiTheme="minorHAnsi" w:cstheme="minorHAnsi"/>
        </w:rPr>
        <w:lastRenderedPageBreak/>
        <w:t xml:space="preserve">(1/1/2021). </w:t>
      </w:r>
      <w:r w:rsidRPr="001219FB">
        <w:rPr>
          <w:rFonts w:asciiTheme="minorHAnsi" w:hAnsiTheme="minorHAnsi" w:cstheme="minorHAnsi"/>
        </w:rPr>
        <w:t xml:space="preserve">  </w:t>
      </w:r>
      <w:r>
        <w:rPr>
          <w:rFonts w:asciiTheme="minorHAnsi" w:hAnsiTheme="minorHAnsi" w:cstheme="minorHAnsi"/>
        </w:rPr>
        <w:t xml:space="preserve">The State expects to engage in discussions with CMS </w:t>
      </w:r>
      <w:r w:rsidRPr="001219FB">
        <w:rPr>
          <w:rFonts w:asciiTheme="minorHAnsi" w:hAnsiTheme="minorHAnsi" w:cstheme="minorHAnsi"/>
        </w:rPr>
        <w:t>a</w:t>
      </w:r>
      <w:r>
        <w:rPr>
          <w:rFonts w:asciiTheme="minorHAnsi" w:hAnsiTheme="minorHAnsi" w:cstheme="minorHAnsi"/>
        </w:rPr>
        <w:t>s well as receive feedback on the draft evaluation design.  After receiving CMS feedback on its draft evaluation design, the State will work to submit its final evaluation design to CMS no later than 60 days after.  Depending on the timing of comments and feedback, the State anticipates final evaluation design submission in July or August of 2021.</w:t>
      </w:r>
    </w:p>
    <w:p w14:paraId="31E926FA" w14:textId="77777777" w:rsidR="00B744FD" w:rsidRPr="001219FB" w:rsidRDefault="00B744FD" w:rsidP="00B744FD">
      <w:pPr>
        <w:pStyle w:val="NoSpacing"/>
        <w:rPr>
          <w:rFonts w:asciiTheme="minorHAnsi" w:hAnsiTheme="minorHAnsi" w:cstheme="minorHAnsi"/>
        </w:rPr>
      </w:pPr>
    </w:p>
    <w:p w14:paraId="588910DF" w14:textId="77777777" w:rsidR="00B744FD" w:rsidRPr="001219FB" w:rsidRDefault="00B744FD" w:rsidP="00B744FD">
      <w:pPr>
        <w:pStyle w:val="NoSpacing"/>
        <w:rPr>
          <w:rFonts w:asciiTheme="minorHAnsi" w:hAnsiTheme="minorHAnsi" w:cstheme="minorHAnsi"/>
          <w:b/>
        </w:rPr>
      </w:pPr>
      <w:r w:rsidRPr="001219FB">
        <w:rPr>
          <w:rFonts w:asciiTheme="minorHAnsi" w:hAnsiTheme="minorHAnsi" w:cstheme="minorHAnsi"/>
          <w:b/>
        </w:rPr>
        <w:t>Demonstration Hypotheses:</w:t>
      </w:r>
    </w:p>
    <w:p w14:paraId="7F9B48AE" w14:textId="728DE70F" w:rsidR="00B744FD" w:rsidRPr="00E10F10" w:rsidRDefault="00B744FD" w:rsidP="00B744FD">
      <w:pPr>
        <w:pStyle w:val="ListParagraph"/>
        <w:spacing w:after="0"/>
        <w:ind w:left="0" w:firstLine="0"/>
        <w:rPr>
          <w:rFonts w:asciiTheme="minorHAnsi" w:hAnsiTheme="minorHAnsi" w:cstheme="minorHAnsi"/>
          <w:i/>
        </w:rPr>
      </w:pPr>
      <w:r w:rsidRPr="001219FB">
        <w:rPr>
          <w:rFonts w:asciiTheme="minorHAnsi" w:hAnsiTheme="minorHAnsi" w:cstheme="minorHAnsi"/>
          <w:i/>
          <w:u w:val="single"/>
        </w:rPr>
        <w:t>The ESRD §1115 waiver will investigate the following hypotheses</w:t>
      </w:r>
      <w:r w:rsidRPr="001219FB">
        <w:rPr>
          <w:rFonts w:asciiTheme="minorHAnsi" w:hAnsiTheme="minorHAnsi" w:cstheme="minorHAnsi"/>
          <w:i/>
        </w:rPr>
        <w:t>:</w:t>
      </w:r>
    </w:p>
    <w:p w14:paraId="03403799" w14:textId="77777777" w:rsidR="00B744FD" w:rsidRPr="001219FB" w:rsidRDefault="00B744FD" w:rsidP="00E10F10">
      <w:pPr>
        <w:pStyle w:val="ListParagraph"/>
        <w:numPr>
          <w:ilvl w:val="0"/>
          <w:numId w:val="38"/>
        </w:numPr>
        <w:spacing w:after="0" w:line="240" w:lineRule="auto"/>
        <w:ind w:left="810"/>
        <w:jc w:val="left"/>
        <w:rPr>
          <w:rFonts w:asciiTheme="minorHAnsi" w:hAnsiTheme="minorHAnsi" w:cstheme="minorHAnsi"/>
        </w:rPr>
      </w:pPr>
      <w:r w:rsidRPr="001219FB">
        <w:rPr>
          <w:rFonts w:asciiTheme="minorHAnsi" w:hAnsiTheme="minorHAnsi" w:cstheme="minorHAnsi"/>
        </w:rPr>
        <w:t>ESRD §1115 waiver enrollees will maintain access to kidney transplant waiting lists.</w:t>
      </w:r>
    </w:p>
    <w:p w14:paraId="51A189C6" w14:textId="77777777" w:rsidR="00B744FD" w:rsidRPr="001219FB" w:rsidRDefault="00B744FD" w:rsidP="00E10F10">
      <w:pPr>
        <w:pStyle w:val="ListParagraph"/>
        <w:numPr>
          <w:ilvl w:val="0"/>
          <w:numId w:val="38"/>
        </w:numPr>
        <w:spacing w:after="0" w:line="240" w:lineRule="auto"/>
        <w:ind w:left="810"/>
        <w:jc w:val="left"/>
        <w:rPr>
          <w:rFonts w:asciiTheme="minorHAnsi" w:hAnsiTheme="minorHAnsi" w:cstheme="minorHAnsi"/>
        </w:rPr>
      </w:pPr>
      <w:r w:rsidRPr="001219FB">
        <w:rPr>
          <w:rFonts w:asciiTheme="minorHAnsi" w:hAnsiTheme="minorHAnsi" w:cstheme="minorHAnsi"/>
        </w:rPr>
        <w:t>ESRD §1115 waiver enrollees will have access to kidney transplants and the supplemental coverage needed to ultimately end their ESRD diagnosis and increase access to a broader market of health coverage.</w:t>
      </w:r>
    </w:p>
    <w:p w14:paraId="3D2F5CAE" w14:textId="77777777" w:rsidR="00B744FD" w:rsidRPr="001219FB" w:rsidRDefault="00B744FD" w:rsidP="00E10F10">
      <w:pPr>
        <w:pStyle w:val="ListParagraph"/>
        <w:numPr>
          <w:ilvl w:val="0"/>
          <w:numId w:val="38"/>
        </w:numPr>
        <w:spacing w:after="0" w:line="240" w:lineRule="auto"/>
        <w:ind w:left="810"/>
        <w:jc w:val="left"/>
        <w:rPr>
          <w:rFonts w:asciiTheme="minorHAnsi" w:hAnsiTheme="minorHAnsi" w:cstheme="minorHAnsi"/>
        </w:rPr>
      </w:pPr>
      <w:r w:rsidRPr="001219FB">
        <w:rPr>
          <w:rFonts w:asciiTheme="minorHAnsi" w:hAnsiTheme="minorHAnsi" w:cstheme="minorHAnsi"/>
        </w:rPr>
        <w:t>The ESRD §1115 waiver demonstration will enroll newly-eligible individuals.</w:t>
      </w:r>
    </w:p>
    <w:p w14:paraId="5D035155" w14:textId="77777777" w:rsidR="00B744FD" w:rsidRPr="001219FB" w:rsidRDefault="00B744FD" w:rsidP="00E10F10">
      <w:pPr>
        <w:pStyle w:val="ListParagraph"/>
        <w:numPr>
          <w:ilvl w:val="0"/>
          <w:numId w:val="38"/>
        </w:numPr>
        <w:spacing w:after="0" w:line="240" w:lineRule="auto"/>
        <w:ind w:left="810"/>
        <w:jc w:val="left"/>
        <w:rPr>
          <w:rFonts w:asciiTheme="minorHAnsi" w:hAnsiTheme="minorHAnsi" w:cstheme="minorHAnsi"/>
        </w:rPr>
      </w:pPr>
      <w:r w:rsidRPr="001219FB">
        <w:rPr>
          <w:rFonts w:asciiTheme="minorHAnsi" w:hAnsiTheme="minorHAnsi" w:cstheme="minorHAnsi"/>
        </w:rPr>
        <w:t xml:space="preserve">The ESRD §1115 waiver will promote awareness and enrollment of ESRD waiver recipients in Medicare Advantage (MA) plans. </w:t>
      </w:r>
    </w:p>
    <w:p w14:paraId="635406B7" w14:textId="77777777" w:rsidR="00B744FD" w:rsidRPr="001219FB" w:rsidRDefault="00B744FD" w:rsidP="00B744FD">
      <w:pPr>
        <w:pStyle w:val="ListParagraph"/>
        <w:spacing w:after="0" w:line="240" w:lineRule="auto"/>
        <w:rPr>
          <w:rFonts w:asciiTheme="minorHAnsi" w:hAnsiTheme="minorHAnsi" w:cstheme="minorHAnsi"/>
        </w:rPr>
      </w:pPr>
    </w:p>
    <w:p w14:paraId="72D2DBF7" w14:textId="48E61B4B" w:rsidR="00B744FD" w:rsidRPr="001219FB" w:rsidRDefault="00B744FD" w:rsidP="00E10F10">
      <w:pPr>
        <w:spacing w:after="0" w:line="240" w:lineRule="auto"/>
        <w:contextualSpacing/>
        <w:rPr>
          <w:rFonts w:asciiTheme="minorHAnsi" w:hAnsiTheme="minorHAnsi" w:cstheme="minorHAnsi"/>
          <w:i/>
        </w:rPr>
      </w:pPr>
      <w:r w:rsidRPr="001219FB">
        <w:rPr>
          <w:rFonts w:asciiTheme="minorHAnsi" w:hAnsiTheme="minorHAnsi" w:cstheme="minorHAnsi"/>
          <w:i/>
          <w:u w:val="single"/>
        </w:rPr>
        <w:t>To test these hypotheses, the ESRD §1115 waiver will utilize the following evaluation measures</w:t>
      </w:r>
      <w:r w:rsidRPr="001219FB">
        <w:rPr>
          <w:rFonts w:asciiTheme="minorHAnsi" w:hAnsiTheme="minorHAnsi" w:cstheme="minorHAnsi"/>
          <w:i/>
        </w:rPr>
        <w:t>:</w:t>
      </w:r>
    </w:p>
    <w:p w14:paraId="1E4D964F" w14:textId="77777777" w:rsidR="00B744FD" w:rsidRPr="001219FB" w:rsidRDefault="00B744FD" w:rsidP="00E10F10">
      <w:pPr>
        <w:pStyle w:val="ListParagraph"/>
        <w:numPr>
          <w:ilvl w:val="0"/>
          <w:numId w:val="37"/>
        </w:numPr>
        <w:spacing w:after="0" w:line="240" w:lineRule="auto"/>
        <w:ind w:left="810"/>
        <w:jc w:val="left"/>
        <w:rPr>
          <w:rFonts w:asciiTheme="minorHAnsi" w:hAnsiTheme="minorHAnsi" w:cstheme="minorHAnsi"/>
        </w:rPr>
      </w:pPr>
      <w:r w:rsidRPr="001219FB">
        <w:rPr>
          <w:rFonts w:asciiTheme="minorHAnsi" w:hAnsiTheme="minorHAnsi" w:cstheme="minorHAnsi"/>
        </w:rPr>
        <w:t>Track waiver enrollment and enrollment trends over the course of the demonstration</w:t>
      </w:r>
    </w:p>
    <w:p w14:paraId="218C06AE" w14:textId="77777777" w:rsidR="00B744FD" w:rsidRPr="001219FB" w:rsidRDefault="00B744FD" w:rsidP="00E10F10">
      <w:pPr>
        <w:pStyle w:val="ListParagraph"/>
        <w:numPr>
          <w:ilvl w:val="0"/>
          <w:numId w:val="37"/>
        </w:numPr>
        <w:spacing w:after="0" w:line="240" w:lineRule="auto"/>
        <w:ind w:left="810"/>
        <w:jc w:val="left"/>
        <w:rPr>
          <w:rFonts w:asciiTheme="minorHAnsi" w:hAnsiTheme="minorHAnsi" w:cstheme="minorHAnsi"/>
        </w:rPr>
      </w:pPr>
      <w:r w:rsidRPr="001219FB">
        <w:rPr>
          <w:rFonts w:asciiTheme="minorHAnsi" w:hAnsiTheme="minorHAnsi" w:cstheme="minorHAnsi"/>
        </w:rPr>
        <w:t>Track waiver enrollees who are on the transplant list as well as those who are not.</w:t>
      </w:r>
    </w:p>
    <w:p w14:paraId="13E8FA9C" w14:textId="77777777" w:rsidR="00B744FD" w:rsidRPr="001219FB" w:rsidRDefault="00B744FD" w:rsidP="00E10F10">
      <w:pPr>
        <w:pStyle w:val="ListParagraph"/>
        <w:numPr>
          <w:ilvl w:val="0"/>
          <w:numId w:val="37"/>
        </w:numPr>
        <w:spacing w:after="0" w:line="240" w:lineRule="auto"/>
        <w:ind w:left="810"/>
        <w:jc w:val="left"/>
        <w:rPr>
          <w:rFonts w:asciiTheme="minorHAnsi" w:hAnsiTheme="minorHAnsi" w:cstheme="minorHAnsi"/>
        </w:rPr>
      </w:pPr>
      <w:r w:rsidRPr="001219FB">
        <w:rPr>
          <w:rFonts w:asciiTheme="minorHAnsi" w:hAnsiTheme="minorHAnsi" w:cstheme="minorHAnsi"/>
        </w:rPr>
        <w:t>Track how many individuals on the waiver receive a kidney transplant.</w:t>
      </w:r>
    </w:p>
    <w:p w14:paraId="6BE2EB64" w14:textId="77777777" w:rsidR="00B744FD" w:rsidRPr="001219FB" w:rsidRDefault="00B744FD" w:rsidP="00E10F10">
      <w:pPr>
        <w:pStyle w:val="ListParagraph"/>
        <w:numPr>
          <w:ilvl w:val="0"/>
          <w:numId w:val="37"/>
        </w:numPr>
        <w:spacing w:after="0" w:line="240" w:lineRule="auto"/>
        <w:ind w:left="810"/>
        <w:jc w:val="left"/>
        <w:rPr>
          <w:rFonts w:asciiTheme="minorHAnsi" w:hAnsiTheme="minorHAnsi" w:cstheme="minorHAnsi"/>
        </w:rPr>
      </w:pPr>
      <w:r w:rsidRPr="001219FB">
        <w:rPr>
          <w:rFonts w:asciiTheme="minorHAnsi" w:hAnsiTheme="minorHAnsi" w:cstheme="minorHAnsi"/>
        </w:rPr>
        <w:t>Track how many enrollees become ineligible for the waiver due to no longer having an ESRD diagnosis.</w:t>
      </w:r>
    </w:p>
    <w:p w14:paraId="7B6D486C" w14:textId="77777777" w:rsidR="00B744FD" w:rsidRPr="001219FB" w:rsidRDefault="00B744FD" w:rsidP="00E10F10">
      <w:pPr>
        <w:pStyle w:val="ListParagraph"/>
        <w:numPr>
          <w:ilvl w:val="0"/>
          <w:numId w:val="37"/>
        </w:numPr>
        <w:spacing w:after="0" w:line="240" w:lineRule="auto"/>
        <w:ind w:left="810"/>
        <w:jc w:val="left"/>
        <w:rPr>
          <w:rFonts w:asciiTheme="minorHAnsi" w:hAnsiTheme="minorHAnsi" w:cstheme="minorHAnsi"/>
        </w:rPr>
      </w:pPr>
      <w:r w:rsidRPr="001219FB">
        <w:rPr>
          <w:rFonts w:asciiTheme="minorHAnsi" w:hAnsiTheme="minorHAnsi" w:cstheme="minorHAnsi"/>
        </w:rPr>
        <w:t>Track how many newly-eligible enrollees gain coverage under the waiver.</w:t>
      </w:r>
    </w:p>
    <w:p w14:paraId="2A80430F" w14:textId="77777777" w:rsidR="00B744FD" w:rsidRPr="001219FB" w:rsidRDefault="00B744FD" w:rsidP="00E10F10">
      <w:pPr>
        <w:pStyle w:val="ListParagraph"/>
        <w:numPr>
          <w:ilvl w:val="0"/>
          <w:numId w:val="37"/>
        </w:numPr>
        <w:spacing w:after="0" w:line="240" w:lineRule="auto"/>
        <w:ind w:left="810"/>
        <w:jc w:val="left"/>
        <w:rPr>
          <w:rFonts w:asciiTheme="minorHAnsi" w:hAnsiTheme="minorHAnsi" w:cstheme="minorHAnsi"/>
        </w:rPr>
      </w:pPr>
      <w:r w:rsidRPr="001219FB">
        <w:rPr>
          <w:rFonts w:asciiTheme="minorHAnsi" w:hAnsiTheme="minorHAnsi" w:cstheme="minorHAnsi"/>
        </w:rPr>
        <w:t xml:space="preserve">Track total and average waiver spend-down totals for ESRD waiver recipients and the frequency with which ESRD waiver liability is met annually  </w:t>
      </w:r>
    </w:p>
    <w:p w14:paraId="1599589D" w14:textId="77777777" w:rsidR="00B744FD" w:rsidRPr="001219FB" w:rsidRDefault="00B744FD" w:rsidP="00E10F10">
      <w:pPr>
        <w:pStyle w:val="ListParagraph"/>
        <w:numPr>
          <w:ilvl w:val="0"/>
          <w:numId w:val="37"/>
        </w:numPr>
        <w:spacing w:after="0" w:line="240" w:lineRule="auto"/>
        <w:ind w:left="810"/>
        <w:jc w:val="left"/>
        <w:rPr>
          <w:rFonts w:asciiTheme="minorHAnsi" w:hAnsiTheme="minorHAnsi" w:cstheme="minorHAnsi"/>
        </w:rPr>
      </w:pPr>
      <w:r w:rsidRPr="001219FB">
        <w:rPr>
          <w:rFonts w:asciiTheme="minorHAnsi" w:hAnsiTheme="minorHAnsi" w:cstheme="minorHAnsi"/>
        </w:rPr>
        <w:t>Track total expenditures associated with ESRD waiver enrollees.</w:t>
      </w:r>
    </w:p>
    <w:p w14:paraId="36E9416C" w14:textId="77777777" w:rsidR="00B744FD" w:rsidRPr="001219FB" w:rsidRDefault="00B744FD" w:rsidP="00E10F10">
      <w:pPr>
        <w:pStyle w:val="ListParagraph"/>
        <w:numPr>
          <w:ilvl w:val="0"/>
          <w:numId w:val="37"/>
        </w:numPr>
        <w:spacing w:after="0" w:line="240" w:lineRule="auto"/>
        <w:ind w:left="810"/>
        <w:jc w:val="left"/>
        <w:rPr>
          <w:rFonts w:asciiTheme="minorHAnsi" w:hAnsiTheme="minorHAnsi" w:cstheme="minorHAnsi"/>
        </w:rPr>
      </w:pPr>
      <w:r w:rsidRPr="001219FB">
        <w:rPr>
          <w:rFonts w:asciiTheme="minorHAnsi" w:hAnsiTheme="minorHAnsi" w:cstheme="minorHAnsi"/>
        </w:rPr>
        <w:t xml:space="preserve">Track specific Medicare enrollment type (Fee-for-service, MA, Medigap, etc.) for ESRD waiver enrollees.  </w:t>
      </w:r>
    </w:p>
    <w:p w14:paraId="2D7FA387" w14:textId="77777777" w:rsidR="00B744FD" w:rsidRPr="001219FB" w:rsidRDefault="00B744FD" w:rsidP="00B744FD">
      <w:pPr>
        <w:pStyle w:val="ListParagraph"/>
        <w:spacing w:after="0"/>
        <w:ind w:firstLine="0"/>
        <w:rPr>
          <w:rFonts w:asciiTheme="minorHAnsi" w:hAnsiTheme="minorHAnsi" w:cstheme="minorHAnsi"/>
          <w:b/>
          <w:u w:val="single"/>
        </w:rPr>
      </w:pPr>
    </w:p>
    <w:p w14:paraId="14B13CF9" w14:textId="77777777" w:rsidR="00B744FD" w:rsidRPr="001219FB" w:rsidRDefault="00B744FD" w:rsidP="00B744FD">
      <w:pPr>
        <w:pStyle w:val="NoSpacing"/>
        <w:rPr>
          <w:rFonts w:asciiTheme="minorHAnsi" w:hAnsiTheme="minorHAnsi" w:cstheme="minorHAnsi"/>
          <w:b/>
        </w:rPr>
      </w:pPr>
      <w:r w:rsidRPr="001219FB">
        <w:rPr>
          <w:rFonts w:asciiTheme="minorHAnsi" w:hAnsiTheme="minorHAnsi" w:cstheme="minorHAnsi"/>
          <w:b/>
        </w:rPr>
        <w:t>Plan for Measurement and Analysis:</w:t>
      </w:r>
    </w:p>
    <w:p w14:paraId="6E7CE882" w14:textId="425C132B" w:rsidR="00B744FD" w:rsidRPr="001219FB" w:rsidRDefault="00B744FD" w:rsidP="00B744FD">
      <w:pPr>
        <w:pStyle w:val="NoSpacing"/>
        <w:rPr>
          <w:rFonts w:asciiTheme="minorHAnsi" w:hAnsiTheme="minorHAnsi" w:cstheme="minorHAnsi"/>
        </w:rPr>
      </w:pPr>
      <w:r w:rsidRPr="001219FB">
        <w:rPr>
          <w:rFonts w:asciiTheme="minorHAnsi" w:hAnsiTheme="minorHAnsi" w:cstheme="minorHAnsi"/>
        </w:rPr>
        <w:t>This evaluation will build on current and historical data and information regarding program enrollment, service utilization, and program costs. Several methods and sources for collecting information will be utilized and potentially developed.  Medicaid enrollment data, information from claims, other Medicaid and social services data, as well as any relevant and identifiable data obtained through inter-agency information-sharing agreements</w:t>
      </w:r>
      <w:r w:rsidR="00E10F10">
        <w:rPr>
          <w:rFonts w:asciiTheme="minorHAnsi" w:hAnsiTheme="minorHAnsi" w:cstheme="minorHAnsi"/>
        </w:rPr>
        <w:t xml:space="preserve"> will also provide a basis for analysis</w:t>
      </w:r>
      <w:r w:rsidRPr="001219FB">
        <w:rPr>
          <w:rFonts w:asciiTheme="minorHAnsi" w:hAnsiTheme="minorHAnsi" w:cstheme="minorHAnsi"/>
        </w:rPr>
        <w:t xml:space="preserve">.  The sample for the ESRD §1115 waiver will be all enrollees whose eligibility for the waiver has been established.     </w:t>
      </w:r>
    </w:p>
    <w:p w14:paraId="48F0AB14" w14:textId="77777777" w:rsidR="00B744FD" w:rsidRPr="001219FB" w:rsidRDefault="00B744FD" w:rsidP="00B744FD">
      <w:pPr>
        <w:pStyle w:val="NoSpacing"/>
        <w:rPr>
          <w:rFonts w:asciiTheme="minorHAnsi" w:hAnsiTheme="minorHAnsi" w:cstheme="minorHAnsi"/>
        </w:rPr>
      </w:pPr>
    </w:p>
    <w:p w14:paraId="53DFEED0" w14:textId="77777777" w:rsidR="00B744FD" w:rsidRPr="001219FB" w:rsidRDefault="00B744FD" w:rsidP="008C0EED">
      <w:pPr>
        <w:ind w:left="0"/>
        <w:rPr>
          <w:rFonts w:asciiTheme="minorHAnsi" w:hAnsiTheme="minorHAnsi" w:cstheme="minorHAnsi"/>
        </w:rPr>
      </w:pPr>
      <w:r w:rsidRPr="001219FB">
        <w:rPr>
          <w:rFonts w:asciiTheme="minorHAnsi" w:hAnsiTheme="minorHAnsi" w:cstheme="minorHAnsi"/>
        </w:rPr>
        <w:t xml:space="preserve">The effects of the demonstration are isolated from other initiatives occurring in the state, as there are no other initiatives in Indiana regarding ESRD. Additionally, enrollees in the waiver are not eligible to receive other Medicaid services. </w:t>
      </w:r>
    </w:p>
    <w:p w14:paraId="50D98584" w14:textId="77777777" w:rsidR="00B744FD" w:rsidRDefault="00B744FD" w:rsidP="008C0EED">
      <w:pPr>
        <w:spacing w:after="0" w:line="240" w:lineRule="auto"/>
        <w:ind w:left="0"/>
        <w:contextualSpacing/>
        <w:rPr>
          <w:rFonts w:asciiTheme="minorHAnsi" w:hAnsiTheme="minorHAnsi" w:cstheme="minorHAnsi"/>
          <w:i/>
        </w:rPr>
      </w:pPr>
    </w:p>
    <w:p w14:paraId="43E3FEA2" w14:textId="77777777" w:rsidR="00B744FD" w:rsidRPr="001219FB" w:rsidRDefault="00B744FD" w:rsidP="008C0EED">
      <w:pPr>
        <w:spacing w:after="0" w:line="240" w:lineRule="auto"/>
        <w:ind w:left="0"/>
        <w:contextualSpacing/>
        <w:rPr>
          <w:rFonts w:asciiTheme="minorHAnsi" w:hAnsiTheme="minorHAnsi" w:cstheme="minorHAnsi"/>
          <w:i/>
        </w:rPr>
      </w:pPr>
      <w:r w:rsidRPr="001219FB">
        <w:rPr>
          <w:rFonts w:asciiTheme="minorHAnsi" w:hAnsiTheme="minorHAnsi" w:cstheme="minorHAnsi"/>
          <w:i/>
          <w:u w:val="single"/>
        </w:rPr>
        <w:t>Questions to be addressed in the evaluation include</w:t>
      </w:r>
      <w:r w:rsidRPr="001219FB">
        <w:rPr>
          <w:rFonts w:asciiTheme="minorHAnsi" w:hAnsiTheme="minorHAnsi" w:cstheme="minorHAnsi"/>
          <w:i/>
        </w:rPr>
        <w:t>:</w:t>
      </w:r>
    </w:p>
    <w:p w14:paraId="1CAC52FD" w14:textId="77777777" w:rsidR="00B744FD" w:rsidRPr="001219FB" w:rsidRDefault="00B744FD" w:rsidP="00E10F10">
      <w:pPr>
        <w:pStyle w:val="NoSpacing"/>
        <w:numPr>
          <w:ilvl w:val="0"/>
          <w:numId w:val="36"/>
        </w:numPr>
        <w:ind w:left="810"/>
        <w:rPr>
          <w:rFonts w:asciiTheme="minorHAnsi" w:hAnsiTheme="minorHAnsi" w:cstheme="minorHAnsi"/>
        </w:rPr>
      </w:pPr>
      <w:r w:rsidRPr="001219FB">
        <w:rPr>
          <w:rFonts w:asciiTheme="minorHAnsi" w:hAnsiTheme="minorHAnsi" w:cstheme="minorHAnsi"/>
        </w:rPr>
        <w:t xml:space="preserve">How many people are enrolled in the ESRD waiver? </w:t>
      </w:r>
    </w:p>
    <w:p w14:paraId="19F867FD" w14:textId="77777777" w:rsidR="00B744FD" w:rsidRPr="001219FB" w:rsidRDefault="00B744FD" w:rsidP="00E10F10">
      <w:pPr>
        <w:pStyle w:val="NoSpacing"/>
        <w:numPr>
          <w:ilvl w:val="0"/>
          <w:numId w:val="36"/>
        </w:numPr>
        <w:ind w:left="810"/>
        <w:rPr>
          <w:rFonts w:asciiTheme="minorHAnsi" w:hAnsiTheme="minorHAnsi" w:cstheme="minorHAnsi"/>
        </w:rPr>
      </w:pPr>
      <w:r w:rsidRPr="001219FB">
        <w:rPr>
          <w:rFonts w:asciiTheme="minorHAnsi" w:hAnsiTheme="minorHAnsi" w:cstheme="minorHAnsi"/>
        </w:rPr>
        <w:t>How many enrollees are on the kidney transplant list during enrollment?</w:t>
      </w:r>
    </w:p>
    <w:p w14:paraId="69BA119A" w14:textId="77777777" w:rsidR="00B744FD" w:rsidRPr="001219FB" w:rsidRDefault="00B744FD" w:rsidP="00E10F10">
      <w:pPr>
        <w:pStyle w:val="NoSpacing"/>
        <w:numPr>
          <w:ilvl w:val="0"/>
          <w:numId w:val="36"/>
        </w:numPr>
        <w:ind w:left="810"/>
        <w:rPr>
          <w:rFonts w:asciiTheme="minorHAnsi" w:hAnsiTheme="minorHAnsi" w:cstheme="minorHAnsi"/>
        </w:rPr>
      </w:pPr>
      <w:r w:rsidRPr="001219FB">
        <w:rPr>
          <w:rFonts w:asciiTheme="minorHAnsi" w:hAnsiTheme="minorHAnsi" w:cstheme="minorHAnsi"/>
        </w:rPr>
        <w:t>How many enrollees received a kidney transplant during enrollment?</w:t>
      </w:r>
    </w:p>
    <w:p w14:paraId="22421FBB" w14:textId="77777777" w:rsidR="00B744FD" w:rsidRPr="001219FB" w:rsidRDefault="00B744FD" w:rsidP="00E10F10">
      <w:pPr>
        <w:pStyle w:val="NoSpacing"/>
        <w:numPr>
          <w:ilvl w:val="0"/>
          <w:numId w:val="36"/>
        </w:numPr>
        <w:ind w:left="810"/>
        <w:rPr>
          <w:rFonts w:asciiTheme="minorHAnsi" w:hAnsiTheme="minorHAnsi" w:cstheme="minorHAnsi"/>
        </w:rPr>
      </w:pPr>
      <w:r w:rsidRPr="001219FB">
        <w:rPr>
          <w:rFonts w:asciiTheme="minorHAnsi" w:hAnsiTheme="minorHAnsi" w:cstheme="minorHAnsi"/>
        </w:rPr>
        <w:t>How many enrollees no longer have a diagnosis of ESRD?</w:t>
      </w:r>
    </w:p>
    <w:p w14:paraId="5DC81A28" w14:textId="77777777" w:rsidR="00B744FD" w:rsidRPr="001219FB" w:rsidRDefault="00B744FD" w:rsidP="00E10F10">
      <w:pPr>
        <w:pStyle w:val="NoSpacing"/>
        <w:numPr>
          <w:ilvl w:val="0"/>
          <w:numId w:val="36"/>
        </w:numPr>
        <w:ind w:left="810"/>
        <w:rPr>
          <w:rFonts w:asciiTheme="minorHAnsi" w:hAnsiTheme="minorHAnsi" w:cstheme="minorHAnsi"/>
        </w:rPr>
      </w:pPr>
      <w:r w:rsidRPr="001219FB">
        <w:rPr>
          <w:rFonts w:asciiTheme="minorHAnsi" w:hAnsiTheme="minorHAnsi" w:cstheme="minorHAnsi"/>
        </w:rPr>
        <w:t xml:space="preserve">How many new enrollees become eligible for the program? </w:t>
      </w:r>
    </w:p>
    <w:p w14:paraId="60A04679" w14:textId="77777777" w:rsidR="00B744FD" w:rsidRPr="001219FB" w:rsidRDefault="00B744FD" w:rsidP="00E10F10">
      <w:pPr>
        <w:pStyle w:val="NoSpacing"/>
        <w:numPr>
          <w:ilvl w:val="0"/>
          <w:numId w:val="36"/>
        </w:numPr>
        <w:ind w:left="810"/>
        <w:rPr>
          <w:rFonts w:asciiTheme="minorHAnsi" w:hAnsiTheme="minorHAnsi" w:cstheme="minorHAnsi"/>
        </w:rPr>
      </w:pPr>
      <w:r w:rsidRPr="001219FB">
        <w:rPr>
          <w:rFonts w:asciiTheme="minorHAnsi" w:hAnsiTheme="minorHAnsi" w:cstheme="minorHAnsi"/>
        </w:rPr>
        <w:lastRenderedPageBreak/>
        <w:t xml:space="preserve">What is the average amount of ESRD waiver spend-down? </w:t>
      </w:r>
    </w:p>
    <w:p w14:paraId="7FBC76E8" w14:textId="77777777" w:rsidR="00B744FD" w:rsidRPr="001219FB" w:rsidRDefault="00B744FD" w:rsidP="00E10F10">
      <w:pPr>
        <w:pStyle w:val="NoSpacing"/>
        <w:numPr>
          <w:ilvl w:val="0"/>
          <w:numId w:val="36"/>
        </w:numPr>
        <w:ind w:left="810"/>
        <w:rPr>
          <w:rFonts w:asciiTheme="minorHAnsi" w:hAnsiTheme="minorHAnsi" w:cstheme="minorHAnsi"/>
        </w:rPr>
      </w:pPr>
      <w:r w:rsidRPr="001219FB">
        <w:rPr>
          <w:rFonts w:asciiTheme="minorHAnsi" w:hAnsiTheme="minorHAnsi" w:cstheme="minorHAnsi"/>
        </w:rPr>
        <w:t xml:space="preserve">What are the ESRD enrollee expenditures? </w:t>
      </w:r>
    </w:p>
    <w:p w14:paraId="7C2A9225" w14:textId="77777777" w:rsidR="00B744FD" w:rsidRPr="001219FB" w:rsidRDefault="00B744FD" w:rsidP="00E10F10">
      <w:pPr>
        <w:pStyle w:val="NoSpacing"/>
        <w:numPr>
          <w:ilvl w:val="0"/>
          <w:numId w:val="36"/>
        </w:numPr>
        <w:ind w:left="810"/>
        <w:rPr>
          <w:rFonts w:asciiTheme="minorHAnsi" w:hAnsiTheme="minorHAnsi" w:cstheme="minorHAnsi"/>
        </w:rPr>
      </w:pPr>
      <w:r w:rsidRPr="001219FB">
        <w:rPr>
          <w:rFonts w:asciiTheme="minorHAnsi" w:hAnsiTheme="minorHAnsi" w:cstheme="minorHAnsi"/>
        </w:rPr>
        <w:t xml:space="preserve">What type of Medicare are ESRD members enrolled? </w:t>
      </w:r>
    </w:p>
    <w:p w14:paraId="08359CFE" w14:textId="77777777" w:rsidR="00B744FD" w:rsidRDefault="00B744FD" w:rsidP="00E10F10">
      <w:pPr>
        <w:pStyle w:val="NoSpacing"/>
        <w:ind w:left="810"/>
        <w:rPr>
          <w:rFonts w:asciiTheme="minorHAnsi" w:hAnsiTheme="minorHAnsi" w:cstheme="minorHAnsi"/>
        </w:rPr>
      </w:pPr>
    </w:p>
    <w:p w14:paraId="0BD46005" w14:textId="77777777" w:rsidR="00B744FD" w:rsidRPr="001219FB" w:rsidRDefault="00B744FD" w:rsidP="00B744FD">
      <w:pPr>
        <w:pStyle w:val="NoSpacing"/>
        <w:rPr>
          <w:rFonts w:asciiTheme="minorHAnsi" w:hAnsiTheme="minorHAnsi" w:cstheme="minorHAnsi"/>
        </w:rPr>
      </w:pPr>
      <w:r w:rsidRPr="001219FB">
        <w:rPr>
          <w:rFonts w:asciiTheme="minorHAnsi" w:hAnsiTheme="minorHAnsi" w:cstheme="minorHAnsi"/>
        </w:rPr>
        <w:t>In order to ensure access to comprehensive coverage for low-income individuals with ESRD with primary coverage through Medicare, the state will monitor utilization of  HEDIS-like measures assessing Flu vaccinations for adults (FVA and FVO), Adults’ Access to Preventive/Ambulatory Health Services (AAP), and Ambulatory Care (AMB).</w:t>
      </w:r>
      <w:r>
        <w:rPr>
          <w:rFonts w:asciiTheme="minorHAnsi" w:hAnsiTheme="minorHAnsi" w:cstheme="minorHAnsi"/>
        </w:rPr>
        <w:t xml:space="preserve">  Measures</w:t>
      </w:r>
      <w:r w:rsidRPr="001219FB">
        <w:rPr>
          <w:rFonts w:asciiTheme="minorHAnsi" w:hAnsiTheme="minorHAnsi" w:cstheme="minorHAnsi"/>
        </w:rPr>
        <w:t xml:space="preserve">, data sources, and populations for the </w:t>
      </w:r>
      <w:r>
        <w:rPr>
          <w:rFonts w:asciiTheme="minorHAnsi" w:hAnsiTheme="minorHAnsi" w:cstheme="minorHAnsi"/>
        </w:rPr>
        <w:t>d</w:t>
      </w:r>
      <w:r w:rsidRPr="001219FB">
        <w:rPr>
          <w:rFonts w:asciiTheme="minorHAnsi" w:hAnsiTheme="minorHAnsi" w:cstheme="minorHAnsi"/>
        </w:rPr>
        <w:t>emonstration</w:t>
      </w:r>
      <w:r>
        <w:rPr>
          <w:rFonts w:asciiTheme="minorHAnsi" w:hAnsiTheme="minorHAnsi" w:cstheme="minorHAnsi"/>
        </w:rPr>
        <w:t xml:space="preserve"> are listed in Table 2:</w:t>
      </w:r>
    </w:p>
    <w:p w14:paraId="6D744594" w14:textId="77777777" w:rsidR="00B744FD" w:rsidRPr="001219FB" w:rsidRDefault="00B744FD" w:rsidP="00B744FD">
      <w:pPr>
        <w:pStyle w:val="NoSpacing"/>
        <w:rPr>
          <w:rFonts w:asciiTheme="minorHAnsi" w:hAnsiTheme="minorHAnsi" w:cstheme="minorHAnsi"/>
        </w:rPr>
      </w:pPr>
    </w:p>
    <w:p w14:paraId="209E2D96" w14:textId="77777777" w:rsidR="00B744FD" w:rsidRPr="001219FB" w:rsidRDefault="00B744FD" w:rsidP="00B744FD">
      <w:pPr>
        <w:pStyle w:val="NoSpacing"/>
        <w:rPr>
          <w:rFonts w:asciiTheme="minorHAnsi" w:hAnsiTheme="minorHAnsi" w:cstheme="minorHAnsi"/>
          <w:b/>
        </w:rPr>
      </w:pPr>
      <w:r w:rsidRPr="001219FB">
        <w:rPr>
          <w:rFonts w:asciiTheme="minorHAnsi" w:hAnsiTheme="minorHAnsi" w:cstheme="minorHAnsi"/>
          <w:b/>
        </w:rPr>
        <w:t>Table 2</w:t>
      </w:r>
      <w:r>
        <w:rPr>
          <w:rFonts w:asciiTheme="minorHAnsi" w:hAnsiTheme="minorHAnsi" w:cstheme="minorHAnsi"/>
          <w:b/>
        </w:rPr>
        <w:t xml:space="preserve">: </w:t>
      </w:r>
      <w:r w:rsidRPr="001219FB">
        <w:rPr>
          <w:rFonts w:asciiTheme="minorHAnsi" w:hAnsiTheme="minorHAnsi" w:cstheme="minorHAnsi"/>
          <w:b/>
        </w:rPr>
        <w:t>Measures, Data Sources and populations for Descriptive Analyses</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4140"/>
        <w:gridCol w:w="2070"/>
      </w:tblGrid>
      <w:tr w:rsidR="00B744FD" w:rsidRPr="001219FB" w14:paraId="096A6182" w14:textId="77777777" w:rsidTr="001219FB">
        <w:trPr>
          <w:trHeight w:val="305"/>
        </w:trPr>
        <w:tc>
          <w:tcPr>
            <w:tcW w:w="3690" w:type="dxa"/>
            <w:shd w:val="clear" w:color="auto" w:fill="auto"/>
            <w:vAlign w:val="bottom"/>
          </w:tcPr>
          <w:p w14:paraId="6F479FD7" w14:textId="77777777" w:rsidR="00B744FD" w:rsidRPr="001219FB" w:rsidRDefault="00B744FD" w:rsidP="001219FB">
            <w:pPr>
              <w:pStyle w:val="NoSpacing"/>
              <w:jc w:val="center"/>
              <w:rPr>
                <w:rFonts w:asciiTheme="minorHAnsi" w:hAnsiTheme="minorHAnsi" w:cstheme="minorHAnsi"/>
                <w:b/>
              </w:rPr>
            </w:pPr>
            <w:r w:rsidRPr="001219FB">
              <w:rPr>
                <w:rFonts w:asciiTheme="minorHAnsi" w:hAnsiTheme="minorHAnsi" w:cstheme="minorHAnsi"/>
                <w:b/>
              </w:rPr>
              <w:t>Measures</w:t>
            </w:r>
          </w:p>
        </w:tc>
        <w:tc>
          <w:tcPr>
            <w:tcW w:w="4140" w:type="dxa"/>
            <w:shd w:val="clear" w:color="auto" w:fill="auto"/>
            <w:vAlign w:val="bottom"/>
          </w:tcPr>
          <w:p w14:paraId="29CBFED5" w14:textId="77777777" w:rsidR="00B744FD" w:rsidRPr="001219FB" w:rsidRDefault="00B744FD" w:rsidP="001219FB">
            <w:pPr>
              <w:pStyle w:val="NoSpacing"/>
              <w:jc w:val="center"/>
              <w:rPr>
                <w:rFonts w:asciiTheme="minorHAnsi" w:hAnsiTheme="minorHAnsi" w:cstheme="minorHAnsi"/>
                <w:b/>
              </w:rPr>
            </w:pPr>
            <w:r w:rsidRPr="001219FB">
              <w:rPr>
                <w:rFonts w:asciiTheme="minorHAnsi" w:hAnsiTheme="minorHAnsi" w:cstheme="minorHAnsi"/>
                <w:b/>
              </w:rPr>
              <w:t>Data Sources</w:t>
            </w:r>
          </w:p>
        </w:tc>
        <w:tc>
          <w:tcPr>
            <w:tcW w:w="2070" w:type="dxa"/>
            <w:shd w:val="clear" w:color="auto" w:fill="auto"/>
            <w:vAlign w:val="bottom"/>
          </w:tcPr>
          <w:p w14:paraId="11FBF172" w14:textId="77777777" w:rsidR="00B744FD" w:rsidRPr="001219FB" w:rsidRDefault="00B744FD" w:rsidP="001219FB">
            <w:pPr>
              <w:pStyle w:val="NoSpacing"/>
              <w:jc w:val="center"/>
              <w:rPr>
                <w:rFonts w:asciiTheme="minorHAnsi" w:hAnsiTheme="minorHAnsi" w:cstheme="minorHAnsi"/>
                <w:b/>
              </w:rPr>
            </w:pPr>
            <w:r w:rsidRPr="001219FB">
              <w:rPr>
                <w:rFonts w:asciiTheme="minorHAnsi" w:hAnsiTheme="minorHAnsi" w:cstheme="minorHAnsi"/>
                <w:b/>
              </w:rPr>
              <w:t>Population</w:t>
            </w:r>
          </w:p>
        </w:tc>
      </w:tr>
      <w:tr w:rsidR="00B744FD" w:rsidRPr="001219FB" w14:paraId="58A84830" w14:textId="77777777" w:rsidTr="001219FB">
        <w:trPr>
          <w:trHeight w:val="1043"/>
        </w:trPr>
        <w:tc>
          <w:tcPr>
            <w:tcW w:w="3690" w:type="dxa"/>
            <w:shd w:val="clear" w:color="auto" w:fill="auto"/>
            <w:vAlign w:val="center"/>
          </w:tcPr>
          <w:p w14:paraId="512B6974" w14:textId="77777777" w:rsidR="00B744FD" w:rsidRPr="001219FB" w:rsidRDefault="00B744FD" w:rsidP="001219FB">
            <w:pPr>
              <w:pStyle w:val="NoSpacing"/>
              <w:rPr>
                <w:rFonts w:asciiTheme="minorHAnsi" w:hAnsiTheme="minorHAnsi" w:cstheme="minorHAnsi"/>
              </w:rPr>
            </w:pPr>
            <w:r w:rsidRPr="001219FB">
              <w:rPr>
                <w:rFonts w:asciiTheme="minorHAnsi" w:hAnsiTheme="minorHAnsi" w:cstheme="minorHAnsi"/>
              </w:rPr>
              <w:t>Number of unique enrollees diagnosed with ESRD</w:t>
            </w:r>
          </w:p>
        </w:tc>
        <w:tc>
          <w:tcPr>
            <w:tcW w:w="4140" w:type="dxa"/>
            <w:shd w:val="clear" w:color="auto" w:fill="auto"/>
            <w:vAlign w:val="center"/>
          </w:tcPr>
          <w:p w14:paraId="09796DF2" w14:textId="77777777" w:rsidR="00B744FD" w:rsidRPr="001219FB" w:rsidRDefault="00B744FD" w:rsidP="00B744FD">
            <w:pPr>
              <w:pStyle w:val="NoSpacing"/>
              <w:numPr>
                <w:ilvl w:val="0"/>
                <w:numId w:val="40"/>
              </w:numPr>
              <w:ind w:left="455" w:hanging="270"/>
              <w:rPr>
                <w:rFonts w:asciiTheme="minorHAnsi" w:hAnsiTheme="minorHAnsi" w:cstheme="minorHAnsi"/>
              </w:rPr>
            </w:pPr>
            <w:r w:rsidRPr="001219FB">
              <w:rPr>
                <w:rFonts w:asciiTheme="minorHAnsi" w:hAnsiTheme="minorHAnsi" w:cstheme="minorHAnsi"/>
              </w:rPr>
              <w:t>Data Warehouse</w:t>
            </w:r>
          </w:p>
          <w:p w14:paraId="127B987C" w14:textId="77777777" w:rsidR="00B744FD" w:rsidRPr="001219FB" w:rsidRDefault="00B744FD" w:rsidP="00B744FD">
            <w:pPr>
              <w:pStyle w:val="NoSpacing"/>
              <w:numPr>
                <w:ilvl w:val="0"/>
                <w:numId w:val="40"/>
              </w:numPr>
              <w:ind w:left="455" w:hanging="270"/>
              <w:rPr>
                <w:rFonts w:asciiTheme="minorHAnsi" w:hAnsiTheme="minorHAnsi" w:cstheme="minorHAnsi"/>
              </w:rPr>
            </w:pPr>
            <w:r w:rsidRPr="001219FB">
              <w:rPr>
                <w:rFonts w:asciiTheme="minorHAnsi" w:hAnsiTheme="minorHAnsi" w:cstheme="minorHAnsi"/>
              </w:rPr>
              <w:t>Claims</w:t>
            </w:r>
          </w:p>
          <w:p w14:paraId="2A959009" w14:textId="77777777" w:rsidR="00B744FD" w:rsidRPr="001219FB" w:rsidRDefault="00B744FD" w:rsidP="00B744FD">
            <w:pPr>
              <w:pStyle w:val="NoSpacing"/>
              <w:numPr>
                <w:ilvl w:val="0"/>
                <w:numId w:val="40"/>
              </w:numPr>
              <w:ind w:left="455" w:hanging="270"/>
              <w:rPr>
                <w:rFonts w:asciiTheme="minorHAnsi" w:hAnsiTheme="minorHAnsi" w:cstheme="minorHAnsi"/>
              </w:rPr>
            </w:pPr>
            <w:r w:rsidRPr="001219FB">
              <w:rPr>
                <w:rFonts w:asciiTheme="minorHAnsi" w:hAnsiTheme="minorHAnsi" w:cstheme="minorHAnsi"/>
              </w:rPr>
              <w:t>Social Services Warehouse</w:t>
            </w:r>
          </w:p>
        </w:tc>
        <w:tc>
          <w:tcPr>
            <w:tcW w:w="2070" w:type="dxa"/>
            <w:shd w:val="clear" w:color="auto" w:fill="auto"/>
            <w:vAlign w:val="center"/>
          </w:tcPr>
          <w:p w14:paraId="46C36B95" w14:textId="77777777" w:rsidR="00B744FD" w:rsidRPr="001219FB" w:rsidRDefault="00B744FD" w:rsidP="001219FB">
            <w:pPr>
              <w:pStyle w:val="NoSpacing"/>
              <w:jc w:val="center"/>
              <w:rPr>
                <w:rFonts w:asciiTheme="minorHAnsi" w:hAnsiTheme="minorHAnsi" w:cstheme="minorHAnsi"/>
              </w:rPr>
            </w:pPr>
            <w:r w:rsidRPr="001219FB">
              <w:rPr>
                <w:rFonts w:asciiTheme="minorHAnsi" w:hAnsiTheme="minorHAnsi" w:cstheme="minorHAnsi"/>
              </w:rPr>
              <w:t>Population 1 and</w:t>
            </w:r>
          </w:p>
          <w:p w14:paraId="52030374" w14:textId="77777777" w:rsidR="00B744FD" w:rsidRPr="001219FB" w:rsidRDefault="00B744FD" w:rsidP="001219FB">
            <w:pPr>
              <w:pStyle w:val="NoSpacing"/>
              <w:jc w:val="center"/>
              <w:rPr>
                <w:rFonts w:asciiTheme="minorHAnsi" w:hAnsiTheme="minorHAnsi" w:cstheme="minorHAnsi"/>
              </w:rPr>
            </w:pPr>
            <w:r w:rsidRPr="001219FB">
              <w:rPr>
                <w:rFonts w:asciiTheme="minorHAnsi" w:hAnsiTheme="minorHAnsi" w:cstheme="minorHAnsi"/>
              </w:rPr>
              <w:t>Population 2</w:t>
            </w:r>
          </w:p>
        </w:tc>
      </w:tr>
      <w:tr w:rsidR="00B744FD" w:rsidRPr="001219FB" w14:paraId="09092C26" w14:textId="77777777" w:rsidTr="001219FB">
        <w:trPr>
          <w:trHeight w:val="1070"/>
        </w:trPr>
        <w:tc>
          <w:tcPr>
            <w:tcW w:w="3690" w:type="dxa"/>
            <w:shd w:val="clear" w:color="auto" w:fill="auto"/>
            <w:vAlign w:val="center"/>
          </w:tcPr>
          <w:p w14:paraId="4AE64B7A" w14:textId="77777777" w:rsidR="00B744FD" w:rsidRPr="001219FB" w:rsidRDefault="00B744FD" w:rsidP="001219FB">
            <w:pPr>
              <w:pStyle w:val="NoSpacing"/>
              <w:rPr>
                <w:rFonts w:asciiTheme="minorHAnsi" w:hAnsiTheme="minorHAnsi" w:cstheme="minorHAnsi"/>
              </w:rPr>
            </w:pPr>
            <w:r w:rsidRPr="001219FB">
              <w:rPr>
                <w:rFonts w:asciiTheme="minorHAnsi" w:hAnsiTheme="minorHAnsi" w:cstheme="minorHAnsi"/>
              </w:rPr>
              <w:t>Number of unique enrollees who are on the transplant list</w:t>
            </w:r>
          </w:p>
        </w:tc>
        <w:tc>
          <w:tcPr>
            <w:tcW w:w="4140" w:type="dxa"/>
            <w:shd w:val="clear" w:color="auto" w:fill="auto"/>
            <w:vAlign w:val="center"/>
          </w:tcPr>
          <w:p w14:paraId="7FEA72B0" w14:textId="77777777" w:rsidR="00B744FD" w:rsidRPr="001219FB" w:rsidRDefault="00B744FD" w:rsidP="00B744FD">
            <w:pPr>
              <w:pStyle w:val="NoSpacing"/>
              <w:numPr>
                <w:ilvl w:val="0"/>
                <w:numId w:val="41"/>
              </w:numPr>
              <w:ind w:left="455" w:hanging="270"/>
              <w:rPr>
                <w:rFonts w:asciiTheme="minorHAnsi" w:hAnsiTheme="minorHAnsi" w:cstheme="minorHAnsi"/>
              </w:rPr>
            </w:pPr>
            <w:r w:rsidRPr="001219FB">
              <w:rPr>
                <w:rFonts w:asciiTheme="minorHAnsi" w:hAnsiTheme="minorHAnsi" w:cstheme="minorHAnsi"/>
              </w:rPr>
              <w:t>Data Warehouse</w:t>
            </w:r>
          </w:p>
          <w:p w14:paraId="603ED54D" w14:textId="77777777" w:rsidR="00B744FD" w:rsidRPr="001219FB" w:rsidRDefault="00B744FD" w:rsidP="00B744FD">
            <w:pPr>
              <w:pStyle w:val="NoSpacing"/>
              <w:numPr>
                <w:ilvl w:val="0"/>
                <w:numId w:val="41"/>
              </w:numPr>
              <w:ind w:left="455" w:hanging="270"/>
              <w:rPr>
                <w:rFonts w:asciiTheme="minorHAnsi" w:hAnsiTheme="minorHAnsi" w:cstheme="minorHAnsi"/>
              </w:rPr>
            </w:pPr>
            <w:r w:rsidRPr="001219FB">
              <w:rPr>
                <w:rFonts w:asciiTheme="minorHAnsi" w:hAnsiTheme="minorHAnsi" w:cstheme="minorHAnsi"/>
              </w:rPr>
              <w:t>Claims</w:t>
            </w:r>
          </w:p>
          <w:p w14:paraId="6589E57A" w14:textId="77777777" w:rsidR="00B744FD" w:rsidRPr="001219FB" w:rsidRDefault="00B744FD" w:rsidP="00B744FD">
            <w:pPr>
              <w:pStyle w:val="NoSpacing"/>
              <w:numPr>
                <w:ilvl w:val="0"/>
                <w:numId w:val="41"/>
              </w:numPr>
              <w:ind w:left="455" w:hanging="270"/>
              <w:rPr>
                <w:rFonts w:asciiTheme="minorHAnsi" w:hAnsiTheme="minorHAnsi" w:cstheme="minorHAnsi"/>
              </w:rPr>
            </w:pPr>
            <w:r w:rsidRPr="001219FB">
              <w:rPr>
                <w:rFonts w:asciiTheme="minorHAnsi" w:hAnsiTheme="minorHAnsi" w:cstheme="minorHAnsi"/>
              </w:rPr>
              <w:t>Social Services Warehouse</w:t>
            </w:r>
          </w:p>
        </w:tc>
        <w:tc>
          <w:tcPr>
            <w:tcW w:w="2070" w:type="dxa"/>
            <w:shd w:val="clear" w:color="auto" w:fill="auto"/>
            <w:vAlign w:val="center"/>
          </w:tcPr>
          <w:p w14:paraId="763578D8" w14:textId="77777777" w:rsidR="00B744FD" w:rsidRPr="001219FB" w:rsidRDefault="00B744FD" w:rsidP="001219FB">
            <w:pPr>
              <w:pStyle w:val="NoSpacing"/>
              <w:jc w:val="center"/>
              <w:rPr>
                <w:rFonts w:asciiTheme="minorHAnsi" w:hAnsiTheme="minorHAnsi" w:cstheme="minorHAnsi"/>
              </w:rPr>
            </w:pPr>
            <w:r w:rsidRPr="001219FB">
              <w:rPr>
                <w:rFonts w:asciiTheme="minorHAnsi" w:hAnsiTheme="minorHAnsi" w:cstheme="minorHAnsi"/>
              </w:rPr>
              <w:t>Population 1 and</w:t>
            </w:r>
          </w:p>
          <w:p w14:paraId="7C69FC83" w14:textId="77777777" w:rsidR="00B744FD" w:rsidRPr="001219FB" w:rsidRDefault="00B744FD" w:rsidP="001219FB">
            <w:pPr>
              <w:pStyle w:val="NoSpacing"/>
              <w:jc w:val="center"/>
              <w:rPr>
                <w:rFonts w:asciiTheme="minorHAnsi" w:hAnsiTheme="minorHAnsi" w:cstheme="minorHAnsi"/>
              </w:rPr>
            </w:pPr>
            <w:r w:rsidRPr="001219FB">
              <w:rPr>
                <w:rFonts w:asciiTheme="minorHAnsi" w:hAnsiTheme="minorHAnsi" w:cstheme="minorHAnsi"/>
              </w:rPr>
              <w:t>Population 2</w:t>
            </w:r>
          </w:p>
        </w:tc>
      </w:tr>
      <w:tr w:rsidR="00B744FD" w:rsidRPr="001219FB" w14:paraId="5D0E77E7" w14:textId="77777777" w:rsidTr="001219FB">
        <w:trPr>
          <w:trHeight w:val="1061"/>
        </w:trPr>
        <w:tc>
          <w:tcPr>
            <w:tcW w:w="3690" w:type="dxa"/>
            <w:shd w:val="clear" w:color="auto" w:fill="auto"/>
            <w:vAlign w:val="center"/>
          </w:tcPr>
          <w:p w14:paraId="3FEF5957" w14:textId="77777777" w:rsidR="00B744FD" w:rsidRPr="001219FB" w:rsidRDefault="00B744FD" w:rsidP="001219FB">
            <w:pPr>
              <w:pStyle w:val="NoSpacing"/>
              <w:rPr>
                <w:rFonts w:asciiTheme="minorHAnsi" w:hAnsiTheme="minorHAnsi" w:cstheme="minorHAnsi"/>
              </w:rPr>
            </w:pPr>
            <w:r w:rsidRPr="001219FB">
              <w:rPr>
                <w:rFonts w:asciiTheme="minorHAnsi" w:hAnsiTheme="minorHAnsi" w:cstheme="minorHAnsi"/>
              </w:rPr>
              <w:t>Number of unique enrollees on the waiver who received a kidney transplant</w:t>
            </w:r>
          </w:p>
        </w:tc>
        <w:tc>
          <w:tcPr>
            <w:tcW w:w="4140" w:type="dxa"/>
            <w:shd w:val="clear" w:color="auto" w:fill="auto"/>
            <w:vAlign w:val="center"/>
          </w:tcPr>
          <w:p w14:paraId="5C432689" w14:textId="77777777" w:rsidR="00B744FD" w:rsidRPr="001219FB" w:rsidRDefault="00B744FD" w:rsidP="00B744FD">
            <w:pPr>
              <w:pStyle w:val="NoSpacing"/>
              <w:numPr>
                <w:ilvl w:val="0"/>
                <w:numId w:val="42"/>
              </w:numPr>
              <w:ind w:left="455" w:hanging="270"/>
              <w:rPr>
                <w:rFonts w:asciiTheme="minorHAnsi" w:hAnsiTheme="minorHAnsi" w:cstheme="minorHAnsi"/>
              </w:rPr>
            </w:pPr>
            <w:r w:rsidRPr="001219FB">
              <w:rPr>
                <w:rFonts w:asciiTheme="minorHAnsi" w:hAnsiTheme="minorHAnsi" w:cstheme="minorHAnsi"/>
              </w:rPr>
              <w:t>Data Warehouse</w:t>
            </w:r>
          </w:p>
          <w:p w14:paraId="172A3DFF" w14:textId="77777777" w:rsidR="00B744FD" w:rsidRPr="001219FB" w:rsidRDefault="00B744FD" w:rsidP="00B744FD">
            <w:pPr>
              <w:pStyle w:val="NoSpacing"/>
              <w:numPr>
                <w:ilvl w:val="0"/>
                <w:numId w:val="42"/>
              </w:numPr>
              <w:ind w:left="455" w:hanging="270"/>
              <w:rPr>
                <w:rFonts w:asciiTheme="minorHAnsi" w:hAnsiTheme="minorHAnsi" w:cstheme="minorHAnsi"/>
              </w:rPr>
            </w:pPr>
            <w:r w:rsidRPr="001219FB">
              <w:rPr>
                <w:rFonts w:asciiTheme="minorHAnsi" w:hAnsiTheme="minorHAnsi" w:cstheme="minorHAnsi"/>
              </w:rPr>
              <w:t>Claims</w:t>
            </w:r>
          </w:p>
          <w:p w14:paraId="4A992C83" w14:textId="77777777" w:rsidR="00B744FD" w:rsidRPr="001219FB" w:rsidRDefault="00B744FD" w:rsidP="00B744FD">
            <w:pPr>
              <w:pStyle w:val="NoSpacing"/>
              <w:numPr>
                <w:ilvl w:val="0"/>
                <w:numId w:val="42"/>
              </w:numPr>
              <w:ind w:left="455" w:hanging="270"/>
              <w:rPr>
                <w:rFonts w:asciiTheme="minorHAnsi" w:hAnsiTheme="minorHAnsi" w:cstheme="minorHAnsi"/>
              </w:rPr>
            </w:pPr>
            <w:r w:rsidRPr="001219FB">
              <w:rPr>
                <w:rFonts w:asciiTheme="minorHAnsi" w:hAnsiTheme="minorHAnsi" w:cstheme="minorHAnsi"/>
              </w:rPr>
              <w:t>Social Services Warehouse</w:t>
            </w:r>
          </w:p>
        </w:tc>
        <w:tc>
          <w:tcPr>
            <w:tcW w:w="2070" w:type="dxa"/>
            <w:shd w:val="clear" w:color="auto" w:fill="auto"/>
            <w:vAlign w:val="center"/>
          </w:tcPr>
          <w:p w14:paraId="714D855D" w14:textId="77777777" w:rsidR="00B744FD" w:rsidRPr="001219FB" w:rsidRDefault="00B744FD" w:rsidP="001219FB">
            <w:pPr>
              <w:pStyle w:val="NoSpacing"/>
              <w:jc w:val="center"/>
              <w:rPr>
                <w:rFonts w:asciiTheme="minorHAnsi" w:hAnsiTheme="minorHAnsi" w:cstheme="minorHAnsi"/>
              </w:rPr>
            </w:pPr>
            <w:r w:rsidRPr="001219FB">
              <w:rPr>
                <w:rFonts w:asciiTheme="minorHAnsi" w:hAnsiTheme="minorHAnsi" w:cstheme="minorHAnsi"/>
              </w:rPr>
              <w:t>Population 1 and</w:t>
            </w:r>
          </w:p>
          <w:p w14:paraId="46023094" w14:textId="77777777" w:rsidR="00B744FD" w:rsidRPr="001219FB" w:rsidRDefault="00B744FD" w:rsidP="001219FB">
            <w:pPr>
              <w:pStyle w:val="NoSpacing"/>
              <w:jc w:val="center"/>
              <w:rPr>
                <w:rFonts w:asciiTheme="minorHAnsi" w:hAnsiTheme="minorHAnsi" w:cstheme="minorHAnsi"/>
              </w:rPr>
            </w:pPr>
            <w:r w:rsidRPr="001219FB">
              <w:rPr>
                <w:rFonts w:asciiTheme="minorHAnsi" w:hAnsiTheme="minorHAnsi" w:cstheme="minorHAnsi"/>
              </w:rPr>
              <w:t>Population 2</w:t>
            </w:r>
          </w:p>
        </w:tc>
      </w:tr>
      <w:tr w:rsidR="00B744FD" w:rsidRPr="001219FB" w14:paraId="3FC785E3" w14:textId="77777777" w:rsidTr="001219FB">
        <w:trPr>
          <w:trHeight w:val="1133"/>
        </w:trPr>
        <w:tc>
          <w:tcPr>
            <w:tcW w:w="3690" w:type="dxa"/>
            <w:shd w:val="clear" w:color="auto" w:fill="auto"/>
            <w:vAlign w:val="center"/>
          </w:tcPr>
          <w:p w14:paraId="0F1AC677" w14:textId="77777777" w:rsidR="00B744FD" w:rsidRPr="001219FB" w:rsidRDefault="00B744FD" w:rsidP="001219FB">
            <w:pPr>
              <w:pStyle w:val="NoSpacing"/>
              <w:rPr>
                <w:rFonts w:asciiTheme="minorHAnsi" w:hAnsiTheme="minorHAnsi" w:cstheme="minorHAnsi"/>
              </w:rPr>
            </w:pPr>
            <w:r w:rsidRPr="001219FB">
              <w:rPr>
                <w:rFonts w:asciiTheme="minorHAnsi" w:hAnsiTheme="minorHAnsi" w:cstheme="minorHAnsi"/>
              </w:rPr>
              <w:t>Number of unique enrollees end coverage on the waiver due to no longer having the diagnosis of ESRD</w:t>
            </w:r>
          </w:p>
        </w:tc>
        <w:tc>
          <w:tcPr>
            <w:tcW w:w="4140" w:type="dxa"/>
            <w:shd w:val="clear" w:color="auto" w:fill="auto"/>
            <w:vAlign w:val="center"/>
          </w:tcPr>
          <w:p w14:paraId="113C8C24" w14:textId="77777777" w:rsidR="00B744FD" w:rsidRPr="001219FB" w:rsidRDefault="00B744FD" w:rsidP="00B744FD">
            <w:pPr>
              <w:pStyle w:val="NoSpacing"/>
              <w:numPr>
                <w:ilvl w:val="0"/>
                <w:numId w:val="43"/>
              </w:numPr>
              <w:ind w:left="455" w:hanging="270"/>
              <w:rPr>
                <w:rFonts w:asciiTheme="minorHAnsi" w:hAnsiTheme="minorHAnsi" w:cstheme="minorHAnsi"/>
              </w:rPr>
            </w:pPr>
            <w:r w:rsidRPr="001219FB">
              <w:rPr>
                <w:rFonts w:asciiTheme="minorHAnsi" w:hAnsiTheme="minorHAnsi" w:cstheme="minorHAnsi"/>
              </w:rPr>
              <w:t>Data Warehouse</w:t>
            </w:r>
          </w:p>
          <w:p w14:paraId="5AD8EA70" w14:textId="77777777" w:rsidR="00B744FD" w:rsidRPr="001219FB" w:rsidRDefault="00B744FD" w:rsidP="00B744FD">
            <w:pPr>
              <w:pStyle w:val="NoSpacing"/>
              <w:numPr>
                <w:ilvl w:val="0"/>
                <w:numId w:val="43"/>
              </w:numPr>
              <w:ind w:left="455" w:hanging="270"/>
              <w:rPr>
                <w:rFonts w:asciiTheme="minorHAnsi" w:hAnsiTheme="minorHAnsi" w:cstheme="minorHAnsi"/>
              </w:rPr>
            </w:pPr>
            <w:r w:rsidRPr="001219FB">
              <w:rPr>
                <w:rFonts w:asciiTheme="minorHAnsi" w:hAnsiTheme="minorHAnsi" w:cstheme="minorHAnsi"/>
              </w:rPr>
              <w:t>Claims</w:t>
            </w:r>
          </w:p>
          <w:p w14:paraId="4EA6AEB7" w14:textId="77777777" w:rsidR="00B744FD" w:rsidRPr="001219FB" w:rsidRDefault="00B744FD" w:rsidP="00B744FD">
            <w:pPr>
              <w:pStyle w:val="NoSpacing"/>
              <w:numPr>
                <w:ilvl w:val="0"/>
                <w:numId w:val="43"/>
              </w:numPr>
              <w:ind w:left="455" w:hanging="270"/>
              <w:rPr>
                <w:rFonts w:asciiTheme="minorHAnsi" w:hAnsiTheme="minorHAnsi" w:cstheme="minorHAnsi"/>
              </w:rPr>
            </w:pPr>
            <w:r w:rsidRPr="001219FB">
              <w:rPr>
                <w:rFonts w:asciiTheme="minorHAnsi" w:hAnsiTheme="minorHAnsi" w:cstheme="minorHAnsi"/>
              </w:rPr>
              <w:t>Social Services Warehouse</w:t>
            </w:r>
          </w:p>
        </w:tc>
        <w:tc>
          <w:tcPr>
            <w:tcW w:w="2070" w:type="dxa"/>
            <w:shd w:val="clear" w:color="auto" w:fill="auto"/>
            <w:vAlign w:val="center"/>
          </w:tcPr>
          <w:p w14:paraId="6B898F20" w14:textId="77777777" w:rsidR="00B744FD" w:rsidRPr="001219FB" w:rsidRDefault="00B744FD" w:rsidP="001219FB">
            <w:pPr>
              <w:pStyle w:val="NoSpacing"/>
              <w:jc w:val="center"/>
              <w:rPr>
                <w:rFonts w:asciiTheme="minorHAnsi" w:hAnsiTheme="minorHAnsi" w:cstheme="minorHAnsi"/>
              </w:rPr>
            </w:pPr>
            <w:r w:rsidRPr="001219FB">
              <w:rPr>
                <w:rFonts w:asciiTheme="minorHAnsi" w:hAnsiTheme="minorHAnsi" w:cstheme="minorHAnsi"/>
              </w:rPr>
              <w:t>Population 1 and</w:t>
            </w:r>
          </w:p>
          <w:p w14:paraId="1744A701" w14:textId="77777777" w:rsidR="00B744FD" w:rsidRPr="001219FB" w:rsidRDefault="00B744FD" w:rsidP="001219FB">
            <w:pPr>
              <w:pStyle w:val="NoSpacing"/>
              <w:jc w:val="center"/>
              <w:rPr>
                <w:rFonts w:asciiTheme="minorHAnsi" w:hAnsiTheme="minorHAnsi" w:cstheme="minorHAnsi"/>
              </w:rPr>
            </w:pPr>
            <w:r w:rsidRPr="001219FB">
              <w:rPr>
                <w:rFonts w:asciiTheme="minorHAnsi" w:hAnsiTheme="minorHAnsi" w:cstheme="minorHAnsi"/>
              </w:rPr>
              <w:t>Population 2</w:t>
            </w:r>
          </w:p>
        </w:tc>
      </w:tr>
      <w:tr w:rsidR="00B744FD" w:rsidRPr="001219FB" w14:paraId="1CA7E0F8" w14:textId="77777777" w:rsidTr="001219FB">
        <w:trPr>
          <w:trHeight w:val="1430"/>
        </w:trPr>
        <w:tc>
          <w:tcPr>
            <w:tcW w:w="3690" w:type="dxa"/>
            <w:shd w:val="clear" w:color="auto" w:fill="auto"/>
            <w:vAlign w:val="center"/>
          </w:tcPr>
          <w:p w14:paraId="64683BF7" w14:textId="77777777" w:rsidR="00B744FD" w:rsidRPr="001219FB" w:rsidRDefault="00B744FD" w:rsidP="001219FB">
            <w:pPr>
              <w:pStyle w:val="NoSpacing"/>
              <w:rPr>
                <w:rFonts w:asciiTheme="minorHAnsi" w:hAnsiTheme="minorHAnsi" w:cstheme="minorHAnsi"/>
              </w:rPr>
            </w:pPr>
            <w:r w:rsidRPr="001219FB">
              <w:rPr>
                <w:rFonts w:asciiTheme="minorHAnsi" w:hAnsiTheme="minorHAnsi" w:cstheme="minorHAnsi"/>
              </w:rPr>
              <w:t>Number of enrollees who expired due to ESRD during enrollment</w:t>
            </w:r>
          </w:p>
        </w:tc>
        <w:tc>
          <w:tcPr>
            <w:tcW w:w="4140" w:type="dxa"/>
            <w:shd w:val="clear" w:color="auto" w:fill="auto"/>
            <w:vAlign w:val="center"/>
          </w:tcPr>
          <w:p w14:paraId="0DD15F28" w14:textId="77777777" w:rsidR="00B744FD" w:rsidRPr="001219FB" w:rsidRDefault="00B744FD" w:rsidP="00B744FD">
            <w:pPr>
              <w:pStyle w:val="NoSpacing"/>
              <w:numPr>
                <w:ilvl w:val="0"/>
                <w:numId w:val="44"/>
              </w:numPr>
              <w:ind w:left="455" w:hanging="270"/>
              <w:rPr>
                <w:rFonts w:asciiTheme="minorHAnsi" w:hAnsiTheme="minorHAnsi" w:cstheme="minorHAnsi"/>
              </w:rPr>
            </w:pPr>
            <w:r w:rsidRPr="001219FB">
              <w:rPr>
                <w:rFonts w:asciiTheme="minorHAnsi" w:hAnsiTheme="minorHAnsi" w:cstheme="minorHAnsi"/>
              </w:rPr>
              <w:t>Data Warehouse</w:t>
            </w:r>
          </w:p>
          <w:p w14:paraId="343C2EA4" w14:textId="77777777" w:rsidR="00B744FD" w:rsidRPr="001219FB" w:rsidRDefault="00B744FD" w:rsidP="00B744FD">
            <w:pPr>
              <w:pStyle w:val="NoSpacing"/>
              <w:numPr>
                <w:ilvl w:val="0"/>
                <w:numId w:val="44"/>
              </w:numPr>
              <w:ind w:left="455" w:hanging="270"/>
              <w:rPr>
                <w:rFonts w:asciiTheme="minorHAnsi" w:hAnsiTheme="minorHAnsi" w:cstheme="minorHAnsi"/>
              </w:rPr>
            </w:pPr>
            <w:r w:rsidRPr="001219FB">
              <w:rPr>
                <w:rFonts w:asciiTheme="minorHAnsi" w:hAnsiTheme="minorHAnsi" w:cstheme="minorHAnsi"/>
              </w:rPr>
              <w:t>Claims</w:t>
            </w:r>
          </w:p>
          <w:p w14:paraId="03D60A65" w14:textId="77777777" w:rsidR="00B744FD" w:rsidRPr="001219FB" w:rsidRDefault="00B744FD" w:rsidP="00B744FD">
            <w:pPr>
              <w:pStyle w:val="NoSpacing"/>
              <w:numPr>
                <w:ilvl w:val="0"/>
                <w:numId w:val="44"/>
              </w:numPr>
              <w:ind w:left="455" w:hanging="270"/>
              <w:rPr>
                <w:rFonts w:asciiTheme="minorHAnsi" w:hAnsiTheme="minorHAnsi" w:cstheme="minorHAnsi"/>
              </w:rPr>
            </w:pPr>
            <w:r w:rsidRPr="001219FB">
              <w:rPr>
                <w:rFonts w:asciiTheme="minorHAnsi" w:hAnsiTheme="minorHAnsi" w:cstheme="minorHAnsi"/>
              </w:rPr>
              <w:t>MOUs/Data-sharing with the IN State Department of Health</w:t>
            </w:r>
          </w:p>
        </w:tc>
        <w:tc>
          <w:tcPr>
            <w:tcW w:w="2070" w:type="dxa"/>
            <w:shd w:val="clear" w:color="auto" w:fill="auto"/>
            <w:vAlign w:val="center"/>
          </w:tcPr>
          <w:p w14:paraId="45597CBD" w14:textId="77777777" w:rsidR="00B744FD" w:rsidRPr="001219FB" w:rsidRDefault="00B744FD" w:rsidP="001219FB">
            <w:pPr>
              <w:pStyle w:val="NoSpacing"/>
              <w:jc w:val="center"/>
              <w:rPr>
                <w:rFonts w:asciiTheme="minorHAnsi" w:hAnsiTheme="minorHAnsi" w:cstheme="minorHAnsi"/>
              </w:rPr>
            </w:pPr>
            <w:r w:rsidRPr="001219FB">
              <w:rPr>
                <w:rFonts w:asciiTheme="minorHAnsi" w:hAnsiTheme="minorHAnsi" w:cstheme="minorHAnsi"/>
              </w:rPr>
              <w:t>Population 1 and</w:t>
            </w:r>
          </w:p>
          <w:p w14:paraId="15133368" w14:textId="77777777" w:rsidR="00B744FD" w:rsidRPr="001219FB" w:rsidRDefault="00B744FD" w:rsidP="001219FB">
            <w:pPr>
              <w:pStyle w:val="NoSpacing"/>
              <w:jc w:val="center"/>
              <w:rPr>
                <w:rFonts w:asciiTheme="minorHAnsi" w:hAnsiTheme="minorHAnsi" w:cstheme="minorHAnsi"/>
              </w:rPr>
            </w:pPr>
            <w:r w:rsidRPr="001219FB">
              <w:rPr>
                <w:rFonts w:asciiTheme="minorHAnsi" w:hAnsiTheme="minorHAnsi" w:cstheme="minorHAnsi"/>
              </w:rPr>
              <w:t>Population 2</w:t>
            </w:r>
          </w:p>
        </w:tc>
      </w:tr>
      <w:tr w:rsidR="00B744FD" w:rsidRPr="001219FB" w14:paraId="410FCB07" w14:textId="77777777" w:rsidTr="001219FB">
        <w:trPr>
          <w:trHeight w:val="908"/>
        </w:trPr>
        <w:tc>
          <w:tcPr>
            <w:tcW w:w="3690" w:type="dxa"/>
            <w:shd w:val="clear" w:color="auto" w:fill="auto"/>
            <w:vAlign w:val="center"/>
          </w:tcPr>
          <w:p w14:paraId="6F6E48CE" w14:textId="77777777" w:rsidR="00B744FD" w:rsidRPr="001219FB" w:rsidRDefault="00B744FD" w:rsidP="001219FB">
            <w:pPr>
              <w:pStyle w:val="NoSpacing"/>
              <w:rPr>
                <w:rFonts w:asciiTheme="minorHAnsi" w:hAnsiTheme="minorHAnsi" w:cstheme="minorHAnsi"/>
              </w:rPr>
            </w:pPr>
            <w:r w:rsidRPr="001219FB">
              <w:rPr>
                <w:rFonts w:asciiTheme="minorHAnsi" w:hAnsiTheme="minorHAnsi" w:cstheme="minorHAnsi"/>
              </w:rPr>
              <w:t>Number of claims and associated expenditures</w:t>
            </w:r>
          </w:p>
        </w:tc>
        <w:tc>
          <w:tcPr>
            <w:tcW w:w="4140" w:type="dxa"/>
            <w:shd w:val="clear" w:color="auto" w:fill="auto"/>
            <w:vAlign w:val="center"/>
          </w:tcPr>
          <w:p w14:paraId="74EC084F" w14:textId="77777777" w:rsidR="00B744FD" w:rsidRPr="001219FB" w:rsidRDefault="00B744FD" w:rsidP="00B744FD">
            <w:pPr>
              <w:pStyle w:val="NoSpacing"/>
              <w:numPr>
                <w:ilvl w:val="0"/>
                <w:numId w:val="45"/>
              </w:numPr>
              <w:ind w:left="455" w:hanging="270"/>
              <w:rPr>
                <w:rFonts w:asciiTheme="minorHAnsi" w:hAnsiTheme="minorHAnsi" w:cstheme="minorHAnsi"/>
              </w:rPr>
            </w:pPr>
            <w:r w:rsidRPr="001219FB">
              <w:rPr>
                <w:rFonts w:asciiTheme="minorHAnsi" w:hAnsiTheme="minorHAnsi" w:cstheme="minorHAnsi"/>
              </w:rPr>
              <w:t>Data Warehouse</w:t>
            </w:r>
          </w:p>
          <w:p w14:paraId="1E07BA1C" w14:textId="77777777" w:rsidR="00B744FD" w:rsidRPr="001219FB" w:rsidRDefault="00B744FD" w:rsidP="00B744FD">
            <w:pPr>
              <w:pStyle w:val="NoSpacing"/>
              <w:numPr>
                <w:ilvl w:val="0"/>
                <w:numId w:val="45"/>
              </w:numPr>
              <w:ind w:left="455" w:hanging="270"/>
              <w:rPr>
                <w:rFonts w:asciiTheme="minorHAnsi" w:hAnsiTheme="minorHAnsi" w:cstheme="minorHAnsi"/>
              </w:rPr>
            </w:pPr>
            <w:r w:rsidRPr="001219FB">
              <w:rPr>
                <w:rFonts w:asciiTheme="minorHAnsi" w:hAnsiTheme="minorHAnsi" w:cstheme="minorHAnsi"/>
              </w:rPr>
              <w:t>Claims</w:t>
            </w:r>
          </w:p>
        </w:tc>
        <w:tc>
          <w:tcPr>
            <w:tcW w:w="2070" w:type="dxa"/>
            <w:shd w:val="clear" w:color="auto" w:fill="auto"/>
            <w:vAlign w:val="center"/>
          </w:tcPr>
          <w:p w14:paraId="297B7DF1" w14:textId="77777777" w:rsidR="00B744FD" w:rsidRPr="001219FB" w:rsidRDefault="00B744FD" w:rsidP="001219FB">
            <w:pPr>
              <w:pStyle w:val="NoSpacing"/>
              <w:jc w:val="center"/>
              <w:rPr>
                <w:rFonts w:asciiTheme="minorHAnsi" w:hAnsiTheme="minorHAnsi" w:cstheme="minorHAnsi"/>
              </w:rPr>
            </w:pPr>
            <w:r w:rsidRPr="001219FB">
              <w:rPr>
                <w:rFonts w:asciiTheme="minorHAnsi" w:hAnsiTheme="minorHAnsi" w:cstheme="minorHAnsi"/>
              </w:rPr>
              <w:t>Population 1 and</w:t>
            </w:r>
          </w:p>
          <w:p w14:paraId="019B621E" w14:textId="77777777" w:rsidR="00B744FD" w:rsidRPr="001219FB" w:rsidRDefault="00B744FD" w:rsidP="001219FB">
            <w:pPr>
              <w:pStyle w:val="NoSpacing"/>
              <w:jc w:val="center"/>
              <w:rPr>
                <w:rFonts w:asciiTheme="minorHAnsi" w:hAnsiTheme="minorHAnsi" w:cstheme="minorHAnsi"/>
              </w:rPr>
            </w:pPr>
            <w:r w:rsidRPr="001219FB">
              <w:rPr>
                <w:rFonts w:asciiTheme="minorHAnsi" w:hAnsiTheme="minorHAnsi" w:cstheme="minorHAnsi"/>
              </w:rPr>
              <w:t>Population 2</w:t>
            </w:r>
          </w:p>
        </w:tc>
      </w:tr>
    </w:tbl>
    <w:p w14:paraId="43C7E82D" w14:textId="77777777" w:rsidR="008C0EED" w:rsidRDefault="008C0EED" w:rsidP="00B744FD">
      <w:pPr>
        <w:rPr>
          <w:rFonts w:asciiTheme="minorHAnsi" w:hAnsiTheme="minorHAnsi" w:cstheme="minorHAnsi"/>
        </w:rPr>
      </w:pPr>
    </w:p>
    <w:p w14:paraId="7BAED29E" w14:textId="77777777" w:rsidR="00C34CAD" w:rsidRDefault="00C34CAD" w:rsidP="00B744FD">
      <w:pPr>
        <w:rPr>
          <w:rFonts w:asciiTheme="minorHAnsi" w:hAnsiTheme="minorHAnsi" w:cstheme="minorHAnsi"/>
        </w:rPr>
      </w:pPr>
    </w:p>
    <w:p w14:paraId="44D91C09" w14:textId="77777777" w:rsidR="00C34CAD" w:rsidRDefault="00C34CAD" w:rsidP="00B744FD">
      <w:pPr>
        <w:rPr>
          <w:rFonts w:asciiTheme="minorHAnsi" w:hAnsiTheme="minorHAnsi" w:cstheme="minorHAnsi"/>
        </w:rPr>
      </w:pPr>
    </w:p>
    <w:p w14:paraId="15EC92E1" w14:textId="77777777" w:rsidR="00B744FD" w:rsidRPr="001219FB" w:rsidRDefault="00B744FD" w:rsidP="00B744FD">
      <w:pPr>
        <w:rPr>
          <w:rFonts w:asciiTheme="minorHAnsi" w:hAnsiTheme="minorHAnsi" w:cstheme="minorHAnsi"/>
        </w:rPr>
      </w:pPr>
      <w:r w:rsidRPr="001219FB">
        <w:rPr>
          <w:rFonts w:asciiTheme="minorHAnsi" w:hAnsiTheme="minorHAnsi" w:cstheme="minorHAnsi"/>
        </w:rPr>
        <w:t>NOTE: data for each of the populations will be calculated for each population separately, with totals for both populations. In addition, the state will determine if the measures in this table can better be represented as proportions or percentages in order to give context to the data.</w:t>
      </w:r>
    </w:p>
    <w:p w14:paraId="2FCB7DAF" w14:textId="77777777" w:rsidR="00B744FD" w:rsidRPr="001219FB" w:rsidRDefault="00B744FD" w:rsidP="00B744FD">
      <w:pPr>
        <w:rPr>
          <w:rFonts w:asciiTheme="minorHAnsi" w:hAnsiTheme="minorHAnsi" w:cstheme="minorHAnsi"/>
        </w:rPr>
      </w:pPr>
    </w:p>
    <w:p w14:paraId="38C0D100" w14:textId="77777777" w:rsidR="00B744FD" w:rsidRPr="00B744FD" w:rsidRDefault="00B744FD" w:rsidP="00B744FD">
      <w:pPr>
        <w:ind w:left="0"/>
      </w:pPr>
    </w:p>
    <w:p w14:paraId="21FD39E3" w14:textId="77777777" w:rsidR="00B744FD" w:rsidRPr="00B744FD" w:rsidRDefault="00B744FD" w:rsidP="00B744FD"/>
    <w:sectPr w:rsidR="00B744FD" w:rsidRPr="00B744FD" w:rsidSect="001D639D">
      <w:pgSz w:w="12240" w:h="15840"/>
      <w:pgMar w:top="1445" w:right="1434" w:bottom="540" w:left="1440" w:header="720" w:footer="720"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735522" w16cid:durableId="22662DE9"/>
  <w16cid:commentId w16cid:paraId="68271300" w16cid:durableId="22662DA1"/>
  <w16cid:commentId w16cid:paraId="23329552" w16cid:durableId="22662EB1"/>
  <w16cid:commentId w16cid:paraId="2F58D708" w16cid:durableId="226531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364E0" w14:textId="77777777" w:rsidR="004E5D92" w:rsidRDefault="004E5D92">
      <w:pPr>
        <w:spacing w:after="0" w:line="240" w:lineRule="auto"/>
      </w:pPr>
      <w:r>
        <w:separator/>
      </w:r>
    </w:p>
  </w:endnote>
  <w:endnote w:type="continuationSeparator" w:id="0">
    <w:p w14:paraId="143205BD" w14:textId="77777777" w:rsidR="004E5D92" w:rsidRDefault="004E5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214B2" w14:textId="77777777" w:rsidR="002A256A" w:rsidRDefault="002A256A">
    <w:pPr>
      <w:spacing w:after="0" w:line="259" w:lineRule="auto"/>
      <w:ind w:left="0" w:right="2" w:firstLine="0"/>
      <w:jc w:val="right"/>
    </w:pPr>
    <w:r>
      <w:fldChar w:fldCharType="begin"/>
    </w:r>
    <w:r>
      <w:instrText xml:space="preserve"> PAGE   \* MERGEFORMAT </w:instrText>
    </w:r>
    <w:r>
      <w:fldChar w:fldCharType="separate"/>
    </w:r>
    <w:r>
      <w:t>2</w:t>
    </w:r>
    <w:r>
      <w:fldChar w:fldCharType="end"/>
    </w:r>
    <w:r>
      <w:t xml:space="preserve"> </w:t>
    </w:r>
  </w:p>
  <w:p w14:paraId="6C20E134" w14:textId="77777777" w:rsidR="002A256A" w:rsidRDefault="002A256A">
    <w:pPr>
      <w:spacing w:after="0" w:line="259" w:lineRule="auto"/>
      <w:ind w:lef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0DDD9" w14:textId="77777777" w:rsidR="002A256A" w:rsidRDefault="002A256A">
    <w:pPr>
      <w:spacing w:after="0" w:line="259" w:lineRule="auto"/>
      <w:ind w:left="0" w:right="2" w:firstLine="0"/>
      <w:jc w:val="right"/>
    </w:pPr>
    <w:r>
      <w:fldChar w:fldCharType="begin"/>
    </w:r>
    <w:r>
      <w:instrText xml:space="preserve"> PAGE   \* MERGEFORMAT </w:instrText>
    </w:r>
    <w:r>
      <w:fldChar w:fldCharType="separate"/>
    </w:r>
    <w:r w:rsidR="00A505B5">
      <w:rPr>
        <w:noProof/>
      </w:rPr>
      <w:t>21</w:t>
    </w:r>
    <w:r>
      <w:fldChar w:fldCharType="end"/>
    </w:r>
    <w:r>
      <w:t xml:space="preserve"> </w:t>
    </w:r>
  </w:p>
  <w:p w14:paraId="493B9936" w14:textId="77777777" w:rsidR="002A256A" w:rsidRDefault="002A256A">
    <w:pPr>
      <w:spacing w:after="0" w:line="259" w:lineRule="auto"/>
      <w:ind w:left="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47745"/>
      <w:docPartObj>
        <w:docPartGallery w:val="Page Numbers (Bottom of Page)"/>
        <w:docPartUnique/>
      </w:docPartObj>
    </w:sdtPr>
    <w:sdtEndPr>
      <w:rPr>
        <w:noProof/>
      </w:rPr>
    </w:sdtEndPr>
    <w:sdtContent>
      <w:p w14:paraId="1CA1FC8F" w14:textId="1E227A95" w:rsidR="002A256A" w:rsidRDefault="002A256A">
        <w:pPr>
          <w:pStyle w:val="Footer"/>
          <w:jc w:val="right"/>
        </w:pPr>
        <w:r>
          <w:fldChar w:fldCharType="begin"/>
        </w:r>
        <w:r>
          <w:instrText xml:space="preserve"> PAGE   \* MERGEFORMAT </w:instrText>
        </w:r>
        <w:r>
          <w:fldChar w:fldCharType="separate"/>
        </w:r>
        <w:r w:rsidR="00A505B5">
          <w:rPr>
            <w:noProof/>
          </w:rPr>
          <w:t>1</w:t>
        </w:r>
        <w:r>
          <w:rPr>
            <w:noProof/>
          </w:rPr>
          <w:fldChar w:fldCharType="end"/>
        </w:r>
      </w:p>
    </w:sdtContent>
  </w:sdt>
  <w:p w14:paraId="32B35A06" w14:textId="0EB325FD" w:rsidR="002A256A" w:rsidRDefault="002A256A">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A2E60" w14:textId="77777777" w:rsidR="004E5D92" w:rsidRDefault="004E5D92">
      <w:pPr>
        <w:spacing w:after="0" w:line="240" w:lineRule="auto"/>
      </w:pPr>
      <w:r>
        <w:separator/>
      </w:r>
    </w:p>
  </w:footnote>
  <w:footnote w:type="continuationSeparator" w:id="0">
    <w:p w14:paraId="0B3F7928" w14:textId="77777777" w:rsidR="004E5D92" w:rsidRDefault="004E5D92">
      <w:pPr>
        <w:spacing w:after="0" w:line="240" w:lineRule="auto"/>
      </w:pPr>
      <w:r>
        <w:continuationSeparator/>
      </w:r>
    </w:p>
  </w:footnote>
  <w:footnote w:id="1">
    <w:p w14:paraId="2FCE6C6F" w14:textId="7521BDA1" w:rsidR="002A256A" w:rsidRDefault="002A256A">
      <w:pPr>
        <w:pStyle w:val="FootnoteText"/>
      </w:pPr>
      <w:r w:rsidRPr="00F037ED">
        <w:rPr>
          <w:rStyle w:val="FootnoteReference"/>
        </w:rPr>
        <w:footnoteRef/>
      </w:r>
      <w:r w:rsidRPr="00F037ED">
        <w:t xml:space="preserve"> ESRD Individuals that become institutionalized may qualify for Medicaid with a patient liability but are no longer enrolled in the ESRD program with the separate ESRD liability.</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675C2" w14:textId="66604AA7" w:rsidR="002A256A" w:rsidRDefault="002A256A">
    <w:pPr>
      <w:pStyle w:val="Header"/>
    </w:pPr>
    <w:r>
      <w:t>DRAFT ESRD Extension for Public Comment</w:t>
    </w:r>
    <w:r>
      <w:tab/>
    </w:r>
    <w:r>
      <w:tab/>
      <w:t>Project Number 11-W-00237/5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12C63"/>
    <w:multiLevelType w:val="hybridMultilevel"/>
    <w:tmpl w:val="9F6EEE7A"/>
    <w:lvl w:ilvl="0" w:tplc="317CB422">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DEDA2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0888C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E4E16A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1F2B6A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060DF0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F8BEF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C8877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9C8F2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DF227C"/>
    <w:multiLevelType w:val="hybridMultilevel"/>
    <w:tmpl w:val="94BED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513CF"/>
    <w:multiLevelType w:val="hybridMultilevel"/>
    <w:tmpl w:val="C31CA0FE"/>
    <w:lvl w:ilvl="0" w:tplc="D4FA1A6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51058"/>
    <w:multiLevelType w:val="hybridMultilevel"/>
    <w:tmpl w:val="3B1C1980"/>
    <w:lvl w:ilvl="0" w:tplc="26B8DD76">
      <w:numFmt w:val="bullet"/>
      <w:lvlText w:val="•"/>
      <w:lvlJc w:val="left"/>
      <w:pPr>
        <w:ind w:left="715" w:hanging="360"/>
      </w:pPr>
      <w:rPr>
        <w:rFonts w:ascii="Calibri" w:eastAsia="Calibri" w:hAnsi="Calibri" w:cs="Calibri"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4" w15:restartNumberingAfterBreak="0">
    <w:nsid w:val="0C5A7F0D"/>
    <w:multiLevelType w:val="hybridMultilevel"/>
    <w:tmpl w:val="5310E3A2"/>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15:restartNumberingAfterBreak="0">
    <w:nsid w:val="0CA1213C"/>
    <w:multiLevelType w:val="hybridMultilevel"/>
    <w:tmpl w:val="886C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F423A"/>
    <w:multiLevelType w:val="hybridMultilevel"/>
    <w:tmpl w:val="EC507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D3749"/>
    <w:multiLevelType w:val="hybridMultilevel"/>
    <w:tmpl w:val="2B6428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373C44"/>
    <w:multiLevelType w:val="hybridMultilevel"/>
    <w:tmpl w:val="2EE429D4"/>
    <w:lvl w:ilvl="0" w:tplc="F37EEE44">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C03C00"/>
    <w:multiLevelType w:val="hybridMultilevel"/>
    <w:tmpl w:val="323A6AAC"/>
    <w:lvl w:ilvl="0" w:tplc="AE08EF08">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46A09A">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282FD8">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6EB80C">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608104">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CEED68">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1C4B00">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886C7A">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A0CD10">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CA05BA5"/>
    <w:multiLevelType w:val="hybridMultilevel"/>
    <w:tmpl w:val="4F643D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CD0A75"/>
    <w:multiLevelType w:val="hybridMultilevel"/>
    <w:tmpl w:val="CCEC2EAC"/>
    <w:lvl w:ilvl="0" w:tplc="06FAFBF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B60AB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283A3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5A74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FEC12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A042A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54CF1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CEFDC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EE5C8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E072AC6"/>
    <w:multiLevelType w:val="hybridMultilevel"/>
    <w:tmpl w:val="B0BC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9661C"/>
    <w:multiLevelType w:val="hybridMultilevel"/>
    <w:tmpl w:val="25C08E6E"/>
    <w:lvl w:ilvl="0" w:tplc="8970F8A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2C90F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06358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6855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66B2F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06F0E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44E9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F404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A8142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5335556"/>
    <w:multiLevelType w:val="hybridMultilevel"/>
    <w:tmpl w:val="0D944EDE"/>
    <w:lvl w:ilvl="0" w:tplc="0F86C52A">
      <w:start w:val="1"/>
      <w:numFmt w:val="decimal"/>
      <w:lvlText w:val="%1)"/>
      <w:lvlJc w:val="left"/>
      <w:pPr>
        <w:ind w:left="705" w:hanging="360"/>
      </w:pPr>
      <w:rPr>
        <w:rFonts w:ascii="Calibri" w:eastAsia="Calibri" w:hAnsi="Calibri" w:cs="Calibri"/>
      </w:rPr>
    </w:lvl>
    <w:lvl w:ilvl="1" w:tplc="6A3C1E7E">
      <w:start w:val="1"/>
      <w:numFmt w:val="lowerLetter"/>
      <w:lvlText w:val="%2."/>
      <w:lvlJc w:val="left"/>
      <w:pPr>
        <w:ind w:left="1800" w:hanging="735"/>
      </w:pPr>
      <w:rPr>
        <w:rFonts w:hint="default"/>
      </w:r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5" w15:restartNumberingAfterBreak="0">
    <w:nsid w:val="26E7202B"/>
    <w:multiLevelType w:val="hybridMultilevel"/>
    <w:tmpl w:val="DE4E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AE05DE"/>
    <w:multiLevelType w:val="hybridMultilevel"/>
    <w:tmpl w:val="57A0EC4A"/>
    <w:lvl w:ilvl="0" w:tplc="40E64646">
      <w:start w:val="2"/>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7" w15:restartNumberingAfterBreak="0">
    <w:nsid w:val="288D6653"/>
    <w:multiLevelType w:val="hybridMultilevel"/>
    <w:tmpl w:val="E10AE410"/>
    <w:lvl w:ilvl="0" w:tplc="030A00EE">
      <w:numFmt w:val="bullet"/>
      <w:lvlText w:val="•"/>
      <w:lvlJc w:val="left"/>
      <w:pPr>
        <w:ind w:left="345" w:hanging="360"/>
      </w:pPr>
      <w:rPr>
        <w:rFonts w:ascii="Calibri" w:eastAsia="Calibri" w:hAnsi="Calibri" w:cs="Calibri"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18" w15:restartNumberingAfterBreak="0">
    <w:nsid w:val="2E5B0E39"/>
    <w:multiLevelType w:val="hybridMultilevel"/>
    <w:tmpl w:val="09AC89EC"/>
    <w:lvl w:ilvl="0" w:tplc="B9F4606E">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DD635C"/>
    <w:multiLevelType w:val="hybridMultilevel"/>
    <w:tmpl w:val="DA7A1C2A"/>
    <w:lvl w:ilvl="0" w:tplc="D3BC6D02">
      <w:start w:val="1"/>
      <w:numFmt w:val="decimal"/>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217320"/>
    <w:multiLevelType w:val="hybridMultilevel"/>
    <w:tmpl w:val="87288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277E5F"/>
    <w:multiLevelType w:val="hybridMultilevel"/>
    <w:tmpl w:val="F40E78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746EE3"/>
    <w:multiLevelType w:val="hybridMultilevel"/>
    <w:tmpl w:val="1328253E"/>
    <w:lvl w:ilvl="0" w:tplc="F23EE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AF1622E"/>
    <w:multiLevelType w:val="hybridMultilevel"/>
    <w:tmpl w:val="7F38FAFC"/>
    <w:lvl w:ilvl="0" w:tplc="4CE6864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BA8F01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20281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72863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D63A6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E6DA7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74D38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A0C3B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86AD1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1D25A89"/>
    <w:multiLevelType w:val="hybridMultilevel"/>
    <w:tmpl w:val="A55C4708"/>
    <w:lvl w:ilvl="0" w:tplc="5E44E47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15:restartNumberingAfterBreak="0">
    <w:nsid w:val="4BEC6B1F"/>
    <w:multiLevelType w:val="hybridMultilevel"/>
    <w:tmpl w:val="84BA4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8F589A"/>
    <w:multiLevelType w:val="hybridMultilevel"/>
    <w:tmpl w:val="97BC8E64"/>
    <w:lvl w:ilvl="0" w:tplc="26B8DD76">
      <w:numFmt w:val="bullet"/>
      <w:lvlText w:val="•"/>
      <w:lvlJc w:val="left"/>
      <w:pPr>
        <w:ind w:left="330" w:hanging="360"/>
      </w:pPr>
      <w:rPr>
        <w:rFonts w:ascii="Calibri" w:eastAsia="Calibri" w:hAnsi="Calibri" w:cs="Calibri" w:hint="default"/>
      </w:rPr>
    </w:lvl>
    <w:lvl w:ilvl="1" w:tplc="04090003">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7" w15:restartNumberingAfterBreak="0">
    <w:nsid w:val="4DC30558"/>
    <w:multiLevelType w:val="hybridMultilevel"/>
    <w:tmpl w:val="6A3E490A"/>
    <w:lvl w:ilvl="0" w:tplc="7F2C2510">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BB0A28"/>
    <w:multiLevelType w:val="hybridMultilevel"/>
    <w:tmpl w:val="1E28657C"/>
    <w:lvl w:ilvl="0" w:tplc="A4D85F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FC12E1"/>
    <w:multiLevelType w:val="hybridMultilevel"/>
    <w:tmpl w:val="FDF09EE0"/>
    <w:lvl w:ilvl="0" w:tplc="9D30BF1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28E44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C10758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306FF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5AC74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3AD4F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8A8DDB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CE0FE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F2C5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4F046D1"/>
    <w:multiLevelType w:val="hybridMultilevel"/>
    <w:tmpl w:val="74789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47ABF"/>
    <w:multiLevelType w:val="hybridMultilevel"/>
    <w:tmpl w:val="863C49D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2" w15:restartNumberingAfterBreak="0">
    <w:nsid w:val="5A774287"/>
    <w:multiLevelType w:val="hybridMultilevel"/>
    <w:tmpl w:val="F410CFA4"/>
    <w:lvl w:ilvl="0" w:tplc="428C7438">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33" w15:restartNumberingAfterBreak="0">
    <w:nsid w:val="5AA0731B"/>
    <w:multiLevelType w:val="hybridMultilevel"/>
    <w:tmpl w:val="12244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E27802"/>
    <w:multiLevelType w:val="hybridMultilevel"/>
    <w:tmpl w:val="73B2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E57877"/>
    <w:multiLevelType w:val="hybridMultilevel"/>
    <w:tmpl w:val="A8BCA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DB5665"/>
    <w:multiLevelType w:val="hybridMultilevel"/>
    <w:tmpl w:val="4B0C790A"/>
    <w:lvl w:ilvl="0" w:tplc="1394697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6E6D3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4EF48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9C29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CCA5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80262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368FB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EAD5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CCD78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E324314"/>
    <w:multiLevelType w:val="hybridMultilevel"/>
    <w:tmpl w:val="D312F00E"/>
    <w:lvl w:ilvl="0" w:tplc="ECEC9D66">
      <w:start w:val="1"/>
      <w:numFmt w:val="decimal"/>
      <w:lvlText w:val="%1)"/>
      <w:lvlJc w:val="left"/>
      <w:pPr>
        <w:ind w:left="705" w:hanging="360"/>
      </w:pPr>
      <w:rPr>
        <w:rFonts w:ascii="Calibri" w:eastAsia="Calibr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CF59FA"/>
    <w:multiLevelType w:val="hybridMultilevel"/>
    <w:tmpl w:val="5456D34C"/>
    <w:lvl w:ilvl="0" w:tplc="85DCE636">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9" w15:restartNumberingAfterBreak="0">
    <w:nsid w:val="741C2FF7"/>
    <w:multiLevelType w:val="hybridMultilevel"/>
    <w:tmpl w:val="A1F26D8C"/>
    <w:lvl w:ilvl="0" w:tplc="26B8DD76">
      <w:numFmt w:val="bullet"/>
      <w:lvlText w:val="•"/>
      <w:lvlJc w:val="left"/>
      <w:pPr>
        <w:ind w:left="345" w:hanging="360"/>
      </w:pPr>
      <w:rPr>
        <w:rFonts w:ascii="Calibri" w:eastAsia="Calibri" w:hAnsi="Calibri" w:cs="Calibri"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40" w15:restartNumberingAfterBreak="0">
    <w:nsid w:val="7547793E"/>
    <w:multiLevelType w:val="hybridMultilevel"/>
    <w:tmpl w:val="9CAE6B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B968C0"/>
    <w:multiLevelType w:val="multilevel"/>
    <w:tmpl w:val="BFA00690"/>
    <w:lvl w:ilvl="0">
      <w:start w:val="2"/>
      <w:numFmt w:val="decimal"/>
      <w:lvlText w:val="%1"/>
      <w:lvlJc w:val="left"/>
      <w:pPr>
        <w:ind w:left="360" w:hanging="360"/>
      </w:pPr>
      <w:rPr>
        <w:rFonts w:hint="default"/>
      </w:rPr>
    </w:lvl>
    <w:lvl w:ilvl="1">
      <w:start w:val="2"/>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42" w15:restartNumberingAfterBreak="0">
    <w:nsid w:val="7B3D1863"/>
    <w:multiLevelType w:val="hybridMultilevel"/>
    <w:tmpl w:val="6F545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957FF0"/>
    <w:multiLevelType w:val="hybridMultilevel"/>
    <w:tmpl w:val="FAA42D34"/>
    <w:lvl w:ilvl="0" w:tplc="AA62DCA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F6421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46046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8816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CEBB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5ABA1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2839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B8745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7EE7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EC225BE"/>
    <w:multiLevelType w:val="hybridMultilevel"/>
    <w:tmpl w:val="5A6EA822"/>
    <w:lvl w:ilvl="0" w:tplc="26B8DD7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0"/>
  </w:num>
  <w:num w:numId="2">
    <w:abstractNumId w:val="36"/>
  </w:num>
  <w:num w:numId="3">
    <w:abstractNumId w:val="23"/>
  </w:num>
  <w:num w:numId="4">
    <w:abstractNumId w:val="13"/>
  </w:num>
  <w:num w:numId="5">
    <w:abstractNumId w:val="43"/>
  </w:num>
  <w:num w:numId="6">
    <w:abstractNumId w:val="29"/>
  </w:num>
  <w:num w:numId="7">
    <w:abstractNumId w:val="11"/>
  </w:num>
  <w:num w:numId="8">
    <w:abstractNumId w:val="9"/>
  </w:num>
  <w:num w:numId="9">
    <w:abstractNumId w:val="14"/>
  </w:num>
  <w:num w:numId="10">
    <w:abstractNumId w:val="17"/>
  </w:num>
  <w:num w:numId="11">
    <w:abstractNumId w:val="39"/>
  </w:num>
  <w:num w:numId="12">
    <w:abstractNumId w:val="38"/>
  </w:num>
  <w:num w:numId="13">
    <w:abstractNumId w:val="4"/>
  </w:num>
  <w:num w:numId="14">
    <w:abstractNumId w:val="31"/>
  </w:num>
  <w:num w:numId="15">
    <w:abstractNumId w:val="3"/>
  </w:num>
  <w:num w:numId="16">
    <w:abstractNumId w:val="26"/>
  </w:num>
  <w:num w:numId="17">
    <w:abstractNumId w:val="37"/>
  </w:num>
  <w:num w:numId="18">
    <w:abstractNumId w:val="19"/>
  </w:num>
  <w:num w:numId="19">
    <w:abstractNumId w:val="44"/>
  </w:num>
  <w:num w:numId="20">
    <w:abstractNumId w:val="25"/>
  </w:num>
  <w:num w:numId="21">
    <w:abstractNumId w:val="20"/>
  </w:num>
  <w:num w:numId="22">
    <w:abstractNumId w:val="1"/>
  </w:num>
  <w:num w:numId="23">
    <w:abstractNumId w:val="2"/>
  </w:num>
  <w:num w:numId="24">
    <w:abstractNumId w:val="12"/>
  </w:num>
  <w:num w:numId="25">
    <w:abstractNumId w:val="41"/>
  </w:num>
  <w:num w:numId="26">
    <w:abstractNumId w:val="33"/>
  </w:num>
  <w:num w:numId="27">
    <w:abstractNumId w:val="7"/>
  </w:num>
  <w:num w:numId="28">
    <w:abstractNumId w:val="16"/>
  </w:num>
  <w:num w:numId="29">
    <w:abstractNumId w:val="21"/>
  </w:num>
  <w:num w:numId="30">
    <w:abstractNumId w:val="24"/>
  </w:num>
  <w:num w:numId="31">
    <w:abstractNumId w:val="40"/>
  </w:num>
  <w:num w:numId="32">
    <w:abstractNumId w:val="22"/>
  </w:num>
  <w:num w:numId="33">
    <w:abstractNumId w:val="32"/>
  </w:num>
  <w:num w:numId="34">
    <w:abstractNumId w:val="28"/>
  </w:num>
  <w:num w:numId="35">
    <w:abstractNumId w:val="10"/>
  </w:num>
  <w:num w:numId="36">
    <w:abstractNumId w:val="18"/>
  </w:num>
  <w:num w:numId="37">
    <w:abstractNumId w:val="5"/>
  </w:num>
  <w:num w:numId="38">
    <w:abstractNumId w:val="8"/>
  </w:num>
  <w:num w:numId="39">
    <w:abstractNumId w:val="27"/>
  </w:num>
  <w:num w:numId="40">
    <w:abstractNumId w:val="42"/>
  </w:num>
  <w:num w:numId="41">
    <w:abstractNumId w:val="35"/>
  </w:num>
  <w:num w:numId="42">
    <w:abstractNumId w:val="6"/>
  </w:num>
  <w:num w:numId="43">
    <w:abstractNumId w:val="34"/>
  </w:num>
  <w:num w:numId="44">
    <w:abstractNumId w:val="30"/>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A25"/>
    <w:rsid w:val="0000667F"/>
    <w:rsid w:val="00014D26"/>
    <w:rsid w:val="00021FAB"/>
    <w:rsid w:val="0002457D"/>
    <w:rsid w:val="0004522B"/>
    <w:rsid w:val="0009438F"/>
    <w:rsid w:val="000C378A"/>
    <w:rsid w:val="000C63AD"/>
    <w:rsid w:val="000D674F"/>
    <w:rsid w:val="000F630A"/>
    <w:rsid w:val="00101559"/>
    <w:rsid w:val="001045CA"/>
    <w:rsid w:val="001136DF"/>
    <w:rsid w:val="00116C37"/>
    <w:rsid w:val="00121B3A"/>
    <w:rsid w:val="00127A96"/>
    <w:rsid w:val="00140F2C"/>
    <w:rsid w:val="00143D37"/>
    <w:rsid w:val="001649AD"/>
    <w:rsid w:val="0016739D"/>
    <w:rsid w:val="00175DB9"/>
    <w:rsid w:val="001821BF"/>
    <w:rsid w:val="001925E3"/>
    <w:rsid w:val="0019429B"/>
    <w:rsid w:val="001D4127"/>
    <w:rsid w:val="001D639D"/>
    <w:rsid w:val="001F407D"/>
    <w:rsid w:val="001F4D25"/>
    <w:rsid w:val="0020054C"/>
    <w:rsid w:val="002124CD"/>
    <w:rsid w:val="002236CF"/>
    <w:rsid w:val="00225D85"/>
    <w:rsid w:val="00243A4F"/>
    <w:rsid w:val="00246495"/>
    <w:rsid w:val="002526A5"/>
    <w:rsid w:val="00260818"/>
    <w:rsid w:val="00284B56"/>
    <w:rsid w:val="00286950"/>
    <w:rsid w:val="002876A4"/>
    <w:rsid w:val="00294FFA"/>
    <w:rsid w:val="00296624"/>
    <w:rsid w:val="002A1937"/>
    <w:rsid w:val="002A256A"/>
    <w:rsid w:val="002B70C3"/>
    <w:rsid w:val="002C4300"/>
    <w:rsid w:val="002D32CB"/>
    <w:rsid w:val="002D4926"/>
    <w:rsid w:val="002D7AE8"/>
    <w:rsid w:val="002F4DB3"/>
    <w:rsid w:val="002F6D54"/>
    <w:rsid w:val="002F7612"/>
    <w:rsid w:val="00314C8C"/>
    <w:rsid w:val="00315126"/>
    <w:rsid w:val="003311E2"/>
    <w:rsid w:val="00336866"/>
    <w:rsid w:val="00337692"/>
    <w:rsid w:val="00340541"/>
    <w:rsid w:val="00341CF7"/>
    <w:rsid w:val="00352889"/>
    <w:rsid w:val="00360C44"/>
    <w:rsid w:val="00373116"/>
    <w:rsid w:val="00382D2F"/>
    <w:rsid w:val="00387236"/>
    <w:rsid w:val="00393A6F"/>
    <w:rsid w:val="003947D8"/>
    <w:rsid w:val="003973C1"/>
    <w:rsid w:val="003E6A62"/>
    <w:rsid w:val="003E756E"/>
    <w:rsid w:val="00406B99"/>
    <w:rsid w:val="00414FE7"/>
    <w:rsid w:val="00424F3F"/>
    <w:rsid w:val="00426B66"/>
    <w:rsid w:val="00430368"/>
    <w:rsid w:val="00465219"/>
    <w:rsid w:val="0047756A"/>
    <w:rsid w:val="00481E66"/>
    <w:rsid w:val="00484855"/>
    <w:rsid w:val="00486EBF"/>
    <w:rsid w:val="004A2529"/>
    <w:rsid w:val="004A4A2F"/>
    <w:rsid w:val="004A774F"/>
    <w:rsid w:val="004C35F1"/>
    <w:rsid w:val="004C7250"/>
    <w:rsid w:val="004D7F17"/>
    <w:rsid w:val="004E5851"/>
    <w:rsid w:val="004E5D92"/>
    <w:rsid w:val="004E5E58"/>
    <w:rsid w:val="00503F15"/>
    <w:rsid w:val="00506C11"/>
    <w:rsid w:val="0052039D"/>
    <w:rsid w:val="00533347"/>
    <w:rsid w:val="0054232E"/>
    <w:rsid w:val="00543EA9"/>
    <w:rsid w:val="005515FE"/>
    <w:rsid w:val="0056160D"/>
    <w:rsid w:val="0056445F"/>
    <w:rsid w:val="005A7D49"/>
    <w:rsid w:val="005B555B"/>
    <w:rsid w:val="005E2238"/>
    <w:rsid w:val="005E584F"/>
    <w:rsid w:val="005F07E0"/>
    <w:rsid w:val="005F3FF5"/>
    <w:rsid w:val="005F62AA"/>
    <w:rsid w:val="006051D5"/>
    <w:rsid w:val="00620D31"/>
    <w:rsid w:val="006248CD"/>
    <w:rsid w:val="006361FF"/>
    <w:rsid w:val="00651C2F"/>
    <w:rsid w:val="0065583A"/>
    <w:rsid w:val="00657492"/>
    <w:rsid w:val="00657524"/>
    <w:rsid w:val="006624BB"/>
    <w:rsid w:val="0066443F"/>
    <w:rsid w:val="006727AB"/>
    <w:rsid w:val="0067500A"/>
    <w:rsid w:val="006915AB"/>
    <w:rsid w:val="006B22C6"/>
    <w:rsid w:val="006C198B"/>
    <w:rsid w:val="006C25F6"/>
    <w:rsid w:val="006D2A06"/>
    <w:rsid w:val="006E1E4B"/>
    <w:rsid w:val="006E4957"/>
    <w:rsid w:val="006E51E2"/>
    <w:rsid w:val="006E7657"/>
    <w:rsid w:val="006F48FA"/>
    <w:rsid w:val="006F6DA8"/>
    <w:rsid w:val="007102D1"/>
    <w:rsid w:val="00712176"/>
    <w:rsid w:val="00716A21"/>
    <w:rsid w:val="00717AA2"/>
    <w:rsid w:val="00721B06"/>
    <w:rsid w:val="00722639"/>
    <w:rsid w:val="0072354A"/>
    <w:rsid w:val="00732C84"/>
    <w:rsid w:val="0073651F"/>
    <w:rsid w:val="007756E8"/>
    <w:rsid w:val="00784AE1"/>
    <w:rsid w:val="00792819"/>
    <w:rsid w:val="007930CB"/>
    <w:rsid w:val="00795CC9"/>
    <w:rsid w:val="0079772F"/>
    <w:rsid w:val="007A6EC7"/>
    <w:rsid w:val="007B2871"/>
    <w:rsid w:val="007B42AE"/>
    <w:rsid w:val="007B6732"/>
    <w:rsid w:val="007C74DD"/>
    <w:rsid w:val="007E0022"/>
    <w:rsid w:val="007F6660"/>
    <w:rsid w:val="008059E3"/>
    <w:rsid w:val="008100ED"/>
    <w:rsid w:val="008202E7"/>
    <w:rsid w:val="00824B35"/>
    <w:rsid w:val="008275ED"/>
    <w:rsid w:val="00837C51"/>
    <w:rsid w:val="008409B3"/>
    <w:rsid w:val="0084425D"/>
    <w:rsid w:val="008526E8"/>
    <w:rsid w:val="008645FC"/>
    <w:rsid w:val="00867440"/>
    <w:rsid w:val="008734C5"/>
    <w:rsid w:val="00875358"/>
    <w:rsid w:val="00882D39"/>
    <w:rsid w:val="00894DF5"/>
    <w:rsid w:val="008B35B3"/>
    <w:rsid w:val="008C0EED"/>
    <w:rsid w:val="008D1E9A"/>
    <w:rsid w:val="008D77E8"/>
    <w:rsid w:val="008E47C8"/>
    <w:rsid w:val="008F077C"/>
    <w:rsid w:val="008F09A0"/>
    <w:rsid w:val="008F3BDB"/>
    <w:rsid w:val="008F405B"/>
    <w:rsid w:val="009151C8"/>
    <w:rsid w:val="00933EB7"/>
    <w:rsid w:val="00945696"/>
    <w:rsid w:val="00963B50"/>
    <w:rsid w:val="00970EFA"/>
    <w:rsid w:val="00972C01"/>
    <w:rsid w:val="00983B67"/>
    <w:rsid w:val="00993D64"/>
    <w:rsid w:val="0099484A"/>
    <w:rsid w:val="009A02BC"/>
    <w:rsid w:val="009A2221"/>
    <w:rsid w:val="009B2930"/>
    <w:rsid w:val="009E247F"/>
    <w:rsid w:val="009E3848"/>
    <w:rsid w:val="009E6155"/>
    <w:rsid w:val="009E7699"/>
    <w:rsid w:val="009F238C"/>
    <w:rsid w:val="009F46FB"/>
    <w:rsid w:val="00A12105"/>
    <w:rsid w:val="00A15FBE"/>
    <w:rsid w:val="00A254D2"/>
    <w:rsid w:val="00A26D1B"/>
    <w:rsid w:val="00A2796C"/>
    <w:rsid w:val="00A45B18"/>
    <w:rsid w:val="00A505B5"/>
    <w:rsid w:val="00A555C1"/>
    <w:rsid w:val="00A56133"/>
    <w:rsid w:val="00A62BB2"/>
    <w:rsid w:val="00A6685A"/>
    <w:rsid w:val="00A66CB2"/>
    <w:rsid w:val="00A70F35"/>
    <w:rsid w:val="00A753FF"/>
    <w:rsid w:val="00A77E0D"/>
    <w:rsid w:val="00AB43AE"/>
    <w:rsid w:val="00AC64DE"/>
    <w:rsid w:val="00AD1636"/>
    <w:rsid w:val="00AD703C"/>
    <w:rsid w:val="00AD767F"/>
    <w:rsid w:val="00AE29AB"/>
    <w:rsid w:val="00AF1EAE"/>
    <w:rsid w:val="00B027DC"/>
    <w:rsid w:val="00B07A3B"/>
    <w:rsid w:val="00B1506A"/>
    <w:rsid w:val="00B6013B"/>
    <w:rsid w:val="00B739A9"/>
    <w:rsid w:val="00B744FD"/>
    <w:rsid w:val="00B852EE"/>
    <w:rsid w:val="00B91B2C"/>
    <w:rsid w:val="00BC44E1"/>
    <w:rsid w:val="00BC4511"/>
    <w:rsid w:val="00BD2E79"/>
    <w:rsid w:val="00BD5EE6"/>
    <w:rsid w:val="00BE2A3A"/>
    <w:rsid w:val="00BE5953"/>
    <w:rsid w:val="00C124E3"/>
    <w:rsid w:val="00C12EA3"/>
    <w:rsid w:val="00C2372E"/>
    <w:rsid w:val="00C34CAD"/>
    <w:rsid w:val="00C35D81"/>
    <w:rsid w:val="00C51390"/>
    <w:rsid w:val="00C53532"/>
    <w:rsid w:val="00C54DF4"/>
    <w:rsid w:val="00C66E36"/>
    <w:rsid w:val="00C74572"/>
    <w:rsid w:val="00C80CE4"/>
    <w:rsid w:val="00C86A25"/>
    <w:rsid w:val="00C9425C"/>
    <w:rsid w:val="00C95283"/>
    <w:rsid w:val="00C95ECD"/>
    <w:rsid w:val="00CB500E"/>
    <w:rsid w:val="00CB725D"/>
    <w:rsid w:val="00CC1449"/>
    <w:rsid w:val="00CC35B3"/>
    <w:rsid w:val="00CD3B26"/>
    <w:rsid w:val="00CD3DF1"/>
    <w:rsid w:val="00CD6EE8"/>
    <w:rsid w:val="00CF3CB5"/>
    <w:rsid w:val="00D03A45"/>
    <w:rsid w:val="00D04E23"/>
    <w:rsid w:val="00D2424F"/>
    <w:rsid w:val="00D26121"/>
    <w:rsid w:val="00D30E60"/>
    <w:rsid w:val="00D32DF9"/>
    <w:rsid w:val="00D43695"/>
    <w:rsid w:val="00D54D11"/>
    <w:rsid w:val="00D57F82"/>
    <w:rsid w:val="00D64A7A"/>
    <w:rsid w:val="00D66D11"/>
    <w:rsid w:val="00D73576"/>
    <w:rsid w:val="00D86360"/>
    <w:rsid w:val="00D92C53"/>
    <w:rsid w:val="00DA5732"/>
    <w:rsid w:val="00DA60B7"/>
    <w:rsid w:val="00DA633D"/>
    <w:rsid w:val="00DB79C9"/>
    <w:rsid w:val="00DC4654"/>
    <w:rsid w:val="00DC58CC"/>
    <w:rsid w:val="00DD00FF"/>
    <w:rsid w:val="00DD1944"/>
    <w:rsid w:val="00E03AEA"/>
    <w:rsid w:val="00E04B04"/>
    <w:rsid w:val="00E10F10"/>
    <w:rsid w:val="00E17824"/>
    <w:rsid w:val="00E22805"/>
    <w:rsid w:val="00E24B7D"/>
    <w:rsid w:val="00E35F99"/>
    <w:rsid w:val="00E4112F"/>
    <w:rsid w:val="00E41447"/>
    <w:rsid w:val="00E511BA"/>
    <w:rsid w:val="00E90F31"/>
    <w:rsid w:val="00E91CE6"/>
    <w:rsid w:val="00EA2F3D"/>
    <w:rsid w:val="00EA2F6D"/>
    <w:rsid w:val="00EB1A7F"/>
    <w:rsid w:val="00EB25A9"/>
    <w:rsid w:val="00EB3206"/>
    <w:rsid w:val="00EC0975"/>
    <w:rsid w:val="00EC3304"/>
    <w:rsid w:val="00EE2942"/>
    <w:rsid w:val="00F037ED"/>
    <w:rsid w:val="00F0553C"/>
    <w:rsid w:val="00F07F59"/>
    <w:rsid w:val="00F1605C"/>
    <w:rsid w:val="00F25F2E"/>
    <w:rsid w:val="00F45315"/>
    <w:rsid w:val="00F46CEB"/>
    <w:rsid w:val="00F4707B"/>
    <w:rsid w:val="00F56561"/>
    <w:rsid w:val="00F56BC4"/>
    <w:rsid w:val="00F6357C"/>
    <w:rsid w:val="00F8067A"/>
    <w:rsid w:val="00F83FD3"/>
    <w:rsid w:val="00F92E37"/>
    <w:rsid w:val="00F973FA"/>
    <w:rsid w:val="00FA0E93"/>
    <w:rsid w:val="00FA1308"/>
    <w:rsid w:val="00FC4D2F"/>
    <w:rsid w:val="00FD03B6"/>
    <w:rsid w:val="00FD2444"/>
    <w:rsid w:val="00FD3FC6"/>
    <w:rsid w:val="00FE363E"/>
    <w:rsid w:val="00FE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94A3C"/>
  <w15:docId w15:val="{7B8A73FC-499F-48F4-875A-D70805C1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5F6"/>
    <w:pPr>
      <w:spacing w:after="5" w:line="269" w:lineRule="auto"/>
      <w:ind w:left="111"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5" w:line="269" w:lineRule="auto"/>
      <w:ind w:left="10" w:hanging="10"/>
      <w:outlineLvl w:val="0"/>
    </w:pPr>
    <w:rPr>
      <w:rFonts w:ascii="Calibri" w:eastAsia="Calibri" w:hAnsi="Calibri" w:cs="Calibri"/>
      <w:b/>
      <w:color w:val="17365D"/>
    </w:rPr>
  </w:style>
  <w:style w:type="paragraph" w:styleId="Heading2">
    <w:name w:val="heading 2"/>
    <w:next w:val="Normal"/>
    <w:link w:val="Heading2Char"/>
    <w:uiPriority w:val="9"/>
    <w:unhideWhenUsed/>
    <w:qFormat/>
    <w:pPr>
      <w:keepNext/>
      <w:keepLines/>
      <w:spacing w:after="19"/>
      <w:ind w:left="10" w:hanging="10"/>
      <w:outlineLvl w:val="1"/>
    </w:pPr>
    <w:rPr>
      <w:rFonts w:ascii="Calibri" w:eastAsia="Calibri" w:hAnsi="Calibri" w:cs="Calibri"/>
      <w:b/>
      <w:color w:val="002060"/>
    </w:rPr>
  </w:style>
  <w:style w:type="paragraph" w:styleId="Heading3">
    <w:name w:val="heading 3"/>
    <w:next w:val="Normal"/>
    <w:link w:val="Heading3Char"/>
    <w:uiPriority w:val="9"/>
    <w:unhideWhenUsed/>
    <w:qFormat/>
    <w:pPr>
      <w:keepNext/>
      <w:keepLines/>
      <w:spacing w:after="5" w:line="269" w:lineRule="auto"/>
      <w:ind w:left="10" w:hanging="10"/>
      <w:outlineLvl w:val="2"/>
    </w:pPr>
    <w:rPr>
      <w:rFonts w:ascii="Calibri" w:eastAsia="Calibri" w:hAnsi="Calibri" w:cs="Calibri"/>
      <w:b/>
      <w:color w:val="17365D"/>
    </w:rPr>
  </w:style>
  <w:style w:type="paragraph" w:styleId="Heading4">
    <w:name w:val="heading 4"/>
    <w:next w:val="Normal"/>
    <w:link w:val="Heading4Char"/>
    <w:uiPriority w:val="9"/>
    <w:unhideWhenUsed/>
    <w:qFormat/>
    <w:pPr>
      <w:keepNext/>
      <w:keepLines/>
      <w:spacing w:after="5" w:line="249" w:lineRule="auto"/>
      <w:ind w:left="10" w:right="3" w:hanging="10"/>
      <w:jc w:val="both"/>
      <w:outlineLvl w:val="3"/>
    </w:pPr>
    <w:rPr>
      <w:rFonts w:ascii="Calibri" w:eastAsia="Calibri" w:hAnsi="Calibri" w:cs="Calibri"/>
      <w:b/>
      <w:color w:val="000000"/>
    </w:rPr>
  </w:style>
  <w:style w:type="paragraph" w:styleId="Heading5">
    <w:name w:val="heading 5"/>
    <w:next w:val="Normal"/>
    <w:link w:val="Heading5Char"/>
    <w:uiPriority w:val="9"/>
    <w:unhideWhenUsed/>
    <w:qFormat/>
    <w:pPr>
      <w:keepNext/>
      <w:keepLines/>
      <w:spacing w:after="19"/>
      <w:ind w:left="10" w:hanging="10"/>
      <w:outlineLvl w:val="4"/>
    </w:pPr>
    <w:rPr>
      <w:rFonts w:ascii="Calibri" w:eastAsia="Calibri" w:hAnsi="Calibri" w:cs="Calibri"/>
      <w:b/>
      <w:color w:val="0020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000000"/>
      <w:sz w:val="22"/>
    </w:rPr>
  </w:style>
  <w:style w:type="character" w:customStyle="1" w:styleId="Heading3Char">
    <w:name w:val="Heading 3 Char"/>
    <w:link w:val="Heading3"/>
    <w:rPr>
      <w:rFonts w:ascii="Calibri" w:eastAsia="Calibri" w:hAnsi="Calibri" w:cs="Calibri"/>
      <w:b/>
      <w:color w:val="17365D"/>
      <w:sz w:val="22"/>
    </w:rPr>
  </w:style>
  <w:style w:type="character" w:customStyle="1" w:styleId="Heading5Char">
    <w:name w:val="Heading 5 Char"/>
    <w:link w:val="Heading5"/>
    <w:rPr>
      <w:rFonts w:ascii="Calibri" w:eastAsia="Calibri" w:hAnsi="Calibri" w:cs="Calibri"/>
      <w:b/>
      <w:color w:val="002060"/>
      <w:sz w:val="22"/>
    </w:rPr>
  </w:style>
  <w:style w:type="character" w:customStyle="1" w:styleId="Heading1Char">
    <w:name w:val="Heading 1 Char"/>
    <w:link w:val="Heading1"/>
    <w:rPr>
      <w:rFonts w:ascii="Calibri" w:eastAsia="Calibri" w:hAnsi="Calibri" w:cs="Calibri"/>
      <w:b/>
      <w:color w:val="17365D"/>
      <w:sz w:val="22"/>
    </w:rPr>
  </w:style>
  <w:style w:type="character" w:customStyle="1" w:styleId="Heading2Char">
    <w:name w:val="Heading 2 Char"/>
    <w:link w:val="Heading2"/>
    <w:rPr>
      <w:rFonts w:ascii="Calibri" w:eastAsia="Calibri" w:hAnsi="Calibri" w:cs="Calibri"/>
      <w:b/>
      <w:color w:val="002060"/>
      <w:sz w:val="22"/>
    </w:rPr>
  </w:style>
  <w:style w:type="paragraph" w:styleId="TOC1">
    <w:name w:val="toc 1"/>
    <w:hidden/>
    <w:uiPriority w:val="39"/>
    <w:pPr>
      <w:spacing w:after="108" w:line="269" w:lineRule="auto"/>
      <w:ind w:left="25" w:right="29" w:hanging="10"/>
      <w:jc w:val="both"/>
    </w:pPr>
    <w:rPr>
      <w:rFonts w:ascii="Calibri" w:eastAsia="Calibri" w:hAnsi="Calibri" w:cs="Calibri"/>
      <w:color w:val="000000"/>
    </w:rPr>
  </w:style>
  <w:style w:type="paragraph" w:styleId="TOC2">
    <w:name w:val="toc 2"/>
    <w:hidden/>
    <w:uiPriority w:val="39"/>
    <w:pPr>
      <w:spacing w:after="108" w:line="269" w:lineRule="auto"/>
      <w:ind w:left="246" w:right="29" w:hanging="10"/>
      <w:jc w:val="both"/>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E6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A62"/>
    <w:rPr>
      <w:rFonts w:ascii="Calibri" w:eastAsia="Calibri" w:hAnsi="Calibri" w:cs="Calibri"/>
      <w:color w:val="000000"/>
    </w:rPr>
  </w:style>
  <w:style w:type="character" w:styleId="CommentReference">
    <w:name w:val="annotation reference"/>
    <w:basedOn w:val="DefaultParagraphFont"/>
    <w:uiPriority w:val="99"/>
    <w:semiHidden/>
    <w:unhideWhenUsed/>
    <w:rsid w:val="00C95283"/>
    <w:rPr>
      <w:sz w:val="16"/>
      <w:szCs w:val="16"/>
    </w:rPr>
  </w:style>
  <w:style w:type="paragraph" w:styleId="CommentText">
    <w:name w:val="annotation text"/>
    <w:basedOn w:val="Normal"/>
    <w:link w:val="CommentTextChar"/>
    <w:uiPriority w:val="99"/>
    <w:semiHidden/>
    <w:unhideWhenUsed/>
    <w:rsid w:val="00C95283"/>
    <w:pPr>
      <w:spacing w:line="240" w:lineRule="auto"/>
    </w:pPr>
    <w:rPr>
      <w:sz w:val="20"/>
      <w:szCs w:val="20"/>
    </w:rPr>
  </w:style>
  <w:style w:type="character" w:customStyle="1" w:styleId="CommentTextChar">
    <w:name w:val="Comment Text Char"/>
    <w:basedOn w:val="DefaultParagraphFont"/>
    <w:link w:val="CommentText"/>
    <w:uiPriority w:val="99"/>
    <w:semiHidden/>
    <w:rsid w:val="00C9528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95283"/>
    <w:rPr>
      <w:b/>
      <w:bCs/>
    </w:rPr>
  </w:style>
  <w:style w:type="character" w:customStyle="1" w:styleId="CommentSubjectChar">
    <w:name w:val="Comment Subject Char"/>
    <w:basedOn w:val="CommentTextChar"/>
    <w:link w:val="CommentSubject"/>
    <w:uiPriority w:val="99"/>
    <w:semiHidden/>
    <w:rsid w:val="00C95283"/>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C952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283"/>
    <w:rPr>
      <w:rFonts w:ascii="Segoe UI" w:eastAsia="Calibri" w:hAnsi="Segoe UI" w:cs="Segoe UI"/>
      <w:color w:val="000000"/>
      <w:sz w:val="18"/>
      <w:szCs w:val="18"/>
    </w:rPr>
  </w:style>
  <w:style w:type="character" w:styleId="Hyperlink">
    <w:name w:val="Hyperlink"/>
    <w:basedOn w:val="DefaultParagraphFont"/>
    <w:uiPriority w:val="99"/>
    <w:unhideWhenUsed/>
    <w:rsid w:val="00486EBF"/>
    <w:rPr>
      <w:color w:val="0563C1" w:themeColor="hyperlink"/>
      <w:u w:val="single"/>
    </w:rPr>
  </w:style>
  <w:style w:type="paragraph" w:styleId="ListParagraph">
    <w:name w:val="List Paragraph"/>
    <w:basedOn w:val="Normal"/>
    <w:link w:val="ListParagraphChar"/>
    <w:uiPriority w:val="34"/>
    <w:qFormat/>
    <w:rsid w:val="00FD3FC6"/>
    <w:pPr>
      <w:ind w:left="720"/>
      <w:contextualSpacing/>
    </w:pPr>
  </w:style>
  <w:style w:type="table" w:styleId="TableGrid0">
    <w:name w:val="Table Grid"/>
    <w:basedOn w:val="TableNormal"/>
    <w:uiPriority w:val="39"/>
    <w:rsid w:val="00EA2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79772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7102D1"/>
    <w:pPr>
      <w:spacing w:after="0" w:line="240" w:lineRule="auto"/>
    </w:pPr>
    <w:rPr>
      <w:rFonts w:ascii="Calibri" w:eastAsia="Calibri" w:hAnsi="Calibri" w:cs="Calibri"/>
      <w:color w:val="000000"/>
    </w:rPr>
  </w:style>
  <w:style w:type="paragraph" w:styleId="FootnoteText">
    <w:name w:val="footnote text"/>
    <w:basedOn w:val="Normal"/>
    <w:link w:val="FootnoteTextChar"/>
    <w:uiPriority w:val="99"/>
    <w:semiHidden/>
    <w:unhideWhenUsed/>
    <w:rsid w:val="00143D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3D37"/>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143D37"/>
    <w:rPr>
      <w:vertAlign w:val="superscript"/>
    </w:rPr>
  </w:style>
  <w:style w:type="paragraph" w:styleId="Footer">
    <w:name w:val="footer"/>
    <w:basedOn w:val="Normal"/>
    <w:link w:val="FooterChar"/>
    <w:uiPriority w:val="99"/>
    <w:unhideWhenUsed/>
    <w:rsid w:val="002D32CB"/>
    <w:pPr>
      <w:tabs>
        <w:tab w:val="center" w:pos="4680"/>
        <w:tab w:val="right" w:pos="9360"/>
      </w:tabs>
      <w:spacing w:after="0" w:line="240" w:lineRule="auto"/>
      <w:ind w:left="0" w:firstLine="0"/>
      <w:jc w:val="left"/>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2D32CB"/>
    <w:rPr>
      <w:rFonts w:cs="Times New Roman"/>
    </w:rPr>
  </w:style>
  <w:style w:type="table" w:customStyle="1" w:styleId="GridTable4-Accent11">
    <w:name w:val="Grid Table 4 - Accent 11"/>
    <w:basedOn w:val="TableNormal"/>
    <w:next w:val="GridTable4-Accent1"/>
    <w:uiPriority w:val="49"/>
    <w:rsid w:val="00014D2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itle">
    <w:name w:val="Title"/>
    <w:basedOn w:val="Normal"/>
    <w:next w:val="Normal"/>
    <w:link w:val="TitleChar"/>
    <w:uiPriority w:val="10"/>
    <w:qFormat/>
    <w:rsid w:val="00B744FD"/>
    <w:pPr>
      <w:spacing w:after="0" w:line="240" w:lineRule="auto"/>
      <w:ind w:left="0" w:firstLine="0"/>
      <w:contextualSpacing/>
      <w:jc w:val="left"/>
    </w:pPr>
    <w:rPr>
      <w:rFonts w:ascii="Trebuchet MS" w:eastAsia="Times New Roman" w:hAnsi="Trebuchet MS" w:cs="Times New Roman"/>
      <w:color w:val="auto"/>
      <w:spacing w:val="-10"/>
      <w:kern w:val="28"/>
      <w:sz w:val="56"/>
      <w:szCs w:val="56"/>
    </w:rPr>
  </w:style>
  <w:style w:type="character" w:customStyle="1" w:styleId="TitleChar">
    <w:name w:val="Title Char"/>
    <w:basedOn w:val="DefaultParagraphFont"/>
    <w:link w:val="Title"/>
    <w:uiPriority w:val="10"/>
    <w:rsid w:val="00B744FD"/>
    <w:rPr>
      <w:rFonts w:ascii="Trebuchet MS" w:eastAsia="Times New Roman" w:hAnsi="Trebuchet MS" w:cs="Times New Roman"/>
      <w:spacing w:val="-10"/>
      <w:kern w:val="28"/>
      <w:sz w:val="56"/>
      <w:szCs w:val="56"/>
    </w:rPr>
  </w:style>
  <w:style w:type="paragraph" w:styleId="NoSpacing">
    <w:name w:val="No Spacing"/>
    <w:uiPriority w:val="1"/>
    <w:qFormat/>
    <w:rsid w:val="00B744FD"/>
    <w:pPr>
      <w:spacing w:after="0" w:line="240" w:lineRule="auto"/>
    </w:pPr>
    <w:rPr>
      <w:rFonts w:ascii="Calibri" w:eastAsia="Calibri" w:hAnsi="Calibri" w:cs="Times New Roman"/>
    </w:rPr>
  </w:style>
  <w:style w:type="character" w:customStyle="1" w:styleId="ListParagraphChar">
    <w:name w:val="List Paragraph Char"/>
    <w:link w:val="ListParagraph"/>
    <w:uiPriority w:val="34"/>
    <w:locked/>
    <w:rsid w:val="00B744FD"/>
    <w:rPr>
      <w:rFonts w:ascii="Calibri" w:eastAsia="Calibri" w:hAnsi="Calibri" w:cs="Calibri"/>
      <w:color w:val="000000"/>
    </w:rPr>
  </w:style>
  <w:style w:type="paragraph" w:customStyle="1" w:styleId="paragraph">
    <w:name w:val="paragraph"/>
    <w:basedOn w:val="Normal"/>
    <w:rsid w:val="00B744FD"/>
    <w:pPr>
      <w:spacing w:after="0" w:line="240" w:lineRule="auto"/>
      <w:ind w:left="0" w:firstLine="0"/>
      <w:jc w:val="left"/>
    </w:pPr>
    <w:rPr>
      <w:rFonts w:ascii="Times New Roman" w:eastAsia="Times New Roman" w:hAnsi="Times New Roman" w:cs="Times New Roman"/>
      <w:color w:val="auto"/>
      <w:sz w:val="24"/>
      <w:szCs w:val="24"/>
    </w:rPr>
  </w:style>
  <w:style w:type="character" w:customStyle="1" w:styleId="normaltextrun1">
    <w:name w:val="normaltextrun1"/>
    <w:rsid w:val="00B744FD"/>
  </w:style>
  <w:style w:type="character" w:customStyle="1" w:styleId="eop">
    <w:name w:val="eop"/>
    <w:rsid w:val="00B74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7575">
      <w:bodyDiv w:val="1"/>
      <w:marLeft w:val="0"/>
      <w:marRight w:val="0"/>
      <w:marTop w:val="0"/>
      <w:marBottom w:val="0"/>
      <w:divBdr>
        <w:top w:val="none" w:sz="0" w:space="0" w:color="auto"/>
        <w:left w:val="none" w:sz="0" w:space="0" w:color="auto"/>
        <w:bottom w:val="none" w:sz="0" w:space="0" w:color="auto"/>
        <w:right w:val="none" w:sz="0" w:space="0" w:color="auto"/>
      </w:divBdr>
    </w:div>
    <w:div w:id="49156998">
      <w:bodyDiv w:val="1"/>
      <w:marLeft w:val="0"/>
      <w:marRight w:val="0"/>
      <w:marTop w:val="0"/>
      <w:marBottom w:val="0"/>
      <w:divBdr>
        <w:top w:val="none" w:sz="0" w:space="0" w:color="auto"/>
        <w:left w:val="none" w:sz="0" w:space="0" w:color="auto"/>
        <w:bottom w:val="none" w:sz="0" w:space="0" w:color="auto"/>
        <w:right w:val="none" w:sz="0" w:space="0" w:color="auto"/>
      </w:divBdr>
    </w:div>
    <w:div w:id="50157972">
      <w:bodyDiv w:val="1"/>
      <w:marLeft w:val="0"/>
      <w:marRight w:val="0"/>
      <w:marTop w:val="0"/>
      <w:marBottom w:val="0"/>
      <w:divBdr>
        <w:top w:val="none" w:sz="0" w:space="0" w:color="auto"/>
        <w:left w:val="none" w:sz="0" w:space="0" w:color="auto"/>
        <w:bottom w:val="none" w:sz="0" w:space="0" w:color="auto"/>
        <w:right w:val="none" w:sz="0" w:space="0" w:color="auto"/>
      </w:divBdr>
    </w:div>
    <w:div w:id="122815751">
      <w:bodyDiv w:val="1"/>
      <w:marLeft w:val="0"/>
      <w:marRight w:val="0"/>
      <w:marTop w:val="0"/>
      <w:marBottom w:val="0"/>
      <w:divBdr>
        <w:top w:val="none" w:sz="0" w:space="0" w:color="auto"/>
        <w:left w:val="none" w:sz="0" w:space="0" w:color="auto"/>
        <w:bottom w:val="none" w:sz="0" w:space="0" w:color="auto"/>
        <w:right w:val="none" w:sz="0" w:space="0" w:color="auto"/>
      </w:divBdr>
    </w:div>
    <w:div w:id="351229341">
      <w:bodyDiv w:val="1"/>
      <w:marLeft w:val="0"/>
      <w:marRight w:val="0"/>
      <w:marTop w:val="0"/>
      <w:marBottom w:val="0"/>
      <w:divBdr>
        <w:top w:val="none" w:sz="0" w:space="0" w:color="auto"/>
        <w:left w:val="none" w:sz="0" w:space="0" w:color="auto"/>
        <w:bottom w:val="none" w:sz="0" w:space="0" w:color="auto"/>
        <w:right w:val="none" w:sz="0" w:space="0" w:color="auto"/>
      </w:divBdr>
    </w:div>
    <w:div w:id="371811216">
      <w:bodyDiv w:val="1"/>
      <w:marLeft w:val="0"/>
      <w:marRight w:val="0"/>
      <w:marTop w:val="0"/>
      <w:marBottom w:val="0"/>
      <w:divBdr>
        <w:top w:val="none" w:sz="0" w:space="0" w:color="auto"/>
        <w:left w:val="none" w:sz="0" w:space="0" w:color="auto"/>
        <w:bottom w:val="none" w:sz="0" w:space="0" w:color="auto"/>
        <w:right w:val="none" w:sz="0" w:space="0" w:color="auto"/>
      </w:divBdr>
    </w:div>
    <w:div w:id="688679859">
      <w:bodyDiv w:val="1"/>
      <w:marLeft w:val="0"/>
      <w:marRight w:val="0"/>
      <w:marTop w:val="0"/>
      <w:marBottom w:val="0"/>
      <w:divBdr>
        <w:top w:val="none" w:sz="0" w:space="0" w:color="auto"/>
        <w:left w:val="none" w:sz="0" w:space="0" w:color="auto"/>
        <w:bottom w:val="none" w:sz="0" w:space="0" w:color="auto"/>
        <w:right w:val="none" w:sz="0" w:space="0" w:color="auto"/>
      </w:divBdr>
    </w:div>
    <w:div w:id="837158244">
      <w:bodyDiv w:val="1"/>
      <w:marLeft w:val="0"/>
      <w:marRight w:val="0"/>
      <w:marTop w:val="0"/>
      <w:marBottom w:val="0"/>
      <w:divBdr>
        <w:top w:val="none" w:sz="0" w:space="0" w:color="auto"/>
        <w:left w:val="none" w:sz="0" w:space="0" w:color="auto"/>
        <w:bottom w:val="none" w:sz="0" w:space="0" w:color="auto"/>
        <w:right w:val="none" w:sz="0" w:space="0" w:color="auto"/>
      </w:divBdr>
    </w:div>
    <w:div w:id="855927629">
      <w:bodyDiv w:val="1"/>
      <w:marLeft w:val="0"/>
      <w:marRight w:val="0"/>
      <w:marTop w:val="0"/>
      <w:marBottom w:val="0"/>
      <w:divBdr>
        <w:top w:val="none" w:sz="0" w:space="0" w:color="auto"/>
        <w:left w:val="none" w:sz="0" w:space="0" w:color="auto"/>
        <w:bottom w:val="none" w:sz="0" w:space="0" w:color="auto"/>
        <w:right w:val="none" w:sz="0" w:space="0" w:color="auto"/>
      </w:divBdr>
    </w:div>
    <w:div w:id="1088579890">
      <w:bodyDiv w:val="1"/>
      <w:marLeft w:val="0"/>
      <w:marRight w:val="0"/>
      <w:marTop w:val="0"/>
      <w:marBottom w:val="0"/>
      <w:divBdr>
        <w:top w:val="none" w:sz="0" w:space="0" w:color="auto"/>
        <w:left w:val="none" w:sz="0" w:space="0" w:color="auto"/>
        <w:bottom w:val="none" w:sz="0" w:space="0" w:color="auto"/>
        <w:right w:val="none" w:sz="0" w:space="0" w:color="auto"/>
      </w:divBdr>
    </w:div>
    <w:div w:id="1095706599">
      <w:bodyDiv w:val="1"/>
      <w:marLeft w:val="0"/>
      <w:marRight w:val="0"/>
      <w:marTop w:val="0"/>
      <w:marBottom w:val="0"/>
      <w:divBdr>
        <w:top w:val="none" w:sz="0" w:space="0" w:color="auto"/>
        <w:left w:val="none" w:sz="0" w:space="0" w:color="auto"/>
        <w:bottom w:val="none" w:sz="0" w:space="0" w:color="auto"/>
        <w:right w:val="none" w:sz="0" w:space="0" w:color="auto"/>
      </w:divBdr>
    </w:div>
    <w:div w:id="1254169302">
      <w:bodyDiv w:val="1"/>
      <w:marLeft w:val="0"/>
      <w:marRight w:val="0"/>
      <w:marTop w:val="0"/>
      <w:marBottom w:val="0"/>
      <w:divBdr>
        <w:top w:val="none" w:sz="0" w:space="0" w:color="auto"/>
        <w:left w:val="none" w:sz="0" w:space="0" w:color="auto"/>
        <w:bottom w:val="none" w:sz="0" w:space="0" w:color="auto"/>
        <w:right w:val="none" w:sz="0" w:space="0" w:color="auto"/>
      </w:divBdr>
    </w:div>
    <w:div w:id="1550145383">
      <w:bodyDiv w:val="1"/>
      <w:marLeft w:val="0"/>
      <w:marRight w:val="0"/>
      <w:marTop w:val="0"/>
      <w:marBottom w:val="0"/>
      <w:divBdr>
        <w:top w:val="none" w:sz="0" w:space="0" w:color="auto"/>
        <w:left w:val="none" w:sz="0" w:space="0" w:color="auto"/>
        <w:bottom w:val="none" w:sz="0" w:space="0" w:color="auto"/>
        <w:right w:val="none" w:sz="0" w:space="0" w:color="auto"/>
      </w:divBdr>
    </w:div>
    <w:div w:id="1748762982">
      <w:bodyDiv w:val="1"/>
      <w:marLeft w:val="0"/>
      <w:marRight w:val="0"/>
      <w:marTop w:val="0"/>
      <w:marBottom w:val="0"/>
      <w:divBdr>
        <w:top w:val="none" w:sz="0" w:space="0" w:color="auto"/>
        <w:left w:val="none" w:sz="0" w:space="0" w:color="auto"/>
        <w:bottom w:val="none" w:sz="0" w:space="0" w:color="auto"/>
        <w:right w:val="none" w:sz="0" w:space="0" w:color="auto"/>
      </w:divBdr>
    </w:div>
    <w:div w:id="2013557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n.gov/fssa/5537.htm" TargetMode="External"/><Relationship Id="rId18" Type="http://schemas.openxmlformats.org/officeDocument/2006/relationships/hyperlink" Target="https://www.in.gov/fssa/5537.htm" TargetMode="External"/><Relationship Id="rId26" Type="http://schemas.openxmlformats.org/officeDocument/2006/relationships/hyperlink" Target="https://www.in.gov/fssa/5537.htm" TargetMode="External"/><Relationship Id="rId3" Type="http://schemas.openxmlformats.org/officeDocument/2006/relationships/styles" Target="styles.xml"/><Relationship Id="rId21" Type="http://schemas.openxmlformats.org/officeDocument/2006/relationships/hyperlink" Target="https://www.in.gov/fssa/5537.htm" TargetMode="External"/><Relationship Id="rId7" Type="http://schemas.openxmlformats.org/officeDocument/2006/relationships/endnotes" Target="endnotes.xml"/><Relationship Id="rId12" Type="http://schemas.openxmlformats.org/officeDocument/2006/relationships/hyperlink" Target="https://www.medicaid.gov/Medicaid-CHIP-Program-Information/By-Topics/Waivers/1115/downloads/in/esrd/in-esrd-final-eval-dsgn-03222017.pdf" TargetMode="External"/><Relationship Id="rId17" Type="http://schemas.openxmlformats.org/officeDocument/2006/relationships/hyperlink" Target="https://indiana.webex.com/indiana/j.php?MTID=m71c4353e84ab6a552c014330cd0795a6" TargetMode="External"/><Relationship Id="rId25" Type="http://schemas.openxmlformats.org/officeDocument/2006/relationships/hyperlink" Target="https://indiana.webex.com/indiana/j.php?MTID=m71c4353e84ab6a552c014330cd0795a6" TargetMode="Externa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Indiana.AdobeConnect.com/ompp" TargetMode="External"/><Relationship Id="rId20" Type="http://schemas.openxmlformats.org/officeDocument/2006/relationships/image" Target="media/image1.emf"/><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Indiana.AdobeConnect.com/omp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gov/fssa/5537.htm" TargetMode="External"/><Relationship Id="rId23" Type="http://schemas.openxmlformats.org/officeDocument/2006/relationships/hyperlink" Target="https://www.in.gov/fssa/5537.htm" TargetMode="External"/><Relationship Id="rId28" Type="http://schemas.openxmlformats.org/officeDocument/2006/relationships/hyperlink" Target="https://www.in.gov/fssa/5537.htm" TargetMode="External"/><Relationship Id="rId10" Type="http://schemas.openxmlformats.org/officeDocument/2006/relationships/footer" Target="footer2.xml"/><Relationship Id="rId19" Type="http://schemas.openxmlformats.org/officeDocument/2006/relationships/hyperlink" Target="https://Indiana.AdobeConnect.com/omp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ndiana.webex.com/indiana/j.php?MTID=m4a78c124ee8e153c0ff5722f104c4dc7" TargetMode="External"/><Relationship Id="rId22" Type="http://schemas.openxmlformats.org/officeDocument/2006/relationships/hyperlink" Target="https://indiana.webex.com/indiana/j.php?MTID=m4a78c124ee8e153c0ff5722f104c4dc7" TargetMode="External"/><Relationship Id="rId27" Type="http://schemas.openxmlformats.org/officeDocument/2006/relationships/hyperlink" Target="https://Indiana.AdobeConnect.com/ompp" TargetMode="External"/><Relationship Id="rId3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C7610-2457-41FD-8600-BEDC0387D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26</Pages>
  <Words>7615</Words>
  <Characters>43411</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1115 Renewal Waiver</vt:lpstr>
    </vt:vector>
  </TitlesOfParts>
  <Company/>
  <LinksUpToDate>false</LinksUpToDate>
  <CharactersWithSpaces>50925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1115 Renewal Waiver</dc:title>
  <dc:subject>End Stage Renal Disease</dc:subject>
  <dc:creator>Type the author name</dc:creator>
  <cp:keywords/>
  <cp:lastModifiedBy>Andrew Blaine Bean</cp:lastModifiedBy>
  <cp:revision>10</cp:revision>
  <dcterms:created xsi:type="dcterms:W3CDTF">2020-05-13T17:00:00Z</dcterms:created>
  <dcterms:modified xsi:type="dcterms:W3CDTF">2020-05-13T18:26:00Z</dcterms:modified>
</cp:coreProperties>
</file>