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8D" w:rsidRPr="00C13F41" w:rsidRDefault="00380849" w:rsidP="008B568D">
      <w:pPr>
        <w:spacing w:after="0" w:line="240" w:lineRule="auto"/>
        <w:jc w:val="center"/>
        <w:rPr>
          <w:rFonts w:cstheme="minorHAnsi"/>
          <w:sz w:val="24"/>
          <w:szCs w:val="24"/>
        </w:rPr>
      </w:pPr>
      <w:bookmarkStart w:id="0" w:name="_GoBack"/>
      <w:bookmarkEnd w:id="0"/>
      <w:r w:rsidRPr="00C13F41">
        <w:rPr>
          <w:rFonts w:cstheme="minorHAnsi"/>
          <w:sz w:val="24"/>
          <w:szCs w:val="24"/>
        </w:rPr>
        <w:t xml:space="preserve">WIOA Title I </w:t>
      </w:r>
      <w:r w:rsidR="004009FE" w:rsidRPr="00C13F41">
        <w:rPr>
          <w:rFonts w:cstheme="minorHAnsi"/>
          <w:sz w:val="24"/>
          <w:szCs w:val="24"/>
        </w:rPr>
        <w:t>Incumbent Worker Policy</w:t>
      </w:r>
    </w:p>
    <w:p w:rsidR="00F9050F" w:rsidRDefault="00380849" w:rsidP="00C13F41">
      <w:pPr>
        <w:spacing w:after="0" w:line="240" w:lineRule="auto"/>
        <w:jc w:val="center"/>
        <w:rPr>
          <w:rFonts w:cstheme="minorHAnsi"/>
          <w:sz w:val="24"/>
          <w:szCs w:val="24"/>
        </w:rPr>
      </w:pPr>
      <w:r w:rsidRPr="00C13F41">
        <w:rPr>
          <w:rFonts w:cstheme="minorHAnsi"/>
          <w:sz w:val="24"/>
          <w:szCs w:val="24"/>
        </w:rPr>
        <w:t>WorkOne Southeast</w:t>
      </w:r>
      <w:r w:rsidR="00F9050F" w:rsidRPr="00C13F41">
        <w:rPr>
          <w:rFonts w:cstheme="minorHAnsi"/>
          <w:sz w:val="24"/>
          <w:szCs w:val="24"/>
        </w:rPr>
        <w:t xml:space="preserve"> </w:t>
      </w:r>
    </w:p>
    <w:p w:rsidR="00C13F41" w:rsidRDefault="00C13F41" w:rsidP="00C13F41">
      <w:pPr>
        <w:spacing w:after="0" w:line="240" w:lineRule="auto"/>
        <w:jc w:val="center"/>
        <w:rPr>
          <w:rFonts w:cstheme="minorHAnsi"/>
          <w:sz w:val="24"/>
          <w:szCs w:val="24"/>
        </w:rPr>
      </w:pPr>
    </w:p>
    <w:p w:rsidR="00C13F41" w:rsidRDefault="00C13F41" w:rsidP="00C13F41">
      <w:pPr>
        <w:spacing w:after="0" w:line="240" w:lineRule="auto"/>
        <w:jc w:val="center"/>
        <w:rPr>
          <w:rFonts w:cstheme="minorHAnsi"/>
          <w:sz w:val="24"/>
          <w:szCs w:val="24"/>
        </w:rPr>
      </w:pPr>
    </w:p>
    <w:p w:rsidR="00C13F41" w:rsidRDefault="00C13F41" w:rsidP="00C13F41">
      <w:pPr>
        <w:spacing w:after="0" w:line="240" w:lineRule="auto"/>
        <w:jc w:val="center"/>
        <w:rPr>
          <w:rFonts w:cstheme="minorHAnsi"/>
          <w:sz w:val="24"/>
          <w:szCs w:val="24"/>
        </w:rPr>
      </w:pPr>
    </w:p>
    <w:p w:rsidR="008B568D" w:rsidRPr="002E1F7F" w:rsidRDefault="008B568D" w:rsidP="008B568D">
      <w:pPr>
        <w:spacing w:after="0" w:line="240" w:lineRule="auto"/>
        <w:rPr>
          <w:rFonts w:cstheme="minorHAnsi"/>
          <w:b/>
          <w:sz w:val="24"/>
          <w:szCs w:val="24"/>
          <w:u w:val="single"/>
        </w:rPr>
      </w:pPr>
      <w:r w:rsidRPr="002E1F7F">
        <w:rPr>
          <w:rFonts w:cstheme="minorHAnsi"/>
          <w:b/>
          <w:sz w:val="24"/>
          <w:szCs w:val="24"/>
          <w:u w:val="single"/>
        </w:rPr>
        <w:t>Purpose</w:t>
      </w:r>
    </w:p>
    <w:p w:rsidR="00587AB9" w:rsidRPr="00587AB9" w:rsidRDefault="00587AB9" w:rsidP="00587AB9">
      <w:pPr>
        <w:autoSpaceDE w:val="0"/>
        <w:autoSpaceDN w:val="0"/>
        <w:adjustRightInd w:val="0"/>
        <w:spacing w:after="120"/>
        <w:rPr>
          <w:rFonts w:cstheme="minorHAnsi"/>
        </w:rPr>
      </w:pPr>
      <w:r w:rsidRPr="00587AB9">
        <w:rPr>
          <w:rFonts w:cstheme="minorHAnsi"/>
        </w:rPr>
        <w:t>The Workforce Innovation and Opportunity Act (WIOA) allows Workforce Development Boards (WDBs) to expend up to 20% of their Adult and Dislocated Worker funds for training workers who are already employed. This policy provides guidance regarding Participant Eligibility for Incumbent Worker Training and Employer Eligibility for Incumbent Worker Training Reimbursement.</w:t>
      </w:r>
    </w:p>
    <w:p w:rsidR="00587AB9" w:rsidRPr="00587AB9" w:rsidRDefault="00587AB9" w:rsidP="008B568D">
      <w:pPr>
        <w:spacing w:after="0" w:line="240" w:lineRule="auto"/>
        <w:rPr>
          <w:rFonts w:cstheme="minorHAnsi"/>
          <w:b/>
          <w:sz w:val="24"/>
          <w:szCs w:val="24"/>
          <w:u w:val="single"/>
        </w:rPr>
      </w:pPr>
      <w:r w:rsidRPr="00587AB9">
        <w:rPr>
          <w:rFonts w:cstheme="minorHAnsi"/>
          <w:b/>
          <w:sz w:val="24"/>
          <w:szCs w:val="24"/>
          <w:u w:val="single"/>
        </w:rPr>
        <w:t>Content</w:t>
      </w:r>
    </w:p>
    <w:p w:rsidR="00587AB9" w:rsidRPr="00587AB9" w:rsidRDefault="00587AB9" w:rsidP="00587AB9">
      <w:pPr>
        <w:autoSpaceDE w:val="0"/>
        <w:autoSpaceDN w:val="0"/>
        <w:adjustRightInd w:val="0"/>
        <w:spacing w:after="120"/>
        <w:rPr>
          <w:rFonts w:cstheme="minorHAnsi"/>
        </w:rPr>
      </w:pPr>
      <w:r w:rsidRPr="00587AB9">
        <w:rPr>
          <w:rFonts w:cstheme="minorHAnsi"/>
        </w:rPr>
        <w:t xml:space="preserve">Incumbent worker training is allowed under WIOA Section 134(d)(4).  The following points provide overall guidance for funding this activity:  </w:t>
      </w:r>
    </w:p>
    <w:p w:rsidR="00587AB9" w:rsidRPr="00587AB9" w:rsidRDefault="00587AB9" w:rsidP="00587AB9">
      <w:pPr>
        <w:numPr>
          <w:ilvl w:val="0"/>
          <w:numId w:val="27"/>
        </w:numPr>
        <w:autoSpaceDE w:val="0"/>
        <w:autoSpaceDN w:val="0"/>
        <w:adjustRightInd w:val="0"/>
        <w:spacing w:after="120" w:line="259" w:lineRule="auto"/>
        <w:contextualSpacing/>
        <w:rPr>
          <w:rFonts w:eastAsia="Times New Roman" w:cstheme="minorHAnsi"/>
        </w:rPr>
      </w:pPr>
      <w:r w:rsidRPr="00587AB9">
        <w:rPr>
          <w:rFonts w:eastAsia="Times New Roman" w:cstheme="minorHAnsi"/>
        </w:rPr>
        <w:t xml:space="preserve">Local areas may use up to 20 percent of their local </w:t>
      </w:r>
      <w:r w:rsidRPr="00587AB9">
        <w:rPr>
          <w:rFonts w:eastAsia="Times New Roman" w:cstheme="minorHAnsi"/>
          <w:b/>
        </w:rPr>
        <w:t>adult and dislocated worker</w:t>
      </w:r>
      <w:r w:rsidRPr="00587AB9">
        <w:rPr>
          <w:rFonts w:eastAsia="Times New Roman" w:cstheme="minorHAnsi"/>
        </w:rPr>
        <w:t xml:space="preserve"> funds to pay for the </w:t>
      </w:r>
      <w:r w:rsidRPr="00587AB9">
        <w:rPr>
          <w:rFonts w:eastAsia="Times New Roman" w:cstheme="minorHAnsi"/>
          <w:b/>
        </w:rPr>
        <w:t>federa</w:t>
      </w:r>
      <w:r w:rsidRPr="00587AB9">
        <w:rPr>
          <w:rFonts w:eastAsia="Times New Roman" w:cstheme="minorHAnsi"/>
        </w:rPr>
        <w:t xml:space="preserve">l share of incumbent worker training. Employers participating in the program are required to pay for the </w:t>
      </w:r>
      <w:r w:rsidRPr="00587AB9">
        <w:rPr>
          <w:rFonts w:eastAsia="Times New Roman" w:cstheme="minorHAnsi"/>
          <w:b/>
        </w:rPr>
        <w:t>non-Federal</w:t>
      </w:r>
      <w:r w:rsidRPr="00587AB9">
        <w:rPr>
          <w:rFonts w:eastAsia="Times New Roman" w:cstheme="minorHAnsi"/>
        </w:rPr>
        <w:t xml:space="preserve"> share of the cost of the training.  See Cost Sharing Section below for more information on the non-Federal share.</w:t>
      </w:r>
    </w:p>
    <w:p w:rsidR="00587AB9" w:rsidRPr="00587AB9" w:rsidRDefault="00587AB9" w:rsidP="00587AB9">
      <w:pPr>
        <w:numPr>
          <w:ilvl w:val="0"/>
          <w:numId w:val="27"/>
        </w:numPr>
        <w:autoSpaceDE w:val="0"/>
        <w:autoSpaceDN w:val="0"/>
        <w:adjustRightInd w:val="0"/>
        <w:spacing w:after="120" w:line="259" w:lineRule="auto"/>
        <w:contextualSpacing/>
        <w:rPr>
          <w:rFonts w:eastAsia="Times New Roman" w:cstheme="minorHAnsi"/>
        </w:rPr>
      </w:pPr>
      <w:r w:rsidRPr="00587AB9">
        <w:rPr>
          <w:rFonts w:eastAsia="Times New Roman" w:cstheme="minorHAnsi"/>
        </w:rPr>
        <w:t>The training should, wherever possible, allow the participant to gain industry-recognized training experience, and ultimately should lead to an increase in wages.</w:t>
      </w:r>
    </w:p>
    <w:p w:rsidR="00587AB9" w:rsidRPr="00587AB9" w:rsidRDefault="00587AB9" w:rsidP="00587AB9">
      <w:pPr>
        <w:numPr>
          <w:ilvl w:val="0"/>
          <w:numId w:val="27"/>
        </w:numPr>
        <w:autoSpaceDE w:val="0"/>
        <w:autoSpaceDN w:val="0"/>
        <w:adjustRightInd w:val="0"/>
        <w:spacing w:after="120" w:line="259" w:lineRule="auto"/>
        <w:contextualSpacing/>
        <w:rPr>
          <w:rFonts w:eastAsia="Times New Roman" w:cstheme="minorHAnsi"/>
        </w:rPr>
      </w:pPr>
      <w:r w:rsidRPr="00587AB9">
        <w:rPr>
          <w:rFonts w:eastAsia="Times New Roman" w:cstheme="minorHAnsi"/>
        </w:rPr>
        <w:t>Local areas may contract for incumbent training rather than use Individual Training Accounts (ITAs) [</w:t>
      </w:r>
      <w:r w:rsidRPr="00587AB9">
        <w:rPr>
          <w:rFonts w:ascii="Agency FB" w:eastAsia="Times New Roman" w:hAnsi="Agency FB" w:cs="Times New Roman"/>
        </w:rPr>
        <w:t xml:space="preserve">§ </w:t>
      </w:r>
      <w:r w:rsidRPr="00587AB9">
        <w:rPr>
          <w:rFonts w:eastAsia="Times New Roman" w:cs="Times New Roman"/>
        </w:rPr>
        <w:t xml:space="preserve">680.320(a)(1)], or may use the ITA process to pay the federal share if it is more expedient to meet the employer’s and the workers’ training needs. </w:t>
      </w:r>
      <w:r w:rsidRPr="00587AB9">
        <w:rPr>
          <w:rFonts w:eastAsia="Times New Roman" w:cs="Times New Roman"/>
          <w:sz w:val="24"/>
          <w:szCs w:val="24"/>
        </w:rPr>
        <w:t>Agreements with employers regarding incumbent worker training must be in writing.</w:t>
      </w:r>
    </w:p>
    <w:p w:rsidR="00587AB9" w:rsidRPr="00587AB9" w:rsidRDefault="00587AB9" w:rsidP="00587AB9">
      <w:pPr>
        <w:numPr>
          <w:ilvl w:val="0"/>
          <w:numId w:val="27"/>
        </w:numPr>
        <w:autoSpaceDE w:val="0"/>
        <w:autoSpaceDN w:val="0"/>
        <w:adjustRightInd w:val="0"/>
        <w:spacing w:after="120" w:line="259" w:lineRule="auto"/>
        <w:contextualSpacing/>
        <w:rPr>
          <w:rFonts w:eastAsia="Times New Roman" w:cstheme="minorHAnsi"/>
        </w:rPr>
      </w:pPr>
      <w:r w:rsidRPr="00587AB9">
        <w:rPr>
          <w:rFonts w:eastAsia="Times New Roman" w:cs="Times New Roman"/>
        </w:rPr>
        <w:t xml:space="preserve">Providers of incumbent worker training are not subject to the same requirements as entities listed on the Eligible Training Provider List (ETPL), but, as outlined at </w:t>
      </w:r>
      <w:r w:rsidRPr="00587AB9">
        <w:rPr>
          <w:rFonts w:ascii="Agency FB" w:eastAsia="Times New Roman" w:hAnsi="Agency FB" w:cs="Times New Roman"/>
        </w:rPr>
        <w:t xml:space="preserve">§ </w:t>
      </w:r>
      <w:r w:rsidRPr="00587AB9">
        <w:rPr>
          <w:rFonts w:eastAsia="Times New Roman" w:cs="Times New Roman"/>
        </w:rPr>
        <w:t>680.530, one-stop operators must collect any performance information the Governor may require to determine whether the providers meet the Governor’s performance criteria.  For Indiana, performance information that must be collected on providers of incumbent worker training includes:</w:t>
      </w:r>
    </w:p>
    <w:p w:rsidR="00587AB9" w:rsidRPr="00587AB9" w:rsidRDefault="00587AB9" w:rsidP="00587AB9">
      <w:pPr>
        <w:numPr>
          <w:ilvl w:val="1"/>
          <w:numId w:val="28"/>
        </w:numPr>
        <w:autoSpaceDE w:val="0"/>
        <w:autoSpaceDN w:val="0"/>
        <w:adjustRightInd w:val="0"/>
        <w:spacing w:after="120" w:line="259" w:lineRule="auto"/>
        <w:contextualSpacing/>
        <w:rPr>
          <w:rFonts w:eastAsia="Times New Roman" w:cstheme="minorHAnsi"/>
        </w:rPr>
      </w:pPr>
      <w:r w:rsidRPr="00587AB9">
        <w:rPr>
          <w:rFonts w:eastAsia="Times New Roman" w:cs="Times New Roman"/>
          <w:b/>
        </w:rPr>
        <w:t>The number</w:t>
      </w:r>
      <w:r w:rsidRPr="00587AB9">
        <w:rPr>
          <w:rFonts w:eastAsia="Times New Roman" w:cs="Times New Roman"/>
        </w:rPr>
        <w:t xml:space="preserve"> of incumbent workers </w:t>
      </w:r>
      <w:r w:rsidRPr="00587AB9">
        <w:rPr>
          <w:rFonts w:eastAsia="Times New Roman" w:cs="Times New Roman"/>
          <w:b/>
        </w:rPr>
        <w:t>engaged</w:t>
      </w:r>
      <w:r w:rsidRPr="00587AB9">
        <w:rPr>
          <w:rFonts w:eastAsia="Times New Roman" w:cs="Times New Roman"/>
        </w:rPr>
        <w:t xml:space="preserve"> in training for the project (by employer when there are multiple employers involved);</w:t>
      </w:r>
    </w:p>
    <w:p w:rsidR="00587AB9" w:rsidRPr="00587AB9" w:rsidRDefault="00587AB9" w:rsidP="00587AB9">
      <w:pPr>
        <w:numPr>
          <w:ilvl w:val="1"/>
          <w:numId w:val="28"/>
        </w:numPr>
        <w:autoSpaceDE w:val="0"/>
        <w:autoSpaceDN w:val="0"/>
        <w:adjustRightInd w:val="0"/>
        <w:spacing w:after="120" w:line="259" w:lineRule="auto"/>
        <w:contextualSpacing/>
        <w:rPr>
          <w:rFonts w:eastAsia="Times New Roman" w:cstheme="minorHAnsi"/>
        </w:rPr>
      </w:pPr>
      <w:r w:rsidRPr="00587AB9">
        <w:rPr>
          <w:rFonts w:eastAsia="Times New Roman" w:cs="Times New Roman"/>
        </w:rPr>
        <w:t xml:space="preserve">The </w:t>
      </w:r>
      <w:r w:rsidRPr="00587AB9">
        <w:rPr>
          <w:rFonts w:eastAsia="Times New Roman" w:cs="Times New Roman"/>
          <w:b/>
        </w:rPr>
        <w:t xml:space="preserve">percent </w:t>
      </w:r>
      <w:r w:rsidRPr="00587AB9">
        <w:rPr>
          <w:rFonts w:eastAsia="Times New Roman" w:cs="Times New Roman"/>
        </w:rPr>
        <w:t xml:space="preserve">of incumbent workers engaged in training for each employer who </w:t>
      </w:r>
      <w:r w:rsidRPr="00587AB9">
        <w:rPr>
          <w:rFonts w:eastAsia="Times New Roman" w:cs="Times New Roman"/>
          <w:b/>
        </w:rPr>
        <w:t>completed</w:t>
      </w:r>
      <w:r w:rsidRPr="00587AB9">
        <w:rPr>
          <w:rFonts w:eastAsia="Times New Roman" w:cs="Times New Roman"/>
        </w:rPr>
        <w:t xml:space="preserve"> the training;</w:t>
      </w:r>
    </w:p>
    <w:p w:rsidR="00587AB9" w:rsidRPr="00587AB9" w:rsidRDefault="00587AB9" w:rsidP="00587AB9">
      <w:pPr>
        <w:numPr>
          <w:ilvl w:val="1"/>
          <w:numId w:val="28"/>
        </w:numPr>
        <w:autoSpaceDE w:val="0"/>
        <w:autoSpaceDN w:val="0"/>
        <w:adjustRightInd w:val="0"/>
        <w:spacing w:after="120" w:line="259" w:lineRule="auto"/>
        <w:contextualSpacing/>
        <w:rPr>
          <w:rFonts w:eastAsia="Times New Roman" w:cstheme="minorHAnsi"/>
        </w:rPr>
      </w:pPr>
      <w:r w:rsidRPr="00587AB9">
        <w:rPr>
          <w:rFonts w:eastAsia="Times New Roman" w:cs="Times New Roman"/>
        </w:rPr>
        <w:t xml:space="preserve">The </w:t>
      </w:r>
      <w:r w:rsidRPr="00587AB9">
        <w:rPr>
          <w:rFonts w:eastAsia="Times New Roman" w:cs="Times New Roman"/>
          <w:b/>
        </w:rPr>
        <w:t>skills</w:t>
      </w:r>
      <w:r w:rsidRPr="00587AB9">
        <w:rPr>
          <w:rFonts w:eastAsia="Times New Roman" w:cs="Times New Roman"/>
        </w:rPr>
        <w:t xml:space="preserve"> for which the incumbent workers were trained, by employer;</w:t>
      </w:r>
    </w:p>
    <w:p w:rsidR="00587AB9" w:rsidRPr="00587AB9" w:rsidRDefault="00587AB9" w:rsidP="00587AB9">
      <w:pPr>
        <w:numPr>
          <w:ilvl w:val="1"/>
          <w:numId w:val="28"/>
        </w:numPr>
        <w:autoSpaceDE w:val="0"/>
        <w:autoSpaceDN w:val="0"/>
        <w:adjustRightInd w:val="0"/>
        <w:spacing w:after="120" w:line="259" w:lineRule="auto"/>
        <w:contextualSpacing/>
        <w:rPr>
          <w:rFonts w:eastAsia="Times New Roman" w:cstheme="minorHAnsi"/>
        </w:rPr>
      </w:pPr>
      <w:r w:rsidRPr="00587AB9">
        <w:rPr>
          <w:rFonts w:eastAsia="Times New Roman" w:cs="Times New Roman"/>
        </w:rPr>
        <w:t xml:space="preserve">The </w:t>
      </w:r>
      <w:r w:rsidRPr="00587AB9">
        <w:rPr>
          <w:rFonts w:eastAsia="Times New Roman" w:cs="Times New Roman"/>
          <w:b/>
        </w:rPr>
        <w:t>percent</w:t>
      </w:r>
      <w:r w:rsidRPr="00587AB9">
        <w:rPr>
          <w:rFonts w:eastAsia="Times New Roman" w:cs="Times New Roman"/>
        </w:rPr>
        <w:t xml:space="preserve"> of incumbent workers who completed training who attained an </w:t>
      </w:r>
      <w:r w:rsidRPr="00587AB9">
        <w:rPr>
          <w:rFonts w:eastAsia="Times New Roman" w:cs="Times New Roman"/>
          <w:b/>
        </w:rPr>
        <w:t>industry recognized credential</w:t>
      </w:r>
      <w:r w:rsidRPr="00587AB9">
        <w:rPr>
          <w:rFonts w:eastAsia="Times New Roman" w:cs="Times New Roman"/>
        </w:rPr>
        <w:t xml:space="preserve">, by credential type and by employer; </w:t>
      </w:r>
    </w:p>
    <w:p w:rsidR="00587AB9" w:rsidRPr="00587AB9" w:rsidRDefault="00587AB9" w:rsidP="00587AB9">
      <w:pPr>
        <w:numPr>
          <w:ilvl w:val="1"/>
          <w:numId w:val="28"/>
        </w:numPr>
        <w:autoSpaceDE w:val="0"/>
        <w:autoSpaceDN w:val="0"/>
        <w:adjustRightInd w:val="0"/>
        <w:spacing w:after="120" w:line="259" w:lineRule="auto"/>
        <w:contextualSpacing/>
        <w:rPr>
          <w:rFonts w:eastAsia="Times New Roman" w:cstheme="minorHAnsi"/>
        </w:rPr>
      </w:pPr>
      <w:r w:rsidRPr="00587AB9">
        <w:rPr>
          <w:rFonts w:eastAsia="Times New Roman" w:cs="Times New Roman"/>
        </w:rPr>
        <w:t xml:space="preserve">The </w:t>
      </w:r>
      <w:r w:rsidRPr="00587AB9">
        <w:rPr>
          <w:rFonts w:eastAsia="Times New Roman" w:cs="Times New Roman"/>
          <w:b/>
        </w:rPr>
        <w:t>percent</w:t>
      </w:r>
      <w:r w:rsidRPr="00587AB9">
        <w:rPr>
          <w:rFonts w:eastAsia="Times New Roman" w:cs="Times New Roman"/>
        </w:rPr>
        <w:t xml:space="preserve"> of incumbent workers by employer who completed the training and received a </w:t>
      </w:r>
      <w:r w:rsidRPr="00587AB9">
        <w:rPr>
          <w:rFonts w:eastAsia="Times New Roman" w:cs="Times New Roman"/>
          <w:b/>
        </w:rPr>
        <w:t>pay increase</w:t>
      </w:r>
      <w:r w:rsidRPr="00587AB9">
        <w:rPr>
          <w:rFonts w:eastAsia="Times New Roman" w:cs="Times New Roman"/>
        </w:rPr>
        <w:t xml:space="preserve"> within 60 days of the end of training as a result of gaining skills;</w:t>
      </w:r>
    </w:p>
    <w:p w:rsidR="00587AB9" w:rsidRPr="00587AB9" w:rsidRDefault="00587AB9" w:rsidP="00587AB9">
      <w:pPr>
        <w:numPr>
          <w:ilvl w:val="1"/>
          <w:numId w:val="28"/>
        </w:numPr>
        <w:autoSpaceDE w:val="0"/>
        <w:autoSpaceDN w:val="0"/>
        <w:adjustRightInd w:val="0"/>
        <w:spacing w:after="120" w:line="259" w:lineRule="auto"/>
        <w:contextualSpacing/>
        <w:rPr>
          <w:rFonts w:eastAsia="Times New Roman" w:cstheme="minorHAnsi"/>
        </w:rPr>
      </w:pPr>
      <w:r w:rsidRPr="00587AB9">
        <w:rPr>
          <w:rFonts w:eastAsia="Times New Roman" w:cs="Times New Roman"/>
        </w:rPr>
        <w:t xml:space="preserve">Of those incumbent workers who completed the training and received a wage increase, the </w:t>
      </w:r>
      <w:r w:rsidRPr="00587AB9">
        <w:rPr>
          <w:rFonts w:eastAsia="Times New Roman" w:cs="Times New Roman"/>
          <w:b/>
        </w:rPr>
        <w:t>average hourly wage increase</w:t>
      </w:r>
      <w:r w:rsidRPr="00587AB9">
        <w:rPr>
          <w:rFonts w:eastAsia="Times New Roman" w:cs="Times New Roman"/>
        </w:rPr>
        <w:t xml:space="preserve"> by employer.</w:t>
      </w:r>
    </w:p>
    <w:p w:rsidR="00587AB9" w:rsidRPr="00587AB9" w:rsidRDefault="00587AB9" w:rsidP="00587AB9">
      <w:pPr>
        <w:autoSpaceDE w:val="0"/>
        <w:autoSpaceDN w:val="0"/>
        <w:adjustRightInd w:val="0"/>
        <w:spacing w:after="120"/>
        <w:ind w:left="720"/>
        <w:rPr>
          <w:rFonts w:cstheme="minorHAnsi"/>
        </w:rPr>
      </w:pPr>
      <w:r w:rsidRPr="00587AB9">
        <w:rPr>
          <w:rFonts w:cstheme="minorHAnsi"/>
        </w:rPr>
        <w:t xml:space="preserve">The data will be collected through employer and training provider reports to the Workforce Development Board (or designee) and submitted in an end-of-contract report to DWD. </w:t>
      </w:r>
      <w:r w:rsidRPr="00587AB9">
        <w:t xml:space="preserve"> Services to incumbent workers must be recorded in the state case management system and reports </w:t>
      </w:r>
      <w:r w:rsidRPr="00587AB9">
        <w:lastRenderedPageBreak/>
        <w:t>submitted within 90 days of the end of an incumbent worker training project providing the performance data outlined in this policy</w:t>
      </w:r>
    </w:p>
    <w:p w:rsidR="00587AB9" w:rsidRPr="00587AB9" w:rsidRDefault="00587AB9" w:rsidP="00587AB9">
      <w:pPr>
        <w:numPr>
          <w:ilvl w:val="0"/>
          <w:numId w:val="27"/>
        </w:numPr>
        <w:autoSpaceDE w:val="0"/>
        <w:autoSpaceDN w:val="0"/>
        <w:adjustRightInd w:val="0"/>
        <w:spacing w:after="120" w:line="259" w:lineRule="auto"/>
        <w:contextualSpacing/>
        <w:rPr>
          <w:rFonts w:eastAsia="Times New Roman" w:cstheme="minorHAnsi"/>
        </w:rPr>
      </w:pPr>
      <w:r w:rsidRPr="00587AB9">
        <w:rPr>
          <w:rFonts w:eastAsia="Times New Roman" w:cstheme="minorHAnsi"/>
        </w:rPr>
        <w:t xml:space="preserve">In accordance with WIOA Section 181(d), incumbent worker funds may </w:t>
      </w:r>
      <w:r w:rsidRPr="00587AB9">
        <w:rPr>
          <w:rFonts w:eastAsia="Times New Roman" w:cstheme="minorHAnsi"/>
          <w:b/>
          <w:i/>
        </w:rPr>
        <w:t xml:space="preserve">not </w:t>
      </w:r>
      <w:r w:rsidRPr="00587AB9">
        <w:rPr>
          <w:rFonts w:eastAsia="Times New Roman" w:cstheme="minorHAnsi"/>
        </w:rPr>
        <w:t>be used:</w:t>
      </w:r>
    </w:p>
    <w:p w:rsidR="00587AB9" w:rsidRPr="00587AB9" w:rsidRDefault="00587AB9" w:rsidP="00587AB9">
      <w:pPr>
        <w:numPr>
          <w:ilvl w:val="1"/>
          <w:numId w:val="27"/>
        </w:numPr>
        <w:autoSpaceDE w:val="0"/>
        <w:autoSpaceDN w:val="0"/>
        <w:adjustRightInd w:val="0"/>
        <w:spacing w:after="120" w:line="259" w:lineRule="auto"/>
        <w:contextualSpacing/>
        <w:rPr>
          <w:rFonts w:eastAsia="Times New Roman" w:cstheme="minorHAnsi"/>
        </w:rPr>
      </w:pPr>
      <w:r w:rsidRPr="00587AB9">
        <w:rPr>
          <w:rFonts w:eastAsia="Times New Roman" w:cstheme="minorHAnsi"/>
        </w:rPr>
        <w:t xml:space="preserve">For any business or part of a business that has relocated, until 120 days after the date on which the business commences operations at the new location, </w:t>
      </w:r>
    </w:p>
    <w:p w:rsidR="00587AB9" w:rsidRPr="00587AB9" w:rsidRDefault="00587AB9" w:rsidP="00587AB9">
      <w:pPr>
        <w:numPr>
          <w:ilvl w:val="1"/>
          <w:numId w:val="27"/>
        </w:numPr>
        <w:autoSpaceDE w:val="0"/>
        <w:autoSpaceDN w:val="0"/>
        <w:adjustRightInd w:val="0"/>
        <w:spacing w:after="120" w:line="259" w:lineRule="auto"/>
        <w:contextualSpacing/>
        <w:rPr>
          <w:rFonts w:eastAsia="Times New Roman" w:cstheme="minorHAnsi"/>
        </w:rPr>
      </w:pPr>
      <w:r w:rsidRPr="00587AB9">
        <w:rPr>
          <w:rFonts w:eastAsia="Times New Roman" w:cstheme="minorHAnsi"/>
        </w:rPr>
        <w:t>If the relocation of the business or part of a business results in a loss of employment for any employee of the business at the original location and the original location is within the United States.</w:t>
      </w:r>
    </w:p>
    <w:p w:rsidR="00CA3011" w:rsidRDefault="00CA3011" w:rsidP="00587AB9">
      <w:pPr>
        <w:autoSpaceDE w:val="0"/>
        <w:autoSpaceDN w:val="0"/>
        <w:adjustRightInd w:val="0"/>
        <w:spacing w:after="120"/>
        <w:rPr>
          <w:rFonts w:cstheme="minorHAnsi"/>
          <w:b/>
        </w:rPr>
      </w:pPr>
    </w:p>
    <w:p w:rsidR="00587AB9" w:rsidRPr="00587AB9" w:rsidRDefault="00587AB9" w:rsidP="00CA3011">
      <w:pPr>
        <w:autoSpaceDE w:val="0"/>
        <w:autoSpaceDN w:val="0"/>
        <w:adjustRightInd w:val="0"/>
        <w:spacing w:after="0"/>
        <w:rPr>
          <w:rFonts w:cstheme="minorHAnsi"/>
          <w:b/>
        </w:rPr>
      </w:pPr>
      <w:r w:rsidRPr="00587AB9">
        <w:rPr>
          <w:rFonts w:cstheme="minorHAnsi"/>
          <w:b/>
        </w:rPr>
        <w:t>Eligibility of Participants</w:t>
      </w:r>
    </w:p>
    <w:p w:rsidR="00587AB9" w:rsidRPr="00587AB9" w:rsidRDefault="00587AB9" w:rsidP="00CA3011">
      <w:pPr>
        <w:autoSpaceDE w:val="0"/>
        <w:autoSpaceDN w:val="0"/>
        <w:adjustRightInd w:val="0"/>
        <w:spacing w:after="0"/>
        <w:rPr>
          <w:rFonts w:cstheme="minorHAnsi"/>
        </w:rPr>
      </w:pPr>
      <w:r w:rsidRPr="00587AB9">
        <w:rPr>
          <w:rFonts w:cstheme="minorHAnsi"/>
        </w:rPr>
        <w:t>To receive incumbent worker training under WIOA, a worker must:</w:t>
      </w:r>
    </w:p>
    <w:p w:rsidR="00587AB9" w:rsidRPr="00587AB9" w:rsidRDefault="00587AB9" w:rsidP="00587AB9">
      <w:pPr>
        <w:numPr>
          <w:ilvl w:val="0"/>
          <w:numId w:val="29"/>
        </w:numPr>
        <w:autoSpaceDE w:val="0"/>
        <w:autoSpaceDN w:val="0"/>
        <w:adjustRightInd w:val="0"/>
        <w:spacing w:after="120" w:line="259" w:lineRule="auto"/>
        <w:contextualSpacing/>
        <w:rPr>
          <w:rFonts w:eastAsia="Times New Roman" w:cstheme="minorHAnsi"/>
        </w:rPr>
      </w:pPr>
      <w:r w:rsidRPr="00587AB9">
        <w:rPr>
          <w:rFonts w:eastAsia="Times New Roman" w:cstheme="minorHAnsi"/>
        </w:rPr>
        <w:t xml:space="preserve">Be employed with the company when the incumbent worker training starts;  </w:t>
      </w:r>
    </w:p>
    <w:p w:rsidR="00587AB9" w:rsidRPr="00587AB9" w:rsidRDefault="00587AB9" w:rsidP="00587AB9">
      <w:pPr>
        <w:numPr>
          <w:ilvl w:val="0"/>
          <w:numId w:val="29"/>
        </w:numPr>
        <w:autoSpaceDE w:val="0"/>
        <w:autoSpaceDN w:val="0"/>
        <w:adjustRightInd w:val="0"/>
        <w:spacing w:after="120" w:line="259" w:lineRule="auto"/>
        <w:contextualSpacing/>
        <w:rPr>
          <w:rFonts w:eastAsia="Times New Roman" w:cstheme="minorHAnsi"/>
        </w:rPr>
      </w:pPr>
      <w:r w:rsidRPr="00587AB9">
        <w:rPr>
          <w:rFonts w:eastAsia="Times New Roman" w:cstheme="minorHAnsi"/>
        </w:rPr>
        <w:t xml:space="preserve">Have an employer-employee relationship.  </w:t>
      </w:r>
      <w:r w:rsidR="009D048E" w:rsidRPr="009D048E">
        <w:rPr>
          <w:rFonts w:eastAsia="Times New Roman" w:cstheme="minorHAnsi"/>
        </w:rPr>
        <w:t>I</w:t>
      </w:r>
      <w:r w:rsidRPr="009D048E">
        <w:rPr>
          <w:rFonts w:eastAsia="Times New Roman" w:cstheme="minorHAnsi"/>
        </w:rPr>
        <w:t>ndividual must have an established employment history with the employer of at least 6 months;</w:t>
      </w:r>
      <w:r w:rsidRPr="00587AB9">
        <w:rPr>
          <w:rFonts w:eastAsia="Times New Roman" w:cstheme="minorHAnsi"/>
        </w:rPr>
        <w:t xml:space="preserve"> and </w:t>
      </w:r>
    </w:p>
    <w:p w:rsidR="00587AB9" w:rsidRPr="00587AB9" w:rsidRDefault="00587AB9" w:rsidP="00587AB9">
      <w:pPr>
        <w:numPr>
          <w:ilvl w:val="0"/>
          <w:numId w:val="29"/>
        </w:numPr>
        <w:autoSpaceDE w:val="0"/>
        <w:autoSpaceDN w:val="0"/>
        <w:adjustRightInd w:val="0"/>
        <w:spacing w:after="120" w:line="259" w:lineRule="auto"/>
        <w:contextualSpacing/>
        <w:rPr>
          <w:rFonts w:eastAsia="Times New Roman" w:cstheme="minorHAnsi"/>
          <w:b/>
        </w:rPr>
      </w:pPr>
      <w:r w:rsidRPr="00587AB9">
        <w:rPr>
          <w:rFonts w:eastAsia="Times New Roman" w:cstheme="minorHAnsi"/>
        </w:rPr>
        <w:t xml:space="preserve">Be determined to be in need of incumbent worker services to retain employment.  </w:t>
      </w:r>
    </w:p>
    <w:p w:rsidR="00CA3011" w:rsidRDefault="00CA3011" w:rsidP="00587AB9">
      <w:pPr>
        <w:autoSpaceDE w:val="0"/>
        <w:autoSpaceDN w:val="0"/>
        <w:adjustRightInd w:val="0"/>
        <w:spacing w:after="120"/>
        <w:rPr>
          <w:rFonts w:cstheme="minorHAnsi"/>
          <w:b/>
        </w:rPr>
      </w:pPr>
    </w:p>
    <w:p w:rsidR="00587AB9" w:rsidRPr="00587AB9" w:rsidRDefault="00587AB9" w:rsidP="00CA3011">
      <w:pPr>
        <w:autoSpaceDE w:val="0"/>
        <w:autoSpaceDN w:val="0"/>
        <w:adjustRightInd w:val="0"/>
        <w:spacing w:after="0"/>
        <w:rPr>
          <w:rFonts w:cstheme="minorHAnsi"/>
          <w:b/>
        </w:rPr>
      </w:pPr>
      <w:r w:rsidRPr="00587AB9">
        <w:rPr>
          <w:rFonts w:cstheme="minorHAnsi"/>
          <w:b/>
        </w:rPr>
        <w:t>Eligibility of Employers</w:t>
      </w:r>
    </w:p>
    <w:p w:rsidR="00587AB9" w:rsidRPr="00587AB9" w:rsidRDefault="00587AB9" w:rsidP="00CA3011">
      <w:pPr>
        <w:autoSpaceDE w:val="0"/>
        <w:autoSpaceDN w:val="0"/>
        <w:adjustRightInd w:val="0"/>
        <w:spacing w:after="0"/>
        <w:rPr>
          <w:rFonts w:cstheme="minorHAnsi"/>
        </w:rPr>
      </w:pPr>
      <w:r w:rsidRPr="00587AB9">
        <w:rPr>
          <w:rFonts w:cstheme="minorHAnsi"/>
        </w:rPr>
        <w:t>Contract funds are paid to the employer for incumbent worker training to either:</w:t>
      </w:r>
    </w:p>
    <w:p w:rsidR="00587AB9" w:rsidRPr="00587AB9" w:rsidRDefault="00587AB9" w:rsidP="00587AB9">
      <w:pPr>
        <w:numPr>
          <w:ilvl w:val="0"/>
          <w:numId w:val="29"/>
        </w:numPr>
        <w:autoSpaceDE w:val="0"/>
        <w:autoSpaceDN w:val="0"/>
        <w:adjustRightInd w:val="0"/>
        <w:spacing w:after="120" w:line="259" w:lineRule="auto"/>
        <w:contextualSpacing/>
        <w:rPr>
          <w:rFonts w:eastAsia="Times New Roman" w:cstheme="minorHAnsi"/>
        </w:rPr>
      </w:pPr>
      <w:r w:rsidRPr="00587AB9">
        <w:rPr>
          <w:rFonts w:eastAsia="Times New Roman" w:cstheme="minorHAnsi"/>
        </w:rPr>
        <w:t xml:space="preserve">Avert a lay-off; or </w:t>
      </w:r>
    </w:p>
    <w:p w:rsidR="00587AB9" w:rsidRPr="00587AB9" w:rsidRDefault="00587AB9" w:rsidP="00587AB9">
      <w:pPr>
        <w:numPr>
          <w:ilvl w:val="0"/>
          <w:numId w:val="29"/>
        </w:numPr>
        <w:autoSpaceDE w:val="0"/>
        <w:autoSpaceDN w:val="0"/>
        <w:adjustRightInd w:val="0"/>
        <w:spacing w:after="120" w:line="259" w:lineRule="auto"/>
        <w:contextualSpacing/>
        <w:rPr>
          <w:rFonts w:eastAsia="Times New Roman" w:cstheme="minorHAnsi"/>
        </w:rPr>
      </w:pPr>
      <w:r w:rsidRPr="00587AB9">
        <w:rPr>
          <w:rFonts w:eastAsia="Times New Roman" w:cstheme="minorHAnsi"/>
        </w:rPr>
        <w:t xml:space="preserve">Otherwise help workers retain employment. This determination of need is at the discretion of the WDB and may include consideration of whether the employing firm(s) would likely be unable to remain sufficiently competitive to retain workers unless the workers receive the training. </w:t>
      </w:r>
    </w:p>
    <w:p w:rsidR="00587AB9" w:rsidRPr="00587AB9" w:rsidRDefault="00587AB9" w:rsidP="00587AB9">
      <w:pPr>
        <w:autoSpaceDE w:val="0"/>
        <w:autoSpaceDN w:val="0"/>
        <w:adjustRightInd w:val="0"/>
        <w:spacing w:after="120"/>
        <w:rPr>
          <w:rFonts w:cstheme="minorHAnsi"/>
        </w:rPr>
      </w:pPr>
      <w:r w:rsidRPr="00587AB9">
        <w:rPr>
          <w:rFonts w:cstheme="minorHAnsi"/>
        </w:rPr>
        <w:t xml:space="preserve">An ideal incumbent worker training would be one where a participant acquires new skills allowing him or her to move into a higher skilled and higher paid job within the company, thus allowing the company to hire a job seeker to backfill the incumbent worker’s position.  An </w:t>
      </w:r>
      <w:r w:rsidRPr="00587AB9">
        <w:rPr>
          <w:rFonts w:cstheme="minorHAnsi"/>
          <w:u w:val="single"/>
        </w:rPr>
        <w:t>intent to backfill is not</w:t>
      </w:r>
      <w:r w:rsidRPr="00587AB9">
        <w:rPr>
          <w:rFonts w:cstheme="minorHAnsi"/>
        </w:rPr>
        <w:t xml:space="preserve"> a requirement of receiving incumbent worker training funds. </w:t>
      </w:r>
    </w:p>
    <w:p w:rsidR="00587AB9" w:rsidRPr="00587AB9" w:rsidRDefault="00587AB9" w:rsidP="00587AB9">
      <w:pPr>
        <w:autoSpaceDE w:val="0"/>
        <w:autoSpaceDN w:val="0"/>
        <w:adjustRightInd w:val="0"/>
        <w:spacing w:after="120"/>
        <w:rPr>
          <w:rFonts w:cstheme="minorHAnsi"/>
        </w:rPr>
      </w:pPr>
      <w:r w:rsidRPr="00587AB9">
        <w:rPr>
          <w:rFonts w:cstheme="minorHAnsi"/>
        </w:rPr>
        <w:t xml:space="preserve">For the purpose of determining the eligibility of an employer to receive funding, several factors must be taken into account (Sec. 134(d)(4)(A)(ii) and </w:t>
      </w:r>
      <w:r w:rsidRPr="00587AB9">
        <w:rPr>
          <w:rFonts w:ascii="Agency FB" w:hAnsi="Agency FB"/>
        </w:rPr>
        <w:t xml:space="preserve">§ </w:t>
      </w:r>
      <w:r w:rsidRPr="00587AB9">
        <w:rPr>
          <w:rFonts w:cstheme="minorHAnsi"/>
        </w:rPr>
        <w:t xml:space="preserve">680.810): </w:t>
      </w:r>
    </w:p>
    <w:p w:rsidR="00587AB9" w:rsidRPr="00587AB9" w:rsidRDefault="00587AB9" w:rsidP="00587AB9">
      <w:pPr>
        <w:numPr>
          <w:ilvl w:val="0"/>
          <w:numId w:val="30"/>
        </w:numPr>
        <w:autoSpaceDE w:val="0"/>
        <w:autoSpaceDN w:val="0"/>
        <w:adjustRightInd w:val="0"/>
        <w:spacing w:after="120" w:line="259" w:lineRule="auto"/>
        <w:contextualSpacing/>
        <w:rPr>
          <w:rFonts w:eastAsia="Times New Roman" w:cstheme="minorHAnsi"/>
        </w:rPr>
      </w:pPr>
      <w:r w:rsidRPr="00587AB9">
        <w:rPr>
          <w:rFonts w:eastAsia="Times New Roman" w:cstheme="minorHAnsi"/>
        </w:rPr>
        <w:t>The characteristics of the participants in the program;</w:t>
      </w:r>
    </w:p>
    <w:p w:rsidR="00587AB9" w:rsidRPr="00587AB9" w:rsidRDefault="00587AB9" w:rsidP="00587AB9">
      <w:pPr>
        <w:numPr>
          <w:ilvl w:val="0"/>
          <w:numId w:val="30"/>
        </w:numPr>
        <w:autoSpaceDE w:val="0"/>
        <w:autoSpaceDN w:val="0"/>
        <w:adjustRightInd w:val="0"/>
        <w:spacing w:after="120" w:line="259" w:lineRule="auto"/>
        <w:contextualSpacing/>
        <w:rPr>
          <w:rFonts w:eastAsia="Times New Roman" w:cstheme="minorHAnsi"/>
        </w:rPr>
      </w:pPr>
      <w:r w:rsidRPr="00587AB9">
        <w:rPr>
          <w:rFonts w:eastAsia="Times New Roman" w:cstheme="minorHAnsi"/>
        </w:rPr>
        <w:t>The relationship of the training to the competitiveness of a participant and the employer; and</w:t>
      </w:r>
    </w:p>
    <w:p w:rsidR="00587AB9" w:rsidRPr="00587AB9" w:rsidRDefault="00587AB9" w:rsidP="00587AB9">
      <w:pPr>
        <w:numPr>
          <w:ilvl w:val="0"/>
          <w:numId w:val="30"/>
        </w:numPr>
        <w:autoSpaceDE w:val="0"/>
        <w:autoSpaceDN w:val="0"/>
        <w:adjustRightInd w:val="0"/>
        <w:spacing w:after="120" w:line="259" w:lineRule="auto"/>
        <w:contextualSpacing/>
        <w:rPr>
          <w:rFonts w:eastAsia="Times New Roman" w:cstheme="minorHAnsi"/>
        </w:rPr>
      </w:pPr>
      <w:r w:rsidRPr="00587AB9">
        <w:rPr>
          <w:rFonts w:eastAsia="Times New Roman" w:cstheme="minorHAnsi"/>
        </w:rPr>
        <w:t xml:space="preserve">Other factors may include the number of employees participating in the training, the wage and benefit levels of those employees (at present and anticipated upon completion of the training), and the existence of other training and advancement opportunities provided by the employer. </w:t>
      </w:r>
    </w:p>
    <w:p w:rsidR="00587AB9" w:rsidRPr="00587AB9" w:rsidRDefault="00587AB9" w:rsidP="00587AB9">
      <w:pPr>
        <w:autoSpaceDE w:val="0"/>
        <w:autoSpaceDN w:val="0"/>
        <w:adjustRightInd w:val="0"/>
        <w:spacing w:after="120"/>
        <w:ind w:left="360"/>
        <w:rPr>
          <w:rFonts w:cstheme="minorHAnsi"/>
        </w:rPr>
      </w:pPr>
      <w:r w:rsidRPr="00587AB9">
        <w:rPr>
          <w:rFonts w:cstheme="minorHAnsi"/>
        </w:rPr>
        <w:t>In addition to those factors identified in the WIOA Proposed Regulations, DWD requires that the employer be current with payment of taxes.</w:t>
      </w:r>
    </w:p>
    <w:p w:rsidR="00587AB9" w:rsidRPr="00587AB9" w:rsidRDefault="00587AB9" w:rsidP="00CA3011">
      <w:pPr>
        <w:autoSpaceDE w:val="0"/>
        <w:autoSpaceDN w:val="0"/>
        <w:adjustRightInd w:val="0"/>
        <w:spacing w:after="0"/>
        <w:rPr>
          <w:rFonts w:cstheme="minorHAnsi"/>
          <w:b/>
        </w:rPr>
      </w:pPr>
      <w:r w:rsidRPr="00587AB9">
        <w:rPr>
          <w:rFonts w:cstheme="minorHAnsi"/>
          <w:b/>
        </w:rPr>
        <w:t>Cost Sharing</w:t>
      </w:r>
    </w:p>
    <w:p w:rsidR="00587AB9" w:rsidRPr="00587AB9" w:rsidRDefault="00587AB9" w:rsidP="00CA3011">
      <w:pPr>
        <w:autoSpaceDE w:val="0"/>
        <w:autoSpaceDN w:val="0"/>
        <w:adjustRightInd w:val="0"/>
        <w:spacing w:after="0"/>
        <w:rPr>
          <w:rFonts w:cstheme="minorHAnsi"/>
        </w:rPr>
      </w:pPr>
      <w:r w:rsidRPr="00587AB9">
        <w:rPr>
          <w:rFonts w:cstheme="minorHAnsi"/>
        </w:rPr>
        <w:t xml:space="preserve">Employers participating in the program are </w:t>
      </w:r>
      <w:r w:rsidRPr="00587AB9">
        <w:rPr>
          <w:rFonts w:cstheme="minorHAnsi"/>
          <w:b/>
          <w:u w:val="single"/>
        </w:rPr>
        <w:t>required</w:t>
      </w:r>
      <w:r w:rsidRPr="00587AB9">
        <w:rPr>
          <w:rFonts w:cstheme="minorHAnsi"/>
        </w:rPr>
        <w:t xml:space="preserve"> to pay for the non-Federal share of the cost of the training.  Pursuant to Sec. 134(d)(4)(D)(i) &amp; (ii), the Region </w:t>
      </w:r>
      <w:r w:rsidR="00D61A88">
        <w:rPr>
          <w:rFonts w:cstheme="minorHAnsi"/>
        </w:rPr>
        <w:t>9</w:t>
      </w:r>
      <w:r w:rsidRPr="00587AB9">
        <w:rPr>
          <w:rFonts w:cstheme="minorHAnsi"/>
        </w:rPr>
        <w:t xml:space="preserve"> Workforce Development Board </w:t>
      </w:r>
      <w:r w:rsidR="00D61A88" w:rsidRPr="00587AB9">
        <w:rPr>
          <w:rFonts w:cstheme="minorHAnsi"/>
        </w:rPr>
        <w:t>established that</w:t>
      </w:r>
      <w:r w:rsidRPr="00587AB9">
        <w:rPr>
          <w:rFonts w:cstheme="minorHAnsi"/>
        </w:rPr>
        <w:t xml:space="preserve"> the </w:t>
      </w:r>
      <w:r w:rsidRPr="00587AB9">
        <w:rPr>
          <w:rFonts w:cstheme="minorHAnsi"/>
          <w:u w:val="single"/>
        </w:rPr>
        <w:t>non-Federal share may not be less than</w:t>
      </w:r>
      <w:r w:rsidRPr="00587AB9">
        <w:rPr>
          <w:rFonts w:cstheme="minorHAnsi"/>
        </w:rPr>
        <w:t>:</w:t>
      </w:r>
    </w:p>
    <w:p w:rsidR="00587AB9" w:rsidRPr="00587AB9" w:rsidRDefault="00587AB9" w:rsidP="00587AB9">
      <w:pPr>
        <w:numPr>
          <w:ilvl w:val="0"/>
          <w:numId w:val="31"/>
        </w:numPr>
        <w:autoSpaceDE w:val="0"/>
        <w:autoSpaceDN w:val="0"/>
        <w:adjustRightInd w:val="0"/>
        <w:spacing w:after="120" w:line="259" w:lineRule="auto"/>
        <w:contextualSpacing/>
        <w:rPr>
          <w:rFonts w:eastAsia="Times New Roman" w:cstheme="minorHAnsi"/>
        </w:rPr>
      </w:pPr>
      <w:r w:rsidRPr="00587AB9">
        <w:rPr>
          <w:rFonts w:eastAsia="Times New Roman" w:cstheme="minorHAnsi"/>
        </w:rPr>
        <w:lastRenderedPageBreak/>
        <w:t>10 percent of the cost for employers with not more than a total of 50 employees or less (regardless of the number enrolled in training);</w:t>
      </w:r>
    </w:p>
    <w:p w:rsidR="00587AB9" w:rsidRPr="00587AB9" w:rsidRDefault="00587AB9" w:rsidP="00587AB9">
      <w:pPr>
        <w:numPr>
          <w:ilvl w:val="0"/>
          <w:numId w:val="31"/>
        </w:numPr>
        <w:autoSpaceDE w:val="0"/>
        <w:autoSpaceDN w:val="0"/>
        <w:adjustRightInd w:val="0"/>
        <w:spacing w:after="120" w:line="259" w:lineRule="auto"/>
        <w:contextualSpacing/>
        <w:rPr>
          <w:rFonts w:eastAsia="Times New Roman" w:cstheme="minorHAnsi"/>
        </w:rPr>
      </w:pPr>
      <w:r w:rsidRPr="00587AB9">
        <w:rPr>
          <w:rFonts w:eastAsia="Times New Roman" w:cstheme="minorHAnsi"/>
        </w:rPr>
        <w:t>25 percent of the cost for employers with a total of more than 50 employees but not more than 100 employees; and</w:t>
      </w:r>
    </w:p>
    <w:p w:rsidR="00587AB9" w:rsidRPr="00587AB9" w:rsidRDefault="00587AB9" w:rsidP="00587AB9">
      <w:pPr>
        <w:numPr>
          <w:ilvl w:val="0"/>
          <w:numId w:val="31"/>
        </w:numPr>
        <w:autoSpaceDE w:val="0"/>
        <w:autoSpaceDN w:val="0"/>
        <w:adjustRightInd w:val="0"/>
        <w:spacing w:after="120" w:line="259" w:lineRule="auto"/>
        <w:contextualSpacing/>
        <w:rPr>
          <w:rFonts w:eastAsia="Times New Roman" w:cstheme="minorHAnsi"/>
        </w:rPr>
      </w:pPr>
      <w:r w:rsidRPr="00587AB9">
        <w:rPr>
          <w:rFonts w:eastAsia="Times New Roman" w:cstheme="minorHAnsi"/>
        </w:rPr>
        <w:t>50 percent of the cost for employers with a total of more than 100 employees.</w:t>
      </w:r>
    </w:p>
    <w:p w:rsidR="00CA3011" w:rsidRDefault="00CA3011" w:rsidP="00CA3011">
      <w:pPr>
        <w:autoSpaceDE w:val="0"/>
        <w:autoSpaceDN w:val="0"/>
        <w:adjustRightInd w:val="0"/>
        <w:spacing w:after="0"/>
        <w:rPr>
          <w:rFonts w:cstheme="minorHAnsi"/>
          <w:u w:val="single"/>
        </w:rPr>
      </w:pPr>
    </w:p>
    <w:p w:rsidR="00587AB9" w:rsidRPr="00587AB9" w:rsidRDefault="00587AB9" w:rsidP="00CA3011">
      <w:pPr>
        <w:autoSpaceDE w:val="0"/>
        <w:autoSpaceDN w:val="0"/>
        <w:adjustRightInd w:val="0"/>
        <w:spacing w:after="0"/>
        <w:rPr>
          <w:rFonts w:cstheme="minorHAnsi"/>
          <w:u w:val="single"/>
        </w:rPr>
      </w:pPr>
      <w:r w:rsidRPr="00587AB9">
        <w:rPr>
          <w:rFonts w:cstheme="minorHAnsi"/>
          <w:u w:val="single"/>
        </w:rPr>
        <w:t>Calculation of the Non- Federal Share:</w:t>
      </w:r>
    </w:p>
    <w:p w:rsidR="00587AB9" w:rsidRPr="00587AB9" w:rsidRDefault="00587AB9" w:rsidP="00CA3011">
      <w:pPr>
        <w:autoSpaceDE w:val="0"/>
        <w:autoSpaceDN w:val="0"/>
        <w:adjustRightInd w:val="0"/>
        <w:spacing w:after="0"/>
        <w:rPr>
          <w:rFonts w:cstheme="minorHAnsi"/>
        </w:rPr>
      </w:pPr>
      <w:r w:rsidRPr="00587AB9">
        <w:rPr>
          <w:rFonts w:cstheme="minorHAnsi"/>
        </w:rPr>
        <w:t xml:space="preserve">Pursuant to Sec. 134(d)(4)(D)(iii) The non-Federal share provided by an employer participating in the program </w:t>
      </w:r>
      <w:r w:rsidRPr="00587AB9">
        <w:rPr>
          <w:rFonts w:cstheme="minorHAnsi"/>
          <w:b/>
        </w:rPr>
        <w:t>may</w:t>
      </w:r>
      <w:r w:rsidRPr="00587AB9">
        <w:rPr>
          <w:rFonts w:cstheme="minorHAnsi"/>
        </w:rPr>
        <w:t xml:space="preserve"> include the amount of the wages paid by the employer to a worker while the worker is attending the training program.  The Region </w:t>
      </w:r>
      <w:r w:rsidR="00170A43">
        <w:rPr>
          <w:rFonts w:cstheme="minorHAnsi"/>
        </w:rPr>
        <w:t>9</w:t>
      </w:r>
      <w:r w:rsidRPr="00587AB9">
        <w:rPr>
          <w:rFonts w:cstheme="minorHAnsi"/>
        </w:rPr>
        <w:t xml:space="preserve"> Workforce Development Board has determined that the nature of the non-federal share of the employer may be provided by wages paid by the employer to a worker while in training, by cash, or by local (non-federal) grants available.</w:t>
      </w:r>
    </w:p>
    <w:p w:rsidR="00CA3011" w:rsidRDefault="00CA3011" w:rsidP="00587AB9">
      <w:pPr>
        <w:autoSpaceDE w:val="0"/>
        <w:autoSpaceDN w:val="0"/>
        <w:adjustRightInd w:val="0"/>
        <w:spacing w:after="120"/>
        <w:rPr>
          <w:rFonts w:cstheme="minorHAnsi"/>
        </w:rPr>
      </w:pPr>
    </w:p>
    <w:p w:rsidR="00587AB9" w:rsidRPr="00587AB9" w:rsidRDefault="00587AB9" w:rsidP="00CA3011">
      <w:pPr>
        <w:autoSpaceDE w:val="0"/>
        <w:autoSpaceDN w:val="0"/>
        <w:adjustRightInd w:val="0"/>
        <w:spacing w:after="0"/>
        <w:rPr>
          <w:rFonts w:cstheme="minorHAnsi"/>
        </w:rPr>
      </w:pPr>
      <w:r w:rsidRPr="002909E6">
        <w:rPr>
          <w:rFonts w:cstheme="minorHAnsi"/>
        </w:rPr>
        <w:t>Scenario:</w:t>
      </w:r>
    </w:p>
    <w:p w:rsidR="00587AB9" w:rsidRPr="00587AB9" w:rsidRDefault="00587AB9" w:rsidP="00CA3011">
      <w:pPr>
        <w:autoSpaceDE w:val="0"/>
        <w:autoSpaceDN w:val="0"/>
        <w:adjustRightInd w:val="0"/>
        <w:spacing w:after="0"/>
        <w:rPr>
          <w:rFonts w:cstheme="minorHAnsi"/>
        </w:rPr>
      </w:pPr>
      <w:r w:rsidRPr="00587AB9">
        <w:rPr>
          <w:rFonts w:cstheme="minorHAnsi"/>
        </w:rPr>
        <w:t xml:space="preserve">Training vendor ABC provides incumbent worker training to 5 eligible employees of the Acme Co. The training vendor cost is $1500 per employee for a total cost of $7500.  Acme Co. paid their employees’ wages of $800 each (total $4000) while in training.   The Acme Co. employs 45 employees so their non-federal share is 10% or $ 750 in this scenario.  The employer may use the amount paid in wages ($4000) to cover their non-federal share.  WIOA funds will reimburse the employer </w:t>
      </w:r>
      <w:r w:rsidRPr="00B125C8">
        <w:rPr>
          <w:rFonts w:cstheme="minorHAnsi"/>
        </w:rPr>
        <w:t>$7500</w:t>
      </w:r>
      <w:r w:rsidRPr="00587AB9">
        <w:rPr>
          <w:rFonts w:cstheme="minorHAnsi"/>
        </w:rPr>
        <w:t xml:space="preserve"> for the training vendor cost.  </w:t>
      </w:r>
    </w:p>
    <w:p w:rsidR="00587AB9" w:rsidRPr="00587AB9" w:rsidRDefault="00587AB9" w:rsidP="00587AB9">
      <w:pPr>
        <w:autoSpaceDE w:val="0"/>
        <w:autoSpaceDN w:val="0"/>
        <w:adjustRightInd w:val="0"/>
        <w:spacing w:after="120"/>
        <w:rPr>
          <w:rFonts w:cstheme="minorHAnsi"/>
        </w:rPr>
      </w:pPr>
    </w:p>
    <w:p w:rsidR="00587AB9" w:rsidRDefault="00587AB9" w:rsidP="008B568D">
      <w:pPr>
        <w:spacing w:after="0" w:line="240" w:lineRule="auto"/>
        <w:rPr>
          <w:rFonts w:cstheme="minorHAnsi"/>
          <w:sz w:val="24"/>
          <w:szCs w:val="24"/>
          <w:u w:val="single"/>
        </w:rPr>
      </w:pPr>
    </w:p>
    <w:p w:rsidR="00587AB9" w:rsidRDefault="00587AB9" w:rsidP="008B568D">
      <w:pPr>
        <w:spacing w:after="0" w:line="240" w:lineRule="auto"/>
        <w:rPr>
          <w:rFonts w:cstheme="minorHAnsi"/>
          <w:sz w:val="24"/>
          <w:szCs w:val="24"/>
          <w:u w:val="single"/>
        </w:rPr>
      </w:pPr>
    </w:p>
    <w:p w:rsidR="00587AB9" w:rsidRDefault="00587AB9" w:rsidP="008B568D">
      <w:pPr>
        <w:spacing w:after="0" w:line="240" w:lineRule="auto"/>
        <w:rPr>
          <w:rFonts w:cstheme="minorHAnsi"/>
          <w:sz w:val="24"/>
          <w:szCs w:val="24"/>
          <w:u w:val="single"/>
        </w:rPr>
      </w:pPr>
    </w:p>
    <w:p w:rsidR="00587AB9" w:rsidRPr="002E1F7F" w:rsidRDefault="00587AB9" w:rsidP="008B568D">
      <w:pPr>
        <w:spacing w:after="0" w:line="240" w:lineRule="auto"/>
        <w:rPr>
          <w:rFonts w:cstheme="minorHAnsi"/>
          <w:sz w:val="24"/>
          <w:szCs w:val="24"/>
          <w:u w:val="single"/>
        </w:rPr>
      </w:pPr>
    </w:p>
    <w:sectPr w:rsidR="00587AB9" w:rsidRPr="002E1F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A38" w:rsidRDefault="00C05A38" w:rsidP="005E0A5E">
      <w:pPr>
        <w:spacing w:after="0" w:line="240" w:lineRule="auto"/>
      </w:pPr>
      <w:r>
        <w:separator/>
      </w:r>
    </w:p>
  </w:endnote>
  <w:endnote w:type="continuationSeparator" w:id="0">
    <w:p w:rsidR="00C05A38" w:rsidRDefault="00C05A38" w:rsidP="005E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44913"/>
      <w:docPartObj>
        <w:docPartGallery w:val="Page Numbers (Bottom of Page)"/>
        <w:docPartUnique/>
      </w:docPartObj>
    </w:sdtPr>
    <w:sdtEndPr>
      <w:rPr>
        <w:noProof/>
      </w:rPr>
    </w:sdtEndPr>
    <w:sdtContent>
      <w:p w:rsidR="000C1775" w:rsidRDefault="000C1775">
        <w:pPr>
          <w:pStyle w:val="Footer"/>
          <w:jc w:val="center"/>
        </w:pPr>
        <w:r>
          <w:fldChar w:fldCharType="begin"/>
        </w:r>
        <w:r>
          <w:instrText xml:space="preserve"> PAGE   \* MERGEFORMAT </w:instrText>
        </w:r>
        <w:r>
          <w:fldChar w:fldCharType="separate"/>
        </w:r>
        <w:r w:rsidR="00803BB7">
          <w:rPr>
            <w:noProof/>
          </w:rPr>
          <w:t>2</w:t>
        </w:r>
        <w:r>
          <w:rPr>
            <w:noProof/>
          </w:rPr>
          <w:fldChar w:fldCharType="end"/>
        </w:r>
      </w:p>
    </w:sdtContent>
  </w:sdt>
  <w:p w:rsidR="005E0A5E" w:rsidRDefault="005E0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A38" w:rsidRDefault="00C05A38" w:rsidP="005E0A5E">
      <w:pPr>
        <w:spacing w:after="0" w:line="240" w:lineRule="auto"/>
      </w:pPr>
      <w:r>
        <w:separator/>
      </w:r>
    </w:p>
  </w:footnote>
  <w:footnote w:type="continuationSeparator" w:id="0">
    <w:p w:rsidR="00C05A38" w:rsidRDefault="00C05A38" w:rsidP="005E0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85D" w:rsidRDefault="00341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230"/>
    <w:multiLevelType w:val="hybridMultilevel"/>
    <w:tmpl w:val="1276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7BDF"/>
    <w:multiLevelType w:val="hybridMultilevel"/>
    <w:tmpl w:val="FA2637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46FE"/>
    <w:multiLevelType w:val="hybridMultilevel"/>
    <w:tmpl w:val="8022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3179"/>
    <w:multiLevelType w:val="hybridMultilevel"/>
    <w:tmpl w:val="6A9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D544B"/>
    <w:multiLevelType w:val="hybridMultilevel"/>
    <w:tmpl w:val="11AAF1FC"/>
    <w:lvl w:ilvl="0" w:tplc="04090001">
      <w:start w:val="1"/>
      <w:numFmt w:val="bullet"/>
      <w:lvlText w:val=""/>
      <w:lvlJc w:val="left"/>
      <w:pPr>
        <w:ind w:left="720" w:hanging="360"/>
      </w:pPr>
      <w:rPr>
        <w:rFonts w:ascii="Symbol" w:hAnsi="Symbol" w:hint="default"/>
      </w:rPr>
    </w:lvl>
    <w:lvl w:ilvl="1" w:tplc="F4FE649A">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57471"/>
    <w:multiLevelType w:val="hybridMultilevel"/>
    <w:tmpl w:val="B568F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4D15BC"/>
    <w:multiLevelType w:val="hybridMultilevel"/>
    <w:tmpl w:val="B1F0C28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B808C0"/>
    <w:multiLevelType w:val="hybridMultilevel"/>
    <w:tmpl w:val="A754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E5173"/>
    <w:multiLevelType w:val="hybridMultilevel"/>
    <w:tmpl w:val="E0EAF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94675"/>
    <w:multiLevelType w:val="hybridMultilevel"/>
    <w:tmpl w:val="7DF2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40FC2"/>
    <w:multiLevelType w:val="hybridMultilevel"/>
    <w:tmpl w:val="64F4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11A42"/>
    <w:multiLevelType w:val="hybridMultilevel"/>
    <w:tmpl w:val="E48A1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BC14A6"/>
    <w:multiLevelType w:val="hybridMultilevel"/>
    <w:tmpl w:val="D7B4C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06477"/>
    <w:multiLevelType w:val="hybridMultilevel"/>
    <w:tmpl w:val="0AD62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18127D"/>
    <w:multiLevelType w:val="hybridMultilevel"/>
    <w:tmpl w:val="021077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A4DBE"/>
    <w:multiLevelType w:val="hybridMultilevel"/>
    <w:tmpl w:val="873E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66421"/>
    <w:multiLevelType w:val="hybridMultilevel"/>
    <w:tmpl w:val="30520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5A7EBE"/>
    <w:multiLevelType w:val="hybridMultilevel"/>
    <w:tmpl w:val="192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426B3"/>
    <w:multiLevelType w:val="hybridMultilevel"/>
    <w:tmpl w:val="9BAC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D7EFF"/>
    <w:multiLevelType w:val="hybridMultilevel"/>
    <w:tmpl w:val="835A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53615"/>
    <w:multiLevelType w:val="hybridMultilevel"/>
    <w:tmpl w:val="E4924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02E8D"/>
    <w:multiLevelType w:val="hybridMultilevel"/>
    <w:tmpl w:val="302090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610137"/>
    <w:multiLevelType w:val="hybridMultilevel"/>
    <w:tmpl w:val="A9665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85C12"/>
    <w:multiLevelType w:val="hybridMultilevel"/>
    <w:tmpl w:val="C05C1A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D7008"/>
    <w:multiLevelType w:val="hybridMultilevel"/>
    <w:tmpl w:val="7BB4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6593D"/>
    <w:multiLevelType w:val="hybridMultilevel"/>
    <w:tmpl w:val="A4F6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5507D"/>
    <w:multiLevelType w:val="hybridMultilevel"/>
    <w:tmpl w:val="4322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E3DB6"/>
    <w:multiLevelType w:val="hybridMultilevel"/>
    <w:tmpl w:val="4774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F752A"/>
    <w:multiLevelType w:val="hybridMultilevel"/>
    <w:tmpl w:val="F3CA1D4A"/>
    <w:lvl w:ilvl="0" w:tplc="ED94D7A2">
      <w:start w:val="3"/>
      <w:numFmt w:val="bullet"/>
      <w:lvlText w:val=""/>
      <w:lvlJc w:val="left"/>
      <w:pPr>
        <w:ind w:left="465" w:hanging="360"/>
      </w:pPr>
      <w:rPr>
        <w:rFonts w:ascii="Symbol" w:eastAsia="Times New Roman" w:hAnsi="Symbol"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9" w15:restartNumberingAfterBreak="0">
    <w:nsid w:val="7F3E2FAA"/>
    <w:multiLevelType w:val="hybridMultilevel"/>
    <w:tmpl w:val="B654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5"/>
  </w:num>
  <w:num w:numId="5">
    <w:abstractNumId w:val="15"/>
  </w:num>
  <w:num w:numId="6">
    <w:abstractNumId w:val="26"/>
  </w:num>
  <w:num w:numId="7">
    <w:abstractNumId w:val="13"/>
  </w:num>
  <w:num w:numId="8">
    <w:abstractNumId w:val="24"/>
  </w:num>
  <w:num w:numId="9">
    <w:abstractNumId w:val="16"/>
  </w:num>
  <w:num w:numId="10">
    <w:abstractNumId w:val="27"/>
  </w:num>
  <w:num w:numId="11">
    <w:abstractNumId w:val="25"/>
  </w:num>
  <w:num w:numId="12">
    <w:abstractNumId w:val="21"/>
  </w:num>
  <w:num w:numId="13">
    <w:abstractNumId w:val="29"/>
  </w:num>
  <w:num w:numId="14">
    <w:abstractNumId w:val="3"/>
  </w:num>
  <w:num w:numId="15">
    <w:abstractNumId w:val="7"/>
  </w:num>
  <w:num w:numId="16">
    <w:abstractNumId w:val="10"/>
  </w:num>
  <w:num w:numId="17">
    <w:abstractNumId w:val="19"/>
  </w:num>
  <w:num w:numId="18">
    <w:abstractNumId w:val="2"/>
  </w:num>
  <w:num w:numId="19">
    <w:abstractNumId w:val="0"/>
  </w:num>
  <w:num w:numId="20">
    <w:abstractNumId w:val="17"/>
  </w:num>
  <w:num w:numId="21">
    <w:abstractNumId w:val="8"/>
  </w:num>
  <w:num w:numId="22">
    <w:abstractNumId w:val="6"/>
  </w:num>
  <w:num w:numId="23">
    <w:abstractNumId w:val="20"/>
  </w:num>
  <w:num w:numId="24">
    <w:abstractNumId w:val="14"/>
  </w:num>
  <w:num w:numId="25">
    <w:abstractNumId w:val="1"/>
  </w:num>
  <w:num w:numId="26">
    <w:abstractNumId w:val="23"/>
  </w:num>
  <w:num w:numId="27">
    <w:abstractNumId w:val="22"/>
  </w:num>
  <w:num w:numId="28">
    <w:abstractNumId w:val="4"/>
  </w:num>
  <w:num w:numId="29">
    <w:abstractNumId w:val="28"/>
  </w:num>
  <w:num w:numId="30">
    <w:abstractNumId w:val="1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8D"/>
    <w:rsid w:val="00013F13"/>
    <w:rsid w:val="0007033A"/>
    <w:rsid w:val="0008507F"/>
    <w:rsid w:val="000C1775"/>
    <w:rsid w:val="000C1EB7"/>
    <w:rsid w:val="000C46FF"/>
    <w:rsid w:val="000E16EC"/>
    <w:rsid w:val="000E1A9C"/>
    <w:rsid w:val="00157EBF"/>
    <w:rsid w:val="00170A43"/>
    <w:rsid w:val="001A08C7"/>
    <w:rsid w:val="002909E6"/>
    <w:rsid w:val="002B622D"/>
    <w:rsid w:val="002C6C90"/>
    <w:rsid w:val="002E1F7F"/>
    <w:rsid w:val="002E2881"/>
    <w:rsid w:val="002F56F2"/>
    <w:rsid w:val="0034185D"/>
    <w:rsid w:val="00344881"/>
    <w:rsid w:val="003526A4"/>
    <w:rsid w:val="00380849"/>
    <w:rsid w:val="0038306F"/>
    <w:rsid w:val="003A602B"/>
    <w:rsid w:val="003B1A61"/>
    <w:rsid w:val="004009FE"/>
    <w:rsid w:val="00421700"/>
    <w:rsid w:val="00441C84"/>
    <w:rsid w:val="00467322"/>
    <w:rsid w:val="0051484B"/>
    <w:rsid w:val="00514F7A"/>
    <w:rsid w:val="00587AB9"/>
    <w:rsid w:val="005D7CEA"/>
    <w:rsid w:val="005E0A5E"/>
    <w:rsid w:val="005E5BB7"/>
    <w:rsid w:val="00603A49"/>
    <w:rsid w:val="006559F7"/>
    <w:rsid w:val="006F6C43"/>
    <w:rsid w:val="007034F2"/>
    <w:rsid w:val="00803BB7"/>
    <w:rsid w:val="008116FC"/>
    <w:rsid w:val="00813002"/>
    <w:rsid w:val="008564A5"/>
    <w:rsid w:val="00856FE9"/>
    <w:rsid w:val="0085776E"/>
    <w:rsid w:val="00887E1F"/>
    <w:rsid w:val="008B4209"/>
    <w:rsid w:val="008B568D"/>
    <w:rsid w:val="008C54BC"/>
    <w:rsid w:val="008D1847"/>
    <w:rsid w:val="00907D47"/>
    <w:rsid w:val="009779DD"/>
    <w:rsid w:val="00983AFE"/>
    <w:rsid w:val="009945DD"/>
    <w:rsid w:val="009D048E"/>
    <w:rsid w:val="009D206E"/>
    <w:rsid w:val="009F3F6D"/>
    <w:rsid w:val="00A525DF"/>
    <w:rsid w:val="00A61226"/>
    <w:rsid w:val="00A97D64"/>
    <w:rsid w:val="00B125C8"/>
    <w:rsid w:val="00B555F5"/>
    <w:rsid w:val="00BD65C9"/>
    <w:rsid w:val="00BF79B0"/>
    <w:rsid w:val="00C05A38"/>
    <w:rsid w:val="00C13F41"/>
    <w:rsid w:val="00C35898"/>
    <w:rsid w:val="00C53B78"/>
    <w:rsid w:val="00C56B42"/>
    <w:rsid w:val="00CA3011"/>
    <w:rsid w:val="00CA759C"/>
    <w:rsid w:val="00CE32EE"/>
    <w:rsid w:val="00D04AF7"/>
    <w:rsid w:val="00D61395"/>
    <w:rsid w:val="00D61A88"/>
    <w:rsid w:val="00D828E0"/>
    <w:rsid w:val="00DA4E59"/>
    <w:rsid w:val="00DB06C2"/>
    <w:rsid w:val="00DB69EC"/>
    <w:rsid w:val="00E0138B"/>
    <w:rsid w:val="00E0454B"/>
    <w:rsid w:val="00E814C4"/>
    <w:rsid w:val="00E90E97"/>
    <w:rsid w:val="00F51EF6"/>
    <w:rsid w:val="00F86749"/>
    <w:rsid w:val="00F9050F"/>
    <w:rsid w:val="00F9124D"/>
    <w:rsid w:val="00FC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A9E976-1DAD-491A-8E9F-5DA1CC1D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68D"/>
    <w:pPr>
      <w:ind w:left="720"/>
      <w:contextualSpacing/>
    </w:pPr>
  </w:style>
  <w:style w:type="paragraph" w:styleId="BalloonText">
    <w:name w:val="Balloon Text"/>
    <w:basedOn w:val="Normal"/>
    <w:link w:val="BalloonTextChar"/>
    <w:uiPriority w:val="99"/>
    <w:semiHidden/>
    <w:unhideWhenUsed/>
    <w:rsid w:val="00D04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AF7"/>
    <w:rPr>
      <w:rFonts w:ascii="Segoe UI" w:hAnsi="Segoe UI" w:cs="Segoe UI"/>
      <w:sz w:val="18"/>
      <w:szCs w:val="18"/>
    </w:rPr>
  </w:style>
  <w:style w:type="paragraph" w:styleId="Header">
    <w:name w:val="header"/>
    <w:basedOn w:val="Normal"/>
    <w:link w:val="HeaderChar"/>
    <w:uiPriority w:val="99"/>
    <w:unhideWhenUsed/>
    <w:rsid w:val="005E0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5E"/>
  </w:style>
  <w:style w:type="paragraph" w:styleId="Footer">
    <w:name w:val="footer"/>
    <w:basedOn w:val="Normal"/>
    <w:link w:val="FooterChar"/>
    <w:uiPriority w:val="99"/>
    <w:unhideWhenUsed/>
    <w:rsid w:val="005E0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DCE5-FC50-4D2C-965A-FB7AEFCB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Johnson</dc:creator>
  <cp:keywords/>
  <dc:description/>
  <cp:lastModifiedBy>Julianne Hosey</cp:lastModifiedBy>
  <cp:revision>2</cp:revision>
  <cp:lastPrinted>2015-01-08T19:30:00Z</cp:lastPrinted>
  <dcterms:created xsi:type="dcterms:W3CDTF">2018-03-01T14:34:00Z</dcterms:created>
  <dcterms:modified xsi:type="dcterms:W3CDTF">2018-03-01T14:34:00Z</dcterms:modified>
</cp:coreProperties>
</file>