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34363" w14:textId="77777777" w:rsidR="00D30500" w:rsidRPr="007139C3" w:rsidRDefault="00D30500" w:rsidP="00EE63D6">
      <w:pPr>
        <w:ind w:left="720" w:right="900"/>
        <w:rPr>
          <w:rFonts w:ascii="Times New Roman" w:hAnsi="Times New Roman"/>
        </w:rPr>
      </w:pPr>
    </w:p>
    <w:p w14:paraId="43BCECA7" w14:textId="77777777" w:rsidR="00901142" w:rsidRPr="007139C3" w:rsidRDefault="009B6199" w:rsidP="00EE63D6">
      <w:pPr>
        <w:ind w:left="720" w:right="900"/>
        <w:rPr>
          <w:rFonts w:ascii="Times New Roman" w:hAnsi="Times New Roman"/>
        </w:rPr>
      </w:pPr>
      <w:r w:rsidRPr="007139C3">
        <w:rPr>
          <w:rFonts w:ascii="Times New Roman" w:hAnsi="Times New Roman"/>
        </w:rPr>
        <w:t xml:space="preserve">Dear </w:t>
      </w:r>
      <w:r w:rsidR="00774D50">
        <w:rPr>
          <w:rFonts w:ascii="Times New Roman" w:hAnsi="Times New Roman"/>
        </w:rPr>
        <w:t>Applicant</w:t>
      </w:r>
      <w:r w:rsidR="00901142" w:rsidRPr="007139C3">
        <w:rPr>
          <w:rFonts w:ascii="Times New Roman" w:hAnsi="Times New Roman"/>
        </w:rPr>
        <w:t>,</w:t>
      </w:r>
    </w:p>
    <w:p w14:paraId="41CFABA5" w14:textId="77777777" w:rsidR="00901142" w:rsidRPr="007139C3" w:rsidRDefault="00901142" w:rsidP="00EE63D6">
      <w:pPr>
        <w:ind w:left="720" w:right="900"/>
        <w:rPr>
          <w:rFonts w:ascii="Times New Roman" w:hAnsi="Times New Roman"/>
        </w:rPr>
      </w:pPr>
    </w:p>
    <w:p w14:paraId="56F89EC6" w14:textId="77777777" w:rsidR="00901142" w:rsidRPr="007139C3" w:rsidRDefault="00C85E02" w:rsidP="00EE63D6">
      <w:pPr>
        <w:ind w:left="720" w:right="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You </w:t>
      </w:r>
      <w:r w:rsidR="00486E95">
        <w:rPr>
          <w:rFonts w:ascii="Times New Roman" w:hAnsi="Times New Roman"/>
        </w:rPr>
        <w:t>may be</w:t>
      </w:r>
      <w:r>
        <w:rPr>
          <w:rFonts w:ascii="Times New Roman" w:hAnsi="Times New Roman"/>
        </w:rPr>
        <w:t xml:space="preserve"> eligible for </w:t>
      </w:r>
      <w:r w:rsidR="00786934">
        <w:rPr>
          <w:rFonts w:ascii="Times New Roman" w:hAnsi="Times New Roman"/>
        </w:rPr>
        <w:t>a disabled veteran</w:t>
      </w:r>
      <w:r>
        <w:rPr>
          <w:rFonts w:ascii="Times New Roman" w:hAnsi="Times New Roman"/>
        </w:rPr>
        <w:t xml:space="preserve"> property tax deduction. Take the completed application to your county auditor</w:t>
      </w:r>
      <w:r w:rsidR="00E70644"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s office for </w:t>
      </w:r>
      <w:r w:rsidR="00912C58">
        <w:rPr>
          <w:rFonts w:ascii="Times New Roman" w:hAnsi="Times New Roman"/>
        </w:rPr>
        <w:t>further</w:t>
      </w:r>
      <w:r>
        <w:rPr>
          <w:rFonts w:ascii="Times New Roman" w:hAnsi="Times New Roman"/>
        </w:rPr>
        <w:t xml:space="preserve"> processing.</w:t>
      </w:r>
    </w:p>
    <w:p w14:paraId="1AEFF6DC" w14:textId="77777777" w:rsidR="00901142" w:rsidRPr="007139C3" w:rsidRDefault="00901142" w:rsidP="00EE63D6">
      <w:pPr>
        <w:ind w:left="720" w:right="900"/>
        <w:rPr>
          <w:rFonts w:ascii="Times New Roman" w:hAnsi="Times New Roman"/>
        </w:rPr>
      </w:pPr>
    </w:p>
    <w:p w14:paraId="02DE231A" w14:textId="77777777" w:rsidR="00C93919" w:rsidRPr="007139C3" w:rsidRDefault="00901142" w:rsidP="00EE63D6">
      <w:pPr>
        <w:ind w:left="720" w:right="900"/>
        <w:rPr>
          <w:rFonts w:ascii="Times New Roman" w:hAnsi="Times New Roman"/>
        </w:rPr>
      </w:pPr>
      <w:r w:rsidRPr="007139C3">
        <w:rPr>
          <w:rFonts w:ascii="Times New Roman" w:hAnsi="Times New Roman"/>
        </w:rPr>
        <w:t xml:space="preserve">     </w:t>
      </w:r>
      <w:r w:rsidR="00C85E02">
        <w:rPr>
          <w:rFonts w:ascii="Times New Roman" w:hAnsi="Times New Roman"/>
        </w:rPr>
        <w:t xml:space="preserve">You may </w:t>
      </w:r>
      <w:r w:rsidR="00E70644">
        <w:rPr>
          <w:rFonts w:ascii="Times New Roman" w:hAnsi="Times New Roman"/>
        </w:rPr>
        <w:t xml:space="preserve">be eligible to </w:t>
      </w:r>
      <w:r w:rsidR="00C85E02">
        <w:rPr>
          <w:rFonts w:ascii="Times New Roman" w:hAnsi="Times New Roman"/>
        </w:rPr>
        <w:t>receive a deduction from the assessed value of your property in one of the following am</w:t>
      </w:r>
      <w:r w:rsidR="00F42B36">
        <w:rPr>
          <w:rFonts w:ascii="Times New Roman" w:hAnsi="Times New Roman"/>
        </w:rPr>
        <w:t>ounts from IC 6-1.1-12</w:t>
      </w:r>
    </w:p>
    <w:p w14:paraId="1EF5535F" w14:textId="77777777" w:rsidR="00C93919" w:rsidRPr="007139C3" w:rsidRDefault="00C93919" w:rsidP="00EE63D6">
      <w:pPr>
        <w:ind w:left="720" w:right="900"/>
        <w:rPr>
          <w:rFonts w:ascii="Times New Roman" w:hAnsi="Times New Roman"/>
        </w:rPr>
      </w:pPr>
    </w:p>
    <w:p w14:paraId="448C1C76" w14:textId="0FE8BBF9" w:rsidR="00C93919" w:rsidRDefault="00F42B36" w:rsidP="00EE63D6">
      <w:pPr>
        <w:ind w:left="720" w:right="900"/>
        <w:rPr>
          <w:rFonts w:ascii="Times New Roman" w:hAnsi="Times New Roman"/>
          <w:color w:val="FF0000"/>
        </w:rPr>
      </w:pPr>
      <w:r w:rsidRPr="00E70644">
        <w:rPr>
          <w:rFonts w:ascii="Times New Roman" w:hAnsi="Times New Roman"/>
          <w:b/>
        </w:rPr>
        <w:t>Section 14</w:t>
      </w:r>
      <w:r>
        <w:rPr>
          <w:rFonts w:ascii="Times New Roman" w:hAnsi="Times New Roman"/>
        </w:rPr>
        <w:t xml:space="preserve"> : </w:t>
      </w:r>
      <w:r w:rsidR="00C93919" w:rsidRPr="007139C3">
        <w:rPr>
          <w:rFonts w:ascii="Times New Roman" w:hAnsi="Times New Roman"/>
        </w:rPr>
        <w:t>$1</w:t>
      </w:r>
      <w:r w:rsidR="002244AF">
        <w:rPr>
          <w:rFonts w:ascii="Times New Roman" w:hAnsi="Times New Roman"/>
        </w:rPr>
        <w:t>4,000</w:t>
      </w:r>
      <w:r w:rsidR="00C93919" w:rsidRPr="007139C3">
        <w:rPr>
          <w:rFonts w:ascii="Times New Roman" w:hAnsi="Times New Roman"/>
        </w:rPr>
        <w:t xml:space="preserve">  </w:t>
      </w:r>
      <w:r w:rsidR="00C85E02">
        <w:rPr>
          <w:rFonts w:ascii="Times New Roman" w:hAnsi="Times New Roman"/>
        </w:rPr>
        <w:t>If you served on active duty for at least 90 days during any period</w:t>
      </w:r>
      <w:r w:rsidR="00E70644">
        <w:rPr>
          <w:rFonts w:ascii="Times New Roman" w:hAnsi="Times New Roman"/>
        </w:rPr>
        <w:t>,</w:t>
      </w:r>
      <w:r w:rsidR="00C85E02">
        <w:rPr>
          <w:rFonts w:ascii="Times New Roman" w:hAnsi="Times New Roman"/>
        </w:rPr>
        <w:t xml:space="preserve">  received an honorable discharge </w:t>
      </w:r>
      <w:r w:rsidR="00C85E02" w:rsidRPr="00E70644">
        <w:rPr>
          <w:rFonts w:ascii="Times New Roman" w:hAnsi="Times New Roman"/>
          <w:b/>
        </w:rPr>
        <w:t>AND</w:t>
      </w:r>
      <w:r w:rsidR="00C85E02">
        <w:rPr>
          <w:rFonts w:ascii="Times New Roman" w:hAnsi="Times New Roman"/>
        </w:rPr>
        <w:t xml:space="preserve"> have a service connected disability of at least 100% if under age 62 </w:t>
      </w:r>
      <w:r w:rsidR="00C85E02" w:rsidRPr="00E70644">
        <w:rPr>
          <w:rFonts w:ascii="Times New Roman" w:hAnsi="Times New Roman"/>
          <w:b/>
        </w:rPr>
        <w:t>OR</w:t>
      </w:r>
      <w:r w:rsidR="00C85E02">
        <w:rPr>
          <w:rFonts w:ascii="Times New Roman" w:hAnsi="Times New Roman"/>
        </w:rPr>
        <w:t xml:space="preserve"> a 10% service connected disability if age 62 years or older.  In order to receive this deduction the assessed value of your property must be less than </w:t>
      </w:r>
      <w:r w:rsidR="00C85E02" w:rsidRPr="00E70644">
        <w:rPr>
          <w:rFonts w:ascii="Times New Roman" w:hAnsi="Times New Roman"/>
          <w:color w:val="FF0000"/>
        </w:rPr>
        <w:t>$</w:t>
      </w:r>
      <w:r w:rsidR="00210F7B">
        <w:rPr>
          <w:rFonts w:ascii="Times New Roman" w:hAnsi="Times New Roman"/>
          <w:color w:val="FF0000"/>
        </w:rPr>
        <w:t>200,000.00</w:t>
      </w:r>
      <w:r w:rsidR="001539E7">
        <w:rPr>
          <w:rFonts w:ascii="Times New Roman" w:hAnsi="Times New Roman"/>
          <w:color w:val="FF0000"/>
        </w:rPr>
        <w:t xml:space="preserve"> </w:t>
      </w:r>
      <w:r w:rsidR="009D2E55">
        <w:rPr>
          <w:rFonts w:ascii="Times New Roman" w:hAnsi="Times New Roman"/>
        </w:rPr>
        <w:t>beginning</w:t>
      </w:r>
      <w:r w:rsidR="00116B0F">
        <w:rPr>
          <w:rFonts w:ascii="Times New Roman" w:hAnsi="Times New Roman"/>
        </w:rPr>
        <w:t xml:space="preserve"> the 2020</w:t>
      </w:r>
      <w:r w:rsidR="00D42B91">
        <w:rPr>
          <w:rFonts w:ascii="Times New Roman" w:hAnsi="Times New Roman"/>
        </w:rPr>
        <w:t xml:space="preserve"> </w:t>
      </w:r>
      <w:r w:rsidR="00116B0F">
        <w:rPr>
          <w:rFonts w:ascii="Times New Roman" w:hAnsi="Times New Roman"/>
        </w:rPr>
        <w:t>assessment year.</w:t>
      </w:r>
      <w:r w:rsidR="00D42B91">
        <w:rPr>
          <w:rFonts w:ascii="Times New Roman" w:hAnsi="Times New Roman"/>
        </w:rPr>
        <w:t xml:space="preserve"> </w:t>
      </w:r>
      <w:r w:rsidR="00D42B91" w:rsidRPr="00D42B91">
        <w:rPr>
          <w:rFonts w:ascii="Times New Roman" w:hAnsi="Times New Roman"/>
          <w:highlight w:val="yellow"/>
        </w:rPr>
        <w:t>This deduction will</w:t>
      </w:r>
      <w:r w:rsidR="00116B0F">
        <w:rPr>
          <w:rFonts w:ascii="Times New Roman" w:hAnsi="Times New Roman"/>
          <w:highlight w:val="yellow"/>
        </w:rPr>
        <w:t xml:space="preserve"> also</w:t>
      </w:r>
      <w:r w:rsidR="00D42B91" w:rsidRPr="00D42B91">
        <w:rPr>
          <w:rFonts w:ascii="Times New Roman" w:hAnsi="Times New Roman"/>
          <w:highlight w:val="yellow"/>
        </w:rPr>
        <w:t xml:space="preserve"> increase to $14,000 beginning the 2020 assessment year</w:t>
      </w:r>
      <w:r w:rsidR="00D42B91">
        <w:rPr>
          <w:rFonts w:ascii="Times New Roman" w:hAnsi="Times New Roman"/>
        </w:rPr>
        <w:t xml:space="preserve">. </w:t>
      </w:r>
    </w:p>
    <w:p w14:paraId="4E2CA725" w14:textId="77777777" w:rsidR="00E03333" w:rsidRPr="007139C3" w:rsidRDefault="00E03333" w:rsidP="00EE63D6">
      <w:pPr>
        <w:ind w:left="720" w:right="900"/>
        <w:rPr>
          <w:rFonts w:ascii="Times New Roman" w:hAnsi="Times New Roman"/>
        </w:rPr>
      </w:pPr>
    </w:p>
    <w:p w14:paraId="22150CD6" w14:textId="4101652E" w:rsidR="00C93919" w:rsidRPr="007139C3" w:rsidRDefault="00F42B36" w:rsidP="00EE63D6">
      <w:pPr>
        <w:ind w:left="720" w:right="900"/>
        <w:rPr>
          <w:rFonts w:ascii="Times New Roman" w:hAnsi="Times New Roman"/>
        </w:rPr>
      </w:pPr>
      <w:r w:rsidRPr="00E70644">
        <w:rPr>
          <w:rFonts w:ascii="Times New Roman" w:hAnsi="Times New Roman"/>
          <w:b/>
        </w:rPr>
        <w:t>Section 13</w:t>
      </w:r>
      <w:r>
        <w:rPr>
          <w:rFonts w:ascii="Times New Roman" w:hAnsi="Times New Roman"/>
        </w:rPr>
        <w:t xml:space="preserve">: </w:t>
      </w:r>
      <w:r w:rsidR="00C93919" w:rsidRPr="007139C3">
        <w:rPr>
          <w:rFonts w:ascii="Times New Roman" w:hAnsi="Times New Roman"/>
        </w:rPr>
        <w:t xml:space="preserve">$24,960 </w:t>
      </w:r>
      <w:r w:rsidR="00C85E02">
        <w:rPr>
          <w:rFonts w:ascii="Times New Roman" w:hAnsi="Times New Roman"/>
        </w:rPr>
        <w:t xml:space="preserve">If you served during a recognized period of wartime service, received an honorable discharge, </w:t>
      </w:r>
      <w:r w:rsidR="00E70644" w:rsidRPr="007D3483">
        <w:rPr>
          <w:rFonts w:ascii="Times New Roman" w:hAnsi="Times New Roman"/>
          <w:b/>
        </w:rPr>
        <w:t>AND</w:t>
      </w:r>
      <w:r w:rsidR="00E70644">
        <w:rPr>
          <w:rFonts w:ascii="Times New Roman" w:hAnsi="Times New Roman"/>
        </w:rPr>
        <w:t xml:space="preserve"> </w:t>
      </w:r>
      <w:r w:rsidR="00C85E02">
        <w:rPr>
          <w:rFonts w:ascii="Times New Roman" w:hAnsi="Times New Roman"/>
        </w:rPr>
        <w:t xml:space="preserve">are </w:t>
      </w:r>
      <w:r w:rsidR="00B1192A">
        <w:rPr>
          <w:rFonts w:ascii="Times New Roman" w:hAnsi="Times New Roman"/>
        </w:rPr>
        <w:t>service-connected</w:t>
      </w:r>
      <w:r w:rsidR="00C85E02">
        <w:rPr>
          <w:rFonts w:ascii="Times New Roman" w:hAnsi="Times New Roman"/>
        </w:rPr>
        <w:t xml:space="preserve"> disabled 10% or higher.</w:t>
      </w:r>
    </w:p>
    <w:p w14:paraId="1C9A31C8" w14:textId="77777777" w:rsidR="00C93919" w:rsidRPr="007139C3" w:rsidRDefault="00C93919" w:rsidP="00EE63D6">
      <w:pPr>
        <w:ind w:left="720" w:right="900"/>
        <w:rPr>
          <w:rFonts w:ascii="Times New Roman" w:hAnsi="Times New Roman"/>
        </w:rPr>
      </w:pPr>
    </w:p>
    <w:p w14:paraId="6274766F" w14:textId="77777777" w:rsidR="001539E7" w:rsidRDefault="00F42B36" w:rsidP="00EE63D6">
      <w:pPr>
        <w:ind w:left="720" w:right="900"/>
        <w:rPr>
          <w:rFonts w:ascii="Times New Roman" w:hAnsi="Times New Roman"/>
        </w:rPr>
      </w:pPr>
      <w:r w:rsidRPr="00E70644">
        <w:rPr>
          <w:rFonts w:ascii="Times New Roman" w:hAnsi="Times New Roman"/>
          <w:b/>
        </w:rPr>
        <w:t>Combination of Section 13 AND section 14</w:t>
      </w:r>
      <w:r>
        <w:rPr>
          <w:rFonts w:ascii="Times New Roman" w:hAnsi="Times New Roman"/>
        </w:rPr>
        <w:t>:</w:t>
      </w:r>
      <w:r w:rsidR="009D2E55">
        <w:rPr>
          <w:rFonts w:ascii="Times New Roman" w:hAnsi="Times New Roman"/>
        </w:rPr>
        <w:t xml:space="preserve"> Both deductions may be taken if eligibility requirements are met for both section 13 and 14. </w:t>
      </w:r>
    </w:p>
    <w:p w14:paraId="28F063AE" w14:textId="77777777" w:rsidR="009D2E55" w:rsidRDefault="009D2E55" w:rsidP="00EE63D6">
      <w:pPr>
        <w:ind w:left="720" w:right="900"/>
        <w:rPr>
          <w:rFonts w:ascii="Times New Roman" w:hAnsi="Times New Roman"/>
        </w:rPr>
      </w:pPr>
    </w:p>
    <w:p w14:paraId="292CDE82" w14:textId="77777777" w:rsidR="00D5627E" w:rsidRDefault="001539E7" w:rsidP="00EE63D6">
      <w:pPr>
        <w:ind w:left="720" w:right="900"/>
        <w:rPr>
          <w:rFonts w:ascii="Times New Roman" w:hAnsi="Times New Roman"/>
        </w:rPr>
      </w:pPr>
      <w:r w:rsidRPr="001539E7">
        <w:rPr>
          <w:rFonts w:ascii="Times New Roman" w:hAnsi="Times New Roman"/>
          <w:b/>
        </w:rPr>
        <w:t>Section 14.5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7F4322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f you reside in a home that was conveyed </w:t>
      </w:r>
      <w:r w:rsidRPr="00116B0F">
        <w:rPr>
          <w:rFonts w:ascii="Times New Roman" w:hAnsi="Times New Roman"/>
          <w:b/>
          <w:highlight w:val="yellow"/>
          <w:u w:val="single"/>
        </w:rPr>
        <w:t>without charge</w:t>
      </w:r>
      <w:r>
        <w:rPr>
          <w:rFonts w:ascii="Times New Roman" w:hAnsi="Times New Roman"/>
        </w:rPr>
        <w:t xml:space="preserve"> to you by an organization that is exempt from income taxation under the federal Internal Revenue Code AND you are at least a 50% service connected disabled veteran who served in the United State</w:t>
      </w:r>
      <w:r w:rsidR="00D5627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Armed Forces on active duty for at least 90 days AND received an Honorable discharge</w:t>
      </w:r>
      <w:r w:rsidR="00D5627E">
        <w:rPr>
          <w:rFonts w:ascii="Times New Roman" w:hAnsi="Times New Roman"/>
        </w:rPr>
        <w:t xml:space="preserve"> you may be eligible for a deduction in the following amounts;</w:t>
      </w:r>
    </w:p>
    <w:p w14:paraId="3960E1F7" w14:textId="77777777" w:rsidR="001539E7" w:rsidRDefault="00D5627E" w:rsidP="00EE63D6">
      <w:pPr>
        <w:ind w:left="720" w:right="90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100% Service connected</w:t>
      </w:r>
      <w:r w:rsidR="007F4322">
        <w:rPr>
          <w:rFonts w:ascii="Times New Roman" w:hAnsi="Times New Roman"/>
          <w:b/>
        </w:rPr>
        <w:t>:</w:t>
      </w:r>
      <w:r w:rsidR="001539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deduct 100% of the assessed value of the homestead</w:t>
      </w:r>
    </w:p>
    <w:p w14:paraId="54C9982C" w14:textId="77777777" w:rsidR="00D5627E" w:rsidRPr="00D5627E" w:rsidRDefault="00D5627E" w:rsidP="00D5627E">
      <w:pPr>
        <w:ind w:left="720" w:right="90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90% Service connected</w:t>
      </w:r>
      <w:r w:rsidR="007F4322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deduct 90% of the assessed value of the homestead</w:t>
      </w:r>
    </w:p>
    <w:p w14:paraId="54DFA8D9" w14:textId="77777777" w:rsidR="00A336A5" w:rsidRDefault="00D5627E" w:rsidP="00F42B36">
      <w:pPr>
        <w:ind w:right="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Pr="00D5627E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0% Service connected</w:t>
      </w:r>
      <w:r w:rsidR="007F4322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deduct 80% of the assessed value of the homestead</w:t>
      </w:r>
    </w:p>
    <w:p w14:paraId="235D7702" w14:textId="77777777" w:rsidR="00D5627E" w:rsidRPr="007139C3" w:rsidRDefault="00D5627E" w:rsidP="00D5627E">
      <w:pPr>
        <w:ind w:right="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  <w:b/>
        </w:rPr>
        <w:t>70% Service connected</w:t>
      </w:r>
      <w:r w:rsidR="007F4322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deduct 70% of the assessed value of the homestead</w:t>
      </w:r>
    </w:p>
    <w:p w14:paraId="53AB49F6" w14:textId="77777777" w:rsidR="00D5627E" w:rsidRPr="007139C3" w:rsidRDefault="00D5627E" w:rsidP="00D5627E">
      <w:pPr>
        <w:ind w:right="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  <w:b/>
        </w:rPr>
        <w:t>60% Service connected</w:t>
      </w:r>
      <w:r w:rsidR="007F4322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deduct 60% of the assessed value of the homestead</w:t>
      </w:r>
    </w:p>
    <w:p w14:paraId="6D415215" w14:textId="77777777" w:rsidR="00D5627E" w:rsidRDefault="00D5627E" w:rsidP="00D5627E">
      <w:pPr>
        <w:ind w:right="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  <w:b/>
        </w:rPr>
        <w:t>50% Service connected</w:t>
      </w:r>
      <w:r w:rsidR="007F4322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deduct 50% of the assessed value of the homestead</w:t>
      </w:r>
    </w:p>
    <w:p w14:paraId="7DF6E929" w14:textId="2BEF71AF" w:rsidR="00D5627E" w:rsidRDefault="00D5627E" w:rsidP="00D5627E">
      <w:pPr>
        <w:ind w:right="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If you claim a deduction under this </w:t>
      </w:r>
      <w:r w:rsidR="00DB0D05">
        <w:rPr>
          <w:rFonts w:ascii="Times New Roman" w:hAnsi="Times New Roman"/>
        </w:rPr>
        <w:t>section,</w:t>
      </w:r>
      <w:r>
        <w:rPr>
          <w:rFonts w:ascii="Times New Roman" w:hAnsi="Times New Roman"/>
        </w:rPr>
        <w:t xml:space="preserve"> you cannot claim deductions under sections 13 or 14 </w:t>
      </w:r>
    </w:p>
    <w:p w14:paraId="045BBBB7" w14:textId="77777777" w:rsidR="00D5627E" w:rsidRPr="007139C3" w:rsidRDefault="00D5627E" w:rsidP="00D5627E">
      <w:pPr>
        <w:ind w:right="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of IC 6-1.1-12-13 or IC 6-1.1-12-14 for the same assessment date. </w:t>
      </w:r>
    </w:p>
    <w:p w14:paraId="4E3D0BA9" w14:textId="77777777" w:rsidR="00D5627E" w:rsidRPr="007139C3" w:rsidRDefault="00D5627E" w:rsidP="00F42B36">
      <w:pPr>
        <w:ind w:right="900"/>
        <w:rPr>
          <w:rFonts w:ascii="Times New Roman" w:hAnsi="Times New Roman"/>
        </w:rPr>
      </w:pPr>
    </w:p>
    <w:p w14:paraId="16F5245E" w14:textId="77777777" w:rsidR="007F4322" w:rsidRDefault="00A336A5" w:rsidP="00EE63D6">
      <w:pPr>
        <w:ind w:left="720" w:right="900"/>
        <w:rPr>
          <w:rFonts w:ascii="Times New Roman" w:hAnsi="Times New Roman"/>
        </w:rPr>
      </w:pPr>
      <w:r w:rsidRPr="007139C3">
        <w:rPr>
          <w:rFonts w:ascii="Times New Roman" w:hAnsi="Times New Roman"/>
        </w:rPr>
        <w:t xml:space="preserve">    </w:t>
      </w:r>
    </w:p>
    <w:p w14:paraId="5580F90C" w14:textId="77777777" w:rsidR="007F4322" w:rsidRDefault="007F4322" w:rsidP="00EE63D6">
      <w:pPr>
        <w:ind w:left="720" w:right="900"/>
        <w:rPr>
          <w:rFonts w:ascii="Times New Roman" w:hAnsi="Times New Roman"/>
        </w:rPr>
      </w:pPr>
    </w:p>
    <w:p w14:paraId="4FDF2577" w14:textId="77777777" w:rsidR="007F4322" w:rsidRDefault="007F4322" w:rsidP="00EE63D6">
      <w:pPr>
        <w:ind w:left="720" w:right="900"/>
        <w:rPr>
          <w:rFonts w:ascii="Times New Roman" w:hAnsi="Times New Roman"/>
        </w:rPr>
      </w:pPr>
    </w:p>
    <w:p w14:paraId="3EAD137B" w14:textId="77777777" w:rsidR="007F4322" w:rsidRDefault="007F4322" w:rsidP="00EE63D6">
      <w:pPr>
        <w:ind w:left="720" w:right="900"/>
        <w:rPr>
          <w:rFonts w:ascii="Times New Roman" w:hAnsi="Times New Roman"/>
        </w:rPr>
      </w:pPr>
    </w:p>
    <w:p w14:paraId="10D139F1" w14:textId="77777777" w:rsidR="007F4322" w:rsidRDefault="007F4322" w:rsidP="00EE63D6">
      <w:pPr>
        <w:ind w:left="720" w:right="900"/>
        <w:rPr>
          <w:rFonts w:ascii="Times New Roman" w:hAnsi="Times New Roman"/>
        </w:rPr>
      </w:pPr>
    </w:p>
    <w:p w14:paraId="45A88760" w14:textId="77777777" w:rsidR="007F4322" w:rsidRDefault="007F4322" w:rsidP="00EE63D6">
      <w:pPr>
        <w:ind w:left="720" w:right="900"/>
        <w:rPr>
          <w:rFonts w:ascii="Times New Roman" w:hAnsi="Times New Roman"/>
        </w:rPr>
      </w:pPr>
    </w:p>
    <w:p w14:paraId="6D5E49E2" w14:textId="77777777" w:rsidR="007F4322" w:rsidRDefault="007F4322" w:rsidP="00EE63D6">
      <w:pPr>
        <w:ind w:left="720" w:right="900"/>
        <w:rPr>
          <w:rFonts w:ascii="Times New Roman" w:hAnsi="Times New Roman"/>
        </w:rPr>
      </w:pPr>
    </w:p>
    <w:p w14:paraId="55456567" w14:textId="77777777" w:rsidR="007F4322" w:rsidRDefault="007F4322" w:rsidP="00EE63D6">
      <w:pPr>
        <w:ind w:left="720" w:right="900"/>
        <w:rPr>
          <w:rFonts w:ascii="Times New Roman" w:hAnsi="Times New Roman"/>
        </w:rPr>
      </w:pPr>
    </w:p>
    <w:p w14:paraId="624FF576" w14:textId="593CD7CD" w:rsidR="00901142" w:rsidRDefault="00A336A5" w:rsidP="00EE63D6">
      <w:pPr>
        <w:ind w:left="720" w:right="900"/>
        <w:rPr>
          <w:rFonts w:ascii="Times New Roman" w:hAnsi="Times New Roman"/>
        </w:rPr>
      </w:pPr>
      <w:r w:rsidRPr="007139C3">
        <w:rPr>
          <w:rFonts w:ascii="Times New Roman" w:hAnsi="Times New Roman"/>
        </w:rPr>
        <w:t xml:space="preserve"> </w:t>
      </w:r>
      <w:r w:rsidR="00B352F5" w:rsidRPr="007139C3">
        <w:rPr>
          <w:rFonts w:ascii="Times New Roman" w:hAnsi="Times New Roman"/>
        </w:rPr>
        <w:t xml:space="preserve">If there is a remaining credit after this amount is applied to your property taxes, the </w:t>
      </w:r>
      <w:r w:rsidR="00C91568" w:rsidRPr="007139C3">
        <w:rPr>
          <w:rFonts w:ascii="Times New Roman" w:hAnsi="Times New Roman"/>
        </w:rPr>
        <w:t>County</w:t>
      </w:r>
      <w:r w:rsidR="00B352F5" w:rsidRPr="007139C3">
        <w:rPr>
          <w:rFonts w:ascii="Times New Roman" w:hAnsi="Times New Roman"/>
        </w:rPr>
        <w:t xml:space="preserve"> Auditor may allow you to use the pro-rated remainder to assist you with the excise tax on your vehicle license plates. The </w:t>
      </w:r>
      <w:r w:rsidR="00C91568" w:rsidRPr="007139C3">
        <w:rPr>
          <w:rFonts w:ascii="Times New Roman" w:hAnsi="Times New Roman"/>
        </w:rPr>
        <w:t>County</w:t>
      </w:r>
      <w:r w:rsidR="00B352F5" w:rsidRPr="007139C3">
        <w:rPr>
          <w:rFonts w:ascii="Times New Roman" w:hAnsi="Times New Roman"/>
        </w:rPr>
        <w:t xml:space="preserve"> Auditor will be the one to make that </w:t>
      </w:r>
      <w:r w:rsidR="00DB0D05" w:rsidRPr="007139C3">
        <w:rPr>
          <w:rFonts w:ascii="Times New Roman" w:hAnsi="Times New Roman"/>
        </w:rPr>
        <w:t>determination and</w:t>
      </w:r>
      <w:r w:rsidR="00B352F5" w:rsidRPr="007139C3">
        <w:rPr>
          <w:rFonts w:ascii="Times New Roman" w:hAnsi="Times New Roman"/>
        </w:rPr>
        <w:t xml:space="preserve"> will give you the proper documentation to take to your local License Branch. </w:t>
      </w:r>
      <w:r w:rsidR="00F42B36">
        <w:rPr>
          <w:rFonts w:ascii="Times New Roman" w:hAnsi="Times New Roman"/>
        </w:rPr>
        <w:t>Additionally</w:t>
      </w:r>
      <w:r w:rsidR="00471114">
        <w:rPr>
          <w:rFonts w:ascii="Times New Roman" w:hAnsi="Times New Roman"/>
        </w:rPr>
        <w:t>,</w:t>
      </w:r>
      <w:r w:rsidR="00F42B36">
        <w:rPr>
          <w:rFonts w:ascii="Times New Roman" w:hAnsi="Times New Roman"/>
        </w:rPr>
        <w:t xml:space="preserve"> if you are eligible for any of the deductions above but do not own any property </w:t>
      </w:r>
      <w:r w:rsidR="00393C30">
        <w:rPr>
          <w:rFonts w:ascii="Times New Roman" w:hAnsi="Times New Roman"/>
        </w:rPr>
        <w:t>to which a property tax deduction may be applied</w:t>
      </w:r>
      <w:r w:rsidR="00471114">
        <w:rPr>
          <w:rFonts w:ascii="Times New Roman" w:hAnsi="Times New Roman"/>
        </w:rPr>
        <w:t>,</w:t>
      </w:r>
      <w:r w:rsidR="00F42B36">
        <w:rPr>
          <w:rFonts w:ascii="Times New Roman" w:hAnsi="Times New Roman"/>
        </w:rPr>
        <w:t xml:space="preserve"> the Auditor will provide you paperwork to take to the License </w:t>
      </w:r>
      <w:r w:rsidR="00E70644">
        <w:rPr>
          <w:rFonts w:ascii="Times New Roman" w:hAnsi="Times New Roman"/>
        </w:rPr>
        <w:t>B</w:t>
      </w:r>
      <w:r w:rsidR="00F42B36">
        <w:rPr>
          <w:rFonts w:ascii="Times New Roman" w:hAnsi="Times New Roman"/>
        </w:rPr>
        <w:t>ranch</w:t>
      </w:r>
      <w:r w:rsidR="00E70644">
        <w:rPr>
          <w:rFonts w:ascii="Times New Roman" w:hAnsi="Times New Roman"/>
        </w:rPr>
        <w:t>. The amount of credit that may be claimed under this section is equal to the lesser of the following:</w:t>
      </w:r>
    </w:p>
    <w:p w14:paraId="30888FED" w14:textId="77777777" w:rsidR="00F42B36" w:rsidRDefault="00F42B36" w:rsidP="00EE63D6">
      <w:pPr>
        <w:ind w:left="720" w:right="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93C30">
        <w:rPr>
          <w:rFonts w:ascii="Times New Roman" w:hAnsi="Times New Roman"/>
        </w:rPr>
        <w:t>Amount</w:t>
      </w:r>
      <w:r>
        <w:rPr>
          <w:rFonts w:ascii="Times New Roman" w:hAnsi="Times New Roman"/>
        </w:rPr>
        <w:t xml:space="preserve"> of excise tax </w:t>
      </w:r>
      <w:r w:rsidR="00393C30">
        <w:rPr>
          <w:rFonts w:ascii="Times New Roman" w:hAnsi="Times New Roman"/>
        </w:rPr>
        <w:t>imposed by IC 6-6-5-5</w:t>
      </w:r>
      <w:r>
        <w:rPr>
          <w:rFonts w:ascii="Times New Roman" w:hAnsi="Times New Roman"/>
        </w:rPr>
        <w:t xml:space="preserve"> </w:t>
      </w:r>
    </w:p>
    <w:p w14:paraId="02064BB2" w14:textId="77777777" w:rsidR="00F42B36" w:rsidRDefault="00F42B36" w:rsidP="00EE63D6">
      <w:pPr>
        <w:ind w:left="720" w:right="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93C30">
        <w:rPr>
          <w:rFonts w:ascii="Times New Roman" w:hAnsi="Times New Roman"/>
        </w:rPr>
        <w:t>Seventy dollars (</w:t>
      </w:r>
      <w:r>
        <w:rPr>
          <w:rFonts w:ascii="Times New Roman" w:hAnsi="Times New Roman"/>
        </w:rPr>
        <w:t>$70</w:t>
      </w:r>
      <w:r w:rsidR="00393C30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</w:p>
    <w:p w14:paraId="4692A1E9" w14:textId="77777777" w:rsidR="00F42B36" w:rsidRPr="007139C3" w:rsidRDefault="00F42B36" w:rsidP="00EE63D6">
      <w:pPr>
        <w:ind w:left="720" w:right="900"/>
        <w:rPr>
          <w:rFonts w:ascii="Times New Roman" w:hAnsi="Times New Roman"/>
        </w:rPr>
      </w:pPr>
      <w:r>
        <w:rPr>
          <w:rFonts w:ascii="Times New Roman" w:hAnsi="Times New Roman"/>
        </w:rPr>
        <w:t>For up to two (2) vehicles as per IC 6-6-5-5.2</w:t>
      </w:r>
    </w:p>
    <w:p w14:paraId="025A54F9" w14:textId="77777777" w:rsidR="00901142" w:rsidRPr="007139C3" w:rsidRDefault="00901142" w:rsidP="00EE63D6">
      <w:pPr>
        <w:ind w:left="720" w:right="900"/>
        <w:rPr>
          <w:rFonts w:ascii="Times New Roman" w:hAnsi="Times New Roman"/>
        </w:rPr>
      </w:pPr>
    </w:p>
    <w:p w14:paraId="5E7A7918" w14:textId="77777777" w:rsidR="00901142" w:rsidRPr="007139C3" w:rsidRDefault="00C91568" w:rsidP="00EE63D6">
      <w:pPr>
        <w:ind w:left="720" w:right="900"/>
        <w:rPr>
          <w:rFonts w:ascii="Times New Roman" w:hAnsi="Times New Roman"/>
        </w:rPr>
      </w:pPr>
      <w:r w:rsidRPr="007139C3">
        <w:rPr>
          <w:rFonts w:ascii="Times New Roman" w:hAnsi="Times New Roman"/>
        </w:rPr>
        <w:t>Should</w:t>
      </w:r>
      <w:r w:rsidR="00901142" w:rsidRPr="007139C3">
        <w:rPr>
          <w:rFonts w:ascii="Times New Roman" w:hAnsi="Times New Roman"/>
        </w:rPr>
        <w:t xml:space="preserve"> you have any questions concerning </w:t>
      </w:r>
      <w:r w:rsidR="00912C58">
        <w:rPr>
          <w:rFonts w:ascii="Times New Roman" w:hAnsi="Times New Roman"/>
        </w:rPr>
        <w:t>eligibility</w:t>
      </w:r>
      <w:r w:rsidR="00901142" w:rsidRPr="007139C3">
        <w:rPr>
          <w:rFonts w:ascii="Times New Roman" w:hAnsi="Times New Roman"/>
        </w:rPr>
        <w:t>, do not hesitate to contact us at our t</w:t>
      </w:r>
      <w:r w:rsidR="00C929C4">
        <w:rPr>
          <w:rFonts w:ascii="Times New Roman" w:hAnsi="Times New Roman"/>
        </w:rPr>
        <w:t>oll-free number, 1-800-400-4520 or contact your local County Veteran Service Officer.</w:t>
      </w:r>
    </w:p>
    <w:p w14:paraId="1B84871C" w14:textId="77777777" w:rsidR="00901142" w:rsidRPr="007139C3" w:rsidRDefault="00901142" w:rsidP="00EE63D6">
      <w:pPr>
        <w:ind w:left="720" w:right="900"/>
        <w:rPr>
          <w:rFonts w:ascii="Times New Roman" w:hAnsi="Times New Roman"/>
        </w:rPr>
      </w:pPr>
    </w:p>
    <w:p w14:paraId="463FEB2E" w14:textId="77777777" w:rsidR="00774D50" w:rsidRDefault="00774D50" w:rsidP="00774D50">
      <w:pPr>
        <w:ind w:left="720" w:right="900"/>
        <w:rPr>
          <w:rFonts w:ascii="Times New Roman" w:hAnsi="Times New Roman"/>
        </w:rPr>
      </w:pPr>
      <w:r w:rsidRPr="004317D4">
        <w:rPr>
          <w:rFonts w:ascii="Times New Roman" w:hAnsi="Times New Roman"/>
        </w:rPr>
        <w:t>Sincerely,</w:t>
      </w:r>
    </w:p>
    <w:p w14:paraId="1D2E0B6B" w14:textId="77777777" w:rsidR="00152564" w:rsidRDefault="00152564" w:rsidP="00774D50">
      <w:pPr>
        <w:ind w:left="720" w:right="900"/>
        <w:rPr>
          <w:rFonts w:ascii="Times New Roman" w:hAnsi="Times New Roman"/>
        </w:rPr>
      </w:pPr>
    </w:p>
    <w:p w14:paraId="0A78DB32" w14:textId="77777777" w:rsidR="00486E95" w:rsidRDefault="00152564" w:rsidP="00486E95">
      <w:pPr>
        <w:ind w:left="720" w:right="900"/>
        <w:rPr>
          <w:rFonts w:ascii="Times New Roman" w:hAnsi="Times New Roman"/>
        </w:rPr>
      </w:pPr>
      <w:r>
        <w:rPr>
          <w:rFonts w:ascii="Times New Roman" w:hAnsi="Times New Roman"/>
        </w:rPr>
        <w:t>Indiana Department of Veterans’ Affairs</w:t>
      </w:r>
    </w:p>
    <w:sectPr w:rsidR="00486E95" w:rsidSect="001539E7">
      <w:headerReference w:type="default" r:id="rId6"/>
      <w:footerReference w:type="default" r:id="rId7"/>
      <w:type w:val="continuous"/>
      <w:pgSz w:w="12240" w:h="15840" w:code="1"/>
      <w:pgMar w:top="2970" w:right="720" w:bottom="1080" w:left="547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9D5A3" w14:textId="77777777" w:rsidR="00471114" w:rsidRDefault="00471114">
      <w:r>
        <w:separator/>
      </w:r>
    </w:p>
  </w:endnote>
  <w:endnote w:type="continuationSeparator" w:id="0">
    <w:p w14:paraId="022E1708" w14:textId="77777777" w:rsidR="00471114" w:rsidRDefault="0047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52E4E" w14:textId="77777777" w:rsidR="00471114" w:rsidRDefault="00471114">
    <w:pPr>
      <w:pStyle w:val="Header"/>
      <w:pBdr>
        <w:bottom w:val="single" w:sz="6" w:space="1" w:color="auto"/>
      </w:pBdr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075E3E15" w14:textId="77777777" w:rsidR="00471114" w:rsidRDefault="00471114">
    <w:pPr>
      <w:pStyle w:val="Header"/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458053A4" w14:textId="77777777" w:rsidR="00471114" w:rsidRDefault="00471114">
    <w:pPr>
      <w:pStyle w:val="Footer"/>
    </w:pPr>
    <w:r>
      <w:rPr>
        <w:rFonts w:ascii="Arial Narrow" w:hAnsi="Arial Narrow"/>
        <w:sz w:val="19"/>
      </w:rPr>
      <w:t xml:space="preserve">Phone: (317) 232-3910, Toll-Free (800) 400-4520 </w:t>
    </w:r>
    <w:r>
      <w:rPr>
        <w:sz w:val="18"/>
      </w:rPr>
      <w:t xml:space="preserve">• </w:t>
    </w:r>
    <w:r>
      <w:rPr>
        <w:rFonts w:ascii="Arial Narrow" w:hAnsi="Arial Narrow"/>
        <w:sz w:val="19"/>
      </w:rPr>
      <w:t>Fax: (317) 232-7721                                                                           Website Address: www.in.gov/dva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DC00A" w14:textId="77777777" w:rsidR="00471114" w:rsidRDefault="00471114">
      <w:r>
        <w:separator/>
      </w:r>
    </w:p>
  </w:footnote>
  <w:footnote w:type="continuationSeparator" w:id="0">
    <w:p w14:paraId="6CF29283" w14:textId="77777777" w:rsidR="00471114" w:rsidRDefault="00471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000" w:firstRow="0" w:lastRow="0" w:firstColumn="0" w:lastColumn="0" w:noHBand="0" w:noVBand="0"/>
    </w:tblPr>
    <w:tblGrid>
      <w:gridCol w:w="4428"/>
      <w:gridCol w:w="3240"/>
      <w:gridCol w:w="3420"/>
    </w:tblGrid>
    <w:tr w:rsidR="00471114" w14:paraId="1CD7B7A4" w14:textId="77777777">
      <w:tc>
        <w:tcPr>
          <w:tcW w:w="4428" w:type="dxa"/>
        </w:tcPr>
        <w:p w14:paraId="62C81D2F" w14:textId="77777777" w:rsidR="00471114" w:rsidRDefault="00471114">
          <w:pPr>
            <w:pStyle w:val="Header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321477F4" w14:textId="77777777" w:rsidR="00471114" w:rsidRDefault="00471114">
          <w:pPr>
            <w:pStyle w:val="Header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564AAA59" w14:textId="77777777" w:rsidR="00471114" w:rsidRPr="006A4D84" w:rsidRDefault="00471114">
          <w:pPr>
            <w:pStyle w:val="Header"/>
            <w:jc w:val="center"/>
            <w:rPr>
              <w:rFonts w:ascii="Times New Roman" w:hAnsi="Times New Roman"/>
              <w:b/>
              <w:bCs/>
              <w:sz w:val="44"/>
              <w:szCs w:val="44"/>
              <w:u w:val="single"/>
            </w:rPr>
          </w:pPr>
          <w:r w:rsidRPr="006A4D84">
            <w:rPr>
              <w:rFonts w:ascii="Times New Roman" w:hAnsi="Times New Roman"/>
              <w:b/>
              <w:bCs/>
              <w:sz w:val="44"/>
              <w:szCs w:val="44"/>
              <w:u w:val="single"/>
            </w:rPr>
            <w:t>STATE OF INDIANA</w:t>
          </w:r>
        </w:p>
        <w:p w14:paraId="097608F4" w14:textId="77777777" w:rsidR="00471114" w:rsidRPr="006A4D84" w:rsidRDefault="00471114">
          <w:pPr>
            <w:rPr>
              <w:rFonts w:ascii="Times New Roman" w:hAnsi="Times New Roman"/>
              <w:b/>
              <w:bCs/>
              <w:sz w:val="21"/>
            </w:rPr>
          </w:pPr>
          <w:r w:rsidRPr="006A4D84">
            <w:rPr>
              <w:rFonts w:ascii="Times New Roman" w:hAnsi="Times New Roman"/>
              <w:sz w:val="18"/>
            </w:rPr>
            <w:t xml:space="preserve">    </w:t>
          </w:r>
          <w:r w:rsidRPr="006A4D84">
            <w:rPr>
              <w:rFonts w:ascii="Times New Roman" w:hAnsi="Times New Roman"/>
              <w:b/>
              <w:bCs/>
              <w:sz w:val="21"/>
            </w:rPr>
            <w:t>DEPARTMENT OF VETERANS AFFAIRS</w:t>
          </w:r>
        </w:p>
        <w:p w14:paraId="10422C58" w14:textId="7AF588DA" w:rsidR="00471114" w:rsidRPr="006A4D84" w:rsidRDefault="00471114">
          <w:pPr>
            <w:rPr>
              <w:rFonts w:ascii="Times New Roman" w:hAnsi="Times New Roman"/>
              <w:sz w:val="18"/>
            </w:rPr>
          </w:pPr>
          <w:r w:rsidRPr="006A4D84">
            <w:rPr>
              <w:rFonts w:ascii="Times New Roman" w:hAnsi="Times New Roman"/>
              <w:sz w:val="18"/>
            </w:rPr>
            <w:t xml:space="preserve">    </w:t>
          </w:r>
          <w:r w:rsidR="00CC76E0" w:rsidRPr="00CC76E0">
            <w:rPr>
              <w:rFonts w:ascii="Times New Roman" w:hAnsi="Times New Roman"/>
              <w:sz w:val="18"/>
            </w:rPr>
            <w:t>7</w:t>
          </w:r>
          <w:r w:rsidR="00CC76E0">
            <w:rPr>
              <w:rFonts w:ascii="Times New Roman" w:hAnsi="Times New Roman"/>
              <w:sz w:val="18"/>
            </w:rPr>
            <w:t>77 NORTH MERIDIAN STREET   SUITE 300</w:t>
          </w:r>
        </w:p>
        <w:p w14:paraId="55ABEC2E" w14:textId="3F39B935" w:rsidR="00471114" w:rsidRPr="006A4D84" w:rsidRDefault="00471114">
          <w:pPr>
            <w:rPr>
              <w:rFonts w:ascii="Times New Roman" w:hAnsi="Times New Roman"/>
              <w:sz w:val="18"/>
            </w:rPr>
          </w:pPr>
          <w:r w:rsidRPr="006A4D84">
            <w:rPr>
              <w:rFonts w:ascii="Times New Roman" w:hAnsi="Times New Roman"/>
              <w:sz w:val="18"/>
            </w:rPr>
            <w:t xml:space="preserve">    INDIANAPOLIS, INDIANA 46204</w:t>
          </w:r>
        </w:p>
        <w:p w14:paraId="3F90941A" w14:textId="77777777" w:rsidR="00471114" w:rsidRDefault="00471114">
          <w:pPr>
            <w:rPr>
              <w:sz w:val="18"/>
            </w:rPr>
          </w:pPr>
          <w:r>
            <w:rPr>
              <w:sz w:val="18"/>
            </w:rPr>
            <w:t xml:space="preserve">    </w:t>
          </w:r>
        </w:p>
        <w:p w14:paraId="288E78CC" w14:textId="77777777" w:rsidR="00471114" w:rsidRDefault="00471114">
          <w:pPr>
            <w:rPr>
              <w:sz w:val="18"/>
            </w:rPr>
          </w:pPr>
        </w:p>
      </w:tc>
      <w:tc>
        <w:tcPr>
          <w:tcW w:w="3240" w:type="dxa"/>
        </w:tcPr>
        <w:p w14:paraId="7CBCEB4B" w14:textId="77777777" w:rsidR="00471114" w:rsidRDefault="00471114" w:rsidP="00B41C3C">
          <w:pPr>
            <w:pStyle w:val="Header"/>
            <w:rPr>
              <w:color w:val="0000FF"/>
              <w:sz w:val="50"/>
            </w:rPr>
          </w:pPr>
          <w:r>
            <w:rPr>
              <w:color w:val="0000FF"/>
            </w:rPr>
            <w:t xml:space="preserve">     </w:t>
          </w:r>
          <w:r>
            <w:rPr>
              <w:noProof/>
              <w:color w:val="0000FF"/>
            </w:rPr>
            <w:drawing>
              <wp:inline distT="0" distB="0" distL="0" distR="0" wp14:anchorId="2AA1401B" wp14:editId="0725194A">
                <wp:extent cx="1145540" cy="1631315"/>
                <wp:effectExtent l="19050" t="0" r="0" b="0"/>
                <wp:docPr id="8" name="Picture 8" descr="IDVA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DVA 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5540" cy="163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</w:tcPr>
        <w:p w14:paraId="769B9D7F" w14:textId="77777777" w:rsidR="00471114" w:rsidRDefault="00471114">
          <w:pPr>
            <w:pStyle w:val="Header"/>
            <w:jc w:val="center"/>
            <w:rPr>
              <w:rFonts w:ascii="Arial Narrow" w:hAnsi="Arial Narrow"/>
              <w:b/>
              <w:bCs/>
              <w:sz w:val="19"/>
            </w:rPr>
          </w:pPr>
        </w:p>
        <w:p w14:paraId="4AF5F7B7" w14:textId="77777777" w:rsidR="00471114" w:rsidRDefault="00471114">
          <w:pPr>
            <w:pStyle w:val="Header"/>
            <w:jc w:val="center"/>
            <w:rPr>
              <w:rFonts w:ascii="Arial Narrow" w:hAnsi="Arial Narrow"/>
              <w:b/>
              <w:bCs/>
              <w:sz w:val="19"/>
            </w:rPr>
          </w:pPr>
        </w:p>
        <w:p w14:paraId="592CF495" w14:textId="77777777" w:rsidR="00471114" w:rsidRDefault="00471114">
          <w:pPr>
            <w:pStyle w:val="Header"/>
            <w:jc w:val="center"/>
            <w:rPr>
              <w:rFonts w:ascii="Arial Narrow" w:hAnsi="Arial Narrow"/>
              <w:b/>
              <w:bCs/>
              <w:sz w:val="19"/>
            </w:rPr>
          </w:pPr>
        </w:p>
        <w:p w14:paraId="2CAFCE73" w14:textId="77777777" w:rsidR="00471114" w:rsidRDefault="00471114">
          <w:pPr>
            <w:pStyle w:val="Header"/>
            <w:jc w:val="center"/>
            <w:rPr>
              <w:rFonts w:ascii="Arial Narrow" w:hAnsi="Arial Narrow"/>
              <w:b/>
              <w:bCs/>
              <w:sz w:val="19"/>
            </w:rPr>
          </w:pPr>
        </w:p>
        <w:p w14:paraId="6F8FCED7" w14:textId="77777777" w:rsidR="00471114" w:rsidRDefault="00471114">
          <w:pPr>
            <w:pStyle w:val="Header"/>
            <w:jc w:val="center"/>
            <w:rPr>
              <w:rFonts w:ascii="Arial Narrow" w:hAnsi="Arial Narrow"/>
              <w:b/>
              <w:bCs/>
              <w:sz w:val="19"/>
            </w:rPr>
          </w:pPr>
        </w:p>
        <w:p w14:paraId="7AFF0FBA" w14:textId="77777777" w:rsidR="00471114" w:rsidRPr="006A4D84" w:rsidRDefault="008B19B5" w:rsidP="00243D46">
          <w:pPr>
            <w:pStyle w:val="Header"/>
            <w:pBdr>
              <w:bottom w:val="single" w:sz="6" w:space="1" w:color="auto"/>
            </w:pBdr>
            <w:rPr>
              <w:rFonts w:ascii="Times New Roman" w:hAnsi="Times New Roman"/>
              <w:b/>
              <w:bCs/>
              <w:sz w:val="19"/>
            </w:rPr>
          </w:pPr>
          <w:r>
            <w:rPr>
              <w:rFonts w:ascii="Times New Roman" w:hAnsi="Times New Roman"/>
              <w:sz w:val="18"/>
            </w:rPr>
            <w:t>Eric J. Holcomb</w:t>
          </w:r>
          <w:r w:rsidR="00471114" w:rsidRPr="006A4D84">
            <w:rPr>
              <w:rFonts w:ascii="Times New Roman" w:hAnsi="Times New Roman"/>
              <w:sz w:val="18"/>
            </w:rPr>
            <w:t>,  Governor</w:t>
          </w:r>
        </w:p>
        <w:p w14:paraId="260B5C11" w14:textId="77777777" w:rsidR="00471114" w:rsidRPr="00243D46" w:rsidRDefault="00A97D06" w:rsidP="00243D46">
          <w:pPr>
            <w:pStyle w:val="Header"/>
            <w:rPr>
              <w:rFonts w:ascii="Univers" w:hAnsi="Univers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Dennis A. Wimer</w:t>
          </w:r>
          <w:r w:rsidR="00471114" w:rsidRPr="006A4D84">
            <w:rPr>
              <w:rFonts w:ascii="Times New Roman" w:hAnsi="Times New Roman"/>
              <w:sz w:val="18"/>
              <w:szCs w:val="18"/>
            </w:rPr>
            <w:t xml:space="preserve">, Director      </w:t>
          </w:r>
          <w:r w:rsidR="00471114" w:rsidRPr="00243D46">
            <w:rPr>
              <w:rFonts w:ascii="Univers" w:hAnsi="Univers"/>
              <w:sz w:val="18"/>
              <w:szCs w:val="18"/>
            </w:rPr>
            <w:t xml:space="preserve">                    </w:t>
          </w:r>
        </w:p>
      </w:tc>
    </w:tr>
  </w:tbl>
  <w:p w14:paraId="1AACE2A6" w14:textId="77777777" w:rsidR="00471114" w:rsidRDefault="00471114">
    <w:pPr>
      <w:pStyle w:val="Head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D46"/>
    <w:rsid w:val="000158A6"/>
    <w:rsid w:val="00060DFE"/>
    <w:rsid w:val="00061188"/>
    <w:rsid w:val="000813B0"/>
    <w:rsid w:val="000A5D39"/>
    <w:rsid w:val="0010393D"/>
    <w:rsid w:val="00116B0F"/>
    <w:rsid w:val="00132540"/>
    <w:rsid w:val="00147294"/>
    <w:rsid w:val="00152564"/>
    <w:rsid w:val="001539E7"/>
    <w:rsid w:val="0016112D"/>
    <w:rsid w:val="0017665F"/>
    <w:rsid w:val="0018775C"/>
    <w:rsid w:val="00190CF0"/>
    <w:rsid w:val="001A6E69"/>
    <w:rsid w:val="001C18F0"/>
    <w:rsid w:val="001D2086"/>
    <w:rsid w:val="00210F7B"/>
    <w:rsid w:val="00215DA1"/>
    <w:rsid w:val="002244AF"/>
    <w:rsid w:val="00243D46"/>
    <w:rsid w:val="002544CE"/>
    <w:rsid w:val="00254D59"/>
    <w:rsid w:val="002575BA"/>
    <w:rsid w:val="002862F8"/>
    <w:rsid w:val="002925E7"/>
    <w:rsid w:val="002C611E"/>
    <w:rsid w:val="002D5A0C"/>
    <w:rsid w:val="003206E7"/>
    <w:rsid w:val="00324EFB"/>
    <w:rsid w:val="00362C73"/>
    <w:rsid w:val="00376F50"/>
    <w:rsid w:val="00386CE3"/>
    <w:rsid w:val="00393C30"/>
    <w:rsid w:val="003A1670"/>
    <w:rsid w:val="003B1795"/>
    <w:rsid w:val="003E3271"/>
    <w:rsid w:val="004318D7"/>
    <w:rsid w:val="00440FBB"/>
    <w:rsid w:val="004462CB"/>
    <w:rsid w:val="00471114"/>
    <w:rsid w:val="004807D9"/>
    <w:rsid w:val="00482DB0"/>
    <w:rsid w:val="00486E95"/>
    <w:rsid w:val="00497498"/>
    <w:rsid w:val="004E068A"/>
    <w:rsid w:val="004F0EDA"/>
    <w:rsid w:val="005464F3"/>
    <w:rsid w:val="00553FD0"/>
    <w:rsid w:val="00587DD2"/>
    <w:rsid w:val="005B5282"/>
    <w:rsid w:val="005D14EE"/>
    <w:rsid w:val="005F2939"/>
    <w:rsid w:val="005F4E71"/>
    <w:rsid w:val="006278DF"/>
    <w:rsid w:val="00627924"/>
    <w:rsid w:val="00641522"/>
    <w:rsid w:val="006A4D84"/>
    <w:rsid w:val="006B753B"/>
    <w:rsid w:val="006C4C66"/>
    <w:rsid w:val="00701B16"/>
    <w:rsid w:val="007139C3"/>
    <w:rsid w:val="007744F3"/>
    <w:rsid w:val="00774D50"/>
    <w:rsid w:val="00786934"/>
    <w:rsid w:val="007B0138"/>
    <w:rsid w:val="007C7BA5"/>
    <w:rsid w:val="007D3483"/>
    <w:rsid w:val="007D64D9"/>
    <w:rsid w:val="007F4322"/>
    <w:rsid w:val="00810BC6"/>
    <w:rsid w:val="00835A41"/>
    <w:rsid w:val="0083719F"/>
    <w:rsid w:val="00842159"/>
    <w:rsid w:val="00847DFA"/>
    <w:rsid w:val="0086234F"/>
    <w:rsid w:val="00871CCB"/>
    <w:rsid w:val="0089028D"/>
    <w:rsid w:val="008A0421"/>
    <w:rsid w:val="008B10C1"/>
    <w:rsid w:val="008B19B5"/>
    <w:rsid w:val="00901142"/>
    <w:rsid w:val="00902145"/>
    <w:rsid w:val="00912C58"/>
    <w:rsid w:val="009160C1"/>
    <w:rsid w:val="00947F4D"/>
    <w:rsid w:val="009755FA"/>
    <w:rsid w:val="00982AF9"/>
    <w:rsid w:val="009A45CC"/>
    <w:rsid w:val="009A4FB7"/>
    <w:rsid w:val="009B3012"/>
    <w:rsid w:val="009B6199"/>
    <w:rsid w:val="009C260B"/>
    <w:rsid w:val="009D2E55"/>
    <w:rsid w:val="009E4DB4"/>
    <w:rsid w:val="00A336A5"/>
    <w:rsid w:val="00A87CEA"/>
    <w:rsid w:val="00A9712A"/>
    <w:rsid w:val="00A97D06"/>
    <w:rsid w:val="00AB2A52"/>
    <w:rsid w:val="00AC204C"/>
    <w:rsid w:val="00AC4AC2"/>
    <w:rsid w:val="00B1192A"/>
    <w:rsid w:val="00B228FF"/>
    <w:rsid w:val="00B352F5"/>
    <w:rsid w:val="00B41C3C"/>
    <w:rsid w:val="00B9442E"/>
    <w:rsid w:val="00C0525A"/>
    <w:rsid w:val="00C37EDA"/>
    <w:rsid w:val="00C735F9"/>
    <w:rsid w:val="00C85E02"/>
    <w:rsid w:val="00C91568"/>
    <w:rsid w:val="00C929C4"/>
    <w:rsid w:val="00C93919"/>
    <w:rsid w:val="00CA0A04"/>
    <w:rsid w:val="00CA6993"/>
    <w:rsid w:val="00CC29E3"/>
    <w:rsid w:val="00CC76E0"/>
    <w:rsid w:val="00D30500"/>
    <w:rsid w:val="00D42B91"/>
    <w:rsid w:val="00D5627E"/>
    <w:rsid w:val="00D864BA"/>
    <w:rsid w:val="00D944EA"/>
    <w:rsid w:val="00DA7624"/>
    <w:rsid w:val="00DB0D05"/>
    <w:rsid w:val="00E03333"/>
    <w:rsid w:val="00E21B91"/>
    <w:rsid w:val="00E3323D"/>
    <w:rsid w:val="00E350F5"/>
    <w:rsid w:val="00E412A6"/>
    <w:rsid w:val="00E64578"/>
    <w:rsid w:val="00E665DA"/>
    <w:rsid w:val="00E70644"/>
    <w:rsid w:val="00E73173"/>
    <w:rsid w:val="00EB4019"/>
    <w:rsid w:val="00EB4FA2"/>
    <w:rsid w:val="00EB67C2"/>
    <w:rsid w:val="00EE63D6"/>
    <w:rsid w:val="00EF3868"/>
    <w:rsid w:val="00F41D3C"/>
    <w:rsid w:val="00F42B36"/>
    <w:rsid w:val="00F526B0"/>
    <w:rsid w:val="00F54F80"/>
    <w:rsid w:val="00F64C65"/>
    <w:rsid w:val="00F7368E"/>
    <w:rsid w:val="00F9133C"/>
    <w:rsid w:val="00F97DA4"/>
    <w:rsid w:val="00FC58E8"/>
    <w:rsid w:val="00FE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20426A41"/>
  <w15:docId w15:val="{7E34E8BB-AE79-439C-8C86-E03AEE63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CE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A87CEA"/>
    <w:pPr>
      <w:keepNext/>
      <w:outlineLvl w:val="0"/>
    </w:pPr>
    <w:rPr>
      <w:rFonts w:ascii="Arial Narrow" w:hAnsi="Arial Narrow"/>
      <w:b/>
      <w:bCs/>
      <w:sz w:val="50"/>
      <w:u w:val="single"/>
    </w:rPr>
  </w:style>
  <w:style w:type="paragraph" w:styleId="Heading2">
    <w:name w:val="heading 2"/>
    <w:basedOn w:val="Normal"/>
    <w:next w:val="Normal"/>
    <w:qFormat/>
    <w:rsid w:val="00A87CEA"/>
    <w:pPr>
      <w:keepNext/>
      <w:keepLines/>
      <w:framePr w:w="10901" w:h="522" w:hRule="exact" w:wrap="around" w:vAnchor="page" w:hAnchor="page" w:x="597" w:y="14719"/>
      <w:tabs>
        <w:tab w:val="left" w:pos="32"/>
      </w:tabs>
      <w:outlineLvl w:val="1"/>
    </w:pPr>
    <w:rPr>
      <w:rFonts w:ascii="Arial Narrow" w:hAnsi="Arial Narrow"/>
      <w:b/>
      <w:bCs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7C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7CE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318D7"/>
    <w:rPr>
      <w:color w:val="0000FF"/>
      <w:u w:val="single"/>
    </w:rPr>
  </w:style>
  <w:style w:type="character" w:styleId="FollowedHyperlink">
    <w:name w:val="FollowedHyperlink"/>
    <w:basedOn w:val="DefaultParagraphFont"/>
    <w:rsid w:val="004318D7"/>
    <w:rPr>
      <w:color w:val="800080"/>
      <w:u w:val="single"/>
    </w:rPr>
  </w:style>
  <w:style w:type="paragraph" w:styleId="BalloonText">
    <w:name w:val="Balloon Text"/>
    <w:basedOn w:val="Normal"/>
    <w:semiHidden/>
    <w:rsid w:val="003E3271"/>
    <w:rPr>
      <w:rFonts w:ascii="Tahoma" w:hAnsi="Tahoma" w:cs="Tahoma"/>
      <w:sz w:val="16"/>
      <w:szCs w:val="16"/>
    </w:rPr>
  </w:style>
  <w:style w:type="paragraph" w:customStyle="1" w:styleId="type3">
    <w:name w:val="type3"/>
    <w:basedOn w:val="Normal"/>
    <w:rsid w:val="0018775C"/>
    <w:pPr>
      <w:spacing w:before="13" w:after="26"/>
    </w:pPr>
    <w:rPr>
      <w:rFonts w:ascii="inherit" w:hAnsi="inherit"/>
      <w:vanish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1E5192"/>
                    <w:bottom w:val="single" w:sz="4" w:space="0" w:color="1E5192"/>
                    <w:right w:val="single" w:sz="4" w:space="0" w:color="1E5192"/>
                  </w:divBdr>
                  <w:divsChild>
                    <w:div w:id="324894642">
                      <w:marLeft w:val="167"/>
                      <w:marRight w:val="167"/>
                      <w:marTop w:val="103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0488">
                                  <w:marLeft w:val="0"/>
                                  <w:marRight w:val="12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ACCEE"/>
                                        <w:left w:val="single" w:sz="4" w:space="0" w:color="AACCEE"/>
                                        <w:bottom w:val="single" w:sz="4" w:space="0" w:color="AACCEE"/>
                                        <w:right w:val="single" w:sz="4" w:space="0" w:color="AACCEE"/>
                                      </w:divBdr>
                                      <w:divsChild>
                                        <w:div w:id="179556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7E7E7"/>
                                            <w:left w:val="none" w:sz="0" w:space="0" w:color="E7E7E7"/>
                                            <w:bottom w:val="none" w:sz="0" w:space="0" w:color="E7E7E7"/>
                                            <w:right w:val="none" w:sz="0" w:space="0" w:color="E7E7E7"/>
                                          </w:divBdr>
                                          <w:divsChild>
                                            <w:div w:id="200940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0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6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19, 2003</vt:lpstr>
    </vt:vector>
  </TitlesOfParts>
  <Company>DVA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19, 2003</dc:title>
  <dc:creator>tapplegate</dc:creator>
  <cp:lastModifiedBy>Dyke, Timothy E</cp:lastModifiedBy>
  <cp:revision>25</cp:revision>
  <cp:lastPrinted>2020-02-25T20:25:00Z</cp:lastPrinted>
  <dcterms:created xsi:type="dcterms:W3CDTF">2015-07-07T16:12:00Z</dcterms:created>
  <dcterms:modified xsi:type="dcterms:W3CDTF">2020-09-04T17:25:00Z</dcterms:modified>
</cp:coreProperties>
</file>