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0C39C" w14:textId="01051BF6" w:rsidR="00292B9D" w:rsidRPr="00C12C8E" w:rsidRDefault="00D14305" w:rsidP="00D14305">
      <w:pPr>
        <w:jc w:val="center"/>
        <w:rPr>
          <w:b/>
          <w:bCs/>
          <w:i/>
          <w:iCs/>
          <w:u w:val="single"/>
        </w:rPr>
      </w:pPr>
      <w:bookmarkStart w:id="0" w:name="_GoBack"/>
      <w:bookmarkEnd w:id="0"/>
      <w:r w:rsidRPr="00C12C8E">
        <w:rPr>
          <w:b/>
          <w:bCs/>
          <w:i/>
          <w:iCs/>
          <w:u w:val="single"/>
        </w:rPr>
        <w:t>Appeals Briefing</w:t>
      </w:r>
    </w:p>
    <w:p w14:paraId="3C0E5E45" w14:textId="7C0CD8DC" w:rsidR="00D14305" w:rsidRPr="00BA4B2F" w:rsidRDefault="00D14305" w:rsidP="00D14305">
      <w:pPr>
        <w:jc w:val="center"/>
        <w:rPr>
          <w:i/>
          <w:iCs/>
          <w:u w:val="single"/>
        </w:rPr>
      </w:pPr>
    </w:p>
    <w:p w14:paraId="3405E67C" w14:textId="6D61BF39" w:rsidR="00D14305" w:rsidRPr="00BA4B2F" w:rsidRDefault="00D14305" w:rsidP="00D14305">
      <w:pPr>
        <w:rPr>
          <w:rFonts w:eastAsia="Times New Roman"/>
          <w:i/>
          <w:iCs/>
        </w:rPr>
      </w:pPr>
      <w:r w:rsidRPr="00BA4B2F">
        <w:rPr>
          <w:b/>
          <w:bCs/>
          <w:i/>
          <w:iCs/>
        </w:rPr>
        <w:t>Question</w:t>
      </w:r>
      <w:r w:rsidR="00BA4B2F" w:rsidRPr="00BA4B2F">
        <w:rPr>
          <w:b/>
          <w:bCs/>
          <w:i/>
          <w:iCs/>
        </w:rPr>
        <w:t xml:space="preserve"> 1</w:t>
      </w:r>
      <w:r w:rsidRPr="00BA4B2F">
        <w:rPr>
          <w:i/>
          <w:iCs/>
        </w:rPr>
        <w:t xml:space="preserve">:  </w:t>
      </w:r>
      <w:r w:rsidRPr="00BA4B2F">
        <w:rPr>
          <w:rFonts w:eastAsia="Times New Roman"/>
          <w:i/>
          <w:iCs/>
        </w:rPr>
        <w:t>When attempting to manage a legacy appeal along with an AMA Appeal (or RAMP opt in), what kind of communication can we expect throughout the process? Who do we reach out to if we have received no communication as to the status of the appeal?</w:t>
      </w:r>
    </w:p>
    <w:p w14:paraId="7E9930FE" w14:textId="00919A64" w:rsidR="00D14305" w:rsidRPr="00BA4B2F" w:rsidRDefault="00D14305" w:rsidP="00D14305">
      <w:pPr>
        <w:rPr>
          <w:rFonts w:eastAsia="Times New Roman"/>
          <w:b/>
          <w:bCs/>
          <w:i/>
          <w:iCs/>
        </w:rPr>
      </w:pPr>
      <w:r w:rsidRPr="00BA4B2F">
        <w:rPr>
          <w:rFonts w:eastAsia="Times New Roman"/>
          <w:b/>
          <w:bCs/>
          <w:i/>
          <w:iCs/>
        </w:rPr>
        <w:t>Answer</w:t>
      </w:r>
      <w:r w:rsidR="00BA4B2F" w:rsidRPr="00BA4B2F">
        <w:rPr>
          <w:rFonts w:eastAsia="Times New Roman"/>
          <w:b/>
          <w:bCs/>
          <w:i/>
          <w:iCs/>
        </w:rPr>
        <w:t xml:space="preserve"> 1</w:t>
      </w:r>
      <w:r w:rsidRPr="00BA4B2F">
        <w:rPr>
          <w:rFonts w:eastAsia="Times New Roman"/>
          <w:b/>
          <w:bCs/>
          <w:i/>
          <w:iCs/>
        </w:rPr>
        <w:t xml:space="preserve">: </w:t>
      </w:r>
      <w:r w:rsidR="004311E5" w:rsidRPr="00BA4B2F">
        <w:rPr>
          <w:rFonts w:eastAsia="Times New Roman"/>
          <w:b/>
          <w:bCs/>
          <w:i/>
          <w:iCs/>
        </w:rPr>
        <w:t xml:space="preserve">Regarding the legacy appeals process, upon receipt of the notice of disagreement an appeals election letter is sent to the Veteran and/or POA. The Veteran has 60 days to elect a DRO or traditional review. If no election is made, a tradition review will automatically be completed. </w:t>
      </w:r>
      <w:r w:rsidR="00AF1EDF">
        <w:rPr>
          <w:rFonts w:eastAsia="Times New Roman"/>
          <w:b/>
          <w:bCs/>
          <w:i/>
          <w:iCs/>
        </w:rPr>
        <w:t>R</w:t>
      </w:r>
      <w:r w:rsidR="004311E5" w:rsidRPr="00BA4B2F">
        <w:rPr>
          <w:rFonts w:eastAsia="Times New Roman"/>
          <w:b/>
          <w:bCs/>
          <w:i/>
          <w:iCs/>
        </w:rPr>
        <w:t xml:space="preserve">ating decisions dated February 19, 2019 and </w:t>
      </w:r>
      <w:r w:rsidR="00AA069F" w:rsidRPr="00BA4B2F">
        <w:rPr>
          <w:rFonts w:eastAsia="Times New Roman"/>
          <w:b/>
          <w:bCs/>
          <w:i/>
          <w:iCs/>
        </w:rPr>
        <w:t>later include all review options (HLR, supplemental, and NOD to BVA). HLR’s are completed by DROC’s only; supplementals are completed at Regional Offices; NOD’s are accepted by BVA only.</w:t>
      </w:r>
    </w:p>
    <w:p w14:paraId="56662702" w14:textId="5A680458" w:rsidR="004311E5" w:rsidRPr="00BA4B2F" w:rsidRDefault="004311E5" w:rsidP="00D14305">
      <w:pPr>
        <w:rPr>
          <w:rFonts w:eastAsia="Times New Roman"/>
          <w:b/>
          <w:bCs/>
          <w:i/>
          <w:iCs/>
        </w:rPr>
      </w:pPr>
      <w:r w:rsidRPr="00BA4B2F">
        <w:rPr>
          <w:rFonts w:eastAsia="Times New Roman"/>
          <w:b/>
          <w:bCs/>
          <w:i/>
          <w:iCs/>
        </w:rPr>
        <w:t>The RAMP program has now concluded</w:t>
      </w:r>
      <w:r w:rsidR="002C4747">
        <w:rPr>
          <w:rFonts w:eastAsia="Times New Roman"/>
          <w:b/>
          <w:bCs/>
          <w:i/>
          <w:iCs/>
        </w:rPr>
        <w:t>;</w:t>
      </w:r>
      <w:r w:rsidRPr="00BA4B2F">
        <w:rPr>
          <w:rFonts w:eastAsia="Times New Roman"/>
          <w:b/>
          <w:bCs/>
          <w:i/>
          <w:iCs/>
        </w:rPr>
        <w:t xml:space="preserve"> there is no RAMP opt in. </w:t>
      </w:r>
    </w:p>
    <w:p w14:paraId="4D78D8CB" w14:textId="059E83CF" w:rsidR="00D14305" w:rsidRPr="00BA4B2F" w:rsidRDefault="004311E5" w:rsidP="00D14305">
      <w:pPr>
        <w:rPr>
          <w:rFonts w:eastAsia="Times New Roman"/>
          <w:b/>
          <w:bCs/>
          <w:i/>
          <w:iCs/>
        </w:rPr>
      </w:pPr>
      <w:r w:rsidRPr="00BA4B2F">
        <w:rPr>
          <w:rFonts w:eastAsia="Times New Roman"/>
          <w:b/>
          <w:bCs/>
          <w:i/>
          <w:iCs/>
        </w:rPr>
        <w:t xml:space="preserve">Any appeals related questions may be sent to Lisa McGinnis at </w:t>
      </w:r>
      <w:hyperlink r:id="rId5" w:history="1">
        <w:r w:rsidRPr="00BA4B2F">
          <w:rPr>
            <w:rStyle w:val="Hyperlink"/>
            <w:rFonts w:eastAsia="Times New Roman"/>
            <w:b/>
            <w:bCs/>
            <w:i/>
            <w:iCs/>
          </w:rPr>
          <w:t>lisa.a.mcginnis@va.gov</w:t>
        </w:r>
      </w:hyperlink>
      <w:r w:rsidRPr="00BA4B2F">
        <w:rPr>
          <w:rFonts w:eastAsia="Times New Roman"/>
          <w:b/>
          <w:bCs/>
          <w:i/>
          <w:iCs/>
        </w:rPr>
        <w:t xml:space="preserve"> regardless if they are legacy or AMA related.</w:t>
      </w:r>
    </w:p>
    <w:p w14:paraId="2D335393" w14:textId="77777777" w:rsidR="004311E5" w:rsidRPr="00BA4B2F" w:rsidRDefault="004311E5" w:rsidP="00D14305">
      <w:pPr>
        <w:rPr>
          <w:rFonts w:eastAsia="Times New Roman"/>
          <w:i/>
          <w:iCs/>
        </w:rPr>
      </w:pPr>
    </w:p>
    <w:p w14:paraId="6167F817" w14:textId="07550399" w:rsidR="00D14305" w:rsidRPr="00BA4B2F" w:rsidRDefault="00D14305" w:rsidP="00D14305">
      <w:pPr>
        <w:rPr>
          <w:rFonts w:eastAsia="Times New Roman"/>
          <w:b/>
          <w:bCs/>
          <w:i/>
          <w:iCs/>
        </w:rPr>
      </w:pPr>
      <w:r w:rsidRPr="00BA4B2F">
        <w:rPr>
          <w:rFonts w:eastAsia="Times New Roman"/>
          <w:b/>
          <w:bCs/>
          <w:i/>
          <w:iCs/>
        </w:rPr>
        <w:t>Question</w:t>
      </w:r>
      <w:r w:rsidR="00BA4B2F" w:rsidRPr="00BA4B2F">
        <w:rPr>
          <w:rFonts w:eastAsia="Times New Roman"/>
          <w:b/>
          <w:bCs/>
          <w:i/>
          <w:iCs/>
        </w:rPr>
        <w:t xml:space="preserve"> 2</w:t>
      </w:r>
      <w:r w:rsidRPr="00BA4B2F">
        <w:rPr>
          <w:rFonts w:eastAsia="Times New Roman"/>
          <w:i/>
          <w:iCs/>
        </w:rPr>
        <w:t xml:space="preserve">:  What is needed to grant access to VBMS as a CVSO?  </w:t>
      </w:r>
      <w:r w:rsidRPr="00BA4B2F">
        <w:rPr>
          <w:rFonts w:eastAsia="Times New Roman"/>
          <w:b/>
          <w:bCs/>
          <w:i/>
          <w:iCs/>
        </w:rPr>
        <w:t>KYLE WILL ASSIST WITH THIS ONE.</w:t>
      </w:r>
    </w:p>
    <w:p w14:paraId="087C7519" w14:textId="039200FA" w:rsidR="00D14305" w:rsidRPr="00BA4B2F" w:rsidRDefault="00D14305" w:rsidP="00D14305">
      <w:pPr>
        <w:rPr>
          <w:rFonts w:eastAsia="Times New Roman"/>
          <w:b/>
          <w:bCs/>
          <w:i/>
          <w:iCs/>
        </w:rPr>
      </w:pPr>
      <w:r w:rsidRPr="00BA4B2F">
        <w:rPr>
          <w:rFonts w:eastAsia="Times New Roman"/>
          <w:b/>
          <w:bCs/>
          <w:i/>
          <w:iCs/>
        </w:rPr>
        <w:t>Answer</w:t>
      </w:r>
      <w:r w:rsidR="00BA4B2F" w:rsidRPr="00BA4B2F">
        <w:rPr>
          <w:rFonts w:eastAsia="Times New Roman"/>
          <w:b/>
          <w:bCs/>
          <w:i/>
          <w:iCs/>
        </w:rPr>
        <w:t xml:space="preserve"> 2</w:t>
      </w:r>
      <w:r w:rsidRPr="00BA4B2F">
        <w:rPr>
          <w:rFonts w:eastAsia="Times New Roman"/>
          <w:b/>
          <w:bCs/>
          <w:i/>
          <w:iCs/>
        </w:rPr>
        <w:t xml:space="preserve">: </w:t>
      </w:r>
      <w:r w:rsidR="00AA069F" w:rsidRPr="00BA4B2F">
        <w:rPr>
          <w:b/>
          <w:bCs/>
          <w:i/>
          <w:iCs/>
        </w:rPr>
        <w:t>A CVSO must have a PIV Card, be accredited and complete required training before access to VA systems can be granted. Without any of those items, VA cannot grant access to a VA system based on our information security protocols. Our local VSO liaison that can assist with PIV Cards and access is Kyle Schmidt.</w:t>
      </w:r>
    </w:p>
    <w:p w14:paraId="4E7D7A73" w14:textId="77777777" w:rsidR="00D14305" w:rsidRPr="00BA4B2F" w:rsidRDefault="00D14305" w:rsidP="00D14305">
      <w:pPr>
        <w:rPr>
          <w:rFonts w:eastAsia="Times New Roman"/>
          <w:b/>
          <w:bCs/>
          <w:i/>
          <w:iCs/>
        </w:rPr>
      </w:pPr>
    </w:p>
    <w:p w14:paraId="6CA56A69" w14:textId="077448AC" w:rsidR="00D14305" w:rsidRPr="00BA4B2F" w:rsidRDefault="00D14305" w:rsidP="00D14305">
      <w:pPr>
        <w:rPr>
          <w:rFonts w:eastAsia="Times New Roman"/>
          <w:i/>
          <w:iCs/>
        </w:rPr>
      </w:pPr>
      <w:r w:rsidRPr="00BA4B2F">
        <w:rPr>
          <w:rFonts w:eastAsia="Times New Roman"/>
          <w:b/>
          <w:bCs/>
          <w:i/>
          <w:iCs/>
        </w:rPr>
        <w:t>Question</w:t>
      </w:r>
      <w:r w:rsidR="00BA4B2F" w:rsidRPr="00BA4B2F">
        <w:rPr>
          <w:rFonts w:eastAsia="Times New Roman"/>
          <w:b/>
          <w:bCs/>
          <w:i/>
          <w:iCs/>
        </w:rPr>
        <w:t xml:space="preserve"> 3</w:t>
      </w:r>
      <w:r w:rsidRPr="00BA4B2F">
        <w:rPr>
          <w:rFonts w:eastAsia="Times New Roman"/>
          <w:b/>
          <w:bCs/>
          <w:i/>
          <w:iCs/>
        </w:rPr>
        <w:t xml:space="preserve">: </w:t>
      </w:r>
      <w:r w:rsidRPr="00BA4B2F">
        <w:rPr>
          <w:rFonts w:eastAsia="Times New Roman"/>
          <w:i/>
          <w:iCs/>
        </w:rPr>
        <w:t>How come RAMP still takes so long and that it doesn’t appear to be streamlined?</w:t>
      </w:r>
    </w:p>
    <w:p w14:paraId="59AA4061" w14:textId="58955431" w:rsidR="00D14305" w:rsidRPr="00BA4B2F" w:rsidRDefault="00D14305" w:rsidP="00D14305">
      <w:pPr>
        <w:rPr>
          <w:rFonts w:eastAsia="Times New Roman"/>
          <w:b/>
          <w:bCs/>
          <w:i/>
          <w:iCs/>
        </w:rPr>
      </w:pPr>
      <w:r w:rsidRPr="00BA4B2F">
        <w:rPr>
          <w:rFonts w:eastAsia="Times New Roman"/>
          <w:b/>
          <w:bCs/>
          <w:i/>
          <w:iCs/>
        </w:rPr>
        <w:t>Answer</w:t>
      </w:r>
      <w:r w:rsidR="00BA4B2F" w:rsidRPr="00BA4B2F">
        <w:rPr>
          <w:rFonts w:eastAsia="Times New Roman"/>
          <w:b/>
          <w:bCs/>
          <w:i/>
          <w:iCs/>
        </w:rPr>
        <w:t xml:space="preserve"> 3:</w:t>
      </w:r>
      <w:r w:rsidR="00AA069F" w:rsidRPr="00BA4B2F">
        <w:rPr>
          <w:rFonts w:eastAsia="Times New Roman"/>
          <w:b/>
          <w:bCs/>
          <w:i/>
          <w:iCs/>
        </w:rPr>
        <w:t xml:space="preserve"> RAMP concluded</w:t>
      </w:r>
      <w:r w:rsidR="00E91867">
        <w:rPr>
          <w:rFonts w:eastAsia="Times New Roman"/>
          <w:b/>
          <w:bCs/>
          <w:i/>
          <w:iCs/>
        </w:rPr>
        <w:t xml:space="preserve"> on February 19, 2019</w:t>
      </w:r>
      <w:r w:rsidR="00AA069F" w:rsidRPr="00BA4B2F">
        <w:rPr>
          <w:rFonts w:eastAsia="Times New Roman"/>
          <w:b/>
          <w:bCs/>
          <w:i/>
          <w:iCs/>
        </w:rPr>
        <w:t xml:space="preserve">. RAMP was </w:t>
      </w:r>
      <w:r w:rsidR="00BF5835">
        <w:rPr>
          <w:rFonts w:eastAsia="Times New Roman"/>
          <w:b/>
          <w:bCs/>
          <w:i/>
          <w:iCs/>
        </w:rPr>
        <w:t xml:space="preserve">a pilot program which allowed most Veterans who had a pending legacy appeal to opt into VBA’s supplemental claim or higher-level review lanes in the new AMA process. </w:t>
      </w:r>
      <w:r w:rsidR="00E91867">
        <w:rPr>
          <w:rFonts w:eastAsia="Times New Roman"/>
          <w:b/>
          <w:bCs/>
          <w:i/>
          <w:iCs/>
        </w:rPr>
        <w:t xml:space="preserve">RAMP was noted to improve timeliness to an average of 125 days. </w:t>
      </w:r>
    </w:p>
    <w:p w14:paraId="15F61190" w14:textId="77777777" w:rsidR="00AA069F" w:rsidRPr="00BA4B2F" w:rsidRDefault="00AA069F" w:rsidP="00D14305">
      <w:pPr>
        <w:rPr>
          <w:rFonts w:eastAsia="Times New Roman"/>
          <w:i/>
          <w:iCs/>
        </w:rPr>
      </w:pPr>
    </w:p>
    <w:p w14:paraId="20F0391B" w14:textId="15E55D82" w:rsidR="00D14305" w:rsidRPr="00BA4B2F" w:rsidRDefault="00D14305" w:rsidP="00D14305">
      <w:pPr>
        <w:rPr>
          <w:rFonts w:eastAsia="Times New Roman"/>
          <w:i/>
          <w:iCs/>
        </w:rPr>
      </w:pPr>
      <w:r w:rsidRPr="00BA4B2F">
        <w:rPr>
          <w:rFonts w:eastAsia="Times New Roman"/>
          <w:b/>
          <w:bCs/>
          <w:i/>
          <w:iCs/>
        </w:rPr>
        <w:t>Question</w:t>
      </w:r>
      <w:r w:rsidR="00BA4B2F" w:rsidRPr="00BA4B2F">
        <w:rPr>
          <w:rFonts w:eastAsia="Times New Roman"/>
          <w:b/>
          <w:bCs/>
          <w:i/>
          <w:iCs/>
        </w:rPr>
        <w:t xml:space="preserve"> 4</w:t>
      </w:r>
      <w:r w:rsidRPr="00BA4B2F">
        <w:rPr>
          <w:rFonts w:eastAsia="Times New Roman"/>
          <w:i/>
          <w:iCs/>
        </w:rPr>
        <w:t>: Does it make sense to appeal to the BVA for your final course of action?</w:t>
      </w:r>
    </w:p>
    <w:p w14:paraId="40DECCC7" w14:textId="2A53D90F" w:rsidR="00D14305" w:rsidRPr="00BA4B2F" w:rsidRDefault="00D14305" w:rsidP="00D14305">
      <w:pPr>
        <w:rPr>
          <w:rFonts w:eastAsia="Times New Roman"/>
          <w:i/>
          <w:iCs/>
        </w:rPr>
      </w:pPr>
      <w:r w:rsidRPr="00BA4B2F">
        <w:rPr>
          <w:rFonts w:eastAsia="Times New Roman"/>
          <w:b/>
          <w:bCs/>
          <w:i/>
          <w:iCs/>
        </w:rPr>
        <w:t>Answer</w:t>
      </w:r>
      <w:r w:rsidR="00BA4B2F" w:rsidRPr="00BA4B2F">
        <w:rPr>
          <w:rFonts w:eastAsia="Times New Roman"/>
          <w:b/>
          <w:bCs/>
          <w:i/>
          <w:iCs/>
        </w:rPr>
        <w:t xml:space="preserve"> 4</w:t>
      </w:r>
      <w:r w:rsidRPr="00BA4B2F">
        <w:rPr>
          <w:rFonts w:eastAsia="Times New Roman"/>
          <w:i/>
          <w:iCs/>
        </w:rPr>
        <w:t>:</w:t>
      </w:r>
      <w:r w:rsidR="00AA069F" w:rsidRPr="00BA4B2F">
        <w:rPr>
          <w:rFonts w:eastAsia="Times New Roman"/>
          <w:i/>
          <w:iCs/>
        </w:rPr>
        <w:t xml:space="preserve"> </w:t>
      </w:r>
      <w:r w:rsidR="00AA069F" w:rsidRPr="00BA4B2F">
        <w:rPr>
          <w:rFonts w:eastAsia="Times New Roman"/>
          <w:b/>
          <w:bCs/>
          <w:i/>
          <w:iCs/>
        </w:rPr>
        <w:t>You may file a supplemental claim on a BVA decision; therefore, there is no finality. Thus, AMA is such a great benefit for Veterans.</w:t>
      </w:r>
      <w:r w:rsidR="00AA069F" w:rsidRPr="00BA4B2F">
        <w:rPr>
          <w:rFonts w:eastAsia="Times New Roman"/>
          <w:i/>
          <w:iCs/>
        </w:rPr>
        <w:t xml:space="preserve"> </w:t>
      </w:r>
    </w:p>
    <w:p w14:paraId="26844890" w14:textId="77777777" w:rsidR="00AA069F" w:rsidRPr="00BA4B2F" w:rsidRDefault="00AA069F" w:rsidP="00D14305">
      <w:pPr>
        <w:rPr>
          <w:rFonts w:eastAsia="Times New Roman"/>
          <w:i/>
          <w:iCs/>
        </w:rPr>
      </w:pPr>
    </w:p>
    <w:p w14:paraId="2FC8208B" w14:textId="6CDC9D28" w:rsidR="00AA069F" w:rsidRDefault="00AA069F" w:rsidP="00D14305">
      <w:pPr>
        <w:rPr>
          <w:rFonts w:eastAsia="Times New Roman"/>
          <w:i/>
          <w:iCs/>
        </w:rPr>
      </w:pPr>
    </w:p>
    <w:p w14:paraId="6685F586" w14:textId="3C2913EF" w:rsidR="00AF1EDF" w:rsidRDefault="00AF1EDF" w:rsidP="00D14305">
      <w:pPr>
        <w:rPr>
          <w:rFonts w:eastAsia="Times New Roman"/>
          <w:i/>
          <w:iCs/>
        </w:rPr>
      </w:pPr>
    </w:p>
    <w:p w14:paraId="0EEE9424" w14:textId="71B5D429" w:rsidR="00AF1EDF" w:rsidRDefault="00AF1EDF" w:rsidP="00D14305">
      <w:pPr>
        <w:rPr>
          <w:rFonts w:eastAsia="Times New Roman"/>
          <w:i/>
          <w:iCs/>
        </w:rPr>
      </w:pPr>
    </w:p>
    <w:p w14:paraId="3ACB7722" w14:textId="350FB8AE" w:rsidR="00D14305" w:rsidRPr="00BA4B2F" w:rsidRDefault="00D14305" w:rsidP="00D14305">
      <w:pPr>
        <w:rPr>
          <w:rFonts w:eastAsia="Times New Roman"/>
          <w:i/>
          <w:iCs/>
        </w:rPr>
      </w:pPr>
      <w:r w:rsidRPr="00BA4B2F">
        <w:rPr>
          <w:rFonts w:eastAsia="Times New Roman"/>
          <w:b/>
          <w:bCs/>
          <w:i/>
          <w:iCs/>
        </w:rPr>
        <w:lastRenderedPageBreak/>
        <w:t>Question</w:t>
      </w:r>
      <w:r w:rsidR="00BA4B2F" w:rsidRPr="00BA4B2F">
        <w:rPr>
          <w:rFonts w:eastAsia="Times New Roman"/>
          <w:b/>
          <w:bCs/>
          <w:i/>
          <w:iCs/>
        </w:rPr>
        <w:t xml:space="preserve"> 5</w:t>
      </w:r>
      <w:r w:rsidRPr="00BA4B2F">
        <w:rPr>
          <w:rFonts w:eastAsia="Times New Roman"/>
          <w:i/>
          <w:iCs/>
        </w:rPr>
        <w:t>:  It is noticed that when Veterans file an appeal for diabetes with neuropathy, those appeals typically get granted; whereas, when appeal is filed for neuropathy secondary to Agent Orange alone, these appeals get denied. Why is that?</w:t>
      </w:r>
    </w:p>
    <w:p w14:paraId="32BC5B82" w14:textId="2180C466" w:rsidR="00D14305" w:rsidRPr="00BA4B2F" w:rsidRDefault="00D14305" w:rsidP="00D14305">
      <w:pPr>
        <w:rPr>
          <w:rFonts w:eastAsia="Times New Roman"/>
          <w:i/>
          <w:iCs/>
        </w:rPr>
      </w:pPr>
      <w:r w:rsidRPr="00BA4B2F">
        <w:rPr>
          <w:rFonts w:eastAsia="Times New Roman"/>
          <w:b/>
          <w:bCs/>
          <w:i/>
          <w:iCs/>
        </w:rPr>
        <w:t>Answer</w:t>
      </w:r>
      <w:r w:rsidR="00BA4B2F" w:rsidRPr="00BA4B2F">
        <w:rPr>
          <w:rFonts w:eastAsia="Times New Roman"/>
          <w:b/>
          <w:bCs/>
          <w:i/>
          <w:iCs/>
        </w:rPr>
        <w:t xml:space="preserve"> 5</w:t>
      </w:r>
      <w:r w:rsidRPr="00BA4B2F">
        <w:rPr>
          <w:rFonts w:eastAsia="Times New Roman"/>
          <w:i/>
          <w:iCs/>
        </w:rPr>
        <w:t>:</w:t>
      </w:r>
      <w:r w:rsidR="00AA069F" w:rsidRPr="00BA4B2F">
        <w:rPr>
          <w:rFonts w:eastAsia="Times New Roman"/>
          <w:i/>
          <w:iCs/>
        </w:rPr>
        <w:t xml:space="preserve">  </w:t>
      </w:r>
      <w:r w:rsidR="00AF1EDF" w:rsidRPr="00CB6A02">
        <w:rPr>
          <w:rFonts w:eastAsia="Times New Roman"/>
          <w:b/>
          <w:bCs/>
          <w:i/>
          <w:iCs/>
        </w:rPr>
        <w:t>IAW 38 CFR</w:t>
      </w:r>
      <w:r w:rsidR="00AA069F" w:rsidRPr="00CB6A02">
        <w:rPr>
          <w:rFonts w:eastAsia="Times New Roman"/>
          <w:b/>
          <w:bCs/>
          <w:i/>
          <w:iCs/>
        </w:rPr>
        <w:t xml:space="preserve"> 3.309</w:t>
      </w:r>
      <w:r w:rsidR="00AF1EDF" w:rsidRPr="00CB6A02">
        <w:rPr>
          <w:rFonts w:eastAsia="Times New Roman"/>
          <w:b/>
          <w:bCs/>
          <w:i/>
          <w:iCs/>
        </w:rPr>
        <w:t xml:space="preserve"> (e) </w:t>
      </w:r>
      <w:r w:rsidR="00CB6A02" w:rsidRPr="00CB6A02">
        <w:rPr>
          <w:rFonts w:eastAsia="Times New Roman"/>
          <w:b/>
          <w:bCs/>
          <w:i/>
          <w:iCs/>
        </w:rPr>
        <w:t xml:space="preserve">early-onset </w:t>
      </w:r>
      <w:r w:rsidR="00AA069F" w:rsidRPr="00CB6A02">
        <w:rPr>
          <w:rFonts w:eastAsia="Times New Roman"/>
          <w:b/>
          <w:bCs/>
          <w:i/>
          <w:iCs/>
        </w:rPr>
        <w:t xml:space="preserve">peripheral neuropathy </w:t>
      </w:r>
      <w:r w:rsidR="00CB6A02" w:rsidRPr="00CB6A02">
        <w:rPr>
          <w:rFonts w:eastAsia="Times New Roman"/>
          <w:b/>
          <w:bCs/>
          <w:i/>
          <w:iCs/>
        </w:rPr>
        <w:t>must manifest to a compensable degree of 10 percent or more within one year of the date of last herbicide exposure during active military, naval, or air service. National Academy of Science (NAS) has determined that evidence does not support an association between herbicide exposure and delayed-onset peripheral neuropathy, which NAS defined as having its onset more than one year after exposure.</w:t>
      </w:r>
      <w:r w:rsidR="00CB6A02">
        <w:rPr>
          <w:rFonts w:eastAsia="Times New Roman"/>
          <w:i/>
          <w:iCs/>
        </w:rPr>
        <w:t xml:space="preserve"> </w:t>
      </w:r>
      <w:r w:rsidR="00BA4B2F" w:rsidRPr="00BA4B2F">
        <w:rPr>
          <w:rFonts w:eastAsia="Times New Roman"/>
          <w:i/>
          <w:iCs/>
        </w:rPr>
        <w:t xml:space="preserve">  </w:t>
      </w:r>
    </w:p>
    <w:p w14:paraId="56991578" w14:textId="77777777" w:rsidR="00BA4B2F" w:rsidRPr="00BA4B2F" w:rsidRDefault="00BA4B2F" w:rsidP="00D14305">
      <w:pPr>
        <w:rPr>
          <w:rFonts w:eastAsia="Times New Roman"/>
          <w:i/>
          <w:iCs/>
        </w:rPr>
      </w:pPr>
    </w:p>
    <w:p w14:paraId="2AA62147" w14:textId="5A041C69" w:rsidR="00D14305" w:rsidRPr="00BA4B2F" w:rsidRDefault="00D14305" w:rsidP="00D14305">
      <w:pPr>
        <w:rPr>
          <w:rFonts w:eastAsia="Times New Roman"/>
          <w:i/>
          <w:iCs/>
        </w:rPr>
      </w:pPr>
      <w:r w:rsidRPr="00BA4B2F">
        <w:rPr>
          <w:rFonts w:eastAsia="Times New Roman"/>
          <w:b/>
          <w:bCs/>
          <w:i/>
          <w:iCs/>
        </w:rPr>
        <w:t>Question</w:t>
      </w:r>
      <w:r w:rsidR="00BA4B2F" w:rsidRPr="00BA4B2F">
        <w:rPr>
          <w:rFonts w:eastAsia="Times New Roman"/>
          <w:b/>
          <w:bCs/>
          <w:i/>
          <w:iCs/>
        </w:rPr>
        <w:t xml:space="preserve"> 6</w:t>
      </w:r>
      <w:r w:rsidRPr="00BA4B2F">
        <w:rPr>
          <w:rFonts w:eastAsia="Times New Roman"/>
          <w:i/>
          <w:iCs/>
        </w:rPr>
        <w:t>:  What all can count as additional evidence?</w:t>
      </w:r>
    </w:p>
    <w:p w14:paraId="473558DC" w14:textId="59AD04E9" w:rsidR="00D14305" w:rsidRPr="00CB6A02" w:rsidRDefault="00D14305" w:rsidP="00D14305">
      <w:pPr>
        <w:rPr>
          <w:rFonts w:eastAsia="Times New Roman"/>
          <w:b/>
          <w:bCs/>
          <w:i/>
          <w:iCs/>
        </w:rPr>
      </w:pPr>
      <w:r w:rsidRPr="00BA4B2F">
        <w:rPr>
          <w:rFonts w:eastAsia="Times New Roman"/>
          <w:b/>
          <w:bCs/>
          <w:i/>
          <w:iCs/>
        </w:rPr>
        <w:t>Answer</w:t>
      </w:r>
      <w:r w:rsidR="00BA4B2F" w:rsidRPr="00BA4B2F">
        <w:rPr>
          <w:rFonts w:eastAsia="Times New Roman"/>
          <w:b/>
          <w:bCs/>
          <w:i/>
          <w:iCs/>
        </w:rPr>
        <w:t xml:space="preserve"> 6</w:t>
      </w:r>
      <w:r w:rsidRPr="00BA4B2F">
        <w:rPr>
          <w:rFonts w:eastAsia="Times New Roman"/>
          <w:i/>
          <w:iCs/>
        </w:rPr>
        <w:t>:</w:t>
      </w:r>
      <w:r w:rsidR="00BA4B2F" w:rsidRPr="00BA4B2F">
        <w:rPr>
          <w:rFonts w:eastAsia="Times New Roman"/>
          <w:i/>
          <w:iCs/>
        </w:rPr>
        <w:t xml:space="preserve"> </w:t>
      </w:r>
      <w:r w:rsidR="00D172B4" w:rsidRPr="00CB6A02">
        <w:rPr>
          <w:rFonts w:cstheme="minorHAnsi"/>
          <w:b/>
          <w:bCs/>
          <w:i/>
          <w:iCs/>
        </w:rPr>
        <w:t xml:space="preserve">As defined in </w:t>
      </w:r>
      <w:hyperlink r:id="rId6" w:tgtFrame="_blank" w:history="1">
        <w:r w:rsidR="00D172B4" w:rsidRPr="00CB6A02">
          <w:rPr>
            <w:rFonts w:cstheme="minorHAnsi"/>
            <w:b/>
            <w:bCs/>
            <w:i/>
            <w:iCs/>
            <w:color w:val="0000FF"/>
            <w:u w:val="single"/>
          </w:rPr>
          <w:t>38 CFR 3.2501</w:t>
        </w:r>
      </w:hyperlink>
      <w:r w:rsidR="00D172B4" w:rsidRPr="00CB6A02">
        <w:rPr>
          <w:rFonts w:cstheme="minorHAnsi"/>
          <w:b/>
          <w:bCs/>
          <w:i/>
          <w:iCs/>
        </w:rPr>
        <w:t>, new evidence is evidence not previously part of the actual record before agency adjudicators.  Relevant evidence is information that tends to prove or disprove a matter at issue in a claim.  Relevant evidence includes evidence that raises a theory of entitlement that was not previously addressed.</w:t>
      </w:r>
      <w:r w:rsidR="00D172B4" w:rsidRPr="00CB6A02">
        <w:rPr>
          <w:rFonts w:ascii="Arial" w:hAnsi="Arial" w:cs="Arial"/>
          <w:b/>
          <w:bCs/>
          <w:sz w:val="21"/>
          <w:szCs w:val="21"/>
        </w:rPr>
        <w:t> </w:t>
      </w:r>
    </w:p>
    <w:p w14:paraId="377BC82B" w14:textId="2CBD0391" w:rsidR="00BA4B2F" w:rsidRPr="00CB6A02" w:rsidRDefault="00D172B4" w:rsidP="00D14305">
      <w:pPr>
        <w:rPr>
          <w:rFonts w:eastAsia="Times New Roman"/>
          <w:b/>
          <w:bCs/>
          <w:i/>
          <w:iCs/>
        </w:rPr>
      </w:pPr>
      <w:r w:rsidRPr="00CB6A02">
        <w:rPr>
          <w:rFonts w:eastAsia="Times New Roman"/>
          <w:b/>
          <w:bCs/>
          <w:i/>
          <w:iCs/>
        </w:rPr>
        <w:t xml:space="preserve">Supplemental claims require new and relevant evidence in order to be </w:t>
      </w:r>
      <w:r w:rsidRPr="00CB6A02">
        <w:rPr>
          <w:rFonts w:cstheme="minorHAnsi"/>
          <w:b/>
          <w:bCs/>
          <w:i/>
          <w:iCs/>
        </w:rPr>
        <w:t>readjudicated</w:t>
      </w:r>
      <w:r w:rsidRPr="00CB6A02">
        <w:rPr>
          <w:rFonts w:ascii="Arial" w:hAnsi="Arial" w:cs="Arial"/>
          <w:b/>
          <w:bCs/>
          <w:i/>
          <w:iCs/>
          <w:sz w:val="21"/>
          <w:szCs w:val="21"/>
        </w:rPr>
        <w:t>.</w:t>
      </w:r>
    </w:p>
    <w:p w14:paraId="7818132D" w14:textId="77777777" w:rsidR="00BA4B2F" w:rsidRPr="00BA4B2F" w:rsidRDefault="00BA4B2F" w:rsidP="00D14305">
      <w:pPr>
        <w:rPr>
          <w:rFonts w:eastAsia="Times New Roman"/>
          <w:i/>
          <w:iCs/>
        </w:rPr>
      </w:pPr>
    </w:p>
    <w:p w14:paraId="42577709" w14:textId="631F46C6" w:rsidR="00D14305" w:rsidRPr="00BA4B2F" w:rsidRDefault="00D14305" w:rsidP="00D14305">
      <w:pPr>
        <w:rPr>
          <w:rFonts w:eastAsia="Times New Roman"/>
          <w:i/>
          <w:iCs/>
        </w:rPr>
      </w:pPr>
      <w:r w:rsidRPr="00BA4B2F">
        <w:rPr>
          <w:rFonts w:eastAsia="Times New Roman"/>
          <w:b/>
          <w:bCs/>
          <w:i/>
          <w:iCs/>
        </w:rPr>
        <w:t>Question</w:t>
      </w:r>
      <w:r w:rsidR="00BA4B2F" w:rsidRPr="00BA4B2F">
        <w:rPr>
          <w:rFonts w:eastAsia="Times New Roman"/>
          <w:b/>
          <w:bCs/>
          <w:i/>
          <w:iCs/>
        </w:rPr>
        <w:t xml:space="preserve"> 7</w:t>
      </w:r>
      <w:r w:rsidRPr="00BA4B2F">
        <w:rPr>
          <w:rFonts w:eastAsia="Times New Roman"/>
          <w:i/>
          <w:iCs/>
        </w:rPr>
        <w:t>: What is the next step if the Supplemental Claim is denied or how to determine that is the most appropriate route?</w:t>
      </w:r>
    </w:p>
    <w:p w14:paraId="0E179451" w14:textId="45ED85AA" w:rsidR="00D14305" w:rsidRPr="00BA4B2F" w:rsidRDefault="00D14305" w:rsidP="00D14305">
      <w:pPr>
        <w:rPr>
          <w:rFonts w:eastAsia="Times New Roman"/>
          <w:i/>
          <w:iCs/>
        </w:rPr>
      </w:pPr>
      <w:r w:rsidRPr="00BA4B2F">
        <w:rPr>
          <w:rFonts w:eastAsia="Times New Roman"/>
          <w:b/>
          <w:bCs/>
          <w:i/>
          <w:iCs/>
        </w:rPr>
        <w:t>Answer</w:t>
      </w:r>
      <w:r w:rsidR="00BA4B2F" w:rsidRPr="00BA4B2F">
        <w:rPr>
          <w:rFonts w:eastAsia="Times New Roman"/>
          <w:b/>
          <w:bCs/>
          <w:i/>
          <w:iCs/>
        </w:rPr>
        <w:t xml:space="preserve"> 7</w:t>
      </w:r>
      <w:r w:rsidRPr="00BA4B2F">
        <w:rPr>
          <w:rFonts w:eastAsia="Times New Roman"/>
          <w:i/>
          <w:iCs/>
        </w:rPr>
        <w:t>:</w:t>
      </w:r>
      <w:r w:rsidR="00BA4B2F" w:rsidRPr="00BA4B2F">
        <w:rPr>
          <w:rFonts w:eastAsia="Times New Roman"/>
          <w:i/>
          <w:iCs/>
        </w:rPr>
        <w:t xml:space="preserve">  </w:t>
      </w:r>
      <w:r w:rsidR="00C12C8E" w:rsidRPr="00C12C8E">
        <w:rPr>
          <w:rFonts w:eastAsia="Times New Roman"/>
          <w:b/>
          <w:bCs/>
          <w:i/>
          <w:iCs/>
        </w:rPr>
        <w:t xml:space="preserve">If a claimant disagrees with a decision, they will be provided rights for further review with their decision notice and, in most situations, will have a full year to select another review lane. There are increased effective date protections over the legacy appeals process. This means, regardless of the review lane chosen there is no “wrong choice.” If a claimant requests a </w:t>
      </w:r>
      <w:r w:rsidR="00273B60" w:rsidRPr="00C12C8E">
        <w:rPr>
          <w:rFonts w:eastAsia="Times New Roman"/>
          <w:b/>
          <w:bCs/>
          <w:i/>
          <w:iCs/>
        </w:rPr>
        <w:t>higher-level</w:t>
      </w:r>
      <w:r w:rsidR="00C12C8E" w:rsidRPr="00C12C8E">
        <w:rPr>
          <w:rFonts w:eastAsia="Times New Roman"/>
          <w:b/>
          <w:bCs/>
          <w:i/>
          <w:iCs/>
        </w:rPr>
        <w:t xml:space="preserve"> review, files a supplemental claim, or appeals to the Board of Veterans’ Appeals within one year after a decision is received, the potential effective date for the benefits will be protected.</w:t>
      </w:r>
      <w:r w:rsidR="00C12C8E">
        <w:rPr>
          <w:rFonts w:eastAsia="Times New Roman"/>
          <w:i/>
          <w:iCs/>
        </w:rPr>
        <w:t xml:space="preserve"> </w:t>
      </w:r>
    </w:p>
    <w:p w14:paraId="53DD8B05" w14:textId="77777777" w:rsidR="00BA4B2F" w:rsidRPr="00BA4B2F" w:rsidRDefault="00BA4B2F" w:rsidP="00D14305">
      <w:pPr>
        <w:rPr>
          <w:rFonts w:eastAsia="Times New Roman"/>
          <w:i/>
          <w:iCs/>
        </w:rPr>
      </w:pPr>
    </w:p>
    <w:p w14:paraId="307E70BB" w14:textId="66E3A2D2" w:rsidR="00D14305" w:rsidRPr="00BA4B2F" w:rsidRDefault="00D14305" w:rsidP="00D14305">
      <w:pPr>
        <w:rPr>
          <w:rFonts w:eastAsia="Times New Roman"/>
          <w:b/>
          <w:bCs/>
          <w:i/>
          <w:iCs/>
        </w:rPr>
      </w:pPr>
      <w:r w:rsidRPr="00BA4B2F">
        <w:rPr>
          <w:rFonts w:eastAsia="Times New Roman"/>
          <w:b/>
          <w:bCs/>
          <w:i/>
          <w:iCs/>
        </w:rPr>
        <w:t>Question</w:t>
      </w:r>
      <w:r w:rsidR="00BA4B2F" w:rsidRPr="00BA4B2F">
        <w:rPr>
          <w:rFonts w:eastAsia="Times New Roman"/>
          <w:b/>
          <w:bCs/>
          <w:i/>
          <w:iCs/>
        </w:rPr>
        <w:t xml:space="preserve"> 8</w:t>
      </w:r>
      <w:r w:rsidRPr="00BA4B2F">
        <w:rPr>
          <w:rFonts w:eastAsia="Times New Roman"/>
          <w:i/>
          <w:iCs/>
        </w:rPr>
        <w:t xml:space="preserve">:  There appears to be a lack of information once NOD is submitted. Veteran contacts CVSO versus POA but the notifications are hard to come by. What is the notification process once </w:t>
      </w:r>
      <w:r w:rsidR="00273B60" w:rsidRPr="00BA4B2F">
        <w:rPr>
          <w:rFonts w:eastAsia="Times New Roman"/>
          <w:i/>
          <w:iCs/>
        </w:rPr>
        <w:t>a</w:t>
      </w:r>
      <w:r w:rsidRPr="00BA4B2F">
        <w:rPr>
          <w:rFonts w:eastAsia="Times New Roman"/>
          <w:i/>
          <w:iCs/>
        </w:rPr>
        <w:t xml:space="preserve"> NOD is received by VA? </w:t>
      </w:r>
      <w:r w:rsidRPr="00BA4B2F">
        <w:rPr>
          <w:rFonts w:eastAsia="Times New Roman"/>
          <w:b/>
          <w:bCs/>
          <w:i/>
          <w:iCs/>
        </w:rPr>
        <w:t>(very similar to question 1)</w:t>
      </w:r>
    </w:p>
    <w:p w14:paraId="48FFFA3E" w14:textId="03B3A00C" w:rsidR="00D14305" w:rsidRPr="00BA4B2F" w:rsidRDefault="00D14305" w:rsidP="00D14305">
      <w:pPr>
        <w:rPr>
          <w:rFonts w:eastAsia="Times New Roman"/>
          <w:i/>
          <w:iCs/>
        </w:rPr>
      </w:pPr>
      <w:r w:rsidRPr="00BA4B2F">
        <w:rPr>
          <w:rFonts w:eastAsia="Times New Roman"/>
          <w:b/>
          <w:bCs/>
          <w:i/>
          <w:iCs/>
        </w:rPr>
        <w:t>Answer</w:t>
      </w:r>
      <w:r w:rsidR="00BA4B2F" w:rsidRPr="00BA4B2F">
        <w:rPr>
          <w:rFonts w:eastAsia="Times New Roman"/>
          <w:b/>
          <w:bCs/>
          <w:i/>
          <w:iCs/>
        </w:rPr>
        <w:t xml:space="preserve"> 8</w:t>
      </w:r>
      <w:r w:rsidRPr="00BA4B2F">
        <w:rPr>
          <w:rFonts w:eastAsia="Times New Roman"/>
          <w:b/>
          <w:bCs/>
          <w:i/>
          <w:iCs/>
        </w:rPr>
        <w:t>:</w:t>
      </w:r>
      <w:r w:rsidR="00BA4B2F" w:rsidRPr="00BA4B2F">
        <w:rPr>
          <w:rFonts w:eastAsia="Times New Roman"/>
          <w:b/>
          <w:bCs/>
          <w:i/>
          <w:iCs/>
        </w:rPr>
        <w:t xml:space="preserve"> Regarding legacy appeals, other than the appeals election letter, there is no notification until the rating decision or SOC is issued. </w:t>
      </w:r>
    </w:p>
    <w:p w14:paraId="489A2C31" w14:textId="77777777" w:rsidR="00D14305" w:rsidRDefault="00D14305" w:rsidP="00D14305">
      <w:pPr>
        <w:rPr>
          <w:rFonts w:eastAsia="Times New Roman"/>
        </w:rPr>
      </w:pPr>
    </w:p>
    <w:p w14:paraId="521146F3" w14:textId="77777777" w:rsidR="00D14305" w:rsidRPr="00D14305" w:rsidRDefault="00D14305" w:rsidP="00D14305">
      <w:pPr>
        <w:rPr>
          <w:rFonts w:eastAsia="Times New Roman"/>
        </w:rPr>
      </w:pPr>
    </w:p>
    <w:p w14:paraId="4841A13A" w14:textId="77777777" w:rsidR="00D14305" w:rsidRPr="00D14305" w:rsidRDefault="00D14305" w:rsidP="00D14305">
      <w:pPr>
        <w:rPr>
          <w:u w:val="single"/>
        </w:rPr>
      </w:pPr>
    </w:p>
    <w:sectPr w:rsidR="00D14305" w:rsidRPr="00D14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A4B8D"/>
    <w:multiLevelType w:val="hybridMultilevel"/>
    <w:tmpl w:val="36EEC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05"/>
    <w:rsid w:val="000A60B6"/>
    <w:rsid w:val="00180B7D"/>
    <w:rsid w:val="00273B60"/>
    <w:rsid w:val="00292B9D"/>
    <w:rsid w:val="002C4747"/>
    <w:rsid w:val="004311E5"/>
    <w:rsid w:val="00AA069F"/>
    <w:rsid w:val="00AF1EDF"/>
    <w:rsid w:val="00BA4B2F"/>
    <w:rsid w:val="00BF5835"/>
    <w:rsid w:val="00C12C8E"/>
    <w:rsid w:val="00CB6A02"/>
    <w:rsid w:val="00CD4B84"/>
    <w:rsid w:val="00D14305"/>
    <w:rsid w:val="00D172B4"/>
    <w:rsid w:val="00E91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04AE"/>
  <w15:chartTrackingRefBased/>
  <w15:docId w15:val="{BE54EDE3-03C2-43EB-A324-B2EBE640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305"/>
    <w:pPr>
      <w:spacing w:after="0" w:line="240" w:lineRule="auto"/>
      <w:ind w:left="720"/>
    </w:pPr>
    <w:rPr>
      <w:rFonts w:ascii="Calibri" w:hAnsi="Calibri" w:cs="Calibri"/>
    </w:rPr>
  </w:style>
  <w:style w:type="character" w:styleId="Hyperlink">
    <w:name w:val="Hyperlink"/>
    <w:basedOn w:val="DefaultParagraphFont"/>
    <w:uiPriority w:val="99"/>
    <w:unhideWhenUsed/>
    <w:rsid w:val="004311E5"/>
    <w:rPr>
      <w:color w:val="0563C1" w:themeColor="hyperlink"/>
      <w:u w:val="single"/>
    </w:rPr>
  </w:style>
  <w:style w:type="character" w:styleId="UnresolvedMention">
    <w:name w:val="Unresolved Mention"/>
    <w:basedOn w:val="DefaultParagraphFont"/>
    <w:uiPriority w:val="99"/>
    <w:semiHidden/>
    <w:unhideWhenUsed/>
    <w:rsid w:val="00431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139518">
      <w:bodyDiv w:val="1"/>
      <w:marLeft w:val="0"/>
      <w:marRight w:val="0"/>
      <w:marTop w:val="0"/>
      <w:marBottom w:val="0"/>
      <w:divBdr>
        <w:top w:val="none" w:sz="0" w:space="0" w:color="auto"/>
        <w:left w:val="none" w:sz="0" w:space="0" w:color="auto"/>
        <w:bottom w:val="none" w:sz="0" w:space="0" w:color="auto"/>
        <w:right w:val="none" w:sz="0" w:space="0" w:color="auto"/>
      </w:divBdr>
    </w:div>
    <w:div w:id="134770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fr.gov/cgi-bin/text-idx?SID=c08a3c62e4c2007c26da4379059b6e93&amp;mc=true&amp;node=se38.1.3_12501&amp;rgn=div8" TargetMode="External"/><Relationship Id="rId5" Type="http://schemas.openxmlformats.org/officeDocument/2006/relationships/hyperlink" Target="mailto:lisa.a.mcginnis@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MCGINNIS, LISA, VBAINDY</dc:creator>
  <cp:keywords/>
  <dc:description/>
  <cp:lastModifiedBy>FILSINGER, AARON, VBAINDY</cp:lastModifiedBy>
  <cp:revision>2</cp:revision>
  <dcterms:created xsi:type="dcterms:W3CDTF">2020-12-08T13:52:00Z</dcterms:created>
  <dcterms:modified xsi:type="dcterms:W3CDTF">2020-12-08T13:52:00Z</dcterms:modified>
</cp:coreProperties>
</file>