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391" w:rsidRDefault="003F2E20">
      <w:pPr>
        <w:widowControl w:val="0"/>
        <w:spacing w:before="25" w:line="240" w:lineRule="auto"/>
        <w:rPr>
          <w:b/>
          <w:sz w:val="24"/>
          <w:szCs w:val="24"/>
        </w:rPr>
      </w:pPr>
      <w:bookmarkStart w:id="0" w:name="_GoBack"/>
      <w:bookmarkEnd w:id="0"/>
      <w:r>
        <w:rPr>
          <w:b/>
          <w:sz w:val="24"/>
          <w:szCs w:val="24"/>
        </w:rPr>
        <w:t>B3 Project Evaluation Tools: Performance Measures</w:t>
      </w:r>
    </w:p>
    <w:p w:rsidR="00776391" w:rsidRDefault="003F2E20">
      <w:pPr>
        <w:widowControl w:val="0"/>
        <w:numPr>
          <w:ilvl w:val="0"/>
          <w:numId w:val="8"/>
        </w:numPr>
        <w:spacing w:before="25" w:line="240" w:lineRule="auto"/>
        <w:rPr>
          <w:sz w:val="24"/>
          <w:szCs w:val="24"/>
        </w:rPr>
      </w:pPr>
      <w:r>
        <w:rPr>
          <w:sz w:val="24"/>
          <w:szCs w:val="24"/>
        </w:rPr>
        <w:t>Complete the following table with the performance measures that will be utilized to measure your objectives in B2 Project Objective Template.</w:t>
      </w:r>
    </w:p>
    <w:p w:rsidR="00776391" w:rsidRDefault="003F2E20">
      <w:pPr>
        <w:widowControl w:val="0"/>
        <w:numPr>
          <w:ilvl w:val="0"/>
          <w:numId w:val="8"/>
        </w:numPr>
        <w:spacing w:line="240" w:lineRule="auto"/>
        <w:rPr>
          <w:sz w:val="24"/>
          <w:szCs w:val="24"/>
        </w:rPr>
      </w:pPr>
      <w:r>
        <w:rPr>
          <w:sz w:val="24"/>
          <w:szCs w:val="24"/>
        </w:rPr>
        <w:t>Check the boxes next to the outcome chosen.</w:t>
      </w:r>
    </w:p>
    <w:p w:rsidR="00776391" w:rsidRDefault="003F2E20">
      <w:pPr>
        <w:widowControl w:val="0"/>
        <w:numPr>
          <w:ilvl w:val="0"/>
          <w:numId w:val="8"/>
        </w:numPr>
        <w:pBdr>
          <w:top w:val="nil"/>
          <w:left w:val="nil"/>
          <w:bottom w:val="nil"/>
          <w:right w:val="nil"/>
          <w:between w:val="nil"/>
        </w:pBdr>
        <w:spacing w:line="240" w:lineRule="auto"/>
        <w:rPr>
          <w:color w:val="000000"/>
          <w:sz w:val="24"/>
          <w:szCs w:val="24"/>
        </w:rPr>
      </w:pPr>
      <w:r>
        <w:rPr>
          <w:sz w:val="24"/>
          <w:szCs w:val="24"/>
        </w:rPr>
        <w:t xml:space="preserve">Focus on quality over quantity (fewer measures but collected in a rigorous way so that the data is complete and accurate). An applicant does </w:t>
      </w:r>
      <w:r>
        <w:rPr>
          <w:sz w:val="24"/>
          <w:szCs w:val="24"/>
          <w:u w:val="single"/>
        </w:rPr>
        <w:t>not</w:t>
      </w:r>
      <w:r>
        <w:rPr>
          <w:sz w:val="24"/>
          <w:szCs w:val="24"/>
        </w:rPr>
        <w:t xml:space="preserve"> have to utilize a measure in each category. A range of 2-5 outcomes is expected.</w:t>
      </w:r>
    </w:p>
    <w:p w:rsidR="00776391" w:rsidRDefault="003F2E20">
      <w:pPr>
        <w:widowControl w:val="0"/>
        <w:numPr>
          <w:ilvl w:val="0"/>
          <w:numId w:val="8"/>
        </w:numPr>
        <w:spacing w:line="240" w:lineRule="auto"/>
        <w:rPr>
          <w:sz w:val="24"/>
          <w:szCs w:val="24"/>
        </w:rPr>
      </w:pPr>
      <w:r>
        <w:rPr>
          <w:sz w:val="24"/>
          <w:szCs w:val="24"/>
        </w:rPr>
        <w:t>Preferred measures are listed,</w:t>
      </w:r>
      <w:r>
        <w:rPr>
          <w:sz w:val="24"/>
          <w:szCs w:val="24"/>
        </w:rPr>
        <w:t xml:space="preserve"> though the applicant can choose to measure the outcome through other means if they provide a rationale. </w:t>
      </w:r>
    </w:p>
    <w:p w:rsidR="00776391" w:rsidRDefault="00776391">
      <w:pPr>
        <w:widowControl w:val="0"/>
        <w:spacing w:before="25" w:line="240" w:lineRule="auto"/>
        <w:rPr>
          <w:sz w:val="24"/>
          <w:szCs w:val="24"/>
        </w:rPr>
      </w:pPr>
    </w:p>
    <w:tbl>
      <w:tblPr>
        <w:tblStyle w:val="a"/>
        <w:tblW w:w="10320"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8250"/>
      </w:tblGrid>
      <w:tr w:rsidR="00776391">
        <w:tc>
          <w:tcPr>
            <w:tcW w:w="2070" w:type="dxa"/>
            <w:shd w:val="clear" w:color="auto" w:fill="auto"/>
            <w:tcMar>
              <w:top w:w="100" w:type="dxa"/>
              <w:left w:w="100" w:type="dxa"/>
              <w:bottom w:w="100" w:type="dxa"/>
              <w:right w:w="100" w:type="dxa"/>
            </w:tcMar>
          </w:tcPr>
          <w:p w:rsidR="00776391" w:rsidRDefault="003F2E20">
            <w:pPr>
              <w:widowControl w:val="0"/>
              <w:spacing w:line="240" w:lineRule="auto"/>
              <w:jc w:val="center"/>
              <w:rPr>
                <w:b/>
                <w:sz w:val="20"/>
                <w:szCs w:val="20"/>
              </w:rPr>
            </w:pPr>
            <w:r>
              <w:rPr>
                <w:b/>
                <w:sz w:val="20"/>
                <w:szCs w:val="20"/>
              </w:rPr>
              <w:t>Outcome</w:t>
            </w:r>
          </w:p>
        </w:tc>
        <w:tc>
          <w:tcPr>
            <w:tcW w:w="8250" w:type="dxa"/>
            <w:shd w:val="clear" w:color="auto" w:fill="auto"/>
            <w:tcMar>
              <w:top w:w="100" w:type="dxa"/>
              <w:left w:w="100" w:type="dxa"/>
              <w:bottom w:w="100" w:type="dxa"/>
              <w:right w:w="100" w:type="dxa"/>
            </w:tcMar>
          </w:tcPr>
          <w:p w:rsidR="00776391" w:rsidRDefault="003F2E20">
            <w:pPr>
              <w:widowControl w:val="0"/>
              <w:spacing w:line="240" w:lineRule="auto"/>
              <w:jc w:val="center"/>
              <w:rPr>
                <w:b/>
                <w:sz w:val="20"/>
                <w:szCs w:val="20"/>
              </w:rPr>
            </w:pPr>
            <w:r>
              <w:rPr>
                <w:b/>
                <w:sz w:val="20"/>
                <w:szCs w:val="20"/>
              </w:rPr>
              <w:t>Name of Preferred Measures for Outcome</w:t>
            </w:r>
          </w:p>
        </w:tc>
      </w:tr>
      <w:tr w:rsidR="00776391">
        <w:trPr>
          <w:trHeight w:val="400"/>
        </w:trPr>
        <w:tc>
          <w:tcPr>
            <w:tcW w:w="10320" w:type="dxa"/>
            <w:gridSpan w:val="2"/>
            <w:shd w:val="clear" w:color="auto" w:fill="auto"/>
            <w:tcMar>
              <w:top w:w="100" w:type="dxa"/>
              <w:left w:w="100" w:type="dxa"/>
              <w:bottom w:w="100" w:type="dxa"/>
              <w:right w:w="100" w:type="dxa"/>
            </w:tcMar>
          </w:tcPr>
          <w:p w:rsidR="00776391" w:rsidRDefault="003F2E20">
            <w:pPr>
              <w:widowControl w:val="0"/>
              <w:spacing w:line="240" w:lineRule="auto"/>
              <w:rPr>
                <w:b/>
                <w:sz w:val="20"/>
                <w:szCs w:val="20"/>
              </w:rPr>
            </w:pPr>
            <w:r>
              <w:rPr>
                <w:b/>
                <w:sz w:val="20"/>
                <w:szCs w:val="20"/>
              </w:rPr>
              <w:t>Behavior</w:t>
            </w:r>
          </w:p>
        </w:tc>
      </w:tr>
      <w:tr w:rsidR="00776391">
        <w:tc>
          <w:tcPr>
            <w:tcW w:w="2070" w:type="dxa"/>
            <w:shd w:val="clear" w:color="auto" w:fill="auto"/>
            <w:tcMar>
              <w:top w:w="100" w:type="dxa"/>
              <w:left w:w="100" w:type="dxa"/>
              <w:bottom w:w="100" w:type="dxa"/>
              <w:right w:w="100" w:type="dxa"/>
            </w:tcMar>
          </w:tcPr>
          <w:p w:rsidR="00776391" w:rsidRDefault="003F2E20">
            <w:pPr>
              <w:widowControl w:val="0"/>
              <w:numPr>
                <w:ilvl w:val="0"/>
                <w:numId w:val="14"/>
              </w:numPr>
              <w:spacing w:line="240" w:lineRule="auto"/>
              <w:ind w:left="360"/>
              <w:rPr>
                <w:sz w:val="20"/>
                <w:szCs w:val="20"/>
              </w:rPr>
            </w:pPr>
            <w:r>
              <w:rPr>
                <w:sz w:val="20"/>
                <w:szCs w:val="20"/>
              </w:rPr>
              <w:t xml:space="preserve">Social-emotional well-being </w:t>
            </w:r>
            <w:r>
              <w:rPr>
                <w:sz w:val="24"/>
                <w:szCs w:val="24"/>
                <w:vertAlign w:val="superscript"/>
              </w:rPr>
              <w:t>a</w:t>
            </w:r>
          </w:p>
        </w:tc>
        <w:tc>
          <w:tcPr>
            <w:tcW w:w="8250" w:type="dxa"/>
            <w:shd w:val="clear" w:color="auto" w:fill="auto"/>
            <w:tcMar>
              <w:top w:w="100" w:type="dxa"/>
              <w:left w:w="100" w:type="dxa"/>
              <w:bottom w:w="100" w:type="dxa"/>
              <w:right w:w="100" w:type="dxa"/>
            </w:tcMar>
          </w:tcPr>
          <w:p w:rsidR="00776391" w:rsidRDefault="003F2E20">
            <w:pPr>
              <w:widowControl w:val="0"/>
              <w:numPr>
                <w:ilvl w:val="0"/>
                <w:numId w:val="9"/>
              </w:numPr>
              <w:spacing w:line="240" w:lineRule="auto"/>
              <w:ind w:left="450"/>
              <w:rPr>
                <w:sz w:val="20"/>
                <w:szCs w:val="20"/>
              </w:rPr>
            </w:pPr>
            <w:hyperlink r:id="rId5">
              <w:r>
                <w:rPr>
                  <w:color w:val="1155CC"/>
                  <w:sz w:val="20"/>
                  <w:szCs w:val="20"/>
                  <w:u w:val="single"/>
                </w:rPr>
                <w:t>Mental Health Continuum-Short Form</w:t>
              </w:r>
            </w:hyperlink>
          </w:p>
          <w:p w:rsidR="00776391" w:rsidRDefault="003F2E20">
            <w:pPr>
              <w:widowControl w:val="0"/>
              <w:numPr>
                <w:ilvl w:val="0"/>
                <w:numId w:val="9"/>
              </w:numPr>
              <w:spacing w:line="240" w:lineRule="auto"/>
              <w:ind w:left="450"/>
              <w:rPr>
                <w:sz w:val="20"/>
                <w:szCs w:val="20"/>
              </w:rPr>
            </w:pPr>
            <w:hyperlink r:id="rId6">
              <w:r>
                <w:rPr>
                  <w:color w:val="1155CC"/>
                  <w:sz w:val="20"/>
                  <w:szCs w:val="20"/>
                  <w:u w:val="single"/>
                </w:rPr>
                <w:t>Youth Thrive™ Survey (full instrument)</w:t>
              </w:r>
            </w:hyperlink>
            <w:r>
              <w:rPr>
                <w:sz w:val="20"/>
                <w:szCs w:val="20"/>
              </w:rPr>
              <w:t xml:space="preserve"> (</w:t>
            </w:r>
            <w:hyperlink r:id="rId7">
              <w:r>
                <w:rPr>
                  <w:color w:val="1155CC"/>
                  <w:sz w:val="20"/>
                  <w:szCs w:val="20"/>
                  <w:u w:val="single"/>
                </w:rPr>
                <w:t>Email</w:t>
              </w:r>
            </w:hyperlink>
            <w:r>
              <w:rPr>
                <w:sz w:val="20"/>
                <w:szCs w:val="20"/>
              </w:rPr>
              <w:t xml:space="preserve"> for free instrument)</w:t>
            </w:r>
          </w:p>
          <w:p w:rsidR="00776391" w:rsidRDefault="003F2E20">
            <w:pPr>
              <w:widowControl w:val="0"/>
              <w:numPr>
                <w:ilvl w:val="0"/>
                <w:numId w:val="9"/>
              </w:numPr>
              <w:spacing w:line="240" w:lineRule="auto"/>
              <w:ind w:left="450"/>
              <w:rPr>
                <w:sz w:val="20"/>
                <w:szCs w:val="20"/>
              </w:rPr>
            </w:pPr>
            <w:hyperlink r:id="rId8">
              <w:r>
                <w:rPr>
                  <w:color w:val="1155CC"/>
                  <w:sz w:val="20"/>
                  <w:szCs w:val="20"/>
                  <w:u w:val="single"/>
                </w:rPr>
                <w:t>Kessler-6 Distress Scale</w:t>
              </w:r>
            </w:hyperlink>
          </w:p>
          <w:p w:rsidR="00776391" w:rsidRDefault="003F2E20">
            <w:pPr>
              <w:widowControl w:val="0"/>
              <w:numPr>
                <w:ilvl w:val="0"/>
                <w:numId w:val="9"/>
              </w:numPr>
              <w:spacing w:line="240" w:lineRule="auto"/>
              <w:ind w:left="450"/>
              <w:rPr>
                <w:sz w:val="20"/>
                <w:szCs w:val="20"/>
              </w:rPr>
            </w:pPr>
            <w:hyperlink r:id="rId9">
              <w:r>
                <w:rPr>
                  <w:color w:val="1155CC"/>
                  <w:sz w:val="20"/>
                  <w:szCs w:val="20"/>
                  <w:u w:val="single"/>
                </w:rPr>
                <w:t>Ansell-</w:t>
              </w:r>
              <w:r>
                <w:rPr>
                  <w:color w:val="1155CC"/>
                  <w:sz w:val="20"/>
                  <w:szCs w:val="20"/>
                  <w:u w:val="single"/>
                </w:rPr>
                <w:t xml:space="preserve">Casey Life Skills Assessment: Youth Short Assessment </w:t>
              </w:r>
            </w:hyperlink>
          </w:p>
          <w:p w:rsidR="00776391" w:rsidRDefault="003F2E20">
            <w:pPr>
              <w:widowControl w:val="0"/>
              <w:numPr>
                <w:ilvl w:val="0"/>
                <w:numId w:val="9"/>
              </w:numPr>
              <w:spacing w:line="240" w:lineRule="auto"/>
              <w:ind w:left="450"/>
              <w:rPr>
                <w:sz w:val="20"/>
                <w:szCs w:val="20"/>
              </w:rPr>
            </w:pPr>
            <w:hyperlink r:id="rId10">
              <w:r>
                <w:rPr>
                  <w:color w:val="1155CC"/>
                  <w:sz w:val="20"/>
                  <w:szCs w:val="20"/>
                  <w:u w:val="single"/>
                </w:rPr>
                <w:t>Child and Adolescent Needs and Strengths (CANS) -Indiana Compr</w:t>
              </w:r>
              <w:r>
                <w:rPr>
                  <w:color w:val="1155CC"/>
                  <w:sz w:val="20"/>
                  <w:szCs w:val="20"/>
                  <w:u w:val="single"/>
                </w:rPr>
                <w:t>ehensive</w:t>
              </w:r>
            </w:hyperlink>
          </w:p>
          <w:p w:rsidR="00776391" w:rsidRDefault="003F2E20">
            <w:pPr>
              <w:widowControl w:val="0"/>
              <w:numPr>
                <w:ilvl w:val="0"/>
                <w:numId w:val="9"/>
              </w:numPr>
              <w:spacing w:line="240" w:lineRule="auto"/>
              <w:ind w:left="450"/>
              <w:rPr>
                <w:sz w:val="20"/>
                <w:szCs w:val="20"/>
              </w:rPr>
            </w:pPr>
            <w:r>
              <w:rPr>
                <w:sz w:val="20"/>
                <w:szCs w:val="20"/>
              </w:rPr>
              <w:t>Other: _____________________</w:t>
            </w:r>
          </w:p>
        </w:tc>
      </w:tr>
      <w:tr w:rsidR="00776391">
        <w:tc>
          <w:tcPr>
            <w:tcW w:w="2070" w:type="dxa"/>
            <w:shd w:val="clear" w:color="auto" w:fill="auto"/>
            <w:tcMar>
              <w:top w:w="100" w:type="dxa"/>
              <w:left w:w="100" w:type="dxa"/>
              <w:bottom w:w="100" w:type="dxa"/>
              <w:right w:w="100" w:type="dxa"/>
            </w:tcMar>
          </w:tcPr>
          <w:p w:rsidR="00776391" w:rsidRDefault="003F2E20">
            <w:pPr>
              <w:widowControl w:val="0"/>
              <w:numPr>
                <w:ilvl w:val="0"/>
                <w:numId w:val="15"/>
              </w:numPr>
              <w:spacing w:line="240" w:lineRule="auto"/>
              <w:ind w:left="360"/>
              <w:rPr>
                <w:sz w:val="20"/>
                <w:szCs w:val="20"/>
              </w:rPr>
            </w:pPr>
            <w:r>
              <w:rPr>
                <w:sz w:val="20"/>
                <w:szCs w:val="20"/>
              </w:rPr>
              <w:t>Attendance</w:t>
            </w:r>
          </w:p>
        </w:tc>
        <w:tc>
          <w:tcPr>
            <w:tcW w:w="8250" w:type="dxa"/>
            <w:shd w:val="clear" w:color="auto" w:fill="auto"/>
            <w:tcMar>
              <w:top w:w="100" w:type="dxa"/>
              <w:left w:w="100" w:type="dxa"/>
              <w:bottom w:w="100" w:type="dxa"/>
              <w:right w:w="100" w:type="dxa"/>
            </w:tcMar>
          </w:tcPr>
          <w:p w:rsidR="00776391" w:rsidRDefault="003F2E20">
            <w:pPr>
              <w:widowControl w:val="0"/>
              <w:numPr>
                <w:ilvl w:val="0"/>
                <w:numId w:val="10"/>
              </w:numPr>
              <w:spacing w:line="240" w:lineRule="auto"/>
              <w:ind w:left="450"/>
              <w:rPr>
                <w:sz w:val="20"/>
                <w:szCs w:val="20"/>
              </w:rPr>
            </w:pPr>
            <w:r>
              <w:rPr>
                <w:sz w:val="20"/>
                <w:szCs w:val="20"/>
              </w:rPr>
              <w:t>Attendance rate reported to IDOE</w:t>
            </w:r>
          </w:p>
          <w:p w:rsidR="00776391" w:rsidRDefault="003F2E20">
            <w:pPr>
              <w:widowControl w:val="0"/>
              <w:numPr>
                <w:ilvl w:val="0"/>
                <w:numId w:val="10"/>
              </w:numPr>
              <w:spacing w:line="240" w:lineRule="auto"/>
              <w:ind w:left="450"/>
              <w:rPr>
                <w:sz w:val="20"/>
                <w:szCs w:val="20"/>
              </w:rPr>
            </w:pPr>
            <w:r>
              <w:rPr>
                <w:sz w:val="20"/>
                <w:szCs w:val="20"/>
              </w:rPr>
              <w:t>Other: _____________________</w:t>
            </w:r>
          </w:p>
        </w:tc>
      </w:tr>
      <w:tr w:rsidR="00776391">
        <w:tc>
          <w:tcPr>
            <w:tcW w:w="2070" w:type="dxa"/>
            <w:shd w:val="clear" w:color="auto" w:fill="auto"/>
            <w:tcMar>
              <w:top w:w="100" w:type="dxa"/>
              <w:left w:w="100" w:type="dxa"/>
              <w:bottom w:w="100" w:type="dxa"/>
              <w:right w:w="100" w:type="dxa"/>
            </w:tcMar>
          </w:tcPr>
          <w:p w:rsidR="00776391" w:rsidRDefault="003F2E20">
            <w:pPr>
              <w:widowControl w:val="0"/>
              <w:numPr>
                <w:ilvl w:val="0"/>
                <w:numId w:val="5"/>
              </w:numPr>
              <w:spacing w:line="240" w:lineRule="auto"/>
              <w:ind w:left="360"/>
              <w:rPr>
                <w:sz w:val="20"/>
                <w:szCs w:val="20"/>
              </w:rPr>
            </w:pPr>
            <w:r>
              <w:rPr>
                <w:sz w:val="20"/>
                <w:szCs w:val="20"/>
              </w:rPr>
              <w:t>Disciplinary actions</w:t>
            </w:r>
          </w:p>
        </w:tc>
        <w:tc>
          <w:tcPr>
            <w:tcW w:w="8250" w:type="dxa"/>
            <w:shd w:val="clear" w:color="auto" w:fill="auto"/>
            <w:tcMar>
              <w:top w:w="100" w:type="dxa"/>
              <w:left w:w="100" w:type="dxa"/>
              <w:bottom w:w="100" w:type="dxa"/>
              <w:right w:w="100" w:type="dxa"/>
            </w:tcMar>
          </w:tcPr>
          <w:p w:rsidR="00776391" w:rsidRDefault="003F2E20">
            <w:pPr>
              <w:widowControl w:val="0"/>
              <w:numPr>
                <w:ilvl w:val="0"/>
                <w:numId w:val="10"/>
              </w:numPr>
              <w:spacing w:line="240" w:lineRule="auto"/>
              <w:ind w:left="450"/>
              <w:rPr>
                <w:sz w:val="20"/>
                <w:szCs w:val="20"/>
              </w:rPr>
            </w:pPr>
            <w:r>
              <w:rPr>
                <w:sz w:val="20"/>
                <w:szCs w:val="20"/>
              </w:rPr>
              <w:t>Number of suspensions (in-school/out-of-school) reported to IDOE</w:t>
            </w:r>
          </w:p>
          <w:p w:rsidR="00776391" w:rsidRDefault="003F2E20">
            <w:pPr>
              <w:widowControl w:val="0"/>
              <w:numPr>
                <w:ilvl w:val="0"/>
                <w:numId w:val="10"/>
              </w:numPr>
              <w:spacing w:line="240" w:lineRule="auto"/>
              <w:ind w:left="450"/>
              <w:rPr>
                <w:sz w:val="20"/>
                <w:szCs w:val="20"/>
              </w:rPr>
            </w:pPr>
            <w:r>
              <w:rPr>
                <w:sz w:val="20"/>
                <w:szCs w:val="20"/>
              </w:rPr>
              <w:t>Number of expulsions reported to IDOE</w:t>
            </w:r>
          </w:p>
          <w:p w:rsidR="00776391" w:rsidRDefault="003F2E20">
            <w:pPr>
              <w:widowControl w:val="0"/>
              <w:numPr>
                <w:ilvl w:val="0"/>
                <w:numId w:val="10"/>
              </w:numPr>
              <w:spacing w:line="240" w:lineRule="auto"/>
              <w:ind w:left="450"/>
              <w:rPr>
                <w:sz w:val="20"/>
                <w:szCs w:val="20"/>
              </w:rPr>
            </w:pPr>
            <w:r>
              <w:rPr>
                <w:sz w:val="20"/>
                <w:szCs w:val="20"/>
              </w:rPr>
              <w:t>Other: _____________________</w:t>
            </w:r>
          </w:p>
        </w:tc>
      </w:tr>
      <w:tr w:rsidR="00776391">
        <w:tc>
          <w:tcPr>
            <w:tcW w:w="2070" w:type="dxa"/>
            <w:shd w:val="clear" w:color="auto" w:fill="auto"/>
            <w:tcMar>
              <w:top w:w="100" w:type="dxa"/>
              <w:left w:w="100" w:type="dxa"/>
              <w:bottom w:w="100" w:type="dxa"/>
              <w:right w:w="100" w:type="dxa"/>
            </w:tcMar>
          </w:tcPr>
          <w:p w:rsidR="00776391" w:rsidRDefault="003F2E20">
            <w:pPr>
              <w:widowControl w:val="0"/>
              <w:spacing w:line="240" w:lineRule="auto"/>
              <w:ind w:left="360"/>
              <w:rPr>
                <w:i/>
                <w:sz w:val="20"/>
                <w:szCs w:val="20"/>
              </w:rPr>
            </w:pPr>
            <w:r>
              <w:rPr>
                <w:i/>
                <w:sz w:val="20"/>
                <w:szCs w:val="20"/>
              </w:rPr>
              <w:t>Rationale</w:t>
            </w:r>
          </w:p>
        </w:tc>
        <w:tc>
          <w:tcPr>
            <w:tcW w:w="8250" w:type="dxa"/>
            <w:shd w:val="clear" w:color="auto" w:fill="auto"/>
            <w:tcMar>
              <w:top w:w="100" w:type="dxa"/>
              <w:left w:w="100" w:type="dxa"/>
              <w:bottom w:w="100" w:type="dxa"/>
              <w:right w:w="100" w:type="dxa"/>
            </w:tcMar>
          </w:tcPr>
          <w:p w:rsidR="00776391" w:rsidRDefault="003F2E20">
            <w:pPr>
              <w:widowControl w:val="0"/>
              <w:spacing w:line="240" w:lineRule="auto"/>
              <w:ind w:left="90"/>
              <w:rPr>
                <w:sz w:val="20"/>
                <w:szCs w:val="20"/>
              </w:rPr>
            </w:pPr>
            <w:r>
              <w:rPr>
                <w:sz w:val="20"/>
                <w:szCs w:val="20"/>
              </w:rPr>
              <w:t>Explain here the instrument(s) chosen, whether adaptations were made (and what they were), or if other measurements were chosen. If other instruments were chosen, please explain the rationale, including the extent th</w:t>
            </w:r>
            <w:r>
              <w:rPr>
                <w:sz w:val="20"/>
                <w:szCs w:val="20"/>
              </w:rPr>
              <w:t>e instruments’ reliability and validity, feasibility, and relevance.</w:t>
            </w:r>
          </w:p>
        </w:tc>
      </w:tr>
      <w:tr w:rsidR="00776391">
        <w:trPr>
          <w:trHeight w:val="400"/>
        </w:trPr>
        <w:tc>
          <w:tcPr>
            <w:tcW w:w="10320" w:type="dxa"/>
            <w:gridSpan w:val="2"/>
            <w:shd w:val="clear" w:color="auto" w:fill="auto"/>
            <w:tcMar>
              <w:top w:w="100" w:type="dxa"/>
              <w:left w:w="100" w:type="dxa"/>
              <w:bottom w:w="100" w:type="dxa"/>
              <w:right w:w="100" w:type="dxa"/>
            </w:tcMar>
          </w:tcPr>
          <w:p w:rsidR="00776391" w:rsidRDefault="003F2E20">
            <w:pPr>
              <w:widowControl w:val="0"/>
              <w:spacing w:line="240" w:lineRule="auto"/>
              <w:rPr>
                <w:b/>
                <w:sz w:val="20"/>
                <w:szCs w:val="20"/>
              </w:rPr>
            </w:pPr>
            <w:r>
              <w:rPr>
                <w:b/>
                <w:sz w:val="20"/>
                <w:szCs w:val="20"/>
              </w:rPr>
              <w:t>Academic Performance</w:t>
            </w:r>
          </w:p>
        </w:tc>
      </w:tr>
      <w:tr w:rsidR="00776391">
        <w:tc>
          <w:tcPr>
            <w:tcW w:w="2070" w:type="dxa"/>
            <w:shd w:val="clear" w:color="auto" w:fill="auto"/>
            <w:tcMar>
              <w:top w:w="100" w:type="dxa"/>
              <w:left w:w="100" w:type="dxa"/>
              <w:bottom w:w="100" w:type="dxa"/>
              <w:right w:w="100" w:type="dxa"/>
            </w:tcMar>
          </w:tcPr>
          <w:p w:rsidR="00776391" w:rsidRDefault="003F2E20">
            <w:pPr>
              <w:widowControl w:val="0"/>
              <w:numPr>
                <w:ilvl w:val="0"/>
                <w:numId w:val="1"/>
              </w:numPr>
              <w:spacing w:line="240" w:lineRule="auto"/>
              <w:ind w:left="360"/>
              <w:rPr>
                <w:sz w:val="20"/>
                <w:szCs w:val="20"/>
              </w:rPr>
            </w:pPr>
            <w:r>
              <w:rPr>
                <w:sz w:val="20"/>
                <w:szCs w:val="20"/>
              </w:rPr>
              <w:t xml:space="preserve">Student engagement </w:t>
            </w:r>
            <w:r>
              <w:rPr>
                <w:sz w:val="24"/>
                <w:szCs w:val="24"/>
                <w:vertAlign w:val="superscript"/>
              </w:rPr>
              <w:t>b</w:t>
            </w:r>
          </w:p>
        </w:tc>
        <w:tc>
          <w:tcPr>
            <w:tcW w:w="8250" w:type="dxa"/>
            <w:shd w:val="clear" w:color="auto" w:fill="auto"/>
            <w:tcMar>
              <w:top w:w="100" w:type="dxa"/>
              <w:left w:w="100" w:type="dxa"/>
              <w:bottom w:w="100" w:type="dxa"/>
              <w:right w:w="100" w:type="dxa"/>
            </w:tcMar>
          </w:tcPr>
          <w:p w:rsidR="00776391" w:rsidRDefault="003F2E20">
            <w:pPr>
              <w:widowControl w:val="0"/>
              <w:numPr>
                <w:ilvl w:val="0"/>
                <w:numId w:val="10"/>
              </w:numPr>
              <w:spacing w:line="240" w:lineRule="auto"/>
              <w:ind w:left="450"/>
              <w:rPr>
                <w:sz w:val="20"/>
                <w:szCs w:val="20"/>
              </w:rPr>
            </w:pPr>
            <w:hyperlink r:id="rId11">
              <w:r>
                <w:rPr>
                  <w:color w:val="1155CC"/>
                  <w:sz w:val="20"/>
                  <w:szCs w:val="20"/>
                  <w:u w:val="single"/>
                </w:rPr>
                <w:t>4-H Study for Positive Youth Development: School Engagement Scale (4-H)</w:t>
              </w:r>
            </w:hyperlink>
          </w:p>
          <w:p w:rsidR="00776391" w:rsidRDefault="003F2E20">
            <w:pPr>
              <w:widowControl w:val="0"/>
              <w:numPr>
                <w:ilvl w:val="0"/>
                <w:numId w:val="10"/>
              </w:numPr>
              <w:spacing w:line="240" w:lineRule="auto"/>
              <w:ind w:left="450"/>
              <w:rPr>
                <w:sz w:val="20"/>
                <w:szCs w:val="20"/>
              </w:rPr>
            </w:pPr>
            <w:hyperlink r:id="rId12">
              <w:r>
                <w:rPr>
                  <w:color w:val="1155CC"/>
                  <w:sz w:val="20"/>
                  <w:szCs w:val="20"/>
                  <w:u w:val="single"/>
                </w:rPr>
                <w:t xml:space="preserve">Engagement vs. Disaffection with Learning </w:t>
              </w:r>
              <w:r>
                <w:rPr>
                  <w:color w:val="1155CC"/>
                  <w:sz w:val="20"/>
                  <w:szCs w:val="20"/>
                  <w:u w:val="single"/>
                </w:rPr>
                <w:t>(</w:t>
              </w:r>
              <w:proofErr w:type="spellStart"/>
              <w:r>
                <w:rPr>
                  <w:color w:val="1155CC"/>
                  <w:sz w:val="20"/>
                  <w:szCs w:val="20"/>
                  <w:u w:val="single"/>
                </w:rPr>
                <w:t>EvsD</w:t>
              </w:r>
              <w:proofErr w:type="spellEnd"/>
              <w:r>
                <w:rPr>
                  <w:color w:val="1155CC"/>
                  <w:sz w:val="20"/>
                  <w:szCs w:val="20"/>
                  <w:u w:val="single"/>
                </w:rPr>
                <w:t>)</w:t>
              </w:r>
            </w:hyperlink>
            <w:r>
              <w:rPr>
                <w:sz w:val="20"/>
                <w:szCs w:val="20"/>
              </w:rPr>
              <w:t>, (Appendices A &amp; B)</w:t>
            </w:r>
          </w:p>
          <w:p w:rsidR="00776391" w:rsidRDefault="003F2E20">
            <w:pPr>
              <w:widowControl w:val="0"/>
              <w:numPr>
                <w:ilvl w:val="0"/>
                <w:numId w:val="10"/>
              </w:numPr>
              <w:spacing w:line="240" w:lineRule="auto"/>
              <w:ind w:left="450"/>
              <w:rPr>
                <w:sz w:val="20"/>
                <w:szCs w:val="20"/>
              </w:rPr>
            </w:pPr>
            <w:hyperlink r:id="rId13">
              <w:r>
                <w:rPr>
                  <w:color w:val="1155CC"/>
                  <w:sz w:val="20"/>
                  <w:szCs w:val="20"/>
                  <w:u w:val="single"/>
                </w:rPr>
                <w:t>High School Survey of Student Engagement (HSSE)</w:t>
              </w:r>
            </w:hyperlink>
            <w:r>
              <w:rPr>
                <w:sz w:val="20"/>
                <w:szCs w:val="20"/>
              </w:rPr>
              <w:t xml:space="preserve"> (</w:t>
            </w:r>
            <w:hyperlink r:id="rId14">
              <w:r>
                <w:rPr>
                  <w:color w:val="1155CC"/>
                  <w:sz w:val="20"/>
                  <w:szCs w:val="20"/>
                  <w:u w:val="single"/>
                </w:rPr>
                <w:t>Email</w:t>
              </w:r>
            </w:hyperlink>
            <w:r>
              <w:rPr>
                <w:sz w:val="20"/>
                <w:szCs w:val="20"/>
              </w:rPr>
              <w:t xml:space="preserve"> for free instrument)</w:t>
            </w:r>
          </w:p>
          <w:p w:rsidR="00776391" w:rsidRDefault="003F2E20">
            <w:pPr>
              <w:widowControl w:val="0"/>
              <w:numPr>
                <w:ilvl w:val="0"/>
                <w:numId w:val="3"/>
              </w:numPr>
              <w:spacing w:line="240" w:lineRule="auto"/>
              <w:ind w:left="450"/>
              <w:rPr>
                <w:sz w:val="20"/>
                <w:szCs w:val="20"/>
              </w:rPr>
            </w:pPr>
            <w:hyperlink r:id="rId15">
              <w:r>
                <w:rPr>
                  <w:color w:val="1155CC"/>
                  <w:sz w:val="20"/>
                  <w:szCs w:val="20"/>
                  <w:u w:val="single"/>
                </w:rPr>
                <w:t>Motivated Strategies for Learning Questionnaire</w:t>
              </w:r>
            </w:hyperlink>
          </w:p>
          <w:p w:rsidR="00776391" w:rsidRDefault="003F2E20">
            <w:pPr>
              <w:widowControl w:val="0"/>
              <w:numPr>
                <w:ilvl w:val="0"/>
                <w:numId w:val="10"/>
              </w:numPr>
              <w:spacing w:line="240" w:lineRule="auto"/>
              <w:ind w:left="450"/>
              <w:rPr>
                <w:sz w:val="20"/>
                <w:szCs w:val="20"/>
              </w:rPr>
            </w:pPr>
            <w:r>
              <w:rPr>
                <w:sz w:val="20"/>
                <w:szCs w:val="20"/>
              </w:rPr>
              <w:t>Other: _____________________</w:t>
            </w:r>
          </w:p>
        </w:tc>
      </w:tr>
      <w:tr w:rsidR="00776391">
        <w:tc>
          <w:tcPr>
            <w:tcW w:w="2070" w:type="dxa"/>
            <w:shd w:val="clear" w:color="auto" w:fill="auto"/>
            <w:tcMar>
              <w:top w:w="100" w:type="dxa"/>
              <w:left w:w="100" w:type="dxa"/>
              <w:bottom w:w="100" w:type="dxa"/>
              <w:right w:w="100" w:type="dxa"/>
            </w:tcMar>
          </w:tcPr>
          <w:p w:rsidR="00776391" w:rsidRDefault="003F2E20">
            <w:pPr>
              <w:widowControl w:val="0"/>
              <w:numPr>
                <w:ilvl w:val="0"/>
                <w:numId w:val="13"/>
              </w:numPr>
              <w:spacing w:line="240" w:lineRule="auto"/>
              <w:ind w:left="360"/>
              <w:rPr>
                <w:sz w:val="20"/>
                <w:szCs w:val="20"/>
              </w:rPr>
            </w:pPr>
            <w:r>
              <w:rPr>
                <w:sz w:val="20"/>
                <w:szCs w:val="20"/>
              </w:rPr>
              <w:t xml:space="preserve">Academic achievement </w:t>
            </w:r>
          </w:p>
        </w:tc>
        <w:tc>
          <w:tcPr>
            <w:tcW w:w="8250" w:type="dxa"/>
            <w:shd w:val="clear" w:color="auto" w:fill="auto"/>
            <w:tcMar>
              <w:top w:w="100" w:type="dxa"/>
              <w:left w:w="100" w:type="dxa"/>
              <w:bottom w:w="100" w:type="dxa"/>
              <w:right w:w="100" w:type="dxa"/>
            </w:tcMar>
          </w:tcPr>
          <w:p w:rsidR="00776391" w:rsidRDefault="003F2E20">
            <w:pPr>
              <w:widowControl w:val="0"/>
              <w:numPr>
                <w:ilvl w:val="0"/>
                <w:numId w:val="10"/>
              </w:numPr>
              <w:spacing w:line="240" w:lineRule="auto"/>
              <w:ind w:left="450"/>
              <w:rPr>
                <w:sz w:val="20"/>
                <w:szCs w:val="20"/>
              </w:rPr>
            </w:pPr>
            <w:r>
              <w:rPr>
                <w:sz w:val="20"/>
                <w:szCs w:val="20"/>
              </w:rPr>
              <w:t>Percentage of homeless students passing both the ILEARN English/Language Arts and Math assessments,</w:t>
            </w:r>
          </w:p>
          <w:p w:rsidR="00776391" w:rsidRDefault="003F2E20">
            <w:pPr>
              <w:widowControl w:val="0"/>
              <w:numPr>
                <w:ilvl w:val="0"/>
                <w:numId w:val="10"/>
              </w:numPr>
              <w:spacing w:line="240" w:lineRule="auto"/>
              <w:ind w:left="450"/>
              <w:rPr>
                <w:sz w:val="20"/>
                <w:szCs w:val="20"/>
              </w:rPr>
            </w:pPr>
            <w:r>
              <w:rPr>
                <w:sz w:val="20"/>
                <w:szCs w:val="20"/>
              </w:rPr>
              <w:t>Percentage of homeless students passing both the IREAD-3 assessments</w:t>
            </w:r>
          </w:p>
          <w:p w:rsidR="00776391" w:rsidRDefault="003F2E20">
            <w:pPr>
              <w:widowControl w:val="0"/>
              <w:numPr>
                <w:ilvl w:val="0"/>
                <w:numId w:val="10"/>
              </w:numPr>
              <w:spacing w:line="240" w:lineRule="auto"/>
              <w:ind w:left="450"/>
              <w:rPr>
                <w:sz w:val="20"/>
                <w:szCs w:val="20"/>
              </w:rPr>
            </w:pPr>
            <w:r>
              <w:rPr>
                <w:sz w:val="20"/>
                <w:szCs w:val="20"/>
              </w:rPr>
              <w:t>Other: _____________________</w:t>
            </w:r>
          </w:p>
        </w:tc>
      </w:tr>
      <w:tr w:rsidR="00776391">
        <w:tc>
          <w:tcPr>
            <w:tcW w:w="2070" w:type="dxa"/>
            <w:shd w:val="clear" w:color="auto" w:fill="auto"/>
            <w:tcMar>
              <w:top w:w="100" w:type="dxa"/>
              <w:left w:w="100" w:type="dxa"/>
              <w:bottom w:w="100" w:type="dxa"/>
              <w:right w:w="100" w:type="dxa"/>
            </w:tcMar>
          </w:tcPr>
          <w:p w:rsidR="00776391" w:rsidRDefault="003F2E20">
            <w:pPr>
              <w:widowControl w:val="0"/>
              <w:spacing w:line="240" w:lineRule="auto"/>
              <w:ind w:left="360"/>
              <w:rPr>
                <w:i/>
                <w:sz w:val="20"/>
                <w:szCs w:val="20"/>
              </w:rPr>
            </w:pPr>
            <w:r>
              <w:rPr>
                <w:i/>
                <w:sz w:val="20"/>
                <w:szCs w:val="20"/>
              </w:rPr>
              <w:t>Rationale</w:t>
            </w:r>
          </w:p>
        </w:tc>
        <w:tc>
          <w:tcPr>
            <w:tcW w:w="8250" w:type="dxa"/>
            <w:shd w:val="clear" w:color="auto" w:fill="auto"/>
            <w:tcMar>
              <w:top w:w="100" w:type="dxa"/>
              <w:left w:w="100" w:type="dxa"/>
              <w:bottom w:w="100" w:type="dxa"/>
              <w:right w:w="100" w:type="dxa"/>
            </w:tcMar>
          </w:tcPr>
          <w:p w:rsidR="00776391" w:rsidRDefault="003F2E20">
            <w:pPr>
              <w:widowControl w:val="0"/>
              <w:spacing w:line="240" w:lineRule="auto"/>
              <w:ind w:left="90"/>
              <w:rPr>
                <w:sz w:val="20"/>
                <w:szCs w:val="20"/>
              </w:rPr>
            </w:pPr>
            <w:r>
              <w:rPr>
                <w:sz w:val="20"/>
                <w:szCs w:val="20"/>
              </w:rPr>
              <w:t>Explain here the instrument(s) chosen, whether adaptations were made (and what they were), or if other measurements were chosen. If other instruments were chosen, please explain the rationale, including the extent the instruments’ reliability and validity,</w:t>
            </w:r>
            <w:r>
              <w:rPr>
                <w:sz w:val="20"/>
                <w:szCs w:val="20"/>
              </w:rPr>
              <w:t xml:space="preserve"> feasibility, and relevance.</w:t>
            </w:r>
          </w:p>
          <w:p w:rsidR="00776391" w:rsidRDefault="00776391">
            <w:pPr>
              <w:widowControl w:val="0"/>
              <w:spacing w:line="240" w:lineRule="auto"/>
              <w:ind w:left="90"/>
              <w:rPr>
                <w:sz w:val="20"/>
                <w:szCs w:val="20"/>
              </w:rPr>
            </w:pPr>
          </w:p>
        </w:tc>
      </w:tr>
      <w:tr w:rsidR="00776391">
        <w:trPr>
          <w:trHeight w:val="400"/>
        </w:trPr>
        <w:tc>
          <w:tcPr>
            <w:tcW w:w="10320" w:type="dxa"/>
            <w:gridSpan w:val="2"/>
            <w:shd w:val="clear" w:color="auto" w:fill="auto"/>
            <w:tcMar>
              <w:top w:w="100" w:type="dxa"/>
              <w:left w:w="100" w:type="dxa"/>
              <w:bottom w:w="100" w:type="dxa"/>
              <w:right w:w="100" w:type="dxa"/>
            </w:tcMar>
          </w:tcPr>
          <w:p w:rsidR="00776391" w:rsidRDefault="003F2E20">
            <w:pPr>
              <w:widowControl w:val="0"/>
              <w:spacing w:line="240" w:lineRule="auto"/>
              <w:rPr>
                <w:b/>
                <w:sz w:val="20"/>
                <w:szCs w:val="20"/>
              </w:rPr>
            </w:pPr>
            <w:r>
              <w:rPr>
                <w:b/>
                <w:sz w:val="20"/>
                <w:szCs w:val="20"/>
              </w:rPr>
              <w:lastRenderedPageBreak/>
              <w:t>Promotion/Graduation</w:t>
            </w:r>
          </w:p>
        </w:tc>
      </w:tr>
      <w:tr w:rsidR="00776391">
        <w:tc>
          <w:tcPr>
            <w:tcW w:w="2070" w:type="dxa"/>
            <w:shd w:val="clear" w:color="auto" w:fill="auto"/>
            <w:tcMar>
              <w:top w:w="100" w:type="dxa"/>
              <w:left w:w="100" w:type="dxa"/>
              <w:bottom w:w="100" w:type="dxa"/>
              <w:right w:w="100" w:type="dxa"/>
            </w:tcMar>
          </w:tcPr>
          <w:p w:rsidR="00776391" w:rsidRDefault="003F2E20">
            <w:pPr>
              <w:widowControl w:val="0"/>
              <w:numPr>
                <w:ilvl w:val="0"/>
                <w:numId w:val="6"/>
              </w:numPr>
              <w:spacing w:line="240" w:lineRule="auto"/>
              <w:ind w:left="360"/>
              <w:rPr>
                <w:sz w:val="20"/>
                <w:szCs w:val="20"/>
              </w:rPr>
            </w:pPr>
            <w:r>
              <w:rPr>
                <w:sz w:val="20"/>
                <w:szCs w:val="20"/>
              </w:rPr>
              <w:t>Student retention</w:t>
            </w:r>
          </w:p>
        </w:tc>
        <w:tc>
          <w:tcPr>
            <w:tcW w:w="8250" w:type="dxa"/>
            <w:shd w:val="clear" w:color="auto" w:fill="auto"/>
            <w:tcMar>
              <w:top w:w="100" w:type="dxa"/>
              <w:left w:w="100" w:type="dxa"/>
              <w:bottom w:w="100" w:type="dxa"/>
              <w:right w:w="100" w:type="dxa"/>
            </w:tcMar>
          </w:tcPr>
          <w:p w:rsidR="00776391" w:rsidRDefault="003F2E20">
            <w:pPr>
              <w:widowControl w:val="0"/>
              <w:numPr>
                <w:ilvl w:val="0"/>
                <w:numId w:val="4"/>
              </w:numPr>
              <w:spacing w:line="240" w:lineRule="auto"/>
              <w:ind w:left="450"/>
              <w:rPr>
                <w:sz w:val="20"/>
                <w:szCs w:val="20"/>
              </w:rPr>
            </w:pPr>
            <w:r>
              <w:rPr>
                <w:sz w:val="20"/>
                <w:szCs w:val="20"/>
              </w:rPr>
              <w:t>Percentage of homeless students who advance to the next grade</w:t>
            </w:r>
          </w:p>
          <w:p w:rsidR="00776391" w:rsidRDefault="003F2E20">
            <w:pPr>
              <w:widowControl w:val="0"/>
              <w:numPr>
                <w:ilvl w:val="0"/>
                <w:numId w:val="4"/>
              </w:numPr>
              <w:spacing w:line="240" w:lineRule="auto"/>
              <w:ind w:left="450"/>
              <w:rPr>
                <w:sz w:val="20"/>
                <w:szCs w:val="20"/>
              </w:rPr>
            </w:pPr>
            <w:r>
              <w:rPr>
                <w:sz w:val="20"/>
                <w:szCs w:val="20"/>
              </w:rPr>
              <w:t>Percentage of homeless students advancing to the next grade and enrolled in the same school the following semester/school year</w:t>
            </w:r>
          </w:p>
          <w:p w:rsidR="00776391" w:rsidRDefault="003F2E20">
            <w:pPr>
              <w:widowControl w:val="0"/>
              <w:numPr>
                <w:ilvl w:val="0"/>
                <w:numId w:val="4"/>
              </w:numPr>
              <w:spacing w:line="240" w:lineRule="auto"/>
              <w:ind w:left="450"/>
              <w:rPr>
                <w:sz w:val="20"/>
                <w:szCs w:val="20"/>
              </w:rPr>
            </w:pPr>
            <w:r>
              <w:rPr>
                <w:sz w:val="20"/>
                <w:szCs w:val="20"/>
              </w:rPr>
              <w:t>Other: _____________________</w:t>
            </w:r>
          </w:p>
        </w:tc>
      </w:tr>
      <w:tr w:rsidR="00776391">
        <w:tc>
          <w:tcPr>
            <w:tcW w:w="2070" w:type="dxa"/>
            <w:shd w:val="clear" w:color="auto" w:fill="auto"/>
            <w:tcMar>
              <w:top w:w="100" w:type="dxa"/>
              <w:left w:w="100" w:type="dxa"/>
              <w:bottom w:w="100" w:type="dxa"/>
              <w:right w:w="100" w:type="dxa"/>
            </w:tcMar>
          </w:tcPr>
          <w:p w:rsidR="00776391" w:rsidRDefault="003F2E20">
            <w:pPr>
              <w:widowControl w:val="0"/>
              <w:numPr>
                <w:ilvl w:val="0"/>
                <w:numId w:val="7"/>
              </w:numPr>
              <w:spacing w:line="240" w:lineRule="auto"/>
              <w:ind w:left="360"/>
              <w:rPr>
                <w:sz w:val="20"/>
                <w:szCs w:val="20"/>
              </w:rPr>
            </w:pPr>
            <w:r>
              <w:rPr>
                <w:sz w:val="20"/>
                <w:szCs w:val="20"/>
              </w:rPr>
              <w:t xml:space="preserve">Graduation </w:t>
            </w:r>
          </w:p>
        </w:tc>
        <w:tc>
          <w:tcPr>
            <w:tcW w:w="8250" w:type="dxa"/>
            <w:shd w:val="clear" w:color="auto" w:fill="auto"/>
            <w:tcMar>
              <w:top w:w="100" w:type="dxa"/>
              <w:left w:w="100" w:type="dxa"/>
              <w:bottom w:w="100" w:type="dxa"/>
              <w:right w:w="100" w:type="dxa"/>
            </w:tcMar>
          </w:tcPr>
          <w:p w:rsidR="00776391" w:rsidRDefault="003F2E20">
            <w:pPr>
              <w:widowControl w:val="0"/>
              <w:numPr>
                <w:ilvl w:val="0"/>
                <w:numId w:val="10"/>
              </w:numPr>
              <w:spacing w:line="240" w:lineRule="auto"/>
              <w:ind w:left="450"/>
              <w:rPr>
                <w:sz w:val="20"/>
                <w:szCs w:val="20"/>
              </w:rPr>
            </w:pPr>
            <w:r>
              <w:rPr>
                <w:sz w:val="20"/>
                <w:szCs w:val="20"/>
              </w:rPr>
              <w:t>Percentage of homeless students graduating high school within a certain timeframe</w:t>
            </w:r>
          </w:p>
          <w:p w:rsidR="00776391" w:rsidRDefault="003F2E20">
            <w:pPr>
              <w:widowControl w:val="0"/>
              <w:numPr>
                <w:ilvl w:val="0"/>
                <w:numId w:val="10"/>
              </w:numPr>
              <w:spacing w:line="240" w:lineRule="auto"/>
              <w:ind w:left="450"/>
              <w:rPr>
                <w:sz w:val="20"/>
                <w:szCs w:val="20"/>
              </w:rPr>
            </w:pPr>
            <w:r>
              <w:rPr>
                <w:sz w:val="20"/>
                <w:szCs w:val="20"/>
              </w:rPr>
              <w:t>Percentage of homeless students graduating high school with specific types of diplomas (e.g., Core-40 with academic or technical honors)</w:t>
            </w:r>
          </w:p>
          <w:p w:rsidR="00776391" w:rsidRDefault="003F2E20">
            <w:pPr>
              <w:widowControl w:val="0"/>
              <w:numPr>
                <w:ilvl w:val="0"/>
                <w:numId w:val="10"/>
              </w:numPr>
              <w:spacing w:line="240" w:lineRule="auto"/>
              <w:ind w:left="450"/>
              <w:rPr>
                <w:sz w:val="20"/>
                <w:szCs w:val="20"/>
              </w:rPr>
            </w:pPr>
            <w:r>
              <w:rPr>
                <w:sz w:val="20"/>
                <w:szCs w:val="20"/>
              </w:rPr>
              <w:t>Other: _____________________</w:t>
            </w:r>
          </w:p>
        </w:tc>
      </w:tr>
      <w:tr w:rsidR="00776391">
        <w:tc>
          <w:tcPr>
            <w:tcW w:w="2070" w:type="dxa"/>
            <w:shd w:val="clear" w:color="auto" w:fill="auto"/>
            <w:tcMar>
              <w:top w:w="100" w:type="dxa"/>
              <w:left w:w="100" w:type="dxa"/>
              <w:bottom w:w="100" w:type="dxa"/>
              <w:right w:w="100" w:type="dxa"/>
            </w:tcMar>
          </w:tcPr>
          <w:p w:rsidR="00776391" w:rsidRDefault="003F2E20">
            <w:pPr>
              <w:widowControl w:val="0"/>
              <w:spacing w:line="240" w:lineRule="auto"/>
              <w:ind w:left="360"/>
              <w:rPr>
                <w:i/>
                <w:sz w:val="20"/>
                <w:szCs w:val="20"/>
              </w:rPr>
            </w:pPr>
            <w:r>
              <w:rPr>
                <w:i/>
                <w:sz w:val="20"/>
                <w:szCs w:val="20"/>
              </w:rPr>
              <w:t>Rationale</w:t>
            </w:r>
          </w:p>
        </w:tc>
        <w:tc>
          <w:tcPr>
            <w:tcW w:w="8250" w:type="dxa"/>
            <w:shd w:val="clear" w:color="auto" w:fill="auto"/>
            <w:tcMar>
              <w:top w:w="100" w:type="dxa"/>
              <w:left w:w="100" w:type="dxa"/>
              <w:bottom w:w="100" w:type="dxa"/>
              <w:right w:w="100" w:type="dxa"/>
            </w:tcMar>
          </w:tcPr>
          <w:p w:rsidR="00776391" w:rsidRDefault="003F2E20">
            <w:pPr>
              <w:widowControl w:val="0"/>
              <w:spacing w:line="240" w:lineRule="auto"/>
              <w:ind w:left="90"/>
              <w:rPr>
                <w:sz w:val="20"/>
                <w:szCs w:val="20"/>
              </w:rPr>
            </w:pPr>
            <w:r>
              <w:rPr>
                <w:sz w:val="20"/>
                <w:szCs w:val="20"/>
              </w:rPr>
              <w:t xml:space="preserve">Explain here the instrument(s) chosen, whether adaptations were made (and what </w:t>
            </w:r>
            <w:r>
              <w:rPr>
                <w:sz w:val="20"/>
                <w:szCs w:val="20"/>
              </w:rPr>
              <w:t>they were), or if other measurements were chosen. If other instruments were chosen, please explain the rationale, including the extent the instruments’ reliability and validity, feasibility, and relevance.</w:t>
            </w:r>
          </w:p>
        </w:tc>
      </w:tr>
      <w:tr w:rsidR="00776391">
        <w:trPr>
          <w:trHeight w:val="400"/>
        </w:trPr>
        <w:tc>
          <w:tcPr>
            <w:tcW w:w="10320" w:type="dxa"/>
            <w:gridSpan w:val="2"/>
            <w:shd w:val="clear" w:color="auto" w:fill="auto"/>
            <w:tcMar>
              <w:top w:w="100" w:type="dxa"/>
              <w:left w:w="100" w:type="dxa"/>
              <w:bottom w:w="100" w:type="dxa"/>
              <w:right w:w="100" w:type="dxa"/>
            </w:tcMar>
          </w:tcPr>
          <w:p w:rsidR="00776391" w:rsidRDefault="003F2E20">
            <w:pPr>
              <w:widowControl w:val="0"/>
              <w:spacing w:line="240" w:lineRule="auto"/>
              <w:rPr>
                <w:b/>
                <w:sz w:val="20"/>
                <w:szCs w:val="20"/>
              </w:rPr>
            </w:pPr>
            <w:r>
              <w:rPr>
                <w:b/>
                <w:sz w:val="20"/>
                <w:szCs w:val="20"/>
              </w:rPr>
              <w:t>Other Stakeholder Outcomes</w:t>
            </w:r>
          </w:p>
        </w:tc>
      </w:tr>
      <w:tr w:rsidR="00776391">
        <w:tc>
          <w:tcPr>
            <w:tcW w:w="2070" w:type="dxa"/>
            <w:shd w:val="clear" w:color="auto" w:fill="auto"/>
            <w:tcMar>
              <w:top w:w="100" w:type="dxa"/>
              <w:left w:w="100" w:type="dxa"/>
              <w:bottom w:w="100" w:type="dxa"/>
              <w:right w:w="100" w:type="dxa"/>
            </w:tcMar>
          </w:tcPr>
          <w:p w:rsidR="00776391" w:rsidRDefault="003F2E20">
            <w:pPr>
              <w:widowControl w:val="0"/>
              <w:numPr>
                <w:ilvl w:val="0"/>
                <w:numId w:val="2"/>
              </w:numPr>
              <w:spacing w:line="240" w:lineRule="auto"/>
              <w:ind w:left="360"/>
              <w:rPr>
                <w:sz w:val="20"/>
                <w:szCs w:val="20"/>
              </w:rPr>
            </w:pPr>
            <w:r>
              <w:rPr>
                <w:sz w:val="20"/>
                <w:szCs w:val="20"/>
              </w:rPr>
              <w:t xml:space="preserve">Stable housing </w:t>
            </w:r>
            <w:r>
              <w:rPr>
                <w:sz w:val="24"/>
                <w:szCs w:val="24"/>
                <w:vertAlign w:val="superscript"/>
              </w:rPr>
              <w:t>1</w:t>
            </w:r>
          </w:p>
        </w:tc>
        <w:tc>
          <w:tcPr>
            <w:tcW w:w="8250" w:type="dxa"/>
            <w:shd w:val="clear" w:color="auto" w:fill="auto"/>
            <w:tcMar>
              <w:top w:w="100" w:type="dxa"/>
              <w:left w:w="100" w:type="dxa"/>
              <w:bottom w:w="100" w:type="dxa"/>
              <w:right w:w="100" w:type="dxa"/>
            </w:tcMar>
          </w:tcPr>
          <w:p w:rsidR="00776391" w:rsidRDefault="003F2E20">
            <w:pPr>
              <w:widowControl w:val="0"/>
              <w:numPr>
                <w:ilvl w:val="0"/>
                <w:numId w:val="12"/>
              </w:numPr>
              <w:spacing w:line="240" w:lineRule="auto"/>
              <w:ind w:left="450"/>
              <w:rPr>
                <w:sz w:val="20"/>
                <w:szCs w:val="20"/>
              </w:rPr>
            </w:pPr>
            <w:hyperlink r:id="rId16">
              <w:r>
                <w:rPr>
                  <w:color w:val="1155CC"/>
                  <w:sz w:val="20"/>
                  <w:szCs w:val="20"/>
                  <w:u w:val="single"/>
                </w:rPr>
                <w:t>Housing Security Scale (HSS)</w:t>
              </w:r>
            </w:hyperlink>
            <w:r>
              <w:rPr>
                <w:sz w:val="20"/>
                <w:szCs w:val="20"/>
              </w:rPr>
              <w:t xml:space="preserve"> </w:t>
            </w:r>
          </w:p>
          <w:p w:rsidR="00776391" w:rsidRDefault="003F2E20">
            <w:pPr>
              <w:widowControl w:val="0"/>
              <w:numPr>
                <w:ilvl w:val="0"/>
                <w:numId w:val="12"/>
              </w:numPr>
              <w:spacing w:line="240" w:lineRule="auto"/>
              <w:ind w:left="450"/>
              <w:rPr>
                <w:sz w:val="20"/>
                <w:szCs w:val="20"/>
              </w:rPr>
            </w:pPr>
            <w:hyperlink r:id="rId17">
              <w:r>
                <w:rPr>
                  <w:color w:val="1155CC"/>
                  <w:sz w:val="20"/>
                  <w:szCs w:val="20"/>
                  <w:u w:val="single"/>
                </w:rPr>
                <w:t>Residential Time-Line Follow-Back Inventory (TLFB)</w:t>
              </w:r>
            </w:hyperlink>
          </w:p>
          <w:p w:rsidR="00776391" w:rsidRDefault="003F2E20">
            <w:pPr>
              <w:widowControl w:val="0"/>
              <w:numPr>
                <w:ilvl w:val="0"/>
                <w:numId w:val="12"/>
              </w:numPr>
              <w:spacing w:line="240" w:lineRule="auto"/>
              <w:ind w:left="450"/>
              <w:rPr>
                <w:sz w:val="20"/>
                <w:szCs w:val="20"/>
              </w:rPr>
            </w:pPr>
            <w:hyperlink r:id="rId18">
              <w:r>
                <w:rPr>
                  <w:color w:val="1155CC"/>
                  <w:sz w:val="20"/>
                  <w:szCs w:val="20"/>
                  <w:u w:val="single"/>
                </w:rPr>
                <w:t>Homeless Management Information System (HMIS) Data Standards</w:t>
              </w:r>
            </w:hyperlink>
            <w:r>
              <w:rPr>
                <w:sz w:val="20"/>
                <w:szCs w:val="20"/>
              </w:rPr>
              <w:t xml:space="preserve"> for the Destination to</w:t>
            </w:r>
            <w:r>
              <w:rPr>
                <w:sz w:val="20"/>
                <w:szCs w:val="20"/>
              </w:rPr>
              <w:t>pic (p. 48)</w:t>
            </w:r>
          </w:p>
          <w:p w:rsidR="00776391" w:rsidRDefault="003F2E20">
            <w:pPr>
              <w:widowControl w:val="0"/>
              <w:numPr>
                <w:ilvl w:val="0"/>
                <w:numId w:val="12"/>
              </w:numPr>
              <w:spacing w:line="240" w:lineRule="auto"/>
              <w:ind w:left="450"/>
              <w:rPr>
                <w:sz w:val="20"/>
                <w:szCs w:val="20"/>
              </w:rPr>
            </w:pPr>
            <w:r>
              <w:rPr>
                <w:sz w:val="20"/>
                <w:szCs w:val="20"/>
              </w:rPr>
              <w:t>Other: _____________________</w:t>
            </w:r>
          </w:p>
        </w:tc>
      </w:tr>
      <w:tr w:rsidR="00776391">
        <w:tc>
          <w:tcPr>
            <w:tcW w:w="2070" w:type="dxa"/>
            <w:shd w:val="clear" w:color="auto" w:fill="auto"/>
            <w:tcMar>
              <w:top w:w="100" w:type="dxa"/>
              <w:left w:w="100" w:type="dxa"/>
              <w:bottom w:w="100" w:type="dxa"/>
              <w:right w:w="100" w:type="dxa"/>
            </w:tcMar>
          </w:tcPr>
          <w:p w:rsidR="00776391" w:rsidRDefault="003F2E20">
            <w:pPr>
              <w:widowControl w:val="0"/>
              <w:numPr>
                <w:ilvl w:val="0"/>
                <w:numId w:val="11"/>
              </w:numPr>
              <w:spacing w:line="240" w:lineRule="auto"/>
              <w:ind w:left="360"/>
              <w:rPr>
                <w:sz w:val="20"/>
                <w:szCs w:val="20"/>
              </w:rPr>
            </w:pPr>
            <w:r>
              <w:rPr>
                <w:sz w:val="20"/>
                <w:szCs w:val="20"/>
              </w:rPr>
              <w:t>Other</w:t>
            </w:r>
          </w:p>
        </w:tc>
        <w:tc>
          <w:tcPr>
            <w:tcW w:w="8250" w:type="dxa"/>
            <w:shd w:val="clear" w:color="auto" w:fill="auto"/>
            <w:tcMar>
              <w:top w:w="100" w:type="dxa"/>
              <w:left w:w="100" w:type="dxa"/>
              <w:bottom w:w="100" w:type="dxa"/>
              <w:right w:w="100" w:type="dxa"/>
            </w:tcMar>
          </w:tcPr>
          <w:p w:rsidR="00776391" w:rsidRDefault="003F2E20">
            <w:pPr>
              <w:widowControl w:val="0"/>
              <w:spacing w:line="240" w:lineRule="auto"/>
              <w:rPr>
                <w:sz w:val="20"/>
                <w:szCs w:val="20"/>
              </w:rPr>
            </w:pPr>
            <w:r>
              <w:rPr>
                <w:sz w:val="20"/>
                <w:szCs w:val="20"/>
              </w:rPr>
              <w:t>If there are one or more outcomes that the grantee is intent on measuring, or other measures used for the outcomes, they can list them in the table. However, they will need to provide a rationale for why these outcomes were included in the “Notes” column.</w:t>
            </w:r>
          </w:p>
        </w:tc>
      </w:tr>
      <w:tr w:rsidR="00776391">
        <w:tc>
          <w:tcPr>
            <w:tcW w:w="2070" w:type="dxa"/>
            <w:shd w:val="clear" w:color="auto" w:fill="auto"/>
            <w:tcMar>
              <w:top w:w="100" w:type="dxa"/>
              <w:left w:w="100" w:type="dxa"/>
              <w:bottom w:w="100" w:type="dxa"/>
              <w:right w:w="100" w:type="dxa"/>
            </w:tcMar>
          </w:tcPr>
          <w:p w:rsidR="00776391" w:rsidRDefault="003F2E20">
            <w:pPr>
              <w:widowControl w:val="0"/>
              <w:spacing w:line="240" w:lineRule="auto"/>
              <w:ind w:left="360"/>
              <w:rPr>
                <w:i/>
                <w:sz w:val="20"/>
                <w:szCs w:val="20"/>
              </w:rPr>
            </w:pPr>
            <w:r>
              <w:rPr>
                <w:i/>
                <w:sz w:val="20"/>
                <w:szCs w:val="20"/>
              </w:rPr>
              <w:t>Rationale</w:t>
            </w:r>
          </w:p>
        </w:tc>
        <w:tc>
          <w:tcPr>
            <w:tcW w:w="8250" w:type="dxa"/>
            <w:shd w:val="clear" w:color="auto" w:fill="auto"/>
            <w:tcMar>
              <w:top w:w="100" w:type="dxa"/>
              <w:left w:w="100" w:type="dxa"/>
              <w:bottom w:w="100" w:type="dxa"/>
              <w:right w:w="100" w:type="dxa"/>
            </w:tcMar>
          </w:tcPr>
          <w:p w:rsidR="00776391" w:rsidRDefault="003F2E20">
            <w:pPr>
              <w:widowControl w:val="0"/>
              <w:spacing w:line="240" w:lineRule="auto"/>
              <w:ind w:left="90"/>
              <w:rPr>
                <w:sz w:val="20"/>
                <w:szCs w:val="20"/>
              </w:rPr>
            </w:pPr>
            <w:r>
              <w:rPr>
                <w:sz w:val="20"/>
                <w:szCs w:val="20"/>
              </w:rPr>
              <w:t>Explain here the instrument(s) chosen, whether adaptations were made (and what they were), or if other measurements were chosen. If other instruments were chosen, please explain the rationale, including the extent the instruments’ reliability an</w:t>
            </w:r>
            <w:r>
              <w:rPr>
                <w:sz w:val="20"/>
                <w:szCs w:val="20"/>
              </w:rPr>
              <w:t>d validity, feasibility, and relevance.</w:t>
            </w:r>
          </w:p>
        </w:tc>
      </w:tr>
    </w:tbl>
    <w:p w:rsidR="00776391" w:rsidRDefault="003F2E20">
      <w:pPr>
        <w:rPr>
          <w:sz w:val="18"/>
          <w:szCs w:val="18"/>
        </w:rPr>
      </w:pPr>
      <w:proofErr w:type="gramStart"/>
      <w:r>
        <w:rPr>
          <w:sz w:val="18"/>
          <w:szCs w:val="18"/>
          <w:vertAlign w:val="superscript"/>
        </w:rPr>
        <w:t>a</w:t>
      </w:r>
      <w:proofErr w:type="gramEnd"/>
      <w:r>
        <w:rPr>
          <w:sz w:val="18"/>
          <w:szCs w:val="18"/>
        </w:rPr>
        <w:t xml:space="preserve"> Please reference </w:t>
      </w:r>
      <w:hyperlink r:id="rId19">
        <w:r>
          <w:rPr>
            <w:color w:val="1155CC"/>
            <w:sz w:val="18"/>
            <w:szCs w:val="18"/>
            <w:u w:val="single"/>
          </w:rPr>
          <w:t>https://www.chapinhall.org/wp-content/uploads/Measuring-Up-Youth-Outcomes-Project-Youth-Collaboratory-Chapin-Hall-Final-v8.pdf</w:t>
        </w:r>
      </w:hyperlink>
      <w:r>
        <w:rPr>
          <w:sz w:val="18"/>
          <w:szCs w:val="18"/>
        </w:rPr>
        <w:t xml:space="preserve">  for more comprehensive information on these measures. It is strongly encouraged to view p.4 of this document and click on the co</w:t>
      </w:r>
      <w:r>
        <w:rPr>
          <w:sz w:val="18"/>
          <w:szCs w:val="18"/>
        </w:rPr>
        <w:t xml:space="preserve">rresponding measure, which will take you to the place in the document where you can learn more about the </w:t>
      </w:r>
      <w:proofErr w:type="spellStart"/>
      <w:r>
        <w:rPr>
          <w:sz w:val="18"/>
          <w:szCs w:val="18"/>
        </w:rPr>
        <w:t>measure</w:t>
      </w:r>
      <w:proofErr w:type="gramStart"/>
      <w:r>
        <w:rPr>
          <w:sz w:val="18"/>
          <w:szCs w:val="18"/>
        </w:rPr>
        <w:t>,view</w:t>
      </w:r>
      <w:proofErr w:type="spellEnd"/>
      <w:proofErr w:type="gramEnd"/>
      <w:r>
        <w:rPr>
          <w:sz w:val="18"/>
          <w:szCs w:val="18"/>
        </w:rPr>
        <w:t xml:space="preserve"> the instrument, and learn how to administer it. </w:t>
      </w:r>
    </w:p>
    <w:p w:rsidR="00776391" w:rsidRDefault="003F2E20">
      <w:pPr>
        <w:rPr>
          <w:sz w:val="18"/>
          <w:szCs w:val="18"/>
        </w:rPr>
      </w:pPr>
      <w:proofErr w:type="gramStart"/>
      <w:r>
        <w:rPr>
          <w:sz w:val="18"/>
          <w:szCs w:val="18"/>
          <w:vertAlign w:val="superscript"/>
        </w:rPr>
        <w:t>b</w:t>
      </w:r>
      <w:proofErr w:type="gramEnd"/>
      <w:r>
        <w:rPr>
          <w:sz w:val="18"/>
          <w:szCs w:val="18"/>
        </w:rPr>
        <w:t xml:space="preserve"> Please reference </w:t>
      </w:r>
      <w:hyperlink r:id="rId20">
        <w:r>
          <w:rPr>
            <w:color w:val="1155CC"/>
            <w:sz w:val="18"/>
            <w:szCs w:val="18"/>
            <w:u w:val="single"/>
          </w:rPr>
          <w:t>htt</w:t>
        </w:r>
        <w:r>
          <w:rPr>
            <w:color w:val="1155CC"/>
            <w:sz w:val="18"/>
            <w:szCs w:val="18"/>
            <w:u w:val="single"/>
          </w:rPr>
          <w:t>ps://files.eric.ed.gov/fulltext/ED514996.pdf</w:t>
        </w:r>
      </w:hyperlink>
      <w:r>
        <w:rPr>
          <w:sz w:val="18"/>
          <w:szCs w:val="18"/>
        </w:rPr>
        <w:t xml:space="preserve"> for more comprehensive information on these measures. </w:t>
      </w:r>
    </w:p>
    <w:p w:rsidR="00776391" w:rsidRDefault="00776391"/>
    <w:sectPr w:rsidR="0077639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76991"/>
    <w:multiLevelType w:val="multilevel"/>
    <w:tmpl w:val="4F526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2E6A82"/>
    <w:multiLevelType w:val="multilevel"/>
    <w:tmpl w:val="76F4D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DE49A3"/>
    <w:multiLevelType w:val="multilevel"/>
    <w:tmpl w:val="72D6D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CE48DB"/>
    <w:multiLevelType w:val="multilevel"/>
    <w:tmpl w:val="A06CC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2E4EDD"/>
    <w:multiLevelType w:val="multilevel"/>
    <w:tmpl w:val="5F7EF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E47B0E"/>
    <w:multiLevelType w:val="multilevel"/>
    <w:tmpl w:val="58542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EE6C0D"/>
    <w:multiLevelType w:val="multilevel"/>
    <w:tmpl w:val="E0826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560C72"/>
    <w:multiLevelType w:val="multilevel"/>
    <w:tmpl w:val="4EB6F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134093"/>
    <w:multiLevelType w:val="multilevel"/>
    <w:tmpl w:val="0270D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376423D"/>
    <w:multiLevelType w:val="multilevel"/>
    <w:tmpl w:val="D59EC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1D35583"/>
    <w:multiLevelType w:val="multilevel"/>
    <w:tmpl w:val="8E1C5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53C261F"/>
    <w:multiLevelType w:val="multilevel"/>
    <w:tmpl w:val="793C9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4A0007"/>
    <w:multiLevelType w:val="multilevel"/>
    <w:tmpl w:val="99B09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B81A8F"/>
    <w:multiLevelType w:val="multilevel"/>
    <w:tmpl w:val="3AE48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FE54886"/>
    <w:multiLevelType w:val="multilevel"/>
    <w:tmpl w:val="1E782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10"/>
  </w:num>
  <w:num w:numId="4">
    <w:abstractNumId w:val="13"/>
  </w:num>
  <w:num w:numId="5">
    <w:abstractNumId w:val="9"/>
  </w:num>
  <w:num w:numId="6">
    <w:abstractNumId w:val="12"/>
  </w:num>
  <w:num w:numId="7">
    <w:abstractNumId w:val="7"/>
  </w:num>
  <w:num w:numId="8">
    <w:abstractNumId w:val="3"/>
  </w:num>
  <w:num w:numId="9">
    <w:abstractNumId w:val="8"/>
  </w:num>
  <w:num w:numId="10">
    <w:abstractNumId w:val="0"/>
  </w:num>
  <w:num w:numId="11">
    <w:abstractNumId w:val="11"/>
  </w:num>
  <w:num w:numId="12">
    <w:abstractNumId w:val="5"/>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391"/>
    <w:rsid w:val="003F2E20"/>
    <w:rsid w:val="0077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8DDB4-4603-4F0F-9D57-83E9BA7D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hcp.med.harvard.edu/ncs/k6_scales.php" TargetMode="External"/><Relationship Id="rId13" Type="http://schemas.openxmlformats.org/officeDocument/2006/relationships/hyperlink" Target="http://www.indiana.edu/~ceep/hssse/" TargetMode="External"/><Relationship Id="rId18" Type="http://schemas.openxmlformats.org/officeDocument/2006/relationships/hyperlink" Target="https://files.hudexchange.info/resources/documents/HMIS-Data-Standards-Manual-2017.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lisa.primus@cssp.org" TargetMode="External"/><Relationship Id="rId12" Type="http://schemas.openxmlformats.org/officeDocument/2006/relationships/hyperlink" Target="https://www.pdx.edu/psy/sites/www.pdx.edu.psy/files/Engagement%20vs%20Disaffection-College%20Students%20copy%20%282%29.pdf" TargetMode="External"/><Relationship Id="rId17" Type="http://schemas.openxmlformats.org/officeDocument/2006/relationships/hyperlink" Target="https://www.researchgate.net/publication/42857110_Measuring_Homelessness_and_Residential_Stability_The_Residential_Time-Line_Follow-Back_Inventory" TargetMode="External"/><Relationship Id="rId2" Type="http://schemas.openxmlformats.org/officeDocument/2006/relationships/styles" Target="styles.xml"/><Relationship Id="rId16" Type="http://schemas.openxmlformats.org/officeDocument/2006/relationships/hyperlink" Target="https://onlinelibrary.wiley.com/doi/pdf/10.1002/jcop.21832" TargetMode="External"/><Relationship Id="rId20" Type="http://schemas.openxmlformats.org/officeDocument/2006/relationships/hyperlink" Target="https://files.eric.ed.gov/fulltext/ED514996.pdf" TargetMode="External"/><Relationship Id="rId1" Type="http://schemas.openxmlformats.org/officeDocument/2006/relationships/numbering" Target="numbering.xml"/><Relationship Id="rId6" Type="http://schemas.openxmlformats.org/officeDocument/2006/relationships/hyperlink" Target="https://cssp.org/wp-content/uploads/2018/10/Youth-Thrive-Survey-One-Pager.pdf" TargetMode="External"/><Relationship Id="rId11" Type="http://schemas.openxmlformats.org/officeDocument/2006/relationships/hyperlink" Target="https://cyfar.org/positive-youth-development-student-questionnaire" TargetMode="External"/><Relationship Id="rId5" Type="http://schemas.openxmlformats.org/officeDocument/2006/relationships/hyperlink" Target="https://www.psytoolkit.org/survey-library/mhc-sf.html" TargetMode="External"/><Relationship Id="rId15" Type="http://schemas.openxmlformats.org/officeDocument/2006/relationships/hyperlink" Target="http://stelar.edc.org/sites/stelar.edc.org/files/MSLQ.pdf" TargetMode="External"/><Relationship Id="rId10" Type="http://schemas.openxmlformats.org/officeDocument/2006/relationships/hyperlink" Target="https://praedfoundation.org/tools/the-child-and-adolescent-needs-and-strengths-cans/indiana/?b5-file=2856&amp;b5-folder=2841" TargetMode="External"/><Relationship Id="rId19" Type="http://schemas.openxmlformats.org/officeDocument/2006/relationships/hyperlink" Target="https://www.chapinhall.org/wp-content/uploads/Measuring-Up-Youth-Outcomes-Project-Youth-Collaboratory-Chapin-Hall-Final-v8.pdf" TargetMode="External"/><Relationship Id="rId4" Type="http://schemas.openxmlformats.org/officeDocument/2006/relationships/webSettings" Target="webSettings.xml"/><Relationship Id="rId9" Type="http://schemas.openxmlformats.org/officeDocument/2006/relationships/hyperlink" Target="http://www.cdsgvl.org/forms/il/ansellcasey_assessment_short.pdf" TargetMode="External"/><Relationship Id="rId14" Type="http://schemas.openxmlformats.org/officeDocument/2006/relationships/hyperlink" Target="http://ceep@indiana.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Nathan</dc:creator>
  <cp:lastModifiedBy>Williamson, Nathan</cp:lastModifiedBy>
  <cp:revision>2</cp:revision>
  <dcterms:created xsi:type="dcterms:W3CDTF">2019-07-03T22:56:00Z</dcterms:created>
  <dcterms:modified xsi:type="dcterms:W3CDTF">2019-07-03T22:56:00Z</dcterms:modified>
</cp:coreProperties>
</file>