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1.9999999999999998" w:firstLine="0"/>
        <w:jc w:val="center"/>
        <w:rPr>
          <w:b w:val="1"/>
          <w:color w:val="000000"/>
          <w:sz w:val="26"/>
          <w:szCs w:val="26"/>
        </w:rPr>
      </w:pPr>
      <w:r w:rsidDel="00000000" w:rsidR="00000000" w:rsidRPr="00000000">
        <w:rPr>
          <w:b w:val="1"/>
          <w:color w:val="000000"/>
          <w:sz w:val="26"/>
          <w:szCs w:val="26"/>
          <w:rtl w:val="0"/>
        </w:rPr>
        <w:t xml:space="preserve">School Nutrition Programs</w:t>
      </w:r>
      <w:r w:rsidDel="00000000" w:rsidR="00000000" w:rsidRPr="00000000">
        <w:rPr>
          <w:sz w:val="26"/>
          <w:szCs w:val="26"/>
          <w:rtl w:val="0"/>
        </w:rPr>
        <w:t xml:space="preserve"> </w:t>
      </w:r>
      <w:r w:rsidDel="00000000" w:rsidR="00000000" w:rsidRPr="00000000">
        <w:rPr>
          <w:b w:val="1"/>
          <w:color w:val="000000"/>
          <w:sz w:val="26"/>
          <w:szCs w:val="26"/>
          <w:rtl w:val="0"/>
        </w:rPr>
        <w:t xml:space="preserve">Equipment </w:t>
      </w:r>
    </w:p>
    <w:p w:rsidR="00000000" w:rsidDel="00000000" w:rsidP="00000000" w:rsidRDefault="00000000" w:rsidRPr="00000000" w14:paraId="00000002">
      <w:pPr>
        <w:spacing w:after="200" w:line="240" w:lineRule="auto"/>
        <w:ind w:left="-1.9999999999999998" w:firstLine="0"/>
        <w:jc w:val="center"/>
        <w:rPr>
          <w:color w:val="000000"/>
        </w:rPr>
      </w:pPr>
      <w:r w:rsidDel="00000000" w:rsidR="00000000" w:rsidRPr="00000000">
        <w:rPr>
          <w:b w:val="1"/>
          <w:color w:val="000000"/>
          <w:sz w:val="26"/>
          <w:szCs w:val="26"/>
          <w:rtl w:val="0"/>
        </w:rPr>
        <w:t xml:space="preserve">and Other Capital Expenditure Guidelines</w:t>
      </w:r>
      <w:r w:rsidDel="00000000" w:rsidR="00000000" w:rsidRPr="00000000">
        <w:rPr>
          <w:rtl w:val="0"/>
        </w:rPr>
      </w:r>
    </w:p>
    <w:p w:rsidR="00000000" w:rsidDel="00000000" w:rsidP="00000000" w:rsidRDefault="00000000" w:rsidRPr="00000000" w14:paraId="00000003">
      <w:pPr>
        <w:spacing w:line="240" w:lineRule="auto"/>
        <w:ind w:left="0" w:hanging="2"/>
        <w:rPr>
          <w:color w:val="000000"/>
        </w:rPr>
      </w:pPr>
      <w:r w:rsidDel="00000000" w:rsidR="00000000" w:rsidRPr="00000000">
        <w:rPr>
          <w:color w:val="000000"/>
          <w:rtl w:val="0"/>
        </w:rPr>
        <w:t xml:space="preserve">Government-wide requirements found in the Office of Management and Budget (OMB) guidance </w:t>
      </w:r>
      <w:r w:rsidDel="00000000" w:rsidR="00000000" w:rsidRPr="00000000">
        <w:rPr>
          <w:rtl w:val="0"/>
        </w:rPr>
        <w:t xml:space="preserve">pursuant to</w:t>
      </w:r>
      <w:r w:rsidDel="00000000" w:rsidR="00000000" w:rsidRPr="00000000">
        <w:rPr>
          <w:color w:val="000000"/>
          <w:rtl w:val="0"/>
        </w:rPr>
        <w:t xml:space="preserve"> </w:t>
      </w:r>
      <w:hyperlink r:id="rId7">
        <w:r w:rsidDel="00000000" w:rsidR="00000000" w:rsidRPr="00000000">
          <w:rPr>
            <w:color w:val="1155cc"/>
            <w:u w:val="single"/>
            <w:vertAlign w:val="baseline"/>
            <w:rtl w:val="0"/>
          </w:rPr>
          <w:t xml:space="preserve">2 Code of Federal Regulations (CFR</w:t>
        </w:r>
      </w:hyperlink>
      <w:hyperlink r:id="rId8">
        <w:r w:rsidDel="00000000" w:rsidR="00000000" w:rsidRPr="00000000">
          <w:rPr>
            <w:color w:val="1155cc"/>
            <w:u w:val="single"/>
            <w:rtl w:val="0"/>
          </w:rPr>
          <w:t xml:space="preserve">)</w:t>
        </w:r>
      </w:hyperlink>
      <w:hyperlink r:id="rId9">
        <w:r w:rsidDel="00000000" w:rsidR="00000000" w:rsidRPr="00000000">
          <w:rPr>
            <w:color w:val="1155cc"/>
            <w:u w:val="single"/>
            <w:vertAlign w:val="baseline"/>
            <w:rtl w:val="0"/>
          </w:rPr>
          <w:t xml:space="preserve"> Part 225</w:t>
        </w:r>
      </w:hyperlink>
      <w:r w:rsidDel="00000000" w:rsidR="00000000" w:rsidRPr="00000000">
        <w:rPr>
          <w:color w:val="000000"/>
          <w:rtl w:val="0"/>
        </w:rPr>
        <w:t xml:space="preserve"> </w:t>
      </w:r>
      <w:r w:rsidDel="00000000" w:rsidR="00000000" w:rsidRPr="00000000">
        <w:rPr>
          <w:i w:val="1"/>
          <w:color w:val="000000"/>
          <w:rtl w:val="0"/>
        </w:rPr>
        <w:t xml:space="preserve">(Cost Principles for State, Local, and Indian Tribal Governments), </w:t>
      </w:r>
      <w:r w:rsidDel="00000000" w:rsidR="00000000" w:rsidRPr="00000000">
        <w:rPr>
          <w:color w:val="000000"/>
          <w:rtl w:val="0"/>
        </w:rPr>
        <w:t xml:space="preserve">Appendix B, </w:t>
      </w:r>
      <w:r w:rsidDel="00000000" w:rsidR="00000000" w:rsidRPr="00000000">
        <w:rPr>
          <w:rtl w:val="0"/>
        </w:rPr>
        <w:t xml:space="preserve">S</w:t>
      </w:r>
      <w:r w:rsidDel="00000000" w:rsidR="00000000" w:rsidRPr="00000000">
        <w:rPr>
          <w:color w:val="000000"/>
          <w:rtl w:val="0"/>
        </w:rPr>
        <w:t xml:space="preserve">ection 15 </w:t>
      </w:r>
      <w:r w:rsidDel="00000000" w:rsidR="00000000" w:rsidRPr="00000000">
        <w:rPr>
          <w:i w:val="1"/>
          <w:color w:val="000000"/>
          <w:rtl w:val="0"/>
        </w:rPr>
        <w:t xml:space="preserve">(Equipment and other capital expenditures) </w:t>
      </w:r>
      <w:r w:rsidDel="00000000" w:rsidR="00000000" w:rsidRPr="00000000">
        <w:rPr>
          <w:color w:val="000000"/>
          <w:rtl w:val="0"/>
        </w:rPr>
        <w:t xml:space="preserve">requires a grantee or subgrantee to obtain the prior written approval of its awarding agency before incurring the cost of a capital expenditure. Both OMB</w:t>
      </w:r>
      <w:r w:rsidDel="00000000" w:rsidR="00000000" w:rsidRPr="00000000">
        <w:rPr>
          <w:rtl w:val="0"/>
        </w:rPr>
        <w:t xml:space="preserve">’s</w:t>
      </w:r>
      <w:r w:rsidDel="00000000" w:rsidR="00000000" w:rsidRPr="00000000">
        <w:rPr>
          <w:color w:val="000000"/>
          <w:rtl w:val="0"/>
        </w:rPr>
        <w:t xml:space="preserve"> guidance and Generally Accepted Accounting Principles (GAAP) identify equipment as a capital asset. For purposes of this </w:t>
      </w:r>
      <w:r w:rsidDel="00000000" w:rsidR="00000000" w:rsidRPr="00000000">
        <w:rPr>
          <w:rtl w:val="0"/>
        </w:rPr>
        <w:t xml:space="preserve">federal </w:t>
      </w:r>
      <w:r w:rsidDel="00000000" w:rsidR="00000000" w:rsidRPr="00000000">
        <w:rPr>
          <w:color w:val="000000"/>
          <w:rtl w:val="0"/>
        </w:rPr>
        <w:t xml:space="preserve">prior</w:t>
      </w:r>
      <w:r w:rsidDel="00000000" w:rsidR="00000000" w:rsidRPr="00000000">
        <w:rPr>
          <w:rtl w:val="0"/>
        </w:rPr>
        <w:t xml:space="preserve">-</w:t>
      </w:r>
      <w:r w:rsidDel="00000000" w:rsidR="00000000" w:rsidRPr="00000000">
        <w:rPr>
          <w:color w:val="000000"/>
          <w:rtl w:val="0"/>
        </w:rPr>
        <w:t xml:space="preserve">approval requirement, OMB</w:t>
      </w:r>
      <w:r w:rsidDel="00000000" w:rsidR="00000000" w:rsidRPr="00000000">
        <w:rPr>
          <w:rtl w:val="0"/>
        </w:rPr>
        <w:t xml:space="preserve">’s</w:t>
      </w:r>
      <w:r w:rsidDel="00000000" w:rsidR="00000000" w:rsidRPr="00000000">
        <w:rPr>
          <w:color w:val="000000"/>
          <w:rtl w:val="0"/>
        </w:rPr>
        <w:t xml:space="preserve"> guidance and U.S. Department of Agriculture (USDA) regulations define “equipment” as any item of non-expendable personal property with a useful life of a year or longer and an acquisition cost which equals or exceeds the </w:t>
      </w:r>
      <w:r w:rsidDel="00000000" w:rsidR="00000000" w:rsidRPr="00000000">
        <w:rPr>
          <w:rtl w:val="0"/>
        </w:rPr>
        <w:t xml:space="preserve">f</w:t>
      </w:r>
      <w:r w:rsidDel="00000000" w:rsidR="00000000" w:rsidRPr="00000000">
        <w:rPr>
          <w:color w:val="000000"/>
          <w:rtl w:val="0"/>
        </w:rPr>
        <w:t xml:space="preserve">ederal per-unit capitalization threshold of $10,000 or a lower threshold set by </w:t>
      </w:r>
      <w:r w:rsidDel="00000000" w:rsidR="00000000" w:rsidRPr="00000000">
        <w:rPr>
          <w:rtl w:val="0"/>
        </w:rPr>
        <w:t xml:space="preserve">s</w:t>
      </w:r>
      <w:r w:rsidDel="00000000" w:rsidR="00000000" w:rsidRPr="00000000">
        <w:rPr>
          <w:color w:val="000000"/>
          <w:rtl w:val="0"/>
        </w:rPr>
        <w:t xml:space="preserve">tate or local level regulations. </w:t>
      </w:r>
      <w:r w:rsidDel="00000000" w:rsidR="00000000" w:rsidRPr="00000000">
        <w:rPr>
          <w:i w:val="1"/>
          <w:color w:val="000000"/>
          <w:rtl w:val="0"/>
        </w:rPr>
        <w:t xml:space="preserve">(</w:t>
      </w:r>
      <w:hyperlink r:id="rId10">
        <w:r w:rsidDel="00000000" w:rsidR="00000000" w:rsidRPr="00000000">
          <w:rPr>
            <w:i w:val="1"/>
            <w:u w:val="single"/>
            <w:vertAlign w:val="baseline"/>
            <w:rtl w:val="0"/>
          </w:rPr>
          <w:t xml:space="preserve">USDA Memo SP 31-2014</w:t>
        </w:r>
      </w:hyperlink>
      <w:r w:rsidDel="00000000" w:rsidR="00000000" w:rsidRPr="00000000">
        <w:rPr>
          <w:i w:val="1"/>
          <w:color w:val="000000"/>
          <w:rtl w:val="0"/>
        </w:rPr>
        <w:t xml:space="preserve"> – State Agency Prior Approval Process for School Food Authority Equipment Purchases)</w:t>
      </w:r>
      <w:r w:rsidDel="00000000" w:rsidR="00000000" w:rsidRPr="00000000">
        <w:rPr>
          <w:rtl w:val="0"/>
        </w:rPr>
      </w:r>
    </w:p>
    <w:p w:rsidR="00000000" w:rsidDel="00000000" w:rsidP="00000000" w:rsidRDefault="00000000" w:rsidRPr="00000000" w14:paraId="00000004">
      <w:pPr>
        <w:spacing w:line="240" w:lineRule="auto"/>
        <w:ind w:left="0" w:hanging="2"/>
        <w:rPr>
          <w:color w:val="000000"/>
        </w:rPr>
      </w:pPr>
      <w:r w:rsidDel="00000000" w:rsidR="00000000" w:rsidRPr="00000000">
        <w:rPr>
          <w:rtl w:val="0"/>
        </w:rPr>
      </w:r>
    </w:p>
    <w:p w:rsidR="00000000" w:rsidDel="00000000" w:rsidP="00000000" w:rsidRDefault="00000000" w:rsidRPr="00000000" w14:paraId="00000005">
      <w:pPr>
        <w:spacing w:line="240" w:lineRule="auto"/>
        <w:ind w:left="0" w:hanging="2"/>
        <w:rPr>
          <w:color w:val="000000"/>
        </w:rPr>
      </w:pPr>
      <w:hyperlink r:id="rId11">
        <w:r w:rsidDel="00000000" w:rsidR="00000000" w:rsidRPr="00000000">
          <w:rPr>
            <w:b w:val="1"/>
            <w:u w:val="single"/>
            <w:vertAlign w:val="baseline"/>
            <w:rtl w:val="0"/>
          </w:rPr>
          <w:t xml:space="preserve">2 CFR Part 200.439 Equipment and other capital expenditures.</w:t>
        </w:r>
      </w:hyperlink>
      <w:r w:rsidDel="00000000" w:rsidR="00000000" w:rsidRPr="00000000">
        <w:rPr>
          <w:b w:val="1"/>
          <w:color w:val="000000"/>
          <w:rtl w:val="0"/>
        </w:rPr>
        <w:t xml:space="preserve"> </w:t>
      </w:r>
      <w:r w:rsidDel="00000000" w:rsidR="00000000" w:rsidRPr="00000000">
        <w:rPr>
          <w:rtl w:val="0"/>
        </w:rPr>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0" w:hanging="2"/>
        <w:rPr>
          <w:vertAlign w:val="baseline"/>
        </w:rPr>
      </w:pPr>
      <w:r w:rsidDel="00000000" w:rsidR="00000000" w:rsidRPr="00000000">
        <w:rPr>
          <w:vertAlign w:val="baseline"/>
          <w:rtl w:val="0"/>
        </w:rPr>
        <w:t xml:space="preserve">(a) See </w:t>
      </w:r>
      <w:hyperlink r:id="rId12">
        <w:r w:rsidDel="00000000" w:rsidR="00000000" w:rsidRPr="00000000">
          <w:rPr>
            <w:color w:val="0000ff"/>
            <w:u w:val="single"/>
            <w:vertAlign w:val="baseline"/>
            <w:rtl w:val="0"/>
          </w:rPr>
          <w:t xml:space="preserve">§ 200.1</w:t>
        </w:r>
      </w:hyperlink>
      <w:r w:rsidDel="00000000" w:rsidR="00000000" w:rsidRPr="00000000">
        <w:rPr>
          <w:vertAlign w:val="baseline"/>
          <w:rtl w:val="0"/>
        </w:rPr>
        <w:t xml:space="preserve"> for the definitions of </w:t>
      </w:r>
      <w:r w:rsidDel="00000000" w:rsidR="00000000" w:rsidRPr="00000000">
        <w:rPr>
          <w:i w:val="1"/>
          <w:vertAlign w:val="baseline"/>
          <w:rtl w:val="0"/>
        </w:rPr>
        <w:t xml:space="preserve">capital expenditures, equipment, special purpose equipment, general purpose equipment, acquisition cost, and capital assets.</w:t>
      </w:r>
      <w:r w:rsidDel="00000000" w:rsidR="00000000" w:rsidRPr="00000000">
        <w:rPr>
          <w:rtl w:val="0"/>
        </w:rPr>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0" w:firstLine="0"/>
        <w:rPr>
          <w:vertAlign w:val="baseline"/>
        </w:rPr>
      </w:pPr>
      <w:r w:rsidDel="00000000" w:rsidR="00000000" w:rsidRPr="00000000">
        <w:rPr>
          <w:vertAlign w:val="baseline"/>
          <w:rtl w:val="0"/>
        </w:rPr>
        <w:t xml:space="preserve">(b) The following rules of allowability must apply to equipment and other capital expenditures:</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360" w:firstLine="0"/>
        <w:rPr>
          <w:vertAlign w:val="baseline"/>
        </w:rPr>
      </w:pPr>
      <w:r w:rsidDel="00000000" w:rsidR="00000000" w:rsidRPr="00000000">
        <w:rPr>
          <w:vertAlign w:val="baseline"/>
          <w:rtl w:val="0"/>
        </w:rPr>
        <w:t xml:space="preserve">(1) Capital expenditures for general purpose equipment, buildings, and land are allowable as direct costs, but only with the prior written approval of the Federal agency or pass-through entity.</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360" w:firstLine="0"/>
        <w:rPr>
          <w:vertAlign w:val="baseline"/>
        </w:rPr>
      </w:pPr>
      <w:r w:rsidDel="00000000" w:rsidR="00000000" w:rsidRPr="00000000">
        <w:rPr>
          <w:vertAlign w:val="baseline"/>
          <w:rtl w:val="0"/>
        </w:rPr>
        <w:t xml:space="preserve">(2) Capital expenditures for special purpose equipment are allowable as direct costs, provided that items with a unit cost of $10,000 or more have the prior written approval of the Federal agency or pass-through entity.</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360" w:firstLine="0"/>
        <w:rPr>
          <w:vertAlign w:val="baseline"/>
        </w:rPr>
      </w:pPr>
      <w:r w:rsidDel="00000000" w:rsidR="00000000" w:rsidRPr="00000000">
        <w:rPr>
          <w:vertAlign w:val="baseline"/>
          <w:rtl w:val="0"/>
        </w:rPr>
        <w:t xml:space="preserve">(3) Capital expenditures for improvements to land, buildings, or equipment that materially increase their value or useful life are allowable as a direct cost, but only with the prior written approval of the Federal agency or pass-through entity. See </w:t>
      </w:r>
      <w:hyperlink r:id="rId13">
        <w:r w:rsidDel="00000000" w:rsidR="00000000" w:rsidRPr="00000000">
          <w:rPr>
            <w:color w:val="1155cc"/>
            <w:u w:val="single"/>
            <w:vertAlign w:val="baseline"/>
            <w:rtl w:val="0"/>
          </w:rPr>
          <w:t xml:space="preserve">§ 200.436</w:t>
        </w:r>
      </w:hyperlink>
      <w:r w:rsidDel="00000000" w:rsidR="00000000" w:rsidRPr="00000000">
        <w:rPr>
          <w:vertAlign w:val="baseline"/>
          <w:rtl w:val="0"/>
        </w:rPr>
        <w:t xml:space="preserve"> on the allowability of depreciation on buildings, capital improvements, and equipment. See </w:t>
      </w:r>
      <w:hyperlink r:id="rId14">
        <w:r w:rsidDel="00000000" w:rsidR="00000000" w:rsidRPr="00000000">
          <w:rPr>
            <w:color w:val="1155cc"/>
            <w:u w:val="single"/>
            <w:vertAlign w:val="baseline"/>
            <w:rtl w:val="0"/>
          </w:rPr>
          <w:t xml:space="preserve">§ 200.465</w:t>
        </w:r>
      </w:hyperlink>
      <w:r w:rsidDel="00000000" w:rsidR="00000000" w:rsidRPr="00000000">
        <w:rPr>
          <w:vertAlign w:val="baseline"/>
          <w:rtl w:val="0"/>
        </w:rPr>
        <w:t xml:space="preserve"> on the allowability of real property and equipment rental costs.</w:t>
      </w:r>
    </w:p>
    <w:p w:rsidR="00000000" w:rsidDel="00000000" w:rsidP="00000000" w:rsidRDefault="00000000" w:rsidRPr="00000000" w14:paraId="0000000B">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360" w:firstLine="0"/>
        <w:rPr>
          <w:vertAlign w:val="baseline"/>
        </w:rPr>
      </w:pPr>
      <w:r w:rsidDel="00000000" w:rsidR="00000000" w:rsidRPr="00000000">
        <w:rPr>
          <w:vertAlign w:val="baseline"/>
          <w:rtl w:val="0"/>
        </w:rPr>
        <w:t xml:space="preserve">(4) When approved as a direct cost in accordance with paragraphs (b)(1) through (3), capital expenditures must be charged in the period in which the expenditure is incurred or as otherwise determined </w:t>
      </w:r>
      <w:r w:rsidDel="00000000" w:rsidR="00000000" w:rsidRPr="00000000">
        <w:rPr>
          <w:rtl w:val="0"/>
        </w:rPr>
        <w:t xml:space="preserve">appropriately</w:t>
      </w:r>
      <w:r w:rsidDel="00000000" w:rsidR="00000000" w:rsidRPr="00000000">
        <w:rPr>
          <w:vertAlign w:val="baseline"/>
          <w:rtl w:val="0"/>
        </w:rPr>
        <w:t xml:space="preserve"> and negotiated with the Federal agency.</w:t>
      </w:r>
    </w:p>
    <w:p w:rsidR="00000000" w:rsidDel="00000000" w:rsidP="00000000" w:rsidRDefault="00000000" w:rsidRPr="00000000" w14:paraId="0000000C">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360" w:firstLine="0"/>
        <w:rPr>
          <w:vertAlign w:val="baseline"/>
        </w:rPr>
      </w:pPr>
      <w:r w:rsidDel="00000000" w:rsidR="00000000" w:rsidRPr="00000000">
        <w:rPr>
          <w:vertAlign w:val="baseline"/>
          <w:rtl w:val="0"/>
        </w:rPr>
        <w:t xml:space="preserve">(5) The recipient or subrecipient may claim the unamortized portion of any equipment written off as a result of a change in capitalization levels by continuing to claim the otherwise allowable depreciation on the equipment or by amortizing the amount to be written off over a period of years negotiated with the cognizant agency for indirect cost.</w:t>
      </w:r>
    </w:p>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360" w:firstLine="0"/>
        <w:rPr>
          <w:vertAlign w:val="baseline"/>
        </w:rPr>
      </w:pPr>
      <w:r w:rsidDel="00000000" w:rsidR="00000000" w:rsidRPr="00000000">
        <w:rPr>
          <w:vertAlign w:val="baseline"/>
          <w:rtl w:val="0"/>
        </w:rPr>
        <w:t xml:space="preserve">(6) Cost of equipment disposal. If the Federal agency instructs the recipient or subrecipient to otherwise dispose of or transfer the equipment, the costs of disposal or transfer are allowable.</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160" w:before="160" w:line="240" w:lineRule="auto"/>
        <w:ind w:left="362" w:hanging="2.0000000000000284"/>
        <w:rPr>
          <w:vertAlign w:val="baseline"/>
        </w:rPr>
      </w:pPr>
      <w:r w:rsidDel="00000000" w:rsidR="00000000" w:rsidRPr="00000000">
        <w:rPr>
          <w:vertAlign w:val="baseline"/>
          <w:rtl w:val="0"/>
        </w:rPr>
        <w:t xml:space="preserve">(7) Equipment and other capital expenditures are unallowable as indirect costs. See </w:t>
      </w:r>
      <w:hyperlink r:id="rId15">
        <w:r w:rsidDel="00000000" w:rsidR="00000000" w:rsidRPr="00000000">
          <w:rPr>
            <w:color w:val="0000ff"/>
            <w:u w:val="single"/>
            <w:vertAlign w:val="baseline"/>
            <w:rtl w:val="0"/>
          </w:rPr>
          <w:t xml:space="preserve">§ 200.436</w:t>
        </w:r>
      </w:hyperlink>
      <w:r w:rsidDel="00000000" w:rsidR="00000000" w:rsidRPr="00000000">
        <w:rPr>
          <w:vertAlign w:val="baseline"/>
          <w:rtl w:val="0"/>
        </w:rPr>
        <w:t xml:space="preserve">.</w:t>
      </w:r>
    </w:p>
    <w:p w:rsidR="00000000" w:rsidDel="00000000" w:rsidP="00000000" w:rsidRDefault="00000000" w:rsidRPr="00000000" w14:paraId="0000000F">
      <w:pPr>
        <w:spacing w:line="240" w:lineRule="auto"/>
        <w:ind w:left="0" w:hanging="2"/>
        <w:rPr>
          <w:b w:val="1"/>
        </w:rPr>
      </w:pPr>
      <w:hyperlink r:id="rId16">
        <w:r w:rsidDel="00000000" w:rsidR="00000000" w:rsidRPr="00000000">
          <w:rPr>
            <w:b w:val="1"/>
            <w:u w:val="single"/>
            <w:vertAlign w:val="baseline"/>
            <w:rtl w:val="0"/>
          </w:rPr>
          <w:t xml:space="preserve">§ 200.452 Maintenance and repair costs.</w:t>
        </w:r>
      </w:hyperlink>
      <w:r w:rsidDel="00000000" w:rsidR="00000000" w:rsidRPr="00000000">
        <w:rPr>
          <w:rtl w:val="0"/>
        </w:rPr>
      </w:r>
    </w:p>
    <w:p w:rsidR="00000000" w:rsidDel="00000000" w:rsidP="00000000" w:rsidRDefault="00000000" w:rsidRPr="00000000" w14:paraId="00000010">
      <w:pPr>
        <w:spacing w:line="240" w:lineRule="auto"/>
        <w:ind w:left="0" w:hanging="2"/>
        <w:rPr/>
      </w:pPr>
      <w:r w:rsidDel="00000000" w:rsidR="00000000" w:rsidRPr="00000000">
        <w:rPr>
          <w:rtl w:val="0"/>
        </w:rPr>
      </w:r>
    </w:p>
    <w:p w:rsidR="00000000" w:rsidDel="00000000" w:rsidP="00000000" w:rsidRDefault="00000000" w:rsidRPr="00000000" w14:paraId="00000011">
      <w:pPr>
        <w:spacing w:after="200" w:line="240" w:lineRule="auto"/>
        <w:ind w:left="0" w:hanging="2"/>
        <w:rPr/>
      </w:pPr>
      <w:r w:rsidDel="00000000" w:rsidR="00000000" w:rsidRPr="00000000">
        <w:rPr>
          <w:rtl w:val="0"/>
        </w:rPr>
        <w:t xml:space="preserve">Costs incurred for utilities, insurance, security, necessary maintenance, janitorial services, repair, or upkeep of buildings and equipment (including federal property unless otherwise provided for) which neither add to the permanent value of the property nor appreciably prolong its intended life, but keep it in an efficient operating condition, are allowable. Costs incurred for improvements that add to the permanent value of the buildings and equipment or appreciably prolong their intended life must be treated as capital expenditures (see </w:t>
      </w:r>
      <w:hyperlink r:id="rId17">
        <w:r w:rsidDel="00000000" w:rsidR="00000000" w:rsidRPr="00000000">
          <w:rPr>
            <w:color w:val="0000ff"/>
            <w:u w:val="single"/>
            <w:rtl w:val="0"/>
          </w:rPr>
          <w:t xml:space="preserve">§ 200.439</w:t>
        </w:r>
      </w:hyperlink>
      <w:r w:rsidDel="00000000" w:rsidR="00000000" w:rsidRPr="00000000">
        <w:rPr>
          <w:rtl w:val="0"/>
        </w:rPr>
        <w:t xml:space="preserve">). These costs are only allowable to the extent not paid through rental or other agreements.</w:t>
      </w:r>
    </w:p>
    <w:p w:rsidR="00000000" w:rsidDel="00000000" w:rsidP="00000000" w:rsidRDefault="00000000" w:rsidRPr="00000000" w14:paraId="00000012">
      <w:pPr>
        <w:spacing w:after="200" w:line="240" w:lineRule="auto"/>
        <w:ind w:left="0" w:hanging="2"/>
        <w:rPr>
          <w:color w:val="000000"/>
        </w:rPr>
      </w:pPr>
      <w:r w:rsidDel="00000000" w:rsidR="00000000" w:rsidRPr="00000000">
        <w:rPr>
          <w:color w:val="000000"/>
          <w:rtl w:val="0"/>
        </w:rPr>
        <w:t xml:space="preserve">Based on these principles, USDA has allowed limited renovations within the inside perimeter of a kitchen/cafeteria space with the Indiana Department of Education’s (IDOE</w:t>
      </w:r>
      <w:r w:rsidDel="00000000" w:rsidR="00000000" w:rsidRPr="00000000">
        <w:rPr>
          <w:rtl w:val="0"/>
        </w:rPr>
        <w:t xml:space="preserve">’s</w:t>
      </w:r>
      <w:r w:rsidDel="00000000" w:rsidR="00000000" w:rsidRPr="00000000">
        <w:rPr>
          <w:color w:val="000000"/>
          <w:rtl w:val="0"/>
        </w:rPr>
        <w:t xml:space="preserve">) required prior approval. </w:t>
      </w:r>
    </w:p>
    <w:p w:rsidR="00000000" w:rsidDel="00000000" w:rsidP="00000000" w:rsidRDefault="00000000" w:rsidRPr="00000000" w14:paraId="00000013">
      <w:pPr>
        <w:spacing w:line="240" w:lineRule="auto"/>
        <w:ind w:left="0" w:hanging="2"/>
        <w:rPr>
          <w:color w:val="000000"/>
        </w:rPr>
      </w:pPr>
      <w:r w:rsidDel="00000000" w:rsidR="00000000" w:rsidRPr="00000000">
        <w:rPr>
          <w:color w:val="000000"/>
          <w:rtl w:val="0"/>
        </w:rPr>
        <w:t xml:space="preserve">For example, renovating a kitchen by cutting away a portion of the wall to allow room for a walk-in refrigerator and related electrical wiring would be an allowable expense if the renovation is necessary to accommodate increased participation of students in the School Nutrition Programs. However, it would be an unallowable expense if renovation of the kitchen was purely an aesthetic matter. </w:t>
      </w:r>
    </w:p>
    <w:p w:rsidR="00000000" w:rsidDel="00000000" w:rsidP="00000000" w:rsidRDefault="00000000" w:rsidRPr="00000000" w14:paraId="00000014">
      <w:pPr>
        <w:spacing w:line="240" w:lineRule="auto"/>
        <w:ind w:left="0" w:hanging="2"/>
        <w:rPr>
          <w:color w:val="000000"/>
        </w:rPr>
      </w:pPr>
      <w:r w:rsidDel="00000000" w:rsidR="00000000" w:rsidRPr="00000000">
        <w:rPr>
          <w:rtl w:val="0"/>
        </w:rPr>
      </w:r>
    </w:p>
    <w:p w:rsidR="00000000" w:rsidDel="00000000" w:rsidP="00000000" w:rsidRDefault="00000000" w:rsidRPr="00000000" w14:paraId="00000015">
      <w:pPr>
        <w:spacing w:line="240" w:lineRule="auto"/>
        <w:ind w:left="0" w:hanging="2"/>
        <w:rPr>
          <w:b w:val="1"/>
          <w:color w:val="000000"/>
        </w:rPr>
      </w:pPr>
      <w:hyperlink r:id="rId18">
        <w:r w:rsidDel="00000000" w:rsidR="00000000" w:rsidRPr="00000000">
          <w:rPr>
            <w:b w:val="1"/>
            <w:u w:val="single"/>
            <w:vertAlign w:val="baseline"/>
            <w:rtl w:val="0"/>
          </w:rPr>
          <w:t xml:space="preserve">7 CFR 210.14(a) Resource management.</w:t>
        </w:r>
      </w:hyperlink>
      <w:r w:rsidDel="00000000" w:rsidR="00000000" w:rsidRPr="00000000">
        <w:rPr>
          <w:b w:val="1"/>
          <w:color w:val="000000"/>
          <w:rtl w:val="0"/>
        </w:rPr>
        <w:t xml:space="preserve">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rPr>
          <w:vertAlign w:val="baseline"/>
        </w:rPr>
      </w:pPr>
      <w:r w:rsidDel="00000000" w:rsidR="00000000" w:rsidRPr="00000000">
        <w:rPr>
          <w:vertAlign w:val="baseline"/>
          <w:rtl w:val="0"/>
        </w:rPr>
        <w:t xml:space="preserve">(a) </w:t>
      </w:r>
      <w:r w:rsidDel="00000000" w:rsidR="00000000" w:rsidRPr="00000000">
        <w:rPr>
          <w:b w:val="1"/>
          <w:i w:val="1"/>
          <w:vertAlign w:val="baseline"/>
          <w:rtl w:val="0"/>
        </w:rPr>
        <w:t xml:space="preserve">Nonprofit school food service.</w:t>
      </w:r>
      <w:r w:rsidDel="00000000" w:rsidR="00000000" w:rsidRPr="00000000">
        <w:rPr>
          <w:vertAlign w:val="baseline"/>
          <w:rtl w:val="0"/>
        </w:rPr>
        <w:t xml:space="preserve"> School food authorities shall maintain a nonprofit school food service. Revenues received by the nonprofit school food service are to be used only for the operation or improvement of such food service, </w:t>
      </w:r>
      <w:r w:rsidDel="00000000" w:rsidR="00000000" w:rsidRPr="00000000">
        <w:rPr>
          <w:i w:val="1"/>
          <w:vertAlign w:val="baseline"/>
          <w:rtl w:val="0"/>
        </w:rPr>
        <w:t xml:space="preserve">except that,</w:t>
      </w:r>
      <w:r w:rsidDel="00000000" w:rsidR="00000000" w:rsidRPr="00000000">
        <w:rPr>
          <w:vertAlign w:val="baseline"/>
          <w:rtl w:val="0"/>
        </w:rPr>
        <w:t xml:space="preserve"> such revenues shall not be used to purchase land or buildings, unless otherwise approved by Food and </w:t>
      </w:r>
      <w:r w:rsidDel="00000000" w:rsidR="00000000" w:rsidRPr="00000000">
        <w:rPr>
          <w:rtl w:val="0"/>
        </w:rPr>
        <w:t xml:space="preserve">Nutrition Service</w:t>
      </w:r>
      <w:r w:rsidDel="00000000" w:rsidR="00000000" w:rsidRPr="00000000">
        <w:rPr>
          <w:vertAlign w:val="baseline"/>
          <w:rtl w:val="0"/>
        </w:rPr>
        <w:t xml:space="preserve"> (</w:t>
      </w:r>
      <w:r w:rsidDel="00000000" w:rsidR="00000000" w:rsidRPr="00000000">
        <w:rPr>
          <w:vertAlign w:val="baseline"/>
          <w:rtl w:val="0"/>
        </w:rPr>
        <w:t xml:space="preserve">FNS</w:t>
      </w:r>
      <w:r w:rsidDel="00000000" w:rsidR="00000000" w:rsidRPr="00000000">
        <w:rPr>
          <w:vertAlign w:val="baseline"/>
          <w:rtl w:val="0"/>
        </w:rPr>
        <w:t xml:space="preserve">), or to construct buildings. Expenditures of nonprofit school food service revenues shall be in accordance with the financial management system established by the </w:t>
      </w:r>
      <w:r w:rsidDel="00000000" w:rsidR="00000000" w:rsidRPr="00000000">
        <w:rPr>
          <w:rtl w:val="0"/>
        </w:rPr>
        <w:t xml:space="preserve">s</w:t>
      </w:r>
      <w:r w:rsidDel="00000000" w:rsidR="00000000" w:rsidRPr="00000000">
        <w:rPr>
          <w:vertAlign w:val="baseline"/>
          <w:rtl w:val="0"/>
        </w:rPr>
        <w:t xml:space="preserve">tate agency under</w:t>
      </w:r>
      <w:r w:rsidDel="00000000" w:rsidR="00000000" w:rsidRPr="00000000">
        <w:rPr>
          <w:color w:val="1155cc"/>
          <w:vertAlign w:val="baseline"/>
          <w:rtl w:val="0"/>
        </w:rPr>
        <w:t xml:space="preserve"> </w:t>
      </w:r>
      <w:hyperlink r:id="rId19">
        <w:r w:rsidDel="00000000" w:rsidR="00000000" w:rsidRPr="00000000">
          <w:rPr>
            <w:color w:val="1155cc"/>
            <w:u w:val="single"/>
            <w:vertAlign w:val="baseline"/>
            <w:rtl w:val="0"/>
          </w:rPr>
          <w:t xml:space="preserve">§ 210.19(a) of this part</w:t>
        </w:r>
      </w:hyperlink>
      <w:r w:rsidDel="00000000" w:rsidR="00000000" w:rsidRPr="00000000">
        <w:rPr>
          <w:vertAlign w:val="baseline"/>
          <w:rtl w:val="0"/>
        </w:rPr>
        <w:t xml:space="preserve">. School food authorities may use facilities, equipment, and personnel supported with nonprofit school food revenues to support a nonprofit nutrition program for the elderly, including a program funded under the Older Americans Act of 1965 (</w:t>
      </w:r>
      <w:hyperlink r:id="rId20">
        <w:r w:rsidDel="00000000" w:rsidR="00000000" w:rsidRPr="00000000">
          <w:rPr>
            <w:color w:val="1155cc"/>
            <w:u w:val="single"/>
            <w:vertAlign w:val="baseline"/>
            <w:rtl w:val="0"/>
          </w:rPr>
          <w:t xml:space="preserve">42 U.S.C. 3001</w:t>
        </w:r>
      </w:hyperlink>
      <w:r w:rsidDel="00000000" w:rsidR="00000000" w:rsidRPr="00000000">
        <w:rPr>
          <w:vertAlign w:val="baseline"/>
          <w:rtl w:val="0"/>
        </w:rPr>
        <w:t xml:space="preserve"> </w:t>
      </w:r>
      <w:r w:rsidDel="00000000" w:rsidR="00000000" w:rsidRPr="00000000">
        <w:rPr>
          <w:i w:val="1"/>
          <w:vertAlign w:val="baseline"/>
          <w:rtl w:val="0"/>
        </w:rPr>
        <w:t xml:space="preserve">et seq.</w:t>
      </w:r>
      <w:r w:rsidDel="00000000" w:rsidR="00000000" w:rsidRPr="00000000">
        <w:rPr>
          <w:vertAlign w:val="baseline"/>
          <w:rtl w:val="0"/>
        </w:rPr>
        <w:t xml:space="preserve">).</w:t>
      </w:r>
    </w:p>
    <w:p w:rsidR="00000000" w:rsidDel="00000000" w:rsidP="00000000" w:rsidRDefault="00000000" w:rsidRPr="00000000" w14:paraId="00000017">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firstLine="0"/>
        <w:rPr>
          <w:vertAlign w:val="baseline"/>
        </w:rPr>
      </w:pPr>
      <w:r w:rsidDel="00000000" w:rsidR="00000000" w:rsidRPr="00000000">
        <w:rPr>
          <w:vertAlign w:val="baseline"/>
          <w:rtl w:val="0"/>
        </w:rPr>
        <w:t xml:space="preserve">(b) </w:t>
      </w:r>
      <w:r w:rsidDel="00000000" w:rsidR="00000000" w:rsidRPr="00000000">
        <w:rPr>
          <w:b w:val="1"/>
          <w:i w:val="1"/>
          <w:vertAlign w:val="baseline"/>
          <w:rtl w:val="0"/>
        </w:rPr>
        <w:t xml:space="preserve">Net cash resources.</w:t>
      </w:r>
      <w:r w:rsidDel="00000000" w:rsidR="00000000" w:rsidRPr="00000000">
        <w:rPr>
          <w:vertAlign w:val="baseline"/>
          <w:rtl w:val="0"/>
        </w:rPr>
        <w:t xml:space="preserve"> The school food authority shall limit its net cash resources to an amount that does not exceed 3 months average expenditures for its nonprofit school food service or such other amount as may be approved by the State agency in accordance with </w:t>
      </w:r>
      <w:hyperlink r:id="rId21">
        <w:r w:rsidDel="00000000" w:rsidR="00000000" w:rsidRPr="00000000">
          <w:rPr>
            <w:color w:val="1155cc"/>
            <w:u w:val="single"/>
            <w:vertAlign w:val="baseline"/>
            <w:rtl w:val="0"/>
          </w:rPr>
          <w:t xml:space="preserve">§ 210.19(a)</w:t>
        </w:r>
      </w:hyperlink>
      <w:r w:rsidDel="00000000" w:rsidR="00000000" w:rsidRPr="00000000">
        <w:rPr>
          <w:vertAlign w:val="baseline"/>
          <w:rtl w:val="0"/>
        </w:rPr>
        <w:t xml:space="preserve">.</w:t>
      </w:r>
    </w:p>
    <w:p w:rsidR="00000000" w:rsidDel="00000000" w:rsidP="00000000" w:rsidRDefault="00000000" w:rsidRPr="00000000" w14:paraId="00000018">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rPr/>
      </w:pPr>
      <w:r w:rsidDel="00000000" w:rsidR="00000000" w:rsidRPr="00000000">
        <w:rPr>
          <w:vertAlign w:val="baseline"/>
          <w:rtl w:val="0"/>
        </w:rPr>
        <w:t xml:space="preserve">(c) </w:t>
      </w:r>
      <w:r w:rsidDel="00000000" w:rsidR="00000000" w:rsidRPr="00000000">
        <w:rPr>
          <w:b w:val="1"/>
          <w:i w:val="1"/>
          <w:vertAlign w:val="baseline"/>
          <w:rtl w:val="0"/>
        </w:rPr>
        <w:t xml:space="preserve">Financial assurances.</w:t>
      </w:r>
      <w:r w:rsidDel="00000000" w:rsidR="00000000" w:rsidRPr="00000000">
        <w:rPr>
          <w:vertAlign w:val="baseline"/>
          <w:rtl w:val="0"/>
        </w:rPr>
        <w:t xml:space="preserve"> The school food authority shall meet the requirements of the State agency for compliance with</w:t>
      </w:r>
      <w:r w:rsidDel="00000000" w:rsidR="00000000" w:rsidRPr="00000000">
        <w:rPr>
          <w:color w:val="1155cc"/>
          <w:vertAlign w:val="baseline"/>
          <w:rtl w:val="0"/>
        </w:rPr>
        <w:t xml:space="preserve"> </w:t>
      </w:r>
      <w:hyperlink r:id="rId22">
        <w:r w:rsidDel="00000000" w:rsidR="00000000" w:rsidRPr="00000000">
          <w:rPr>
            <w:color w:val="1155cc"/>
            <w:u w:val="single"/>
            <w:vertAlign w:val="baseline"/>
            <w:rtl w:val="0"/>
          </w:rPr>
          <w:t xml:space="preserve">§ 210.19(a)</w:t>
        </w:r>
      </w:hyperlink>
      <w:r w:rsidDel="00000000" w:rsidR="00000000" w:rsidRPr="00000000">
        <w:rPr>
          <w:vertAlign w:val="baseline"/>
          <w:rtl w:val="0"/>
        </w:rPr>
        <w:t xml:space="preserve"> including any separation of records of nonprofit school food service from records of any other food service which may be operated by the school food authority as provided in </w:t>
      </w:r>
      <w:hyperlink r:id="rId23">
        <w:r w:rsidDel="00000000" w:rsidR="00000000" w:rsidRPr="00000000">
          <w:rPr>
            <w:color w:val="1155cc"/>
            <w:u w:val="single"/>
            <w:vertAlign w:val="baseline"/>
            <w:rtl w:val="0"/>
          </w:rPr>
          <w:t xml:space="preserve">paragraph (a)</w:t>
        </w:r>
      </w:hyperlink>
      <w:r w:rsidDel="00000000" w:rsidR="00000000" w:rsidRPr="00000000">
        <w:rPr>
          <w:vertAlign w:val="baseline"/>
          <w:rtl w:val="0"/>
        </w:rPr>
        <w:t xml:space="preserve"> of this section.</w:t>
      </w:r>
      <w:r w:rsidDel="00000000" w:rsidR="00000000" w:rsidRPr="00000000">
        <w:rPr>
          <w:rtl w:val="0"/>
        </w:rPr>
      </w:r>
    </w:p>
    <w:p w:rsidR="00000000" w:rsidDel="00000000" w:rsidP="00000000" w:rsidRDefault="00000000" w:rsidRPr="00000000" w14:paraId="00000019">
      <w:pPr>
        <w:pBdr>
          <w:top w:color="000000" w:space="0" w:sz="0" w:val="none"/>
          <w:left w:color="000000" w:space="0" w:sz="0" w:val="none"/>
          <w:bottom w:color="000000" w:space="0" w:sz="0" w:val="none"/>
          <w:right w:color="000000" w:space="0" w:sz="0" w:val="none"/>
          <w:between w:color="000000" w:space="0" w:sz="0" w:val="none"/>
        </w:pBdr>
        <w:spacing w:after="280" w:before="280" w:line="240" w:lineRule="auto"/>
        <w:ind w:left="0" w:hanging="2"/>
        <w:rPr>
          <w:color w:val="000000"/>
        </w:rPr>
      </w:pPr>
      <w:r w:rsidDel="00000000" w:rsidR="00000000" w:rsidRPr="00000000">
        <w:rPr>
          <w:b w:val="1"/>
          <w:color w:val="000000"/>
          <w:rtl w:val="0"/>
        </w:rPr>
        <w:t xml:space="preserve">Building a School Kitchen </w:t>
      </w:r>
      <w:r w:rsidDel="00000000" w:rsidR="00000000" w:rsidRPr="00000000">
        <w:rPr>
          <w:rtl w:val="0"/>
        </w:rPr>
      </w:r>
    </w:p>
    <w:p w:rsidR="00000000" w:rsidDel="00000000" w:rsidP="00000000" w:rsidRDefault="00000000" w:rsidRPr="00000000" w14:paraId="0000001A">
      <w:pPr>
        <w:spacing w:after="200" w:line="240" w:lineRule="auto"/>
        <w:ind w:left="0" w:hanging="2"/>
        <w:rPr>
          <w:color w:val="000000"/>
        </w:rPr>
      </w:pPr>
      <w:hyperlink r:id="rId24">
        <w:r w:rsidDel="00000000" w:rsidR="00000000" w:rsidRPr="00000000">
          <w:rPr>
            <w:color w:val="1155cc"/>
            <w:u w:val="single"/>
            <w:vertAlign w:val="baseline"/>
            <w:rtl w:val="0"/>
          </w:rPr>
          <w:t xml:space="preserve">7 CFR Part 210.14</w:t>
        </w:r>
      </w:hyperlink>
      <w:r w:rsidDel="00000000" w:rsidR="00000000" w:rsidRPr="00000000">
        <w:rPr>
          <w:color w:val="000000"/>
          <w:rtl w:val="0"/>
        </w:rPr>
        <w:t xml:space="preserve"> requires that revenues received by the nonprofit school food service are to be used only for the operation or improvement of such food service, except that, such revenue shall not be used to purchase land or buildings, or to construct buildings, otherwise unless approved by USDA. Historically, USDA has not approved the cost of building purchases because program funds are made available to help support the costs of nutritional benefits for children in school settings and not to construct school related facilities. The goal is to ensure that a school food authority maintains the necessary funding to operate the program as required by the Special Milk Prog</w:t>
      </w:r>
      <w:r w:rsidDel="00000000" w:rsidR="00000000" w:rsidRPr="00000000">
        <w:rPr>
          <w:rtl w:val="0"/>
        </w:rPr>
        <w:t xml:space="preserve">ram’s</w:t>
      </w:r>
      <w:r w:rsidDel="00000000" w:rsidR="00000000" w:rsidRPr="00000000">
        <w:rPr>
          <w:color w:val="000000"/>
          <w:rtl w:val="0"/>
        </w:rPr>
        <w:t xml:space="preserve"> </w:t>
      </w:r>
      <w:r w:rsidDel="00000000" w:rsidR="00000000" w:rsidRPr="00000000">
        <w:rPr>
          <w:color w:val="000000"/>
          <w:rtl w:val="0"/>
        </w:rPr>
        <w:t xml:space="preserve">authorizing legislation and regulations, and that the nonprofit school food service account is not used to cover major expenses that should be paid for by the school district's general funds (i.e., capital infrastructure costs). </w:t>
      </w:r>
    </w:p>
    <w:p w:rsidR="00000000" w:rsidDel="00000000" w:rsidP="00000000" w:rsidRDefault="00000000" w:rsidRPr="00000000" w14:paraId="0000001B">
      <w:pPr>
        <w:ind w:left="0" w:hanging="2"/>
        <w:rPr/>
      </w:pPr>
      <w:r w:rsidDel="00000000" w:rsidR="00000000" w:rsidRPr="00000000">
        <w:rPr>
          <w:rtl w:val="0"/>
        </w:rPr>
        <w:t xml:space="preserve">The costs of building a kitchen are similar to the costs of constructing school buildings, which historically have been paid for by the school district with general or capital improvement funds. </w:t>
      </w:r>
    </w:p>
    <w:p w:rsidR="00000000" w:rsidDel="00000000" w:rsidP="00000000" w:rsidRDefault="00000000" w:rsidRPr="00000000" w14:paraId="0000001C">
      <w:pPr>
        <w:ind w:left="0" w:hanging="2"/>
        <w:rPr/>
      </w:pPr>
      <w:r w:rsidDel="00000000" w:rsidR="00000000" w:rsidRPr="00000000">
        <w:rPr>
          <w:rtl w:val="0"/>
        </w:rPr>
        <w:t xml:space="preserve">Similarly, such capital infrastructure costs should be paid for by the school district just as the school building and its contents should be.</w:t>
      </w:r>
    </w:p>
    <w:p w:rsidR="00000000" w:rsidDel="00000000" w:rsidP="00000000" w:rsidRDefault="00000000" w:rsidRPr="00000000" w14:paraId="0000001D">
      <w:pPr>
        <w:ind w:left="0" w:hanging="2"/>
        <w:rPr/>
      </w:pPr>
      <w:r w:rsidDel="00000000" w:rsidR="00000000" w:rsidRPr="00000000">
        <w:rPr>
          <w:rtl w:val="0"/>
        </w:rPr>
      </w:r>
    </w:p>
    <w:p w:rsidR="00000000" w:rsidDel="00000000" w:rsidP="00000000" w:rsidRDefault="00000000" w:rsidRPr="00000000" w14:paraId="0000001E">
      <w:pPr>
        <w:ind w:left="0" w:hanging="2"/>
        <w:rPr/>
      </w:pPr>
      <w:r w:rsidDel="00000000" w:rsidR="00000000" w:rsidRPr="00000000">
        <w:rPr>
          <w:rtl w:val="0"/>
        </w:rPr>
        <w:t xml:space="preserve">Contact IDOE’s </w:t>
      </w:r>
      <w:r w:rsidDel="00000000" w:rsidR="00000000" w:rsidRPr="00000000">
        <w:rPr>
          <w:rtl w:val="0"/>
        </w:rPr>
        <w:t xml:space="preserve">Office of School and Community Nutrition</w:t>
      </w:r>
      <w:r w:rsidDel="00000000" w:rsidR="00000000" w:rsidRPr="00000000">
        <w:rPr>
          <w:rtl w:val="0"/>
        </w:rPr>
        <w:t xml:space="preserve">, </w:t>
      </w:r>
      <w:hyperlink r:id="rId25">
        <w:r w:rsidDel="00000000" w:rsidR="00000000" w:rsidRPr="00000000">
          <w:rPr>
            <w:color w:val="1155cc"/>
            <w:u w:val="single"/>
            <w:rtl w:val="0"/>
          </w:rPr>
          <w:t xml:space="preserve">scnprocurement@doe.in.gov</w:t>
        </w:r>
      </w:hyperlink>
      <w:r w:rsidDel="00000000" w:rsidR="00000000" w:rsidRPr="00000000">
        <w:rPr>
          <w:rtl w:val="0"/>
        </w:rPr>
        <w:t xml:space="preserve">, with additional questions.</w:t>
      </w:r>
    </w:p>
    <w:p w:rsidR="00000000" w:rsidDel="00000000" w:rsidP="00000000" w:rsidRDefault="00000000" w:rsidRPr="00000000" w14:paraId="0000001F">
      <w:pPr>
        <w:spacing w:line="240" w:lineRule="auto"/>
        <w:ind w:left="0" w:hanging="2"/>
        <w:rPr>
          <w:rFonts w:ascii="Helvetica Neue" w:cs="Helvetica Neue" w:eastAsia="Helvetica Neue" w:hAnsi="Helvetica Neue"/>
          <w:color w:val="000000"/>
          <w:sz w:val="23"/>
          <w:szCs w:val="23"/>
        </w:rPr>
      </w:pPr>
      <w:r w:rsidDel="00000000" w:rsidR="00000000" w:rsidRPr="00000000">
        <w:rPr>
          <w:rtl w:val="0"/>
        </w:rPr>
      </w:r>
    </w:p>
    <w:sectPr>
      <w:headerReference r:id="rId26" w:type="default"/>
      <w:headerReference r:id="rId27" w:type="first"/>
      <w:headerReference r:id="rId28" w:type="even"/>
      <w:footerReference r:id="rId29" w:type="default"/>
      <w:footerReference r:id="rId30" w:type="first"/>
      <w:footerReference r:id="rId31" w:type="even"/>
      <w:pgSz w:h="15840" w:w="12240" w:orient="portrait"/>
      <w:pgMar w:bottom="1440" w:top="1440" w:left="1440" w:right="1440" w:header="720" w:footer="86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tabs>
        <w:tab w:val="right" w:leader="none" w:pos="9020"/>
        <w:tab w:val="center" w:leader="none" w:pos="4680"/>
        <w:tab w:val="right" w:leader="none" w:pos="9360"/>
      </w:tabs>
      <w:spacing w:line="240" w:lineRule="auto"/>
      <w:ind w:left="0" w:hanging="2"/>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1">
    <w:pPr>
      <w:tabs>
        <w:tab w:val="right" w:leader="none" w:pos="9020"/>
        <w:tab w:val="center" w:leader="none" w:pos="4680"/>
        <w:tab w:val="right" w:leader="none" w:pos="9360"/>
      </w:tabs>
      <w:spacing w:line="240" w:lineRule="auto"/>
      <w:ind w:left="0" w:right="-360" w:hanging="2"/>
      <w:jc w:val="left"/>
      <w:rPr>
        <w:sz w:val="20"/>
        <w:szCs w:val="20"/>
      </w:rPr>
    </w:pPr>
    <w:r w:rsidDel="00000000" w:rsidR="00000000" w:rsidRPr="00000000">
      <w:rPr>
        <w:sz w:val="20"/>
        <w:szCs w:val="20"/>
        <w:rtl w:val="0"/>
      </w:rPr>
      <w:t xml:space="preserve">Indiana Department of Education</w:t>
      <w:tab/>
      <w:t xml:space="preserve">             School Nutrition Programs Equipment &amp; Other Capital Expenditure Guidelines</w:t>
    </w:r>
  </w:p>
  <w:p w:rsidR="00000000" w:rsidDel="00000000" w:rsidP="00000000" w:rsidRDefault="00000000" w:rsidRPr="00000000" w14:paraId="00000022">
    <w:pPr>
      <w:tabs>
        <w:tab w:val="right" w:leader="none" w:pos="9020"/>
        <w:tab w:val="center" w:leader="none" w:pos="4680"/>
        <w:tab w:val="right" w:leader="none" w:pos="9360"/>
      </w:tabs>
      <w:spacing w:line="240" w:lineRule="auto"/>
      <w:ind w:left="0" w:right="-360" w:hanging="2"/>
      <w:jc w:val="left"/>
      <w:rPr>
        <w:sz w:val="20"/>
        <w:szCs w:val="2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3">
    <w:pPr>
      <w:tabs>
        <w:tab w:val="right" w:leader="none" w:pos="9020"/>
        <w:tab w:val="center" w:leader="none" w:pos="4680"/>
        <w:tab w:val="right" w:leader="none" w:pos="9360"/>
      </w:tabs>
      <w:spacing w:line="240" w:lineRule="auto"/>
      <w:ind w:left="0" w:hanging="2"/>
      <w:jc w:val="left"/>
      <w:rPr>
        <w:sz w:val="20"/>
        <w:szCs w:val="2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spacing w:line="240" w:lineRule="auto"/>
      <w:ind w:left="0" w:hanging="2"/>
      <w:rPr>
        <w:color w:val="000000"/>
      </w:rPr>
    </w:pPr>
    <w:r w:rsidDel="00000000" w:rsidR="00000000" w:rsidRPr="00000000">
      <w:rPr/>
      <w:drawing>
        <wp:inline distB="114300" distT="114300" distL="114300" distR="114300">
          <wp:extent cx="5943600" cy="838200"/>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5943600" cy="838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ind w:hanging="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position w:val="-1"/>
      <w:bdr w:space="0" w:sz="0" w:val="nil"/>
    </w:rPr>
  </w:style>
  <w:style w:type="paragraph" w:styleId="Heading1">
    <w:name w:val="heading 1"/>
    <w:basedOn w:val="Normal"/>
    <w:next w:val="Normal"/>
    <w:uiPriority w:val="9"/>
    <w:qFormat w:val="1"/>
    <w:pPr>
      <w:keepNext w:val="1"/>
      <w:keepLines w:val="1"/>
      <w:spacing w:after="120" w:before="48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link w:val="Heading6Char"/>
    <w:uiPriority w:val="9"/>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uiPriority w:val="99"/>
    <w:rPr>
      <w:w w:val="100"/>
      <w:position w:val="-1"/>
      <w:u w:val="single"/>
      <w:effect w:val="none"/>
      <w:vertAlign w:val="baseline"/>
      <w:cs w:val="0"/>
      <w:em w:val="none"/>
    </w:rPr>
  </w:style>
  <w:style w:type="paragraph" w:styleId="HeaderFooter" w:customStyle="1">
    <w:name w:val="Header &amp; Footer"/>
    <w:pPr>
      <w:pBdr>
        <w:top w:space="0" w:sz="0" w:val="nil"/>
        <w:left w:space="0" w:sz="0" w:val="nil"/>
        <w:bottom w:space="0" w:sz="0" w:val="nil"/>
        <w:right w:space="0" w:sz="0" w:val="nil"/>
        <w:between w:space="0" w:sz="0" w:val="nil"/>
        <w:bar w:space="0" w:sz="0" w:val="nil"/>
      </w:pBdr>
      <w:tabs>
        <w:tab w:val="right" w:pos="9020"/>
      </w:tabs>
      <w:suppressAutoHyphens w:val="1"/>
      <w:spacing w:line="1" w:lineRule="atLeast"/>
      <w:ind w:left="-1" w:leftChars="-1" w:hanging="1" w:hangingChars="1"/>
      <w:textDirection w:val="btLr"/>
      <w:textAlignment w:val="top"/>
      <w:outlineLvl w:val="0"/>
    </w:pPr>
    <w:rPr>
      <w:rFonts w:ascii="Helvetica" w:cs="Arial Unicode MS" w:hAnsi="Helvetica"/>
      <w:color w:val="000000"/>
      <w:position w:val="-1"/>
      <w:bdr w:space="0" w:sz="0" w:val="nil"/>
    </w:rPr>
  </w:style>
  <w:style w:type="paragraph" w:styleId="Body" w:customStyle="1">
    <w:name w:val="Body"/>
    <w:pPr>
      <w:pBdr>
        <w:top w:space="0" w:sz="0" w:val="nil"/>
        <w:left w:space="0" w:sz="0" w:val="nil"/>
        <w:bottom w:space="0" w:sz="0" w:val="nil"/>
        <w:right w:space="0" w:sz="0" w:val="nil"/>
        <w:between w:space="0" w:sz="0" w:val="nil"/>
        <w:bar w:space="0" w:sz="0" w:val="nil"/>
      </w:pBdr>
      <w:suppressAutoHyphens w:val="1"/>
      <w:spacing w:line="1" w:lineRule="atLeast"/>
      <w:ind w:left="-1" w:leftChars="-1" w:hanging="1" w:hangingChars="1"/>
      <w:textDirection w:val="btLr"/>
      <w:textAlignment w:val="top"/>
      <w:outlineLvl w:val="0"/>
    </w:pPr>
    <w:rPr>
      <w:rFonts w:ascii="Helvetica" w:cs="Arial Unicode MS" w:hAnsi="Helvetica"/>
      <w:color w:val="000000"/>
      <w:position w:val="-1"/>
      <w:sz w:val="22"/>
      <w:szCs w:val="22"/>
      <w:bdr w:space="0" w:sz="0" w:val="nil"/>
    </w:rPr>
  </w:style>
  <w:style w:type="paragraph" w:styleId="Header">
    <w:name w:val="header"/>
    <w:basedOn w:val="Normal"/>
    <w:qFormat w:val="1"/>
  </w:style>
  <w:style w:type="character" w:styleId="HeaderChar" w:customStyle="1">
    <w:name w:val="Header Char"/>
    <w:rPr>
      <w:w w:val="100"/>
      <w:position w:val="-1"/>
      <w:sz w:val="24"/>
      <w:szCs w:val="24"/>
      <w:effect w:val="none"/>
      <w:vertAlign w:val="baseline"/>
      <w:cs w:val="0"/>
      <w:em w:val="none"/>
    </w:rPr>
  </w:style>
  <w:style w:type="paragraph" w:styleId="Footer">
    <w:name w:val="footer"/>
    <w:basedOn w:val="Normal"/>
    <w:qFormat w:val="1"/>
  </w:style>
  <w:style w:type="character" w:styleId="FooterChar" w:customStyle="1">
    <w:name w:val="Footer Char"/>
    <w:rPr>
      <w:w w:val="100"/>
      <w:position w:val="-1"/>
      <w:sz w:val="24"/>
      <w:szCs w:val="24"/>
      <w:effect w:val="none"/>
      <w:vertAlign w:val="baseline"/>
      <w:cs w:val="0"/>
      <w:em w:val="none"/>
    </w:rPr>
  </w:style>
  <w:style w:type="paragraph" w:styleId="NormalWeb">
    <w:name w:val="Normal (Web)"/>
    <w:basedOn w:val="Normal"/>
    <w:qFormat w:val="1"/>
    <w:pPr>
      <w:pBdr>
        <w:top w:color="auto" w:space="0" w:sz="0" w:val="none"/>
        <w:left w:color="auto" w:space="0" w:sz="0" w:val="none"/>
        <w:bottom w:color="auto" w:space="0" w:sz="0" w:val="none"/>
        <w:right w:color="auto" w:space="0" w:sz="0" w:val="none"/>
        <w:between w:color="auto" w:space="0" w:sz="0" w:val="none"/>
        <w:bar w:color="auto" w:space="0" w:sz="0" w:val="none"/>
      </w:pBdr>
      <w:spacing w:after="100" w:afterAutospacing="1" w:before="100" w:beforeAutospacing="1"/>
    </w:pPr>
    <w:rPr>
      <w:bdr w:color="auto" w:space="0" w:sz="0"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Calibri" w:cs="Calibri" w:eastAsia="Calibri" w:hAnsi="Calibri"/>
      <w:color w:val="000000"/>
      <w:position w:val="-1"/>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character" w:styleId="Heading6Char" w:customStyle="1">
    <w:name w:val="Heading 6 Char"/>
    <w:basedOn w:val="DefaultParagraphFont"/>
    <w:link w:val="Heading6"/>
    <w:uiPriority w:val="9"/>
    <w:rsid w:val="00334C42"/>
    <w:rPr>
      <w:b w:val="1"/>
      <w:position w:val="-1"/>
      <w:sz w:val="20"/>
      <w:szCs w:val="20"/>
      <w:bdr w:space="0" w:sz="0" w:val="nil"/>
    </w:rPr>
  </w:style>
  <w:style w:type="paragraph" w:styleId="indent-1" w:customStyle="1">
    <w:name w:val="indent-1"/>
    <w:basedOn w:val="Normal"/>
    <w:rsid w:val="00334C42"/>
    <w:pPr>
      <w:pBdr>
        <w:top w:color="auto" w:space="0" w:sz="0" w:val="none"/>
        <w:left w:color="auto" w:space="0" w:sz="0" w:val="none"/>
        <w:bottom w:color="auto" w:space="0" w:sz="0" w:val="none"/>
        <w:right w:color="auto" w:space="0" w:sz="0" w:val="none"/>
        <w:between w:color="auto" w:space="0" w:sz="0" w:val="none"/>
        <w:bar w:color="auto" w:space="0" w:sz="0" w:val="none"/>
      </w:pBdr>
      <w:suppressAutoHyphens w:val="0"/>
      <w:spacing w:after="100" w:afterAutospacing="1" w:before="100" w:beforeAutospacing="1" w:line="240" w:lineRule="auto"/>
      <w:ind w:left="0" w:leftChars="0" w:firstLine="0" w:firstLineChars="0"/>
      <w:textDirection w:val="lrTb"/>
      <w:textAlignment w:val="auto"/>
      <w:outlineLvl w:val="9"/>
    </w:pPr>
    <w:rPr>
      <w:position w:val="0"/>
      <w:bdr w:color="auto" w:space="0" w:sz="0" w:val="none"/>
    </w:rPr>
  </w:style>
  <w:style w:type="paragraph" w:styleId="indent-2" w:customStyle="1">
    <w:name w:val="indent-2"/>
    <w:basedOn w:val="Normal"/>
    <w:rsid w:val="00334C42"/>
    <w:pPr>
      <w:pBdr>
        <w:top w:color="auto" w:space="0" w:sz="0" w:val="none"/>
        <w:left w:color="auto" w:space="0" w:sz="0" w:val="none"/>
        <w:bottom w:color="auto" w:space="0" w:sz="0" w:val="none"/>
        <w:right w:color="auto" w:space="0" w:sz="0" w:val="none"/>
        <w:between w:color="auto" w:space="0" w:sz="0" w:val="none"/>
        <w:bar w:color="auto" w:space="0" w:sz="0" w:val="none"/>
      </w:pBdr>
      <w:suppressAutoHyphens w:val="0"/>
      <w:spacing w:after="100" w:afterAutospacing="1" w:before="100" w:beforeAutospacing="1" w:line="240" w:lineRule="auto"/>
      <w:ind w:left="0" w:leftChars="0" w:firstLine="0" w:firstLineChars="0"/>
      <w:textDirection w:val="lrTb"/>
      <w:textAlignment w:val="auto"/>
      <w:outlineLvl w:val="9"/>
    </w:pPr>
    <w:rPr>
      <w:position w:val="0"/>
      <w:bdr w:color="auto" w:space="0" w:sz="0" w:val="none"/>
    </w:rPr>
  </w:style>
  <w:style w:type="character" w:styleId="paragraph-hierarchy" w:customStyle="1">
    <w:name w:val="paragraph-hierarchy"/>
    <w:basedOn w:val="DefaultParagraphFont"/>
    <w:rsid w:val="00334C42"/>
  </w:style>
  <w:style w:type="character" w:styleId="paren" w:customStyle="1">
    <w:name w:val="paren"/>
    <w:basedOn w:val="DefaultParagraphFont"/>
    <w:rsid w:val="00334C42"/>
  </w:style>
  <w:style w:type="paragraph" w:styleId="citation" w:customStyle="1">
    <w:name w:val="citation"/>
    <w:basedOn w:val="Normal"/>
    <w:rsid w:val="00334C42"/>
    <w:pPr>
      <w:pBdr>
        <w:top w:color="auto" w:space="0" w:sz="0" w:val="none"/>
        <w:left w:color="auto" w:space="0" w:sz="0" w:val="none"/>
        <w:bottom w:color="auto" w:space="0" w:sz="0" w:val="none"/>
        <w:right w:color="auto" w:space="0" w:sz="0" w:val="none"/>
        <w:between w:color="auto" w:space="0" w:sz="0" w:val="none"/>
        <w:bar w:color="auto" w:space="0" w:sz="0" w:val="none"/>
      </w:pBdr>
      <w:suppressAutoHyphens w:val="0"/>
      <w:spacing w:after="100" w:afterAutospacing="1" w:before="100" w:beforeAutospacing="1" w:line="240" w:lineRule="auto"/>
      <w:ind w:left="0" w:leftChars="0" w:firstLine="0" w:firstLineChars="0"/>
      <w:textDirection w:val="lrTb"/>
      <w:textAlignment w:val="auto"/>
      <w:outlineLvl w:val="9"/>
    </w:pPr>
    <w:rPr>
      <w:position w:val="0"/>
      <w:bdr w:color="auto" w:space="0" w:sz="0" w:val="none"/>
    </w:rPr>
  </w:style>
  <w:style w:type="character" w:styleId="FollowedHyperlink">
    <w:name w:val="FollowedHyperlink"/>
    <w:basedOn w:val="DefaultParagraphFont"/>
    <w:uiPriority w:val="99"/>
    <w:semiHidden w:val="1"/>
    <w:unhideWhenUsed w:val="1"/>
    <w:rsid w:val="00690F36"/>
    <w:rPr>
      <w:color w:val="800080" w:themeColor="followedHyperlink"/>
      <w:u w:val="single"/>
    </w:rPr>
  </w:style>
  <w:style w:type="paragraph" w:styleId="ListParagraph">
    <w:name w:val="List Paragraph"/>
    <w:basedOn w:val="Normal"/>
    <w:uiPriority w:val="34"/>
    <w:qFormat w:val="1"/>
    <w:rsid w:val="00CC4832"/>
    <w:pPr>
      <w:ind w:left="720"/>
      <w:contextualSpacing w:val="1"/>
    </w:pPr>
  </w:style>
  <w:style w:type="character" w:styleId="UnresolvedMention">
    <w:name w:val="Unresolved Mention"/>
    <w:basedOn w:val="DefaultParagraphFont"/>
    <w:uiPriority w:val="99"/>
    <w:semiHidden w:val="1"/>
    <w:unhideWhenUsed w:val="1"/>
    <w:rsid w:val="00CF10E9"/>
    <w:rPr>
      <w:color w:val="605e5c"/>
      <w:shd w:color="auto" w:fill="e1dfdd" w:val="clear"/>
    </w:rPr>
  </w:style>
  <w:style w:type="character" w:styleId="Emphasis">
    <w:name w:val="Emphasis"/>
    <w:basedOn w:val="DefaultParagraphFont"/>
    <w:uiPriority w:val="20"/>
    <w:qFormat w:val="1"/>
    <w:rsid w:val="00B61B52"/>
    <w:rPr>
      <w:i w:val="1"/>
      <w:i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vinfo.gov/link/uscode/42/3001" TargetMode="External"/><Relationship Id="rId22" Type="http://schemas.openxmlformats.org/officeDocument/2006/relationships/hyperlink" Target="https://www.ecfr.gov/current/title-7/section-210.19#p-210.19(a)" TargetMode="External"/><Relationship Id="rId21" Type="http://schemas.openxmlformats.org/officeDocument/2006/relationships/hyperlink" Target="https://www.ecfr.gov/current/title-7/section-210.19#p-210.19(a)" TargetMode="External"/><Relationship Id="rId24" Type="http://schemas.openxmlformats.org/officeDocument/2006/relationships/hyperlink" Target="https://www.ecfr.gov/current/title-7/subtitle-B/chapter-II/subchapter-A/part-210/subpart-C/section-210.14" TargetMode="External"/><Relationship Id="rId23" Type="http://schemas.openxmlformats.org/officeDocument/2006/relationships/hyperlink" Target="https://www.ecfr.gov/current/title-7/section-210.14#p-210.14(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info.gov/content/pkg/CFR-2012-title2-vol1/pdf/CFR-2012-title2-vol1-part225.pdf" TargetMode="External"/><Relationship Id="rId26" Type="http://schemas.openxmlformats.org/officeDocument/2006/relationships/header" Target="header2.xml"/><Relationship Id="rId25" Type="http://schemas.openxmlformats.org/officeDocument/2006/relationships/hyperlink" Target="mailto:scnprocurement@doe.in.gov" TargetMode="External"/><Relationship Id="rId28" Type="http://schemas.openxmlformats.org/officeDocument/2006/relationships/header" Target="header1.xml"/><Relationship Id="rId27"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footer" Target="footer2.xml"/><Relationship Id="rId7" Type="http://schemas.openxmlformats.org/officeDocument/2006/relationships/hyperlink" Target="https://www.govinfo.gov/content/pkg/CFR-2012-title2-vol1/pdf/CFR-2012-title2-vol1-part225.pdf" TargetMode="External"/><Relationship Id="rId8" Type="http://schemas.openxmlformats.org/officeDocument/2006/relationships/hyperlink" Target="https://www.govinfo.gov/content/pkg/CFR-2012-title2-vol1/pdf/CFR-2012-title2-vol1-part225.pdf" TargetMode="External"/><Relationship Id="rId31" Type="http://schemas.openxmlformats.org/officeDocument/2006/relationships/footer" Target="footer1.xml"/><Relationship Id="rId30" Type="http://schemas.openxmlformats.org/officeDocument/2006/relationships/footer" Target="footer3.xml"/><Relationship Id="rId11" Type="http://schemas.openxmlformats.org/officeDocument/2006/relationships/hyperlink" Target="https://www.ecfr.gov/current/title-2/subtitle-A/chapter-II/part-200/subpart-E/subject-group-ECFRed1f39f9b3d4e72/section-200.439" TargetMode="External"/><Relationship Id="rId10" Type="http://schemas.openxmlformats.org/officeDocument/2006/relationships/hyperlink" Target="https://www.fns.usda.gov/cn/state-agency-prior-approval-process-sfa-equipment-purchases#:~:text=This%20memorandum%20updates%20SP31%E2%80%932014,to%20the%20purchase%20of%20equipment." TargetMode="External"/><Relationship Id="rId13" Type="http://schemas.openxmlformats.org/officeDocument/2006/relationships/hyperlink" Target="https://www.ecfr.gov/current/title-2/section-200.436" TargetMode="External"/><Relationship Id="rId12" Type="http://schemas.openxmlformats.org/officeDocument/2006/relationships/hyperlink" Target="https://www.ecfr.gov/current/title-2/section-200.1" TargetMode="External"/><Relationship Id="rId15" Type="http://schemas.openxmlformats.org/officeDocument/2006/relationships/hyperlink" Target="https://www.ecfr.gov/current/title-2/section-200.436" TargetMode="External"/><Relationship Id="rId14" Type="http://schemas.openxmlformats.org/officeDocument/2006/relationships/hyperlink" Target="https://www.ecfr.gov/current/title-2/section-200.465" TargetMode="External"/><Relationship Id="rId17" Type="http://schemas.openxmlformats.org/officeDocument/2006/relationships/hyperlink" Target="https://www.ecfr.gov/current/title-2/section-200.439" TargetMode="External"/><Relationship Id="rId16" Type="http://schemas.openxmlformats.org/officeDocument/2006/relationships/hyperlink" Target="https://www.ecfr.gov/current/title-2/subtitle-A/chapter-II/part-200/subpart-E/subject-group-ECFRed1f39f9b3d4e72/section-200.452" TargetMode="External"/><Relationship Id="rId19" Type="http://schemas.openxmlformats.org/officeDocument/2006/relationships/hyperlink" Target="https://www.ecfr.gov/current/title-7/part-210/section-210.19#p-210.19(a)" TargetMode="External"/><Relationship Id="rId18" Type="http://schemas.openxmlformats.org/officeDocument/2006/relationships/hyperlink" Target="https://www.ecfr.gov/current/title-7/subtitle-B/chapter-II/subchapter-A/part-210/subpart-C/section-210.14"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K7GdC3lKuEUuaSBW0aVf/6iTrw==">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2024-05-22T18:33:00Z</dcterms:created>
  <dc:creator>Herzog, Christina</dc:creator>
</cp:coreProperties>
</file>