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60" w:lineRule="auto"/>
        <w:ind w:left="-1440" w:right="-1440" w:firstLine="0"/>
        <w:rPr>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02">
      <w:pPr>
        <w:spacing w:line="360" w:lineRule="auto"/>
        <w:ind w:left="-90" w:firstLine="0"/>
        <w:rPr>
          <w:b w:val="1"/>
          <w:color w:val="20124d"/>
          <w:sz w:val="28"/>
          <w:szCs w:val="28"/>
        </w:rPr>
      </w:pPr>
      <w:r w:rsidDel="00000000" w:rsidR="00000000" w:rsidRPr="00000000">
        <w:rPr>
          <w:b w:val="1"/>
          <w:color w:val="20124d"/>
          <w:sz w:val="28"/>
          <w:szCs w:val="28"/>
        </w:rPr>
        <w:drawing>
          <wp:inline distB="114300" distT="114300" distL="114300" distR="114300">
            <wp:extent cx="5943600" cy="494219"/>
            <wp:effectExtent b="0" l="0" r="0" t="0"/>
            <wp:docPr id="5" name="image1.png"/>
            <a:graphic>
              <a:graphicData uri="http://schemas.openxmlformats.org/drawingml/2006/picture">
                <pic:pic>
                  <pic:nvPicPr>
                    <pic:cNvPr id="0" name="image1.png"/>
                    <pic:cNvPicPr preferRelativeResize="0"/>
                  </pic:nvPicPr>
                  <pic:blipFill>
                    <a:blip r:embed="rId7"/>
                    <a:srcRect b="19409" l="0" r="0" t="20853"/>
                    <a:stretch>
                      <a:fillRect/>
                    </a:stretch>
                  </pic:blipFill>
                  <pic:spPr>
                    <a:xfrm>
                      <a:off x="0" y="0"/>
                      <a:ext cx="5943600" cy="494219"/>
                    </a:xfrm>
                    <a:prstGeom prst="rect"/>
                    <a:ln/>
                  </pic:spPr>
                </pic:pic>
              </a:graphicData>
            </a:graphic>
          </wp:inline>
        </w:drawing>
      </w: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3">
          <w:pPr>
            <w:tabs>
              <w:tab w:val="right" w:leader="none" w:pos="9360"/>
            </w:tabs>
            <w:spacing w:before="80" w:line="240" w:lineRule="auto"/>
            <w:ind w:left="0" w:firstLine="0"/>
            <w:rPr>
              <w:rFonts w:ascii="Arial" w:cs="Arial" w:eastAsia="Arial" w:hAnsi="Arial"/>
              <w:b w:val="1"/>
              <w:i w:val="0"/>
              <w:smallCaps w:val="0"/>
              <w:strike w:val="0"/>
              <w:u w:val="none"/>
              <w:shd w:fill="auto" w:val="clear"/>
              <w:vertAlign w:val="baseline"/>
            </w:rPr>
          </w:pPr>
          <w:r w:rsidDel="00000000" w:rsidR="00000000" w:rsidRPr="00000000">
            <w:fldChar w:fldCharType="begin"/>
            <w:instrText xml:space="preserve"> TOC \h \u \z \t "Heading 1,1,Heading 2,2,Heading 3,3,Heading 4,4,Heading 5,5,Heading 6,6,"</w:instrText>
            <w:fldChar w:fldCharType="separate"/>
          </w:r>
          <w:hyperlink w:anchor="_2mlhnbstxitg">
            <w:r w:rsidDel="00000000" w:rsidR="00000000" w:rsidRPr="00000000">
              <w:rPr>
                <w:rFonts w:ascii="Arial" w:cs="Arial" w:eastAsia="Arial" w:hAnsi="Arial"/>
                <w:b w:val="1"/>
                <w:i w:val="0"/>
                <w:smallCaps w:val="0"/>
                <w:strike w:val="0"/>
                <w:u w:val="none"/>
                <w:shd w:fill="auto" w:val="clear"/>
                <w:vertAlign w:val="baseline"/>
                <w:rtl w:val="0"/>
              </w:rPr>
              <w:t xml:space="preserve">Indicator 12: Early Childhood Transition</w:t>
            </w:r>
          </w:hyperlink>
          <w:r w:rsidDel="00000000" w:rsidR="00000000" w:rsidRPr="00000000">
            <w:rPr>
              <w:rFonts w:ascii="Arial" w:cs="Arial" w:eastAsia="Arial" w:hAnsi="Arial"/>
              <w:b w:val="1"/>
              <w:i w:val="0"/>
              <w:smallCaps w:val="0"/>
              <w:strike w:val="0"/>
              <w:u w:val="none"/>
              <w:shd w:fill="auto" w:val="clear"/>
              <w:vertAlign w:val="baseline"/>
              <w:rtl w:val="0"/>
            </w:rPr>
            <w:tab/>
          </w:r>
          <w:r w:rsidDel="00000000" w:rsidR="00000000" w:rsidRPr="00000000">
            <w:rPr>
              <w:b w:val="1"/>
              <w:u w:val="none"/>
              <w:rtl w:val="0"/>
            </w:rPr>
            <w:t xml:space="preserve">2</w:t>
          </w:r>
          <w:r w:rsidDel="00000000" w:rsidR="00000000" w:rsidRPr="00000000">
            <w:rPr>
              <w:rtl w:val="0"/>
            </w:rPr>
          </w:r>
        </w:p>
        <w:p w:rsidR="00000000" w:rsidDel="00000000" w:rsidP="00000000" w:rsidRDefault="00000000" w:rsidRPr="00000000" w14:paraId="00000004">
          <w:pPr>
            <w:tabs>
              <w:tab w:val="right" w:leader="none" w:pos="9360"/>
            </w:tabs>
            <w:spacing w:before="60" w:line="240" w:lineRule="auto"/>
            <w:ind w:left="360" w:firstLine="0"/>
            <w:rPr/>
          </w:pPr>
          <w:hyperlink r:id="rId8">
            <w:r w:rsidDel="00000000" w:rsidR="00000000" w:rsidRPr="00000000">
              <w:rPr>
                <w:rtl w:val="0"/>
              </w:rPr>
              <w:t xml:space="preserve">Definition</w:t>
            </w:r>
          </w:hyperlink>
          <w:r w:rsidDel="00000000" w:rsidR="00000000" w:rsidRPr="00000000">
            <w:rPr>
              <w:rtl w:val="0"/>
            </w:rPr>
            <w:tab/>
            <w:t xml:space="preserve">2</w:t>
          </w:r>
        </w:p>
        <w:p w:rsidR="00000000" w:rsidDel="00000000" w:rsidP="00000000" w:rsidRDefault="00000000" w:rsidRPr="00000000" w14:paraId="00000005">
          <w:pPr>
            <w:tabs>
              <w:tab w:val="right" w:leader="none" w:pos="9360"/>
            </w:tabs>
            <w:spacing w:before="60" w:line="240" w:lineRule="auto"/>
            <w:ind w:left="360" w:firstLine="0"/>
            <w:rPr>
              <w:i w:val="0"/>
              <w:smallCaps w:val="0"/>
              <w:strike w:val="0"/>
              <w:u w:val="none"/>
              <w:shd w:fill="auto" w:val="clear"/>
              <w:vertAlign w:val="baseline"/>
            </w:rPr>
          </w:pPr>
          <w:r w:rsidDel="00000000" w:rsidR="00000000" w:rsidRPr="00000000">
            <w:rPr>
              <w:rtl w:val="0"/>
            </w:rPr>
            <w:t xml:space="preserve">State Targets</w:t>
          </w:r>
          <w:r w:rsidDel="00000000" w:rsidR="00000000" w:rsidRPr="00000000">
            <w:rPr>
              <w:i w:val="0"/>
              <w:smallCaps w:val="0"/>
              <w:strike w:val="0"/>
              <w:u w:val="none"/>
              <w:shd w:fill="auto" w:val="clear"/>
              <w:vertAlign w:val="baseline"/>
              <w:rtl w:val="0"/>
            </w:rPr>
            <w:tab/>
          </w:r>
          <w:r w:rsidDel="00000000" w:rsidR="00000000" w:rsidRPr="00000000">
            <w:rPr>
              <w:u w:val="none"/>
              <w:rtl w:val="0"/>
            </w:rPr>
            <w:t xml:space="preserve">2</w:t>
          </w:r>
          <w:r w:rsidDel="00000000" w:rsidR="00000000" w:rsidRPr="00000000">
            <w:rPr>
              <w:rtl w:val="0"/>
            </w:rPr>
          </w:r>
        </w:p>
        <w:p w:rsidR="00000000" w:rsidDel="00000000" w:rsidP="00000000" w:rsidRDefault="00000000" w:rsidRPr="00000000" w14:paraId="00000006">
          <w:pPr>
            <w:tabs>
              <w:tab w:val="right" w:leader="none" w:pos="9360"/>
            </w:tabs>
            <w:spacing w:before="200" w:line="240" w:lineRule="auto"/>
            <w:rPr>
              <w:b w:val="1"/>
            </w:rPr>
          </w:pPr>
          <w:r w:rsidDel="00000000" w:rsidR="00000000" w:rsidRPr="00000000">
            <w:rPr>
              <w:b w:val="1"/>
              <w:rtl w:val="0"/>
            </w:rPr>
            <w:t xml:space="preserve">RDA Calculation</w:t>
            <w:tab/>
            <w:t xml:space="preserve">3</w:t>
          </w:r>
        </w:p>
        <w:p w:rsidR="00000000" w:rsidDel="00000000" w:rsidP="00000000" w:rsidRDefault="00000000" w:rsidRPr="00000000" w14:paraId="00000007">
          <w:pPr>
            <w:tabs>
              <w:tab w:val="right" w:leader="none" w:pos="9360"/>
            </w:tabs>
            <w:spacing w:before="60" w:line="240" w:lineRule="auto"/>
            <w:ind w:left="360" w:firstLine="0"/>
            <w:rPr>
              <w:b w:val="1"/>
            </w:rPr>
          </w:pPr>
          <w:r w:rsidDel="00000000" w:rsidR="00000000" w:rsidRPr="00000000">
            <w:rPr>
              <w:rtl w:val="0"/>
            </w:rPr>
            <w:t xml:space="preserve">Monitoring Cycle Visual</w:t>
            <w:tab/>
            <w:t xml:space="preserve">3</w:t>
          </w:r>
          <w:r w:rsidDel="00000000" w:rsidR="00000000" w:rsidRPr="00000000">
            <w:rPr>
              <w:rtl w:val="0"/>
            </w:rPr>
          </w:r>
        </w:p>
        <w:p w:rsidR="00000000" w:rsidDel="00000000" w:rsidP="00000000" w:rsidRDefault="00000000" w:rsidRPr="00000000" w14:paraId="00000008">
          <w:pPr>
            <w:tabs>
              <w:tab w:val="right" w:leader="none" w:pos="9360"/>
            </w:tabs>
            <w:spacing w:before="200" w:line="240" w:lineRule="auto"/>
            <w:rPr>
              <w:b w:val="1"/>
            </w:rPr>
          </w:pPr>
          <w:r w:rsidDel="00000000" w:rsidR="00000000" w:rsidRPr="00000000">
            <w:rPr>
              <w:b w:val="1"/>
              <w:rtl w:val="0"/>
            </w:rPr>
            <w:t xml:space="preserve">Monitoring Cycle Description</w:t>
            <w:tab/>
            <w:t xml:space="preserve">4</w:t>
          </w:r>
        </w:p>
        <w:p w:rsidR="00000000" w:rsidDel="00000000" w:rsidP="00000000" w:rsidRDefault="00000000" w:rsidRPr="00000000" w14:paraId="00000009">
          <w:pPr>
            <w:tabs>
              <w:tab w:val="right" w:leader="none" w:pos="9360"/>
            </w:tabs>
            <w:spacing w:before="60" w:line="240" w:lineRule="auto"/>
            <w:ind w:left="360" w:firstLine="0"/>
            <w:rPr/>
          </w:pPr>
          <w:r w:rsidDel="00000000" w:rsidR="00000000" w:rsidRPr="00000000">
            <w:rPr>
              <w:rtl w:val="0"/>
            </w:rPr>
            <w:t xml:space="preserve">Compliance Guidelines</w:t>
            <w:tab/>
            <w:t xml:space="preserve">4</w:t>
          </w:r>
        </w:p>
        <w:p w:rsidR="00000000" w:rsidDel="00000000" w:rsidP="00000000" w:rsidRDefault="00000000" w:rsidRPr="00000000" w14:paraId="0000000A">
          <w:pPr>
            <w:tabs>
              <w:tab w:val="right" w:leader="none" w:pos="9360"/>
            </w:tabs>
            <w:spacing w:before="200" w:line="240" w:lineRule="auto"/>
            <w:rPr/>
          </w:pPr>
          <w:r w:rsidDel="00000000" w:rsidR="00000000" w:rsidRPr="00000000">
            <w:rPr>
              <w:b w:val="1"/>
              <w:rtl w:val="0"/>
            </w:rPr>
            <w:t xml:space="preserve">Correction of Noncompliance</w:t>
            <w:tab/>
            <w:t xml:space="preserve">5</w:t>
          </w:r>
          <w:r w:rsidDel="00000000" w:rsidR="00000000" w:rsidRPr="00000000">
            <w:rPr>
              <w:rtl w:val="0"/>
            </w:rPr>
          </w:r>
        </w:p>
        <w:p w:rsidR="00000000" w:rsidDel="00000000" w:rsidP="00000000" w:rsidRDefault="00000000" w:rsidRPr="00000000" w14:paraId="0000000B">
          <w:pPr>
            <w:tabs>
              <w:tab w:val="right" w:leader="none" w:pos="9360"/>
            </w:tabs>
            <w:spacing w:after="80" w:before="200" w:line="240" w:lineRule="auto"/>
            <w:ind w:left="0" w:firstLine="0"/>
            <w:rPr>
              <w:b w:val="1"/>
              <w:i w:val="0"/>
              <w:smallCaps w:val="0"/>
              <w:strike w:val="0"/>
              <w:u w:val="none"/>
              <w:shd w:fill="auto" w:val="clear"/>
              <w:vertAlign w:val="baseline"/>
            </w:rPr>
          </w:pPr>
          <w:r w:rsidDel="00000000" w:rsidR="00000000" w:rsidRPr="00000000">
            <w:rPr>
              <w:b w:val="1"/>
              <w:rtl w:val="0"/>
            </w:rPr>
            <w:t xml:space="preserve">Results Driven Accountability (RDA)</w:t>
            <w:tab/>
            <w:t xml:space="preserve">6</w:t>
          </w:r>
          <w:r w:rsidDel="00000000" w:rsidR="00000000" w:rsidRPr="00000000">
            <w:rPr>
              <w:rtl w:val="0"/>
            </w:rPr>
          </w:r>
        </w:p>
        <w:p w:rsidR="00000000" w:rsidDel="00000000" w:rsidP="00000000" w:rsidRDefault="00000000" w:rsidRPr="00000000" w14:paraId="0000000C">
          <w:pPr>
            <w:tabs>
              <w:tab w:val="right" w:leader="none" w:pos="9360"/>
            </w:tabs>
            <w:spacing w:after="80" w:before="200" w:line="240" w:lineRule="auto"/>
            <w:ind w:left="0" w:firstLine="0"/>
            <w:rPr>
              <w:rFonts w:ascii="Arial" w:cs="Arial" w:eastAsia="Arial" w:hAnsi="Arial"/>
              <w:b w:val="1"/>
              <w:i w:val="0"/>
              <w:smallCaps w:val="0"/>
              <w:strike w:val="0"/>
              <w:u w:val="none"/>
              <w:shd w:fill="auto" w:val="clear"/>
              <w:vertAlign w:val="baseline"/>
            </w:rPr>
          </w:pPr>
          <w:hyperlink w:anchor="_bb4csur3qi0f">
            <w:r w:rsidDel="00000000" w:rsidR="00000000" w:rsidRPr="00000000">
              <w:rPr>
                <w:rFonts w:ascii="Arial" w:cs="Arial" w:eastAsia="Arial" w:hAnsi="Arial"/>
                <w:b w:val="1"/>
                <w:i w:val="0"/>
                <w:smallCaps w:val="0"/>
                <w:strike w:val="0"/>
                <w:u w:val="none"/>
                <w:shd w:fill="auto" w:val="clear"/>
                <w:vertAlign w:val="baseline"/>
                <w:rtl w:val="0"/>
              </w:rPr>
              <w:t xml:space="preserve">Technical Assistance</w:t>
            </w:r>
          </w:hyperlink>
          <w:r w:rsidDel="00000000" w:rsidR="00000000" w:rsidRPr="00000000">
            <w:rPr>
              <w:rFonts w:ascii="Arial" w:cs="Arial" w:eastAsia="Arial" w:hAnsi="Arial"/>
              <w:b w:val="1"/>
              <w:i w:val="0"/>
              <w:smallCaps w:val="0"/>
              <w:strike w:val="0"/>
              <w:u w:val="none"/>
              <w:shd w:fill="auto" w:val="clear"/>
              <w:vertAlign w:val="baseline"/>
              <w:rtl w:val="0"/>
            </w:rPr>
            <w:tab/>
          </w:r>
          <w:r w:rsidDel="00000000" w:rsidR="00000000" w:rsidRPr="00000000">
            <w:rPr>
              <w:b w:val="1"/>
              <w:rtl w:val="0"/>
            </w:rPr>
            <w:t xml:space="preserve">7</w:t>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D">
      <w:pPr>
        <w:rPr>
          <w:b w:val="1"/>
          <w:color w:val="20124d"/>
          <w:sz w:val="28"/>
          <w:szCs w:val="28"/>
        </w:rPr>
      </w:pPr>
      <w:r w:rsidDel="00000000" w:rsidR="00000000" w:rsidRPr="00000000">
        <w:rPr>
          <w:rtl w:val="0"/>
        </w:rPr>
      </w:r>
    </w:p>
    <w:p w:rsidR="00000000" w:rsidDel="00000000" w:rsidP="00000000" w:rsidRDefault="00000000" w:rsidRPr="00000000" w14:paraId="0000000E">
      <w:pPr>
        <w:spacing w:line="360" w:lineRule="auto"/>
        <w:rPr>
          <w:b w:val="1"/>
          <w:color w:val="20124d"/>
          <w:sz w:val="28"/>
          <w:szCs w:val="28"/>
        </w:rPr>
      </w:pPr>
      <w:r w:rsidDel="00000000" w:rsidR="00000000" w:rsidRPr="00000000">
        <w:rPr>
          <w:rtl w:val="0"/>
        </w:rPr>
      </w:r>
    </w:p>
    <w:p w:rsidR="00000000" w:rsidDel="00000000" w:rsidP="00000000" w:rsidRDefault="00000000" w:rsidRPr="00000000" w14:paraId="0000000F">
      <w:pPr>
        <w:pStyle w:val="Heading1"/>
        <w:spacing w:after="0" w:line="360" w:lineRule="auto"/>
        <w:jc w:val="left"/>
        <w:rPr/>
      </w:pPr>
      <w:bookmarkStart w:colFirst="0" w:colLast="0" w:name="_2i6kcacyxcy6" w:id="0"/>
      <w:bookmarkEnd w:id="0"/>
      <w:r w:rsidDel="00000000" w:rsidR="00000000" w:rsidRPr="00000000">
        <w:br w:type="page"/>
      </w:r>
      <w:r w:rsidDel="00000000" w:rsidR="00000000" w:rsidRPr="00000000">
        <w:rPr>
          <w:rtl w:val="0"/>
        </w:rPr>
      </w:r>
    </w:p>
    <w:p w:rsidR="00000000" w:rsidDel="00000000" w:rsidP="00000000" w:rsidRDefault="00000000" w:rsidRPr="00000000" w14:paraId="00000010">
      <w:pPr>
        <w:pStyle w:val="Heading1"/>
        <w:spacing w:after="0" w:lineRule="auto"/>
        <w:rPr>
          <w:sz w:val="2"/>
          <w:szCs w:val="2"/>
        </w:rPr>
      </w:pPr>
      <w:bookmarkStart w:colFirst="0" w:colLast="0" w:name="_2mlhnbstxitg" w:id="1"/>
      <w:bookmarkEnd w:id="1"/>
      <w:r w:rsidDel="00000000" w:rsidR="00000000" w:rsidRPr="00000000">
        <w:rPr>
          <w:rtl w:val="0"/>
        </w:rPr>
      </w:r>
    </w:p>
    <w:p w:rsidR="00000000" w:rsidDel="00000000" w:rsidP="00000000" w:rsidRDefault="00000000" w:rsidRPr="00000000" w14:paraId="00000011">
      <w:pPr>
        <w:pStyle w:val="Heading1"/>
        <w:spacing w:after="0" w:lineRule="auto"/>
        <w:rPr/>
      </w:pPr>
      <w:bookmarkStart w:colFirst="0" w:colLast="0" w:name="_bczmu0jf501v" w:id="2"/>
      <w:bookmarkEnd w:id="2"/>
      <w:r w:rsidDel="00000000" w:rsidR="00000000" w:rsidRPr="00000000">
        <w:rPr/>
        <w:drawing>
          <wp:inline distB="114300" distT="114300" distL="114300" distR="114300">
            <wp:extent cx="4857750" cy="507995"/>
            <wp:effectExtent b="0" l="0" r="0" t="0"/>
            <wp:docPr id="12" name="image5.png"/>
            <a:graphic>
              <a:graphicData uri="http://schemas.openxmlformats.org/drawingml/2006/picture">
                <pic:pic>
                  <pic:nvPicPr>
                    <pic:cNvPr id="0" name="image5.png"/>
                    <pic:cNvPicPr preferRelativeResize="0"/>
                  </pic:nvPicPr>
                  <pic:blipFill>
                    <a:blip r:embed="rId9"/>
                    <a:srcRect b="14701" l="0" r="0" t="10400"/>
                    <a:stretch>
                      <a:fillRect/>
                    </a:stretch>
                  </pic:blipFill>
                  <pic:spPr>
                    <a:xfrm>
                      <a:off x="0" y="0"/>
                      <a:ext cx="4857750" cy="507995"/>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pStyle w:val="Heading2"/>
        <w:spacing w:after="140" w:line="240" w:lineRule="auto"/>
        <w:rPr>
          <w:color w:val="434a6d"/>
        </w:rPr>
      </w:pPr>
      <w:bookmarkStart w:colFirst="0" w:colLast="0" w:name="_zb3biqgin3sw" w:id="3"/>
      <w:bookmarkEnd w:id="3"/>
      <w:r w:rsidDel="00000000" w:rsidR="00000000" w:rsidRPr="00000000">
        <w:rPr>
          <w:color w:val="434a6d"/>
          <w:rtl w:val="0"/>
        </w:rPr>
        <w:t xml:space="preserve">Definition of Indicator 12:</w:t>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161925</wp:posOffset>
            </wp:positionV>
            <wp:extent cx="947738" cy="756451"/>
            <wp:effectExtent b="0" l="0" r="0" t="0"/>
            <wp:wrapSquare wrapText="bothSides" distB="114300" distT="114300" distL="114300" distR="114300"/>
            <wp:docPr id="8" name="image9.png"/>
            <a:graphic>
              <a:graphicData uri="http://schemas.openxmlformats.org/drawingml/2006/picture">
                <pic:pic>
                  <pic:nvPicPr>
                    <pic:cNvPr id="0" name="image9.png"/>
                    <pic:cNvPicPr preferRelativeResize="0"/>
                  </pic:nvPicPr>
                  <pic:blipFill>
                    <a:blip r:embed="rId10"/>
                    <a:srcRect b="20418" l="0" r="0" t="0"/>
                    <a:stretch>
                      <a:fillRect/>
                    </a:stretch>
                  </pic:blipFill>
                  <pic:spPr>
                    <a:xfrm>
                      <a:off x="0" y="0"/>
                      <a:ext cx="947738" cy="756451"/>
                    </a:xfrm>
                    <a:prstGeom prst="rect"/>
                    <a:ln/>
                  </pic:spPr>
                </pic:pic>
              </a:graphicData>
            </a:graphic>
          </wp:anchor>
        </w:drawing>
      </w:r>
    </w:p>
    <w:p w:rsidR="00000000" w:rsidDel="00000000" w:rsidP="00000000" w:rsidRDefault="00000000" w:rsidRPr="00000000" w14:paraId="00000013">
      <w:pPr>
        <w:spacing w:after="240" w:lineRule="auto"/>
        <w:rPr/>
      </w:pPr>
      <w:r w:rsidDel="00000000" w:rsidR="00000000" w:rsidRPr="00000000">
        <w:rPr>
          <w:rtl w:val="0"/>
        </w:rPr>
        <w:t xml:space="preserve">Indicator 12 measures the percentage </w:t>
      </w:r>
      <w:r w:rsidDel="00000000" w:rsidR="00000000" w:rsidRPr="00000000">
        <w:rPr>
          <w:rtl w:val="0"/>
        </w:rPr>
        <w:t xml:space="preserve">of children referred by the Individuals with </w:t>
      </w:r>
      <w:r w:rsidDel="00000000" w:rsidR="00000000" w:rsidRPr="00000000">
        <w:rPr>
          <w:rtl w:val="0"/>
        </w:rPr>
        <w:t xml:space="preserve">Disabilities</w:t>
      </w:r>
      <w:r w:rsidDel="00000000" w:rsidR="00000000" w:rsidRPr="00000000">
        <w:rPr>
          <w:rtl w:val="0"/>
        </w:rPr>
        <w:t xml:space="preserve"> Education Act (IDEA) Part C (early intervention) prior to age three, who are found eligible for IDEA Part B (services for school-aged children), and have an Individualized Education Program (IEP) developed and implemented by their third birthday (20 U.S. Code [U.S.C]. 1416(a)(3)(B)).</w:t>
      </w:r>
      <w:r w:rsidDel="00000000" w:rsidR="00000000" w:rsidRPr="00000000">
        <w:rPr>
          <w:rtl w:val="0"/>
        </w:rPr>
      </w:r>
    </w:p>
    <w:p w:rsidR="00000000" w:rsidDel="00000000" w:rsidP="00000000" w:rsidRDefault="00000000" w:rsidRPr="00000000" w14:paraId="00000014">
      <w:pPr>
        <w:pStyle w:val="Heading1"/>
        <w:spacing w:after="120" w:line="276" w:lineRule="auto"/>
        <w:rPr/>
      </w:pPr>
      <w:bookmarkStart w:colFirst="0" w:colLast="0" w:name="_6j2eqni0g0ox" w:id="4"/>
      <w:bookmarkEnd w:id="4"/>
      <w:r w:rsidDel="00000000" w:rsidR="00000000" w:rsidRPr="00000000">
        <w:rPr>
          <w:color w:val="000000"/>
          <w:sz w:val="24"/>
          <w:szCs w:val="24"/>
          <w:rtl w:val="0"/>
        </w:rPr>
        <w:t xml:space="preserve">State Performance Report/Annual Performance Review (</w:t>
      </w:r>
      <w:r w:rsidDel="00000000" w:rsidR="00000000" w:rsidRPr="00000000">
        <w:rPr>
          <w:color w:val="000000"/>
          <w:sz w:val="24"/>
          <w:szCs w:val="24"/>
          <w:rtl w:val="0"/>
        </w:rPr>
        <w:t xml:space="preserve">SPP/APR</w:t>
      </w:r>
      <w:r w:rsidDel="00000000" w:rsidR="00000000" w:rsidRPr="00000000">
        <w:rPr>
          <w:color w:val="000000"/>
          <w:sz w:val="24"/>
          <w:szCs w:val="24"/>
          <w:rtl w:val="0"/>
        </w:rPr>
        <w:t xml:space="preserve">) Calculation </w:t>
      </w:r>
      <w:r w:rsidDel="00000000" w:rsidR="00000000" w:rsidRPr="00000000">
        <w:rPr>
          <w:rtl w:val="0"/>
        </w:rPr>
      </w:r>
    </w:p>
    <w:p w:rsidR="00000000" w:rsidDel="00000000" w:rsidP="00000000" w:rsidRDefault="00000000" w:rsidRPr="00000000" w14:paraId="00000015">
      <w:pPr>
        <w:shd w:fill="ffffff" w:val="clear"/>
        <w:jc w:val="center"/>
        <w:rPr/>
      </w:pPr>
      <w:r w:rsidDel="00000000" w:rsidR="00000000" w:rsidRPr="00000000">
        <w:rPr>
          <w:rtl w:val="0"/>
        </w:rPr>
        <w:t xml:space="preserve">Percent</w:t>
      </w:r>
      <w:r w:rsidDel="00000000" w:rsidR="00000000" w:rsidRPr="00000000">
        <w:rPr>
          <w:rtl w:val="0"/>
        </w:rPr>
        <w:t xml:space="preserve"> = [(</w:t>
      </w:r>
      <w:r w:rsidDel="00000000" w:rsidR="00000000" w:rsidRPr="00000000">
        <w:rPr>
          <w:b w:val="1"/>
          <w:rtl w:val="0"/>
        </w:rPr>
        <w:t xml:space="preserve">c</w:t>
      </w:r>
      <w:r w:rsidDel="00000000" w:rsidR="00000000" w:rsidRPr="00000000">
        <w:rPr>
          <w:rtl w:val="0"/>
        </w:rPr>
        <w:t xml:space="preserve">) divided by (</w:t>
      </w:r>
      <w:r w:rsidDel="00000000" w:rsidR="00000000" w:rsidRPr="00000000">
        <w:rPr>
          <w:b w:val="1"/>
          <w:rtl w:val="0"/>
        </w:rPr>
        <w:t xml:space="preserve">a</w:t>
      </w:r>
      <w:r w:rsidDel="00000000" w:rsidR="00000000" w:rsidRPr="00000000">
        <w:rPr>
          <w:rtl w:val="0"/>
        </w:rPr>
        <w:t xml:space="preserve"> - </w:t>
      </w:r>
      <w:r w:rsidDel="00000000" w:rsidR="00000000" w:rsidRPr="00000000">
        <w:rPr>
          <w:b w:val="1"/>
          <w:rtl w:val="0"/>
        </w:rPr>
        <w:t xml:space="preserve">b</w:t>
      </w:r>
      <w:r w:rsidDel="00000000" w:rsidR="00000000" w:rsidRPr="00000000">
        <w:rPr>
          <w:rtl w:val="0"/>
        </w:rPr>
        <w:t xml:space="preserve"> - </w:t>
      </w:r>
      <w:r w:rsidDel="00000000" w:rsidR="00000000" w:rsidRPr="00000000">
        <w:rPr>
          <w:b w:val="1"/>
          <w:rtl w:val="0"/>
        </w:rPr>
        <w:t xml:space="preserve">d</w:t>
      </w:r>
      <w:r w:rsidDel="00000000" w:rsidR="00000000" w:rsidRPr="00000000">
        <w:rPr>
          <w:rtl w:val="0"/>
        </w:rPr>
        <w:t xml:space="preserve"> - </w:t>
      </w:r>
      <w:r w:rsidDel="00000000" w:rsidR="00000000" w:rsidRPr="00000000">
        <w:rPr>
          <w:b w:val="1"/>
          <w:rtl w:val="0"/>
        </w:rPr>
        <w:t xml:space="preserve">e</w:t>
      </w:r>
      <w:r w:rsidDel="00000000" w:rsidR="00000000" w:rsidRPr="00000000">
        <w:rPr>
          <w:rtl w:val="0"/>
        </w:rPr>
        <w:t xml:space="preserve"> - </w:t>
      </w:r>
      <w:r w:rsidDel="00000000" w:rsidR="00000000" w:rsidRPr="00000000">
        <w:rPr>
          <w:b w:val="1"/>
          <w:rtl w:val="0"/>
        </w:rPr>
        <w:t xml:space="preserve">f</w:t>
      </w:r>
      <w:r w:rsidDel="00000000" w:rsidR="00000000" w:rsidRPr="00000000">
        <w:rPr>
          <w:rtl w:val="0"/>
        </w:rPr>
        <w:t xml:space="preserve">)] times 100 </w:t>
      </w:r>
    </w:p>
    <w:p w:rsidR="00000000" w:rsidDel="00000000" w:rsidP="00000000" w:rsidRDefault="00000000" w:rsidRPr="00000000" w14:paraId="00000016">
      <w:pPr>
        <w:shd w:fill="ffffff" w:val="clear"/>
        <w:spacing w:after="80" w:lineRule="auto"/>
        <w:rPr>
          <w:i w:val="1"/>
        </w:rPr>
      </w:pPr>
      <w:r w:rsidDel="00000000" w:rsidR="00000000" w:rsidRPr="00000000">
        <w:rPr>
          <w:i w:val="1"/>
          <w:rtl w:val="0"/>
        </w:rPr>
        <w:t xml:space="preserve">Where:</w:t>
      </w:r>
      <w:r w:rsidDel="00000000" w:rsidR="00000000" w:rsidRPr="00000000">
        <w:rPr>
          <w:rtl w:val="0"/>
        </w:rPr>
      </w:r>
    </w:p>
    <w:p w:rsidR="00000000" w:rsidDel="00000000" w:rsidP="00000000" w:rsidRDefault="00000000" w:rsidRPr="00000000" w14:paraId="00000017">
      <w:pPr>
        <w:shd w:fill="ffffff" w:val="clear"/>
        <w:spacing w:after="80" w:before="0" w:line="276" w:lineRule="auto"/>
        <w:ind w:left="270" w:hanging="270"/>
        <w:rPr/>
      </w:pPr>
      <w:r w:rsidDel="00000000" w:rsidR="00000000" w:rsidRPr="00000000">
        <w:rPr>
          <w:b w:val="1"/>
          <w:rtl w:val="0"/>
        </w:rPr>
        <w:t xml:space="preserve">a</w:t>
      </w:r>
      <w:r w:rsidDel="00000000" w:rsidR="00000000" w:rsidRPr="00000000">
        <w:rPr>
          <w:rtl w:val="0"/>
        </w:rPr>
        <w:t xml:space="preserve">. Number of children who have been served in Part C and referred to Part B for eligibility determination.</w:t>
      </w:r>
    </w:p>
    <w:p w:rsidR="00000000" w:rsidDel="00000000" w:rsidP="00000000" w:rsidRDefault="00000000" w:rsidRPr="00000000" w14:paraId="00000018">
      <w:pPr>
        <w:shd w:fill="ffffff" w:val="clear"/>
        <w:spacing w:after="80" w:line="276" w:lineRule="auto"/>
        <w:ind w:left="270" w:hanging="270"/>
        <w:rPr/>
      </w:pPr>
      <w:r w:rsidDel="00000000" w:rsidR="00000000" w:rsidRPr="00000000">
        <w:rPr>
          <w:b w:val="1"/>
          <w:rtl w:val="0"/>
        </w:rPr>
        <w:t xml:space="preserve">b.</w:t>
      </w:r>
      <w:r w:rsidDel="00000000" w:rsidR="00000000" w:rsidRPr="00000000">
        <w:rPr>
          <w:rtl w:val="0"/>
        </w:rPr>
        <w:t xml:space="preserve"> Number of children referred determined to be NOT eligible and whose eligibility was determined prior to their third birthday</w:t>
      </w:r>
    </w:p>
    <w:p w:rsidR="00000000" w:rsidDel="00000000" w:rsidP="00000000" w:rsidRDefault="00000000" w:rsidRPr="00000000" w14:paraId="00000019">
      <w:pPr>
        <w:shd w:fill="ffffff" w:val="clear"/>
        <w:spacing w:after="80" w:line="276" w:lineRule="auto"/>
        <w:ind w:left="270" w:hanging="270"/>
        <w:rPr/>
      </w:pPr>
      <w:r w:rsidDel="00000000" w:rsidR="00000000" w:rsidRPr="00000000">
        <w:rPr>
          <w:b w:val="1"/>
          <w:rtl w:val="0"/>
        </w:rPr>
        <w:t xml:space="preserve">c.</w:t>
      </w:r>
      <w:r w:rsidDel="00000000" w:rsidR="00000000" w:rsidRPr="00000000">
        <w:rPr>
          <w:rtl w:val="0"/>
        </w:rPr>
        <w:t xml:space="preserve"> Number of children found eligible who have an IEP developed and implemented by their third birthday</w:t>
      </w:r>
    </w:p>
    <w:p w:rsidR="00000000" w:rsidDel="00000000" w:rsidP="00000000" w:rsidRDefault="00000000" w:rsidRPr="00000000" w14:paraId="0000001A">
      <w:pPr>
        <w:shd w:fill="ffffff" w:val="clear"/>
        <w:spacing w:after="80" w:line="276" w:lineRule="auto"/>
        <w:ind w:left="270" w:hanging="270"/>
        <w:rPr/>
      </w:pPr>
      <w:r w:rsidDel="00000000" w:rsidR="00000000" w:rsidRPr="00000000">
        <w:rPr>
          <w:b w:val="1"/>
          <w:rtl w:val="0"/>
        </w:rPr>
        <w:t xml:space="preserve">d.</w:t>
      </w:r>
      <w:r w:rsidDel="00000000" w:rsidR="00000000" w:rsidRPr="00000000">
        <w:rPr>
          <w:rtl w:val="0"/>
        </w:rPr>
        <w:t xml:space="preserve"> Number of children for whom parent refusal to provide consent caused delays in evaluation or initial services, or to whom exceptions under 34 </w:t>
      </w:r>
      <w:r w:rsidDel="00000000" w:rsidR="00000000" w:rsidRPr="00000000">
        <w:rPr>
          <w:rtl w:val="0"/>
        </w:rPr>
        <w:t xml:space="preserve">CFR</w:t>
      </w:r>
      <w:r w:rsidDel="00000000" w:rsidR="00000000" w:rsidRPr="00000000">
        <w:rPr>
          <w:rtl w:val="0"/>
        </w:rPr>
        <w:t xml:space="preserve"> §300.301(d) applied</w:t>
      </w:r>
    </w:p>
    <w:p w:rsidR="00000000" w:rsidDel="00000000" w:rsidP="00000000" w:rsidRDefault="00000000" w:rsidRPr="00000000" w14:paraId="0000001B">
      <w:pPr>
        <w:shd w:fill="ffffff" w:val="clear"/>
        <w:spacing w:after="80" w:line="276" w:lineRule="auto"/>
        <w:ind w:left="270" w:hanging="270"/>
        <w:rPr/>
      </w:pPr>
      <w:r w:rsidDel="00000000" w:rsidR="00000000" w:rsidRPr="00000000">
        <w:rPr>
          <w:b w:val="1"/>
          <w:rtl w:val="0"/>
        </w:rPr>
        <w:t xml:space="preserve">e.</w:t>
      </w:r>
      <w:r w:rsidDel="00000000" w:rsidR="00000000" w:rsidRPr="00000000">
        <w:rPr>
          <w:rtl w:val="0"/>
        </w:rPr>
        <w:t xml:space="preserve"> Number of children determined to be eligible for early intervention services under Part C less than 90 days before their third birthday</w:t>
      </w:r>
    </w:p>
    <w:p w:rsidR="00000000" w:rsidDel="00000000" w:rsidP="00000000" w:rsidRDefault="00000000" w:rsidRPr="00000000" w14:paraId="0000001C">
      <w:pPr>
        <w:shd w:fill="ffffff" w:val="clear"/>
        <w:spacing w:after="120" w:line="276" w:lineRule="auto"/>
        <w:ind w:left="270" w:hanging="270"/>
        <w:rPr/>
      </w:pPr>
      <w:r w:rsidDel="00000000" w:rsidR="00000000" w:rsidRPr="00000000">
        <w:rPr>
          <w:b w:val="1"/>
          <w:rtl w:val="0"/>
        </w:rPr>
        <w:t xml:space="preserve">f.</w:t>
      </w:r>
      <w:r w:rsidDel="00000000" w:rsidR="00000000" w:rsidRPr="00000000">
        <w:rPr>
          <w:rtl w:val="0"/>
        </w:rPr>
        <w:t xml:space="preserve"> Number of children whose parents chose to continue early intervention services beyond the child's third birthday through a state's policy under 34 CFR §303.211 or a similar state option.</w:t>
      </w:r>
    </w:p>
    <w:p w:rsidR="00000000" w:rsidDel="00000000" w:rsidP="00000000" w:rsidRDefault="00000000" w:rsidRPr="00000000" w14:paraId="0000001D">
      <w:pPr>
        <w:shd w:fill="ffffff" w:val="clear"/>
        <w:spacing w:line="276" w:lineRule="auto"/>
        <w:rPr/>
      </w:pPr>
      <w:r w:rsidDel="00000000" w:rsidR="00000000" w:rsidRPr="00000000">
        <w:rPr>
          <w:rtl w:val="0"/>
        </w:rPr>
        <w:t xml:space="preserve">An a</w:t>
      </w:r>
      <w:r w:rsidDel="00000000" w:rsidR="00000000" w:rsidRPr="00000000">
        <w:rPr>
          <w:rtl w:val="0"/>
        </w:rPr>
        <w:t xml:space="preserve">ccount</w:t>
      </w:r>
      <w:r w:rsidDel="00000000" w:rsidR="00000000" w:rsidRPr="00000000">
        <w:rPr>
          <w:rtl w:val="0"/>
        </w:rPr>
        <w:t xml:space="preserve"> for children included in (a), but not included in b, c, d, e, or f must be given. Indicate the range of days beyond their third birthday when eligibility was determined,the IEP developed, and the reason(s) for the delays.</w:t>
      </w:r>
    </w:p>
    <w:p w:rsidR="00000000" w:rsidDel="00000000" w:rsidP="00000000" w:rsidRDefault="00000000" w:rsidRPr="00000000" w14:paraId="0000001E">
      <w:pPr>
        <w:spacing w:after="120" w:before="120" w:lineRule="auto"/>
        <w:rPr/>
      </w:pPr>
      <w:r w:rsidDel="00000000" w:rsidR="00000000" w:rsidRPr="00000000">
        <w:rPr>
          <w:rtl w:val="0"/>
        </w:rPr>
        <w:t xml:space="preserve">Any score below </w:t>
      </w:r>
      <w:r w:rsidDel="00000000" w:rsidR="00000000" w:rsidRPr="00000000">
        <w:rPr>
          <w:b w:val="1"/>
          <w:rtl w:val="0"/>
        </w:rPr>
        <w:t xml:space="preserve">100%</w:t>
      </w:r>
      <w:r w:rsidDel="00000000" w:rsidR="00000000" w:rsidRPr="00000000">
        <w:rPr>
          <w:rtl w:val="0"/>
        </w:rPr>
        <w:t xml:space="preserve"> results in a finding of noncompliance.</w:t>
      </w:r>
    </w:p>
    <w:tbl>
      <w:tblPr>
        <w:tblStyle w:val="Table1"/>
        <w:tblW w:w="1002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85"/>
        <w:gridCol w:w="1440"/>
        <w:gridCol w:w="1635"/>
        <w:gridCol w:w="1470"/>
        <w:gridCol w:w="1575"/>
        <w:gridCol w:w="1515"/>
        <w:tblGridChange w:id="0">
          <w:tblGrid>
            <w:gridCol w:w="2385"/>
            <w:gridCol w:w="1440"/>
            <w:gridCol w:w="1635"/>
            <w:gridCol w:w="1470"/>
            <w:gridCol w:w="1575"/>
            <w:gridCol w:w="1515"/>
          </w:tblGrid>
        </w:tblGridChange>
      </w:tblGrid>
      <w:tr>
        <w:trPr>
          <w:cantSplit w:val="0"/>
          <w:trHeight w:val="460" w:hRule="atLeast"/>
          <w:tblHeader w:val="0"/>
        </w:trPr>
        <w:tc>
          <w:tcPr>
            <w:gridSpan w:val="6"/>
            <w:shd w:fill="151e49" w:val="clear"/>
            <w:tcMar>
              <w:top w:w="100.0" w:type="dxa"/>
              <w:left w:w="100.0" w:type="dxa"/>
              <w:bottom w:w="100.0" w:type="dxa"/>
              <w:right w:w="100.0" w:type="dxa"/>
            </w:tcMar>
            <w:vAlign w:val="top"/>
          </w:tcPr>
          <w:p w:rsidR="00000000" w:rsidDel="00000000" w:rsidP="00000000" w:rsidRDefault="00000000" w:rsidRPr="00000000" w14:paraId="0000001F">
            <w:pPr>
              <w:pStyle w:val="Heading1"/>
              <w:spacing w:line="240" w:lineRule="auto"/>
              <w:jc w:val="center"/>
              <w:rPr>
                <w:color w:val="ffffff"/>
                <w:sz w:val="24"/>
                <w:szCs w:val="24"/>
              </w:rPr>
            </w:pPr>
            <w:bookmarkStart w:colFirst="0" w:colLast="0" w:name="_1sxdvfax0mgh" w:id="5"/>
            <w:bookmarkEnd w:id="5"/>
            <w:r w:rsidDel="00000000" w:rsidR="00000000" w:rsidRPr="00000000">
              <w:rPr>
                <w:color w:val="ffffff"/>
                <w:sz w:val="24"/>
                <w:szCs w:val="24"/>
                <w:rtl w:val="0"/>
              </w:rPr>
              <w:t xml:space="preserve">State Targets</w:t>
            </w:r>
            <w:r w:rsidDel="00000000" w:rsidR="00000000" w:rsidRPr="00000000">
              <w:rPr>
                <w:rtl w:val="0"/>
              </w:rPr>
            </w:r>
          </w:p>
        </w:tc>
      </w:tr>
      <w:tr>
        <w:trPr>
          <w:cantSplit w:val="0"/>
          <w:trHeight w:val="470.9765625" w:hRule="atLeast"/>
          <w:tblHeader w:val="0"/>
        </w:trPr>
        <w:tc>
          <w:tcPr>
            <w:shd w:fill="656a83" w:val="clear"/>
            <w:tcMar>
              <w:top w:w="100.0" w:type="dxa"/>
              <w:left w:w="100.0" w:type="dxa"/>
              <w:bottom w:w="100.0" w:type="dxa"/>
              <w:right w:w="100.0" w:type="dxa"/>
            </w:tcMar>
            <w:vAlign w:val="top"/>
          </w:tcPr>
          <w:p w:rsidR="00000000" w:rsidDel="00000000" w:rsidP="00000000" w:rsidRDefault="00000000" w:rsidRPr="00000000" w14:paraId="00000025">
            <w:pPr>
              <w:widowControl w:val="0"/>
              <w:spacing w:line="240" w:lineRule="auto"/>
              <w:jc w:val="center"/>
              <w:rPr>
                <w:b w:val="1"/>
                <w:color w:val="ffffff"/>
              </w:rPr>
            </w:pPr>
            <w:r w:rsidDel="00000000" w:rsidR="00000000" w:rsidRPr="00000000">
              <w:rPr>
                <w:b w:val="1"/>
                <w:color w:val="ffffff"/>
                <w:rtl w:val="0"/>
              </w:rPr>
              <w:t xml:space="preserve">Target Year</w:t>
            </w:r>
          </w:p>
        </w:tc>
        <w:tc>
          <w:tcPr>
            <w:shd w:fill="434a6d" w:val="clear"/>
            <w:tcMar>
              <w:top w:w="100.0" w:type="dxa"/>
              <w:left w:w="100.0" w:type="dxa"/>
              <w:bottom w:w="100.0" w:type="dxa"/>
              <w:right w:w="100.0" w:type="dxa"/>
            </w:tcMar>
            <w:vAlign w:val="top"/>
          </w:tcPr>
          <w:p w:rsidR="00000000" w:rsidDel="00000000" w:rsidP="00000000" w:rsidRDefault="00000000" w:rsidRPr="00000000" w14:paraId="00000026">
            <w:pPr>
              <w:widowControl w:val="0"/>
              <w:spacing w:line="240" w:lineRule="auto"/>
              <w:jc w:val="center"/>
              <w:rPr>
                <w:b w:val="1"/>
                <w:color w:val="ffffff"/>
              </w:rPr>
            </w:pPr>
            <w:r w:rsidDel="00000000" w:rsidR="00000000" w:rsidRPr="00000000">
              <w:rPr>
                <w:b w:val="1"/>
                <w:color w:val="ffffff"/>
                <w:rtl w:val="0"/>
              </w:rPr>
              <w:t xml:space="preserve">2021</w:t>
            </w:r>
          </w:p>
        </w:tc>
        <w:tc>
          <w:tcPr>
            <w:shd w:fill="434a6d"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jc w:val="center"/>
              <w:rPr>
                <w:b w:val="1"/>
                <w:color w:val="ffffff"/>
              </w:rPr>
            </w:pPr>
            <w:r w:rsidDel="00000000" w:rsidR="00000000" w:rsidRPr="00000000">
              <w:rPr>
                <w:b w:val="1"/>
                <w:color w:val="ffffff"/>
                <w:rtl w:val="0"/>
              </w:rPr>
              <w:t xml:space="preserve">2022</w:t>
            </w:r>
          </w:p>
        </w:tc>
        <w:tc>
          <w:tcPr>
            <w:shd w:fill="434a6d" w:val="clear"/>
            <w:tcMar>
              <w:top w:w="100.0" w:type="dxa"/>
              <w:left w:w="100.0" w:type="dxa"/>
              <w:bottom w:w="100.0" w:type="dxa"/>
              <w:right w:w="100.0" w:type="dxa"/>
            </w:tcMar>
            <w:vAlign w:val="top"/>
          </w:tcPr>
          <w:p w:rsidR="00000000" w:rsidDel="00000000" w:rsidP="00000000" w:rsidRDefault="00000000" w:rsidRPr="00000000" w14:paraId="00000028">
            <w:pPr>
              <w:widowControl w:val="0"/>
              <w:spacing w:line="240" w:lineRule="auto"/>
              <w:jc w:val="center"/>
              <w:rPr>
                <w:b w:val="1"/>
                <w:color w:val="ffffff"/>
              </w:rPr>
            </w:pPr>
            <w:r w:rsidDel="00000000" w:rsidR="00000000" w:rsidRPr="00000000">
              <w:rPr>
                <w:b w:val="1"/>
                <w:color w:val="ffffff"/>
                <w:rtl w:val="0"/>
              </w:rPr>
              <w:t xml:space="preserve">2023</w:t>
            </w:r>
          </w:p>
        </w:tc>
        <w:tc>
          <w:tcPr>
            <w:shd w:fill="434a6d" w:val="clear"/>
            <w:tcMar>
              <w:top w:w="100.0" w:type="dxa"/>
              <w:left w:w="100.0" w:type="dxa"/>
              <w:bottom w:w="100.0" w:type="dxa"/>
              <w:right w:w="100.0" w:type="dxa"/>
            </w:tcMar>
            <w:vAlign w:val="top"/>
          </w:tcPr>
          <w:p w:rsidR="00000000" w:rsidDel="00000000" w:rsidP="00000000" w:rsidRDefault="00000000" w:rsidRPr="00000000" w14:paraId="00000029">
            <w:pPr>
              <w:widowControl w:val="0"/>
              <w:spacing w:line="240" w:lineRule="auto"/>
              <w:jc w:val="center"/>
              <w:rPr>
                <w:b w:val="1"/>
                <w:color w:val="ffffff"/>
              </w:rPr>
            </w:pPr>
            <w:r w:rsidDel="00000000" w:rsidR="00000000" w:rsidRPr="00000000">
              <w:rPr>
                <w:b w:val="1"/>
                <w:color w:val="ffffff"/>
                <w:rtl w:val="0"/>
              </w:rPr>
              <w:t xml:space="preserve">2024</w:t>
            </w:r>
          </w:p>
        </w:tc>
        <w:tc>
          <w:tcPr>
            <w:shd w:fill="434a6d" w:val="clear"/>
            <w:tcMar>
              <w:top w:w="100.0" w:type="dxa"/>
              <w:left w:w="100.0" w:type="dxa"/>
              <w:bottom w:w="100.0" w:type="dxa"/>
              <w:right w:w="100.0" w:type="dxa"/>
            </w:tcMar>
            <w:vAlign w:val="top"/>
          </w:tcPr>
          <w:p w:rsidR="00000000" w:rsidDel="00000000" w:rsidP="00000000" w:rsidRDefault="00000000" w:rsidRPr="00000000" w14:paraId="0000002A">
            <w:pPr>
              <w:widowControl w:val="0"/>
              <w:spacing w:line="240" w:lineRule="auto"/>
              <w:jc w:val="center"/>
              <w:rPr>
                <w:b w:val="1"/>
                <w:color w:val="ffffff"/>
              </w:rPr>
            </w:pPr>
            <w:r w:rsidDel="00000000" w:rsidR="00000000" w:rsidRPr="00000000">
              <w:rPr>
                <w:b w:val="1"/>
                <w:color w:val="ffffff"/>
                <w:rtl w:val="0"/>
              </w:rPr>
              <w:t xml:space="preserve">2025</w:t>
            </w:r>
          </w:p>
        </w:tc>
      </w:tr>
      <w:tr>
        <w:trPr>
          <w:cantSplit w:val="0"/>
          <w:tblHeader w:val="0"/>
        </w:trPr>
        <w:tc>
          <w:tcPr>
            <w:shd w:fill="656a83" w:val="clear"/>
            <w:tcMar>
              <w:top w:w="100.0" w:type="dxa"/>
              <w:left w:w="100.0" w:type="dxa"/>
              <w:bottom w:w="100.0" w:type="dxa"/>
              <w:right w:w="100.0" w:type="dxa"/>
            </w:tcMar>
            <w:vAlign w:val="top"/>
          </w:tcPr>
          <w:p w:rsidR="00000000" w:rsidDel="00000000" w:rsidP="00000000" w:rsidRDefault="00000000" w:rsidRPr="00000000" w14:paraId="0000002B">
            <w:pPr>
              <w:widowControl w:val="0"/>
              <w:spacing w:line="240" w:lineRule="auto"/>
              <w:jc w:val="center"/>
              <w:rPr>
                <w:b w:val="1"/>
                <w:color w:val="ffffff"/>
              </w:rPr>
            </w:pPr>
            <w:r w:rsidDel="00000000" w:rsidR="00000000" w:rsidRPr="00000000">
              <w:rPr>
                <w:b w:val="1"/>
                <w:color w:val="ffffff"/>
                <w:rtl w:val="0"/>
              </w:rPr>
              <w:t xml:space="preserve">Target Data</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widowControl w:val="0"/>
              <w:spacing w:line="240" w:lineRule="auto"/>
              <w:jc w:val="center"/>
              <w:rPr/>
            </w:pPr>
            <w:r w:rsidDel="00000000" w:rsidR="00000000" w:rsidRPr="00000000">
              <w:rPr>
                <w:rtl w:val="0"/>
              </w:rPr>
              <w:t xml:space="preserve">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widowControl w:val="0"/>
              <w:spacing w:line="240" w:lineRule="auto"/>
              <w:jc w:val="center"/>
              <w:rPr/>
            </w:pPr>
            <w:r w:rsidDel="00000000" w:rsidR="00000000" w:rsidRPr="00000000">
              <w:rPr>
                <w:rtl w:val="0"/>
              </w:rPr>
              <w:t xml:space="preserve">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widowControl w:val="0"/>
              <w:spacing w:line="240" w:lineRule="auto"/>
              <w:jc w:val="center"/>
              <w:rPr/>
            </w:pPr>
            <w:r w:rsidDel="00000000" w:rsidR="00000000" w:rsidRPr="00000000">
              <w:rPr>
                <w:rtl w:val="0"/>
              </w:rPr>
              <w:t xml:space="preserve">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240" w:lineRule="auto"/>
              <w:jc w:val="center"/>
              <w:rPr/>
            </w:pPr>
            <w:r w:rsidDel="00000000" w:rsidR="00000000" w:rsidRPr="00000000">
              <w:rPr>
                <w:rtl w:val="0"/>
              </w:rPr>
              <w:t xml:space="preserve">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jc w:val="center"/>
              <w:rPr/>
            </w:pPr>
            <w:r w:rsidDel="00000000" w:rsidR="00000000" w:rsidRPr="00000000">
              <w:rPr>
                <w:rtl w:val="0"/>
              </w:rPr>
              <w:t xml:space="preserve">100%</w:t>
            </w:r>
          </w:p>
        </w:tc>
      </w:tr>
    </w:tbl>
    <w:p w:rsidR="00000000" w:rsidDel="00000000" w:rsidP="00000000" w:rsidRDefault="00000000" w:rsidRPr="00000000" w14:paraId="00000031">
      <w:pPr>
        <w:pStyle w:val="Heading1"/>
        <w:jc w:val="left"/>
        <w:rPr>
          <w:color w:val="000000"/>
          <w:sz w:val="2"/>
          <w:szCs w:val="2"/>
          <w:u w:val="single"/>
        </w:rPr>
      </w:pPr>
      <w:bookmarkStart w:colFirst="0" w:colLast="0" w:name="_fvpwwepbris9" w:id="6"/>
      <w:bookmarkEnd w:id="6"/>
      <w:r w:rsidDel="00000000" w:rsidR="00000000" w:rsidRPr="00000000">
        <w:rPr>
          <w:rtl w:val="0"/>
        </w:rPr>
      </w:r>
    </w:p>
    <w:p w:rsidR="00000000" w:rsidDel="00000000" w:rsidP="00000000" w:rsidRDefault="00000000" w:rsidRPr="00000000" w14:paraId="00000032">
      <w:pPr>
        <w:pStyle w:val="Heading2"/>
        <w:spacing w:line="240" w:lineRule="auto"/>
        <w:rPr/>
      </w:pPr>
      <w:bookmarkStart w:colFirst="0" w:colLast="0" w:name="_tlk0kio015c5" w:id="7"/>
      <w:bookmarkEnd w:id="7"/>
      <w:r w:rsidDel="00000000" w:rsidR="00000000" w:rsidRPr="00000000">
        <w:rPr>
          <w:rtl w:val="0"/>
        </w:rPr>
        <w:t xml:space="preserve">RDA Calculation</w:t>
      </w:r>
    </w:p>
    <w:p w:rsidR="00000000" w:rsidDel="00000000" w:rsidP="00000000" w:rsidRDefault="00000000" w:rsidRPr="00000000" w14:paraId="00000033">
      <w:pPr>
        <w:spacing w:after="240" w:before="240" w:lineRule="auto"/>
        <w:jc w:val="center"/>
        <w:rPr/>
      </w:pPr>
      <m:oMath>
        <m:f>
          <m:fPr>
            <m:ctrlPr>
              <w:rPr>
                <w:sz w:val="26"/>
                <w:szCs w:val="26"/>
              </w:rPr>
            </m:ctrlPr>
          </m:fPr>
          <m:num>
            <m:r>
              <w:rPr>
                <w:sz w:val="26"/>
                <w:szCs w:val="26"/>
              </w:rPr>
              <m:t xml:space="preserve">No. of Timely Evaluations (Eligible) + No. of Timely Evaluations (Ineligible) + No. of Untimely Evaluations Excused</m:t>
            </m:r>
          </m:num>
          <m:den>
            <m:r>
              <w:rPr>
                <w:sz w:val="26"/>
                <w:szCs w:val="26"/>
              </w:rPr>
              <m:t xml:space="preserve">No. of Total Evaluations (Parental Consent Obtained)</m:t>
            </m:r>
          </m:den>
        </m:f>
      </m:oMath>
      <w:r w:rsidDel="00000000" w:rsidR="00000000" w:rsidRPr="00000000">
        <w:rPr>
          <w:rtl w:val="0"/>
        </w:rPr>
      </w:r>
    </w:p>
    <w:p w:rsidR="00000000" w:rsidDel="00000000" w:rsidP="00000000" w:rsidRDefault="00000000" w:rsidRPr="00000000" w14:paraId="00000034">
      <w:pPr>
        <w:pStyle w:val="Heading2"/>
        <w:shd w:fill="ffffff" w:val="clear"/>
        <w:spacing w:before="240" w:lineRule="auto"/>
        <w:rPr/>
      </w:pPr>
      <w:bookmarkStart w:colFirst="0" w:colLast="0" w:name="_operk6b4oeqc" w:id="8"/>
      <w:bookmarkEnd w:id="8"/>
      <w:r w:rsidDel="00000000" w:rsidR="00000000" w:rsidRPr="00000000">
        <w:rPr>
          <w:rtl w:val="0"/>
        </w:rPr>
        <w:t xml:space="preserve">Indicator 12 Data Collection </w:t>
      </w:r>
    </w:p>
    <w:p w:rsidR="00000000" w:rsidDel="00000000" w:rsidP="00000000" w:rsidRDefault="00000000" w:rsidRPr="00000000" w14:paraId="00000035">
      <w:pPr>
        <w:numPr>
          <w:ilvl w:val="0"/>
          <w:numId w:val="7"/>
        </w:numPr>
        <w:ind w:left="720" w:hanging="360"/>
      </w:pPr>
      <w:r w:rsidDel="00000000" w:rsidR="00000000" w:rsidRPr="00000000">
        <w:rPr>
          <w:rtl w:val="0"/>
        </w:rPr>
        <w:t xml:space="preserve">Official Data Collection: July Data Collection - Evaluation Roster (EV Roster) in Data Exchange (DEX) </w:t>
      </w:r>
    </w:p>
    <w:p w:rsidR="00000000" w:rsidDel="00000000" w:rsidP="00000000" w:rsidRDefault="00000000" w:rsidRPr="00000000" w14:paraId="00000036">
      <w:pPr>
        <w:numPr>
          <w:ilvl w:val="0"/>
          <w:numId w:val="7"/>
        </w:numPr>
        <w:ind w:left="720" w:hanging="360"/>
      </w:pPr>
      <w:r w:rsidDel="00000000" w:rsidR="00000000" w:rsidRPr="00000000">
        <w:rPr>
          <w:rtl w:val="0"/>
        </w:rPr>
        <w:t xml:space="preserve">Fall Audit</w:t>
      </w:r>
      <w:r w:rsidDel="00000000" w:rsidR="00000000" w:rsidRPr="00000000">
        <w:rPr>
          <w:vertAlign w:val="superscript"/>
        </w:rPr>
        <w:footnoteReference w:customMarkFollows="0" w:id="0"/>
      </w:r>
      <w:r w:rsidDel="00000000" w:rsidR="00000000" w:rsidRPr="00000000">
        <w:rPr>
          <w:rtl w:val="0"/>
        </w:rPr>
        <w:t xml:space="preserve">: November or December Data Collection - IN-EV Report in Indiana IEP (IIEP) </w:t>
      </w:r>
    </w:p>
    <w:p w:rsidR="00000000" w:rsidDel="00000000" w:rsidP="00000000" w:rsidRDefault="00000000" w:rsidRPr="00000000" w14:paraId="00000037">
      <w:pPr>
        <w:numPr>
          <w:ilvl w:val="0"/>
          <w:numId w:val="7"/>
        </w:numPr>
        <w:ind w:left="720" w:hanging="360"/>
      </w:pPr>
      <w:r w:rsidDel="00000000" w:rsidR="00000000" w:rsidRPr="00000000">
        <w:rPr>
          <w:rtl w:val="0"/>
        </w:rPr>
        <w:t xml:space="preserve">Spring Audit</w:t>
      </w:r>
      <w:r w:rsidDel="00000000" w:rsidR="00000000" w:rsidRPr="00000000">
        <w:rPr>
          <w:vertAlign w:val="superscript"/>
        </w:rPr>
        <w:footnoteReference w:customMarkFollows="0" w:id="1"/>
      </w:r>
      <w:r w:rsidDel="00000000" w:rsidR="00000000" w:rsidRPr="00000000">
        <w:rPr>
          <w:rtl w:val="0"/>
        </w:rPr>
        <w:t xml:space="preserve">: May Data Collection - IN-EV Report in IIEP</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pStyle w:val="Heading2"/>
        <w:rPr/>
      </w:pPr>
      <w:bookmarkStart w:colFirst="0" w:colLast="0" w:name="_4gdgsr6ccszn" w:id="9"/>
      <w:bookmarkEnd w:id="9"/>
      <w:r w:rsidDel="00000000" w:rsidR="00000000" w:rsidRPr="00000000">
        <w:rPr>
          <w:rtl w:val="0"/>
        </w:rPr>
        <w:t xml:space="preserve">Monitoring Cycle</w:t>
      </w:r>
    </w:p>
    <w:p w:rsidR="00000000" w:rsidDel="00000000" w:rsidP="00000000" w:rsidRDefault="00000000" w:rsidRPr="00000000" w14:paraId="0000003A">
      <w:pPr>
        <w:spacing w:after="200" w:lineRule="auto"/>
        <w:ind w:left="-540" w:right="-270" w:firstLine="0"/>
        <w:jc w:val="center"/>
        <w:rPr/>
      </w:pPr>
      <w:r w:rsidDel="00000000" w:rsidR="00000000" w:rsidRPr="00000000">
        <w:rPr/>
        <w:drawing>
          <wp:inline distB="114300" distT="114300" distL="114300" distR="114300">
            <wp:extent cx="6562725" cy="3098240"/>
            <wp:effectExtent b="0" l="0" r="0" t="0"/>
            <wp:docPr id="13" name="image6.png"/>
            <a:graphic>
              <a:graphicData uri="http://schemas.openxmlformats.org/drawingml/2006/picture">
                <pic:pic>
                  <pic:nvPicPr>
                    <pic:cNvPr id="0" name="image6.png"/>
                    <pic:cNvPicPr preferRelativeResize="0"/>
                  </pic:nvPicPr>
                  <pic:blipFill>
                    <a:blip r:embed="rId11"/>
                    <a:srcRect b="25003" l="0" r="10856" t="0"/>
                    <a:stretch>
                      <a:fillRect/>
                    </a:stretch>
                  </pic:blipFill>
                  <pic:spPr>
                    <a:xfrm>
                      <a:off x="0" y="0"/>
                      <a:ext cx="6562725" cy="3098240"/>
                    </a:xfrm>
                    <a:prstGeom prst="rect"/>
                    <a:ln/>
                  </pic:spPr>
                </pic:pic>
              </a:graphicData>
            </a:graphic>
          </wp:inline>
        </w:drawing>
      </w:r>
      <w:r w:rsidDel="00000000" w:rsidR="00000000" w:rsidRPr="00000000">
        <w:rPr>
          <w:rtl w:val="0"/>
        </w:rPr>
      </w:r>
    </w:p>
    <w:p w:rsidR="00000000" w:rsidDel="00000000" w:rsidP="00000000" w:rsidRDefault="00000000" w:rsidRPr="00000000" w14:paraId="0000003B">
      <w:pPr>
        <w:spacing w:after="200" w:lineRule="auto"/>
        <w:rPr/>
      </w:pPr>
      <w:r w:rsidDel="00000000" w:rsidR="00000000" w:rsidRPr="00000000">
        <w:rPr>
          <w:rtl w:val="0"/>
        </w:rPr>
        <w:t xml:space="preserve">The Indiana Department of Education’s (IDOE) Office of Special Education (OSE) monitors Indicator 12 data at three separate points during the calendar year. During the July data collection window, DEX is used to conduct the official review of all First </w:t>
      </w:r>
      <w:r w:rsidDel="00000000" w:rsidR="00000000" w:rsidRPr="00000000">
        <w:rPr>
          <w:rtl w:val="0"/>
        </w:rPr>
        <w:t xml:space="preserve">Steps</w:t>
      </w:r>
      <w:r w:rsidDel="00000000" w:rsidR="00000000" w:rsidRPr="00000000">
        <w:rPr>
          <w:rtl w:val="0"/>
        </w:rPr>
        <w:t xml:space="preserve">’ transitions conducted by the local educational agency (LEA) throughout the previous school year. For example, in July 2023, the July data collection will include all First Steps transitions conducted during the 2022-2023 school year. </w:t>
      </w:r>
    </w:p>
    <w:p w:rsidR="00000000" w:rsidDel="00000000" w:rsidP="00000000" w:rsidRDefault="00000000" w:rsidRPr="00000000" w14:paraId="0000003C">
      <w:pPr>
        <w:spacing w:after="200" w:lineRule="auto"/>
        <w:rPr/>
      </w:pPr>
      <w:r w:rsidDel="00000000" w:rsidR="00000000" w:rsidRPr="00000000">
        <w:rPr>
          <w:rtl w:val="0"/>
        </w:rPr>
        <w:t xml:space="preserve">LEAs that are found to be noncompliant with meeting timelines for First Steps transitions during the July certification will undergo a fall audit. The audit will occur no later than December, and will review any First Steps transitions that occurred between July and October. For LEAs that continue to have noncompliance after the fall audit, a spring audit for First Steps transitions conducted between January and April will be conducted in May. </w:t>
      </w:r>
    </w:p>
    <w:p w:rsidR="00000000" w:rsidDel="00000000" w:rsidP="00000000" w:rsidRDefault="00000000" w:rsidRPr="00000000" w14:paraId="0000003D">
      <w:pPr>
        <w:rPr/>
      </w:pPr>
      <w:r w:rsidDel="00000000" w:rsidR="00000000" w:rsidRPr="00000000">
        <w:rPr>
          <w:rtl w:val="0"/>
        </w:rPr>
        <w:t xml:space="preserve">LEAs that are determined noncompliant for the official data collection and the two subsequent audits are moved from a </w:t>
      </w:r>
      <w:r w:rsidDel="00000000" w:rsidR="00000000" w:rsidRPr="00000000">
        <w:rPr>
          <w:i w:val="1"/>
          <w:rtl w:val="0"/>
        </w:rPr>
        <w:t xml:space="preserve">First-Year Noncompliance</w:t>
      </w:r>
      <w:r w:rsidDel="00000000" w:rsidR="00000000" w:rsidRPr="00000000">
        <w:rPr>
          <w:rtl w:val="0"/>
        </w:rPr>
        <w:t xml:space="preserve"> status to a </w:t>
      </w:r>
      <w:r w:rsidDel="00000000" w:rsidR="00000000" w:rsidRPr="00000000">
        <w:rPr>
          <w:i w:val="1"/>
          <w:rtl w:val="0"/>
        </w:rPr>
        <w:t xml:space="preserve">Continued</w:t>
      </w:r>
      <w:r w:rsidDel="00000000" w:rsidR="00000000" w:rsidRPr="00000000">
        <w:rPr>
          <w:rtl w:val="0"/>
        </w:rPr>
        <w:t xml:space="preserve"> status. These LEAs will continue to be monitored using the aforementioned cycle until they are found compliant during one of the monitoring windows. </w:t>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ind w:left="-90" w:firstLine="0"/>
        <w:rPr/>
      </w:pPr>
      <w:r w:rsidDel="00000000" w:rsidR="00000000" w:rsidRPr="00000000">
        <w:rPr/>
        <w:drawing>
          <wp:inline distB="114300" distT="114300" distL="114300" distR="114300">
            <wp:extent cx="5943600" cy="462403"/>
            <wp:effectExtent b="0" l="0" r="0" t="0"/>
            <wp:docPr id="9" name="image3.png"/>
            <a:graphic>
              <a:graphicData uri="http://schemas.openxmlformats.org/drawingml/2006/picture">
                <pic:pic>
                  <pic:nvPicPr>
                    <pic:cNvPr id="0" name="image3.png"/>
                    <pic:cNvPicPr preferRelativeResize="0"/>
                  </pic:nvPicPr>
                  <pic:blipFill>
                    <a:blip r:embed="rId12"/>
                    <a:srcRect b="21565" l="0" r="0" t="22086"/>
                    <a:stretch>
                      <a:fillRect/>
                    </a:stretch>
                  </pic:blipFill>
                  <pic:spPr>
                    <a:xfrm>
                      <a:off x="0" y="0"/>
                      <a:ext cx="5943600" cy="462403"/>
                    </a:xfrm>
                    <a:prstGeom prst="rect"/>
                    <a:ln/>
                  </pic:spPr>
                </pic:pic>
              </a:graphicData>
            </a:graphic>
          </wp:inline>
        </w:drawing>
      </w:r>
      <w:r w:rsidDel="00000000" w:rsidR="00000000" w:rsidRPr="00000000">
        <w:rPr>
          <w:rtl w:val="0"/>
        </w:rPr>
      </w:r>
    </w:p>
    <w:p w:rsidR="00000000" w:rsidDel="00000000" w:rsidP="00000000" w:rsidRDefault="00000000" w:rsidRPr="00000000" w14:paraId="00000040">
      <w:pPr>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LEAs report all First Steps transitions through the EV Roster in DEX. The roster is generated by information collected in the LEA’s student information system (SIS) and is available to download via DEX throughout the school year. The report contains a column which indicates whether the student transitioned from First Steps and if that transition was completed in a timely manner. The report must be downloaded and saved prior to the July 1st rollover. For federal reporting purposes within the SPP/APR, “p</w:t>
      </w:r>
      <w:r w:rsidDel="00000000" w:rsidR="00000000" w:rsidRPr="00000000">
        <w:rPr>
          <w:rtl w:val="0"/>
        </w:rPr>
        <w:t xml:space="preserve">ending” evaluations are included in the calculation under (a) as described in the SPP/APR calculation portion of this document. </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pPr>
      <w:r w:rsidDel="00000000" w:rsidR="00000000" w:rsidRPr="00000000">
        <w:rPr>
          <w:rtl w:val="0"/>
        </w:rPr>
        <w:t xml:space="preserve">For the state reporting to LEAs on the yearly performance within the Results Driven Accountability (RDA) Dashboard, “p</w:t>
      </w:r>
      <w:r w:rsidDel="00000000" w:rsidR="00000000" w:rsidRPr="00000000">
        <w:rPr>
          <w:rtl w:val="0"/>
        </w:rPr>
        <w:t xml:space="preserve">ending” evaluations are not included in the calculation. A subsequent pull of data in the July data collection via DEX must include all “pending” evaluations with documentation of “compliant” or “noncompliant” status. </w:t>
      </w:r>
    </w:p>
    <w:p w:rsidR="00000000" w:rsidDel="00000000" w:rsidP="00000000" w:rsidRDefault="00000000" w:rsidRPr="00000000" w14:paraId="00000044">
      <w:pPr>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r>
    </w:p>
    <w:p w:rsidR="00000000" w:rsidDel="00000000" w:rsidP="00000000" w:rsidRDefault="00000000" w:rsidRPr="00000000" w14:paraId="0000004B">
      <w:pPr>
        <w:rPr/>
      </w:pPr>
      <w:r w:rsidDel="00000000" w:rsidR="00000000" w:rsidRPr="00000000">
        <w:rPr>
          <w:rtl w:val="0"/>
        </w:rPr>
      </w:r>
    </w:p>
    <w:p w:rsidR="00000000" w:rsidDel="00000000" w:rsidP="00000000" w:rsidRDefault="00000000" w:rsidRPr="00000000" w14:paraId="0000004C">
      <w:pPr>
        <w:rPr/>
      </w:pPr>
      <w:r w:rsidDel="00000000" w:rsidR="00000000" w:rsidRPr="00000000">
        <w:rPr>
          <w:rtl w:val="0"/>
        </w:rPr>
      </w:r>
    </w:p>
    <w:p w:rsidR="00000000" w:rsidDel="00000000" w:rsidP="00000000" w:rsidRDefault="00000000" w:rsidRPr="00000000" w14:paraId="0000004D">
      <w:pPr>
        <w:pStyle w:val="Heading1"/>
        <w:spacing w:line="276" w:lineRule="auto"/>
        <w:ind w:left="-90" w:firstLine="0"/>
        <w:rPr/>
      </w:pPr>
      <w:bookmarkStart w:colFirst="0" w:colLast="0" w:name="_nc2tcg41qskj" w:id="10"/>
      <w:bookmarkEnd w:id="10"/>
      <w:r w:rsidDel="00000000" w:rsidR="00000000" w:rsidRPr="00000000">
        <w:rPr/>
        <w:drawing>
          <wp:inline distB="114300" distT="114300" distL="114300" distR="114300">
            <wp:extent cx="5943600" cy="492789"/>
            <wp:effectExtent b="0" l="0" r="0" t="0"/>
            <wp:docPr id="6" name="image4.png"/>
            <a:graphic>
              <a:graphicData uri="http://schemas.openxmlformats.org/drawingml/2006/picture">
                <pic:pic>
                  <pic:nvPicPr>
                    <pic:cNvPr id="0" name="image4.png"/>
                    <pic:cNvPicPr preferRelativeResize="0"/>
                  </pic:nvPicPr>
                  <pic:blipFill>
                    <a:blip r:embed="rId13"/>
                    <a:srcRect b="19087" l="0" r="0" t="21536"/>
                    <a:stretch>
                      <a:fillRect/>
                    </a:stretch>
                  </pic:blipFill>
                  <pic:spPr>
                    <a:xfrm>
                      <a:off x="0" y="0"/>
                      <a:ext cx="5943600" cy="492789"/>
                    </a:xfrm>
                    <a:prstGeom prst="rect"/>
                    <a:ln/>
                  </pic:spPr>
                </pic:pic>
              </a:graphicData>
            </a:graphic>
          </wp:inline>
        </w:drawing>
      </w:r>
      <w:r w:rsidDel="00000000" w:rsidR="00000000" w:rsidRPr="00000000">
        <w:rPr>
          <w:rtl w:val="0"/>
        </w:rPr>
      </w:r>
    </w:p>
    <w:p w:rsidR="00000000" w:rsidDel="00000000" w:rsidP="00000000" w:rsidRDefault="00000000" w:rsidRPr="00000000" w14:paraId="0000004E">
      <w:pPr>
        <w:spacing w:before="200" w:lineRule="auto"/>
        <w:rPr/>
      </w:pPr>
      <w:r w:rsidDel="00000000" w:rsidR="00000000" w:rsidRPr="00000000">
        <w:rPr>
          <w:rtl w:val="0"/>
        </w:rPr>
        <w:t xml:space="preserve">LEAs with a finding of noncompliance for First Steps transitions fall into one of the following categories: Noncompliant with</w:t>
      </w:r>
      <w:r w:rsidDel="00000000" w:rsidR="00000000" w:rsidRPr="00000000">
        <w:rPr>
          <w:rtl w:val="0"/>
        </w:rPr>
        <w:t xml:space="preserve"> </w:t>
      </w:r>
      <w:r w:rsidDel="00000000" w:rsidR="00000000" w:rsidRPr="00000000">
        <w:rPr>
          <w:rtl w:val="0"/>
        </w:rPr>
        <w:t xml:space="preserve">First-Year Noncompliance,</w:t>
      </w:r>
      <w:r w:rsidDel="00000000" w:rsidR="00000000" w:rsidRPr="00000000">
        <w:rPr>
          <w:rtl w:val="0"/>
        </w:rPr>
        <w:t xml:space="preserve"> Continued Noncompliance,</w:t>
      </w:r>
      <w:r w:rsidDel="00000000" w:rsidR="00000000" w:rsidRPr="00000000">
        <w:rPr>
          <w:rtl w:val="0"/>
        </w:rPr>
        <w:t xml:space="preserve"> or Longstanding Noncompliance.</w:t>
      </w:r>
      <w:r w:rsidDel="00000000" w:rsidR="00000000" w:rsidRPr="00000000">
        <w:rPr>
          <w:rtl w:val="0"/>
        </w:rPr>
        <w:t xml:space="preserve"> </w:t>
      </w:r>
    </w:p>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28576</wp:posOffset>
                </wp:positionH>
                <wp:positionV relativeFrom="paragraph">
                  <wp:posOffset>161925</wp:posOffset>
                </wp:positionV>
                <wp:extent cx="2038350" cy="769498"/>
                <wp:effectExtent b="0" l="0" r="0" t="0"/>
                <wp:wrapSquare wrapText="bothSides" distB="114300" distT="114300" distL="114300" distR="114300"/>
                <wp:docPr id="2" name=""/>
                <a:graphic>
                  <a:graphicData uri="http://schemas.microsoft.com/office/word/2010/wordprocessingShape">
                    <wps:wsp>
                      <wps:cNvSpPr/>
                      <wps:cNvPr id="2" name="Shape 2"/>
                      <wps:spPr>
                        <a:xfrm>
                          <a:off x="487025" y="204550"/>
                          <a:ext cx="1977300" cy="730500"/>
                        </a:xfrm>
                        <a:prstGeom prst="roundRect">
                          <a:avLst>
                            <a:gd fmla="val 16667" name="adj"/>
                          </a:avLst>
                        </a:prstGeom>
                        <a:gradFill>
                          <a:gsLst>
                            <a:gs pos="0">
                              <a:srgbClr val="FEFAE5"/>
                            </a:gs>
                            <a:gs pos="100000">
                              <a:srgbClr val="FECF00"/>
                            </a:gs>
                          </a:gsLst>
                          <a:lin ang="5400012" scaled="0"/>
                        </a:gradFill>
                        <a:ln cap="flat" cmpd="sng" w="9525">
                          <a:solidFill>
                            <a:srgbClr val="FECF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t xml:space="preserve">First Year</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r>
                            <w:r w:rsidDel="00000000" w:rsidR="00000000" w:rsidRPr="00000000">
                              <w:rPr>
                                <w:rFonts w:ascii="Arial" w:cs="Arial" w:eastAsia="Arial" w:hAnsi="Arial"/>
                                <w:b w:val="1"/>
                                <w:i w:val="0"/>
                                <w:smallCaps w:val="0"/>
                                <w:strike w:val="0"/>
                                <w:color w:val="000000"/>
                                <w:sz w:val="32"/>
                                <w:vertAlign w:val="baseline"/>
                              </w:rPr>
                              <w:t xml:space="preserve">Noncompliance</w:t>
                            </w:r>
                          </w:p>
                        </w:txbxContent>
                      </wps:txbx>
                      <wps:bodyPr anchorCtr="0" anchor="ctr" bIns="91425" lIns="91425" spcFirstLastPara="1" rIns="91425" wrap="square" tIns="91425">
                        <a:noAutofit/>
                      </wps:bodyPr>
                    </wps:wsp>
                  </a:graphicData>
                </a:graphic>
              </wp:anchor>
            </w:drawing>
          </mc:Choice>
          <mc:Fallback>
            <w:drawing>
              <wp:anchor allowOverlap="1" behindDoc="0" distB="114300" distT="114300" distL="114300" distR="114300" hidden="0" layoutInCell="1" locked="0" relativeHeight="0" simplePos="0">
                <wp:simplePos x="0" y="0"/>
                <wp:positionH relativeFrom="column">
                  <wp:posOffset>28576</wp:posOffset>
                </wp:positionH>
                <wp:positionV relativeFrom="paragraph">
                  <wp:posOffset>161925</wp:posOffset>
                </wp:positionV>
                <wp:extent cx="2038350" cy="769498"/>
                <wp:effectExtent b="0" l="0" r="0" t="0"/>
                <wp:wrapSquare wrapText="bothSides" distB="114300" distT="114300" distL="114300" distR="114300"/>
                <wp:docPr id="2" name="image12.png"/>
                <a:graphic>
                  <a:graphicData uri="http://schemas.openxmlformats.org/drawingml/2006/picture">
                    <pic:pic>
                      <pic:nvPicPr>
                        <pic:cNvPr id="0" name="image12.png"/>
                        <pic:cNvPicPr preferRelativeResize="0"/>
                      </pic:nvPicPr>
                      <pic:blipFill>
                        <a:blip r:embed="rId14"/>
                        <a:srcRect/>
                        <a:stretch>
                          <a:fillRect/>
                        </a:stretch>
                      </pic:blipFill>
                      <pic:spPr>
                        <a:xfrm>
                          <a:off x="0" y="0"/>
                          <a:ext cx="2038350" cy="769498"/>
                        </a:xfrm>
                        <a:prstGeom prst="rect"/>
                        <a:ln/>
                      </pic:spPr>
                    </pic:pic>
                  </a:graphicData>
                </a:graphic>
              </wp:anchor>
            </w:drawing>
          </mc:Fallback>
        </mc:AlternateContent>
      </w:r>
    </w:p>
    <w:p w:rsidR="00000000" w:rsidDel="00000000" w:rsidP="00000000" w:rsidRDefault="00000000" w:rsidRPr="00000000" w14:paraId="00000051">
      <w:pPr>
        <w:spacing w:after="120" w:lineRule="auto"/>
        <w:rPr/>
      </w:pPr>
      <w:r w:rsidDel="00000000" w:rsidR="00000000" w:rsidRPr="00000000">
        <w:rPr>
          <w:rtl w:val="0"/>
        </w:rPr>
        <w:t xml:space="preserve">L</w:t>
      </w:r>
      <w:r w:rsidDel="00000000" w:rsidR="00000000" w:rsidRPr="00000000">
        <w:rPr>
          <w:rtl w:val="0"/>
        </w:rPr>
        <w:t xml:space="preserve">EAs that have  first-year noncompliance must complete the following tasks to correct their finding of noncompliance:</w:t>
      </w:r>
    </w:p>
    <w:p w:rsidR="00000000" w:rsidDel="00000000" w:rsidP="00000000" w:rsidRDefault="00000000" w:rsidRPr="00000000" w14:paraId="00000052">
      <w:pPr>
        <w:ind w:left="0" w:firstLine="0"/>
        <w:rPr/>
      </w:pPr>
      <w:r w:rsidDel="00000000" w:rsidR="00000000" w:rsidRPr="00000000">
        <w:rPr>
          <w:rtl w:val="0"/>
        </w:rPr>
      </w:r>
    </w:p>
    <w:p w:rsidR="00000000" w:rsidDel="00000000" w:rsidP="00000000" w:rsidRDefault="00000000" w:rsidRPr="00000000" w14:paraId="00000053">
      <w:pPr>
        <w:ind w:left="0" w:firstLine="0"/>
        <w:rPr/>
      </w:pPr>
      <w:r w:rsidDel="00000000" w:rsidR="00000000" w:rsidRPr="00000000">
        <w:rPr>
          <w:rtl w:val="0"/>
        </w:rPr>
      </w:r>
    </w:p>
    <w:p w:rsidR="00000000" w:rsidDel="00000000" w:rsidP="00000000" w:rsidRDefault="00000000" w:rsidRPr="00000000" w14:paraId="00000054">
      <w:pPr>
        <w:numPr>
          <w:ilvl w:val="0"/>
          <w:numId w:val="6"/>
        </w:numPr>
        <w:ind w:left="720" w:hanging="360"/>
        <w:rPr>
          <w:u w:val="none"/>
        </w:rPr>
      </w:pPr>
      <w:r w:rsidDel="00000000" w:rsidR="00000000" w:rsidRPr="00000000">
        <w:rPr>
          <w:rtl w:val="0"/>
        </w:rPr>
        <w:t xml:space="preserve">Meet all subsequent timelines for First Steps’ evaluations. </w:t>
      </w:r>
    </w:p>
    <w:p w:rsidR="00000000" w:rsidDel="00000000" w:rsidP="00000000" w:rsidRDefault="00000000" w:rsidRPr="00000000" w14:paraId="00000055">
      <w:pPr>
        <w:numPr>
          <w:ilvl w:val="0"/>
          <w:numId w:val="6"/>
        </w:numPr>
        <w:ind w:left="720" w:hanging="360"/>
        <w:rPr>
          <w:u w:val="none"/>
        </w:rPr>
      </w:pPr>
      <w:r w:rsidDel="00000000" w:rsidR="00000000" w:rsidRPr="00000000">
        <w:rPr>
          <w:rtl w:val="0"/>
        </w:rPr>
        <w:t xml:space="preserve">Review the EV Roster in DEX to ensure all timelines are accurately recorded.</w:t>
      </w:r>
    </w:p>
    <w:p w:rsidR="00000000" w:rsidDel="00000000" w:rsidP="00000000" w:rsidRDefault="00000000" w:rsidRPr="00000000" w14:paraId="00000056">
      <w:pPr>
        <w:numPr>
          <w:ilvl w:val="0"/>
          <w:numId w:val="6"/>
        </w:numPr>
        <w:ind w:left="720" w:hanging="360"/>
        <w:rPr>
          <w:u w:val="none"/>
        </w:rPr>
      </w:pPr>
      <w:r w:rsidDel="00000000" w:rsidR="00000000" w:rsidRPr="00000000">
        <w:rPr>
          <w:rtl w:val="0"/>
        </w:rPr>
        <w:t xml:space="preserve">Participate in universal training and technical assistance opportunities (optional). </w:t>
      </w:r>
    </w:p>
    <w:p w:rsidR="00000000" w:rsidDel="00000000" w:rsidP="00000000" w:rsidRDefault="00000000" w:rsidRPr="00000000" w14:paraId="00000057">
      <w:pPr>
        <w:pStyle w:val="Heading2"/>
        <w:spacing w:after="140" w:before="240" w:line="276" w:lineRule="auto"/>
        <w:rPr/>
      </w:pPr>
      <w:bookmarkStart w:colFirst="0" w:colLast="0" w:name="_a2e4bxxr77b9" w:id="11"/>
      <w:bookmarkEnd w:id="11"/>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28576</wp:posOffset>
                </wp:positionH>
                <wp:positionV relativeFrom="paragraph">
                  <wp:posOffset>200025</wp:posOffset>
                </wp:positionV>
                <wp:extent cx="2038350" cy="766808"/>
                <wp:effectExtent b="0" l="0" r="0" t="0"/>
                <wp:wrapSquare wrapText="bothSides" distB="114300" distT="114300" distL="114300" distR="114300"/>
                <wp:docPr id="1" name=""/>
                <a:graphic>
                  <a:graphicData uri="http://schemas.microsoft.com/office/word/2010/wordprocessingShape">
                    <wps:wsp>
                      <wps:cNvSpPr/>
                      <wps:cNvPr id="2" name="Shape 2"/>
                      <wps:spPr>
                        <a:xfrm>
                          <a:off x="487025" y="204550"/>
                          <a:ext cx="1977300" cy="730500"/>
                        </a:xfrm>
                        <a:prstGeom prst="roundRect">
                          <a:avLst>
                            <a:gd fmla="val 16667" name="adj"/>
                          </a:avLst>
                        </a:prstGeom>
                        <a:gradFill>
                          <a:gsLst>
                            <a:gs pos="0">
                              <a:srgbClr val="FEFAE5"/>
                            </a:gs>
                            <a:gs pos="100000">
                              <a:srgbClr val="FECF00"/>
                            </a:gs>
                          </a:gsLst>
                          <a:lin ang="5400012" scaled="0"/>
                        </a:gradFill>
                        <a:ln cap="flat" cmpd="sng" w="9525">
                          <a:solidFill>
                            <a:srgbClr val="FECF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t xml:space="preserve">Continued</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r>
                            <w:r w:rsidDel="00000000" w:rsidR="00000000" w:rsidRPr="00000000">
                              <w:rPr>
                                <w:rFonts w:ascii="Arial" w:cs="Arial" w:eastAsia="Arial" w:hAnsi="Arial"/>
                                <w:b w:val="1"/>
                                <w:i w:val="0"/>
                                <w:smallCaps w:val="0"/>
                                <w:strike w:val="0"/>
                                <w:color w:val="000000"/>
                                <w:sz w:val="32"/>
                                <w:vertAlign w:val="baseline"/>
                              </w:rPr>
                              <w:t xml:space="preserve">Noncompliance</w:t>
                            </w:r>
                          </w:p>
                        </w:txbxContent>
                      </wps:txbx>
                      <wps:bodyPr anchorCtr="0" anchor="ctr" bIns="91425" lIns="91425" spcFirstLastPara="1" rIns="91425" wrap="square" tIns="91425">
                        <a:noAutofit/>
                      </wps:bodyPr>
                    </wps:wsp>
                  </a:graphicData>
                </a:graphic>
              </wp:anchor>
            </w:drawing>
          </mc:Choice>
          <mc:Fallback>
            <w:drawing>
              <wp:anchor allowOverlap="1" behindDoc="0" distB="114300" distT="114300" distL="114300" distR="114300" hidden="0" layoutInCell="1" locked="0" relativeHeight="0" simplePos="0">
                <wp:simplePos x="0" y="0"/>
                <wp:positionH relativeFrom="column">
                  <wp:posOffset>28576</wp:posOffset>
                </wp:positionH>
                <wp:positionV relativeFrom="paragraph">
                  <wp:posOffset>200025</wp:posOffset>
                </wp:positionV>
                <wp:extent cx="2038350" cy="766808"/>
                <wp:effectExtent b="0" l="0" r="0" t="0"/>
                <wp:wrapSquare wrapText="bothSides" distB="114300" distT="114300" distL="114300" distR="114300"/>
                <wp:docPr id="1" name="image11.png"/>
                <a:graphic>
                  <a:graphicData uri="http://schemas.openxmlformats.org/drawingml/2006/picture">
                    <pic:pic>
                      <pic:nvPicPr>
                        <pic:cNvPr id="0" name="image11.png"/>
                        <pic:cNvPicPr preferRelativeResize="0"/>
                      </pic:nvPicPr>
                      <pic:blipFill>
                        <a:blip r:embed="rId14"/>
                        <a:srcRect/>
                        <a:stretch>
                          <a:fillRect/>
                        </a:stretch>
                      </pic:blipFill>
                      <pic:spPr>
                        <a:xfrm>
                          <a:off x="0" y="0"/>
                          <a:ext cx="2038350" cy="766808"/>
                        </a:xfrm>
                        <a:prstGeom prst="rect"/>
                        <a:ln/>
                      </pic:spPr>
                    </pic:pic>
                  </a:graphicData>
                </a:graphic>
              </wp:anchor>
            </w:drawing>
          </mc:Fallback>
        </mc:AlternateContent>
      </w:r>
    </w:p>
    <w:p w:rsidR="00000000" w:rsidDel="00000000" w:rsidP="00000000" w:rsidRDefault="00000000" w:rsidRPr="00000000" w14:paraId="00000058">
      <w:pPr>
        <w:spacing w:after="120" w:lineRule="auto"/>
        <w:rPr/>
      </w:pPr>
      <w:r w:rsidDel="00000000" w:rsidR="00000000" w:rsidRPr="00000000">
        <w:rPr>
          <w:rtl w:val="0"/>
        </w:rPr>
        <w:t xml:space="preserve">LEAs that have had a finding for more than one year must complete the following tasks to correct their finding of noncompliance: </w:t>
      </w:r>
    </w:p>
    <w:p w:rsidR="00000000" w:rsidDel="00000000" w:rsidP="00000000" w:rsidRDefault="00000000" w:rsidRPr="00000000" w14:paraId="00000059">
      <w:pPr>
        <w:numPr>
          <w:ilvl w:val="0"/>
          <w:numId w:val="3"/>
        </w:numPr>
        <w:ind w:left="720" w:hanging="360"/>
      </w:pPr>
      <w:r w:rsidDel="00000000" w:rsidR="00000000" w:rsidRPr="00000000">
        <w:rPr>
          <w:rtl w:val="0"/>
        </w:rPr>
        <w:t xml:space="preserve">Complete the Indicator 12 Root Cause Analysis and Corrective Action Plan form.</w:t>
      </w:r>
    </w:p>
    <w:p w:rsidR="00000000" w:rsidDel="00000000" w:rsidP="00000000" w:rsidRDefault="00000000" w:rsidRPr="00000000" w14:paraId="0000005A">
      <w:pPr>
        <w:numPr>
          <w:ilvl w:val="0"/>
          <w:numId w:val="3"/>
        </w:numPr>
        <w:ind w:left="720" w:hanging="360"/>
      </w:pPr>
      <w:r w:rsidDel="00000000" w:rsidR="00000000" w:rsidRPr="00000000">
        <w:rPr>
          <w:rtl w:val="0"/>
        </w:rPr>
        <w:t xml:space="preserve">Meet all subsequent timelines for First Steps evaluations. </w:t>
      </w:r>
    </w:p>
    <w:p w:rsidR="00000000" w:rsidDel="00000000" w:rsidP="00000000" w:rsidRDefault="00000000" w:rsidRPr="00000000" w14:paraId="0000005B">
      <w:pPr>
        <w:numPr>
          <w:ilvl w:val="0"/>
          <w:numId w:val="3"/>
        </w:numPr>
        <w:ind w:left="720" w:hanging="360"/>
      </w:pPr>
      <w:r w:rsidDel="00000000" w:rsidR="00000000" w:rsidRPr="00000000">
        <w:rPr>
          <w:rtl w:val="0"/>
        </w:rPr>
        <w:t xml:space="preserve">Review the EV Roster in DEX to ensure all timelines are accurately recorded. </w:t>
      </w:r>
    </w:p>
    <w:p w:rsidR="00000000" w:rsidDel="00000000" w:rsidP="00000000" w:rsidRDefault="00000000" w:rsidRPr="00000000" w14:paraId="0000005C">
      <w:pPr>
        <w:numPr>
          <w:ilvl w:val="0"/>
          <w:numId w:val="3"/>
        </w:numPr>
        <w:ind w:left="720" w:hanging="360"/>
      </w:pPr>
      <w:r w:rsidDel="00000000" w:rsidR="00000000" w:rsidRPr="00000000">
        <w:rPr>
          <w:rtl w:val="0"/>
        </w:rPr>
        <w:t xml:space="preserve">Participate in targeted training and technical assistance opportunities by Indiana IEP Technical Assistance Center</w:t>
      </w:r>
    </w:p>
    <w:p w:rsidR="00000000" w:rsidDel="00000000" w:rsidP="00000000" w:rsidRDefault="00000000" w:rsidRPr="00000000" w14:paraId="0000005D">
      <w:pPr>
        <w:numPr>
          <w:ilvl w:val="0"/>
          <w:numId w:val="3"/>
        </w:numPr>
        <w:ind w:left="720" w:hanging="360"/>
      </w:pPr>
      <w:r w:rsidDel="00000000" w:rsidR="00000000" w:rsidRPr="00000000">
        <w:rPr>
          <w:rtl w:val="0"/>
        </w:rPr>
        <w:t xml:space="preserve">Attend quarterly meetings to ensure timelines are being met </w:t>
      </w:r>
    </w:p>
    <w:p w:rsidR="00000000" w:rsidDel="00000000" w:rsidP="00000000" w:rsidRDefault="00000000" w:rsidRPr="00000000" w14:paraId="0000005E">
      <w:pPr>
        <w:pStyle w:val="Heading2"/>
        <w:spacing w:after="140" w:before="240" w:line="276" w:lineRule="auto"/>
        <w:rPr/>
      </w:pPr>
      <w:bookmarkStart w:colFirst="0" w:colLast="0" w:name="_g1c523kivmg7" w:id="12"/>
      <w:bookmarkEnd w:id="12"/>
      <w:r w:rsidDel="00000000" w:rsidR="00000000" w:rsidRPr="00000000">
        <w:rPr>
          <w:rtl w:val="0"/>
        </w:rPr>
      </w:r>
      <w:r w:rsidDel="00000000" w:rsidR="00000000" w:rsidRPr="00000000">
        <mc:AlternateContent>
          <mc:Choice Requires="wpg">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266700</wp:posOffset>
                </wp:positionV>
                <wp:extent cx="2038350" cy="766808"/>
                <wp:effectExtent b="0" l="0" r="0" t="0"/>
                <wp:wrapSquare wrapText="bothSides" distB="114300" distT="114300" distL="114300" distR="114300"/>
                <wp:docPr id="3" name=""/>
                <a:graphic>
                  <a:graphicData uri="http://schemas.microsoft.com/office/word/2010/wordprocessingShape">
                    <wps:wsp>
                      <wps:cNvSpPr/>
                      <wps:cNvPr id="2" name="Shape 2"/>
                      <wps:spPr>
                        <a:xfrm>
                          <a:off x="487025" y="204550"/>
                          <a:ext cx="1977300" cy="730500"/>
                        </a:xfrm>
                        <a:prstGeom prst="roundRect">
                          <a:avLst>
                            <a:gd fmla="val 16667" name="adj"/>
                          </a:avLst>
                        </a:prstGeom>
                        <a:gradFill>
                          <a:gsLst>
                            <a:gs pos="0">
                              <a:srgbClr val="FEFAE5"/>
                            </a:gs>
                            <a:gs pos="100000">
                              <a:srgbClr val="FECF00"/>
                            </a:gs>
                          </a:gsLst>
                          <a:lin ang="5400012" scaled="0"/>
                        </a:gradFill>
                        <a:ln cap="flat" cmpd="sng" w="9525">
                          <a:solidFill>
                            <a:srgbClr val="FECF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t xml:space="preserve">Longstanding</w:t>
                            </w:r>
                          </w:p>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1"/>
                                <w:i w:val="0"/>
                                <w:smallCaps w:val="0"/>
                                <w:strike w:val="0"/>
                                <w:color w:val="000000"/>
                                <w:sz w:val="32"/>
                                <w:vertAlign w:val="baseline"/>
                              </w:rPr>
                            </w:r>
                            <w:r w:rsidDel="00000000" w:rsidR="00000000" w:rsidRPr="00000000">
                              <w:rPr>
                                <w:rFonts w:ascii="Arial" w:cs="Arial" w:eastAsia="Arial" w:hAnsi="Arial"/>
                                <w:b w:val="1"/>
                                <w:i w:val="0"/>
                                <w:smallCaps w:val="0"/>
                                <w:strike w:val="0"/>
                                <w:color w:val="000000"/>
                                <w:sz w:val="32"/>
                                <w:vertAlign w:val="baseline"/>
                              </w:rPr>
                              <w:t xml:space="preserve">Noncompliance</w:t>
                            </w:r>
                          </w:p>
                        </w:txbxContent>
                      </wps:txbx>
                      <wps:bodyPr anchorCtr="0" anchor="ctr" bIns="91425" lIns="91425" spcFirstLastPara="1" rIns="91425" wrap="square" tIns="91425">
                        <a:noAutofit/>
                      </wps:bodyPr>
                    </wps:wsp>
                  </a:graphicData>
                </a:graphic>
              </wp:anchor>
            </w:drawing>
          </mc:Choice>
          <mc:Fallback>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266700</wp:posOffset>
                </wp:positionV>
                <wp:extent cx="2038350" cy="766808"/>
                <wp:effectExtent b="0" l="0" r="0" t="0"/>
                <wp:wrapSquare wrapText="bothSides" distB="114300" distT="114300" distL="114300" distR="114300"/>
                <wp:docPr id="3" name="image13.png"/>
                <a:graphic>
                  <a:graphicData uri="http://schemas.openxmlformats.org/drawingml/2006/picture">
                    <pic:pic>
                      <pic:nvPicPr>
                        <pic:cNvPr id="0" name="image13.png"/>
                        <pic:cNvPicPr preferRelativeResize="0"/>
                      </pic:nvPicPr>
                      <pic:blipFill>
                        <a:blip r:embed="rId14"/>
                        <a:srcRect/>
                        <a:stretch>
                          <a:fillRect/>
                        </a:stretch>
                      </pic:blipFill>
                      <pic:spPr>
                        <a:xfrm>
                          <a:off x="0" y="0"/>
                          <a:ext cx="2038350" cy="766808"/>
                        </a:xfrm>
                        <a:prstGeom prst="rect"/>
                        <a:ln/>
                      </pic:spPr>
                    </pic:pic>
                  </a:graphicData>
                </a:graphic>
              </wp:anchor>
            </w:drawing>
          </mc:Fallback>
        </mc:AlternateContent>
      </w:r>
    </w:p>
    <w:p w:rsidR="00000000" w:rsidDel="00000000" w:rsidP="00000000" w:rsidRDefault="00000000" w:rsidRPr="00000000" w14:paraId="0000005F">
      <w:pPr>
        <w:spacing w:after="120" w:lineRule="auto"/>
        <w:rPr/>
      </w:pPr>
      <w:r w:rsidDel="00000000" w:rsidR="00000000" w:rsidRPr="00000000">
        <w:rPr>
          <w:rtl w:val="0"/>
        </w:rPr>
        <w:t xml:space="preserve">LEAs that have had a finding for more than two years will need to complete the following tasks to correct their finding of noncompliance: </w:t>
      </w:r>
    </w:p>
    <w:p w:rsidR="00000000" w:rsidDel="00000000" w:rsidP="00000000" w:rsidRDefault="00000000" w:rsidRPr="00000000" w14:paraId="00000060">
      <w:pPr>
        <w:spacing w:after="120" w:lineRule="auto"/>
        <w:rPr/>
      </w:pPr>
      <w:r w:rsidDel="00000000" w:rsidR="00000000" w:rsidRPr="00000000">
        <w:rPr>
          <w:rtl w:val="0"/>
        </w:rPr>
      </w:r>
    </w:p>
    <w:p w:rsidR="00000000" w:rsidDel="00000000" w:rsidP="00000000" w:rsidRDefault="00000000" w:rsidRPr="00000000" w14:paraId="00000061">
      <w:pPr>
        <w:numPr>
          <w:ilvl w:val="0"/>
          <w:numId w:val="5"/>
        </w:numPr>
        <w:ind w:left="720" w:hanging="360"/>
      </w:pPr>
      <w:r w:rsidDel="00000000" w:rsidR="00000000" w:rsidRPr="00000000">
        <w:rPr>
          <w:rtl w:val="0"/>
        </w:rPr>
        <w:t xml:space="preserve">Complete the Indicator 12 Root Cause Analysis and Corrective Action Plan form.</w:t>
      </w:r>
    </w:p>
    <w:p w:rsidR="00000000" w:rsidDel="00000000" w:rsidP="00000000" w:rsidRDefault="00000000" w:rsidRPr="00000000" w14:paraId="00000062">
      <w:pPr>
        <w:numPr>
          <w:ilvl w:val="0"/>
          <w:numId w:val="5"/>
        </w:numPr>
        <w:ind w:left="720" w:hanging="360"/>
      </w:pPr>
      <w:r w:rsidDel="00000000" w:rsidR="00000000" w:rsidRPr="00000000">
        <w:rPr>
          <w:rtl w:val="0"/>
        </w:rPr>
        <w:t xml:space="preserve">Meet all subsequent timelines for First Steps evaluations. </w:t>
      </w:r>
    </w:p>
    <w:p w:rsidR="00000000" w:rsidDel="00000000" w:rsidP="00000000" w:rsidRDefault="00000000" w:rsidRPr="00000000" w14:paraId="00000063">
      <w:pPr>
        <w:numPr>
          <w:ilvl w:val="0"/>
          <w:numId w:val="5"/>
        </w:numPr>
        <w:ind w:left="720" w:hanging="360"/>
      </w:pPr>
      <w:r w:rsidDel="00000000" w:rsidR="00000000" w:rsidRPr="00000000">
        <w:rPr>
          <w:rtl w:val="0"/>
        </w:rPr>
        <w:t xml:space="preserve">Review the EV Roster in DEX to ensure all timelines are accurately recorded. </w:t>
      </w:r>
    </w:p>
    <w:p w:rsidR="00000000" w:rsidDel="00000000" w:rsidP="00000000" w:rsidRDefault="00000000" w:rsidRPr="00000000" w14:paraId="00000064">
      <w:pPr>
        <w:numPr>
          <w:ilvl w:val="0"/>
          <w:numId w:val="5"/>
        </w:numPr>
        <w:ind w:left="720" w:hanging="360"/>
      </w:pPr>
      <w:r w:rsidDel="00000000" w:rsidR="00000000" w:rsidRPr="00000000">
        <w:rPr>
          <w:rtl w:val="0"/>
        </w:rPr>
        <w:t xml:space="preserve">Participate in targeted training and technical assistance opportunities by Indiana IEP Technical Assistance Center</w:t>
      </w:r>
    </w:p>
    <w:p w:rsidR="00000000" w:rsidDel="00000000" w:rsidP="00000000" w:rsidRDefault="00000000" w:rsidRPr="00000000" w14:paraId="00000065">
      <w:pPr>
        <w:numPr>
          <w:ilvl w:val="0"/>
          <w:numId w:val="5"/>
        </w:numPr>
        <w:ind w:left="720" w:hanging="360"/>
      </w:pPr>
      <w:r w:rsidDel="00000000" w:rsidR="00000000" w:rsidRPr="00000000">
        <w:rPr>
          <w:rtl w:val="0"/>
        </w:rPr>
        <w:t xml:space="preserve">Attend quarterly meetings to ensure timelines are being met </w:t>
      </w:r>
    </w:p>
    <w:p w:rsidR="00000000" w:rsidDel="00000000" w:rsidP="00000000" w:rsidRDefault="00000000" w:rsidRPr="00000000" w14:paraId="00000066">
      <w:pPr>
        <w:numPr>
          <w:ilvl w:val="0"/>
          <w:numId w:val="5"/>
        </w:numPr>
        <w:ind w:left="720" w:hanging="360"/>
        <w:rPr>
          <w:u w:val="none"/>
        </w:rPr>
      </w:pPr>
      <w:r w:rsidDel="00000000" w:rsidR="00000000" w:rsidRPr="00000000">
        <w:rPr>
          <w:rtl w:val="0"/>
        </w:rPr>
        <w:t xml:space="preserve">On-site school visit(s)  by IDOE staff</w:t>
      </w:r>
      <w:r w:rsidDel="00000000" w:rsidR="00000000" w:rsidRPr="00000000">
        <w:rPr>
          <w:rtl w:val="0"/>
        </w:rPr>
      </w:r>
    </w:p>
    <w:p w:rsidR="00000000" w:rsidDel="00000000" w:rsidP="00000000" w:rsidRDefault="00000000" w:rsidRPr="00000000" w14:paraId="00000067">
      <w:pPr>
        <w:pStyle w:val="Heading1"/>
        <w:ind w:left="-90" w:firstLine="0"/>
        <w:rPr/>
      </w:pPr>
      <w:bookmarkStart w:colFirst="0" w:colLast="0" w:name="_osck8my1tfmn" w:id="13"/>
      <w:bookmarkEnd w:id="13"/>
      <w:r w:rsidDel="00000000" w:rsidR="00000000" w:rsidRPr="00000000">
        <w:rPr/>
        <w:drawing>
          <wp:inline distB="114300" distT="114300" distL="114300" distR="114300">
            <wp:extent cx="5943600" cy="502314"/>
            <wp:effectExtent b="0" l="0" r="0" t="0"/>
            <wp:docPr id="10" name="image10.png"/>
            <a:graphic>
              <a:graphicData uri="http://schemas.openxmlformats.org/drawingml/2006/picture">
                <pic:pic>
                  <pic:nvPicPr>
                    <pic:cNvPr id="0" name="image10.png"/>
                    <pic:cNvPicPr preferRelativeResize="0"/>
                  </pic:nvPicPr>
                  <pic:blipFill>
                    <a:blip r:embed="rId15"/>
                    <a:srcRect b="19918" l="0" r="0" t="19237"/>
                    <a:stretch>
                      <a:fillRect/>
                    </a:stretch>
                  </pic:blipFill>
                  <pic:spPr>
                    <a:xfrm>
                      <a:off x="0" y="0"/>
                      <a:ext cx="5943600" cy="502314"/>
                    </a:xfrm>
                    <a:prstGeom prst="rect"/>
                    <a:ln/>
                  </pic:spPr>
                </pic:pic>
              </a:graphicData>
            </a:graphic>
          </wp:inline>
        </w:drawing>
      </w:r>
      <w:r w:rsidDel="00000000" w:rsidR="00000000" w:rsidRPr="00000000">
        <w:rPr>
          <w:rtl w:val="0"/>
        </w:rPr>
      </w:r>
    </w:p>
    <w:p w:rsidR="00000000" w:rsidDel="00000000" w:rsidP="00000000" w:rsidRDefault="00000000" w:rsidRPr="00000000" w14:paraId="00000068">
      <w:pPr>
        <w:spacing w:after="140" w:lineRule="auto"/>
        <w:rPr/>
      </w:pPr>
      <w:r w:rsidDel="00000000" w:rsidR="00000000" w:rsidRPr="00000000">
        <w:rPr>
          <w:rtl w:val="0"/>
        </w:rPr>
        <w:t xml:space="preserve">Indicator 12 is included in the Compliance Matrix of RDA. When an LEA meets the target for a particular compliance indicator, they are considered “compliant” and are assigned a score of 5. If the LEA has findings of noncompliance, but their records are still between 95.00%-99.99% compliant, they will also receive a score of 5. For any findings of noncompliance that result in a compliance rate of less than 95%, the LEA is assigned a score of 1.</w:t>
      </w:r>
    </w:p>
    <w:p w:rsidR="00000000" w:rsidDel="00000000" w:rsidP="00000000" w:rsidRDefault="00000000" w:rsidRPr="00000000" w14:paraId="00000069">
      <w:pPr>
        <w:spacing w:after="140" w:lineRule="auto"/>
        <w:rPr/>
      </w:pPr>
      <w:r w:rsidDel="00000000" w:rsidR="00000000" w:rsidRPr="00000000">
        <w:rPr>
          <w:rtl w:val="0"/>
        </w:rPr>
        <w:t xml:space="preserve">For RDA purposes, if a record is closed for an excused reason, such as the parent revoking consent or if an evaluation is completed late, those records are counted as compliant.</w:t>
      </w:r>
      <w:r w:rsidDel="00000000" w:rsidR="00000000" w:rsidRPr="00000000">
        <w:rPr>
          <w:rtl w:val="0"/>
        </w:rPr>
      </w:r>
    </w:p>
    <w:tbl>
      <w:tblPr>
        <w:tblStyle w:val="Table2"/>
        <w:tblW w:w="9510.0" w:type="dxa"/>
        <w:jc w:val="center"/>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400"/>
      </w:tblPr>
      <w:tblGrid>
        <w:gridCol w:w="6195"/>
        <w:gridCol w:w="3315"/>
        <w:tblGridChange w:id="0">
          <w:tblGrid>
            <w:gridCol w:w="6195"/>
            <w:gridCol w:w="3315"/>
          </w:tblGrid>
        </w:tblGridChange>
      </w:tblGrid>
      <w:tr>
        <w:trPr>
          <w:cantSplit w:val="0"/>
          <w:trHeight w:val="350" w:hRule="atLeast"/>
          <w:tblHeader w:val="0"/>
        </w:trPr>
        <w:tc>
          <w:tcPr>
            <w:gridSpan w:val="2"/>
            <w:tcBorders>
              <w:top w:color="000000" w:space="0" w:sz="8" w:val="single"/>
              <w:left w:color="000000" w:space="0" w:sz="8" w:val="single"/>
              <w:bottom w:color="000000" w:space="0" w:sz="8" w:val="single"/>
              <w:right w:color="000000" w:space="0" w:sz="8" w:val="single"/>
            </w:tcBorders>
            <w:shd w:fill="151e49" w:val="clear"/>
            <w:tcMar>
              <w:top w:w="86.4" w:type="dxa"/>
              <w:left w:w="86.4" w:type="dxa"/>
              <w:bottom w:w="86.4" w:type="dxa"/>
              <w:right w:w="86.4" w:type="dxa"/>
            </w:tcMar>
            <w:vAlign w:val="center"/>
          </w:tcPr>
          <w:p w:rsidR="00000000" w:rsidDel="00000000" w:rsidP="00000000" w:rsidRDefault="00000000" w:rsidRPr="00000000" w14:paraId="0000006A">
            <w:pPr>
              <w:spacing w:line="240" w:lineRule="auto"/>
              <w:jc w:val="center"/>
              <w:rPr>
                <w:b w:val="1"/>
                <w:color w:val="ffffff"/>
              </w:rPr>
            </w:pPr>
            <w:r w:rsidDel="00000000" w:rsidR="00000000" w:rsidRPr="00000000">
              <w:rPr>
                <w:b w:val="1"/>
                <w:color w:val="ffffff"/>
                <w:rtl w:val="0"/>
              </w:rPr>
              <w:t xml:space="preserve">RDA Scoring for Indicators 11, 12, and 13</w:t>
            </w:r>
          </w:p>
        </w:tc>
      </w:tr>
      <w:tr>
        <w:trPr>
          <w:cantSplit w:val="0"/>
          <w:trHeight w:val="350" w:hRule="atLeast"/>
          <w:tblHeader w:val="0"/>
        </w:trPr>
        <w:tc>
          <w:tcPr>
            <w:tcBorders>
              <w:top w:color="000000" w:space="0" w:sz="8" w:val="single"/>
              <w:left w:color="000000" w:space="0" w:sz="8" w:val="single"/>
              <w:bottom w:color="000000" w:space="0" w:sz="8" w:val="single"/>
              <w:right w:color="000000" w:space="0" w:sz="8" w:val="single"/>
            </w:tcBorders>
            <w:shd w:fill="434a6d" w:val="clear"/>
            <w:tcMar>
              <w:top w:w="86.4" w:type="dxa"/>
              <w:left w:w="86.4" w:type="dxa"/>
              <w:bottom w:w="86.4" w:type="dxa"/>
              <w:right w:w="86.4" w:type="dxa"/>
            </w:tcMar>
            <w:vAlign w:val="center"/>
          </w:tcPr>
          <w:p w:rsidR="00000000" w:rsidDel="00000000" w:rsidP="00000000" w:rsidRDefault="00000000" w:rsidRPr="00000000" w14:paraId="0000006C">
            <w:pPr>
              <w:spacing w:line="240" w:lineRule="auto"/>
              <w:jc w:val="center"/>
              <w:rPr>
                <w:b w:val="1"/>
                <w:color w:val="ffffff"/>
              </w:rPr>
            </w:pPr>
            <w:r w:rsidDel="00000000" w:rsidR="00000000" w:rsidRPr="00000000">
              <w:rPr>
                <w:b w:val="1"/>
                <w:color w:val="ffffff"/>
                <w:rtl w:val="0"/>
              </w:rPr>
              <w:t xml:space="preserve">Percentage Compliance</w:t>
            </w:r>
          </w:p>
        </w:tc>
        <w:tc>
          <w:tcPr>
            <w:tcBorders>
              <w:top w:color="000000" w:space="0" w:sz="8" w:val="single"/>
              <w:left w:color="000000" w:space="0" w:sz="8" w:val="single"/>
              <w:bottom w:color="000000" w:space="0" w:sz="8" w:val="single"/>
              <w:right w:color="000000" w:space="0" w:sz="8" w:val="single"/>
            </w:tcBorders>
            <w:shd w:fill="434a6d" w:val="clear"/>
            <w:tcMar>
              <w:top w:w="86.4" w:type="dxa"/>
              <w:left w:w="86.4" w:type="dxa"/>
              <w:bottom w:w="86.4" w:type="dxa"/>
              <w:right w:w="86.4" w:type="dxa"/>
            </w:tcMar>
            <w:vAlign w:val="center"/>
          </w:tcPr>
          <w:p w:rsidR="00000000" w:rsidDel="00000000" w:rsidP="00000000" w:rsidRDefault="00000000" w:rsidRPr="00000000" w14:paraId="0000006D">
            <w:pPr>
              <w:spacing w:line="240" w:lineRule="auto"/>
              <w:jc w:val="center"/>
              <w:rPr>
                <w:b w:val="1"/>
                <w:color w:val="ffffff"/>
              </w:rPr>
            </w:pPr>
            <w:r w:rsidDel="00000000" w:rsidR="00000000" w:rsidRPr="00000000">
              <w:rPr>
                <w:b w:val="1"/>
                <w:color w:val="ffffff"/>
                <w:rtl w:val="0"/>
              </w:rPr>
              <w:t xml:space="preserve">Points</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6E">
            <w:pPr>
              <w:spacing w:line="240" w:lineRule="auto"/>
              <w:jc w:val="center"/>
              <w:rPr/>
            </w:pPr>
            <w:r w:rsidDel="00000000" w:rsidR="00000000" w:rsidRPr="00000000">
              <w:rPr>
                <w:rtl w:val="0"/>
              </w:rPr>
              <w:t xml:space="preserve">100.00% (Compliant)</w:t>
            </w:r>
          </w:p>
        </w:tc>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6F">
            <w:pPr>
              <w:spacing w:line="240" w:lineRule="auto"/>
              <w:jc w:val="center"/>
              <w:rPr/>
            </w:pPr>
            <w:r w:rsidDel="00000000" w:rsidR="00000000" w:rsidRPr="00000000">
              <w:rPr>
                <w:rtl w:val="0"/>
              </w:rPr>
              <w:t xml:space="preserve">5</w:t>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70">
            <w:pPr>
              <w:spacing w:line="240" w:lineRule="auto"/>
              <w:jc w:val="center"/>
              <w:rPr/>
            </w:pPr>
            <w:r w:rsidDel="00000000" w:rsidR="00000000" w:rsidRPr="00000000">
              <w:rPr>
                <w:rtl w:val="0"/>
              </w:rPr>
              <w:t xml:space="preserve">95.00% - 99.99% (Substantially Compliant - Finding)</w:t>
            </w:r>
          </w:p>
        </w:tc>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71">
            <w:pPr>
              <w:spacing w:line="240" w:lineRule="auto"/>
              <w:jc w:val="center"/>
              <w:rPr/>
            </w:pPr>
            <w:r w:rsidDel="00000000" w:rsidR="00000000" w:rsidRPr="00000000">
              <w:rPr>
                <w:rtl w:val="0"/>
              </w:rPr>
              <w:t xml:space="preserve">5</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72">
            <w:pPr>
              <w:spacing w:line="240" w:lineRule="auto"/>
              <w:jc w:val="center"/>
              <w:rPr/>
            </w:pPr>
            <w:r w:rsidDel="00000000" w:rsidR="00000000" w:rsidRPr="00000000">
              <w:rPr>
                <w:rtl w:val="0"/>
              </w:rPr>
              <w:t xml:space="preserve">Less Than 95.00% (Finding)</w:t>
            </w:r>
          </w:p>
        </w:tc>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73">
            <w:pPr>
              <w:spacing w:line="240" w:lineRule="auto"/>
              <w:jc w:val="center"/>
              <w:rPr/>
            </w:pPr>
            <w:r w:rsidDel="00000000" w:rsidR="00000000" w:rsidRPr="00000000">
              <w:rPr>
                <w:rtl w:val="0"/>
              </w:rPr>
              <w:t xml:space="preserve">1</w:t>
            </w:r>
          </w:p>
        </w:tc>
      </w:tr>
    </w:tbl>
    <w:p w:rsidR="00000000" w:rsidDel="00000000" w:rsidP="00000000" w:rsidRDefault="00000000" w:rsidRPr="00000000" w14:paraId="00000074">
      <w:pPr>
        <w:spacing w:after="0" w:before="0" w:lineRule="auto"/>
        <w:rPr/>
      </w:pPr>
      <w:r w:rsidDel="00000000" w:rsidR="00000000" w:rsidRPr="00000000">
        <w:rPr>
          <w:rtl w:val="0"/>
        </w:rPr>
      </w:r>
    </w:p>
    <w:tbl>
      <w:tblPr>
        <w:tblStyle w:val="Table3"/>
        <w:tblW w:w="7725.0" w:type="dxa"/>
        <w:jc w:val="center"/>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400"/>
      </w:tblPr>
      <w:tblGrid>
        <w:gridCol w:w="3975"/>
        <w:gridCol w:w="3750"/>
        <w:tblGridChange w:id="0">
          <w:tblGrid>
            <w:gridCol w:w="3975"/>
            <w:gridCol w:w="3750"/>
          </w:tblGrid>
        </w:tblGridChange>
      </w:tblGrid>
      <w:tr>
        <w:trPr>
          <w:cantSplit w:val="0"/>
          <w:trHeight w:val="330" w:hRule="atLeast"/>
          <w:tblHeader w:val="0"/>
        </w:trPr>
        <w:tc>
          <w:tcPr>
            <w:gridSpan w:val="2"/>
            <w:tcBorders>
              <w:top w:color="000000" w:space="0" w:sz="8" w:val="single"/>
              <w:left w:color="000000" w:space="0" w:sz="8" w:val="single"/>
              <w:bottom w:color="000000" w:space="0" w:sz="8" w:val="single"/>
              <w:right w:color="000000" w:space="0" w:sz="8" w:val="single"/>
            </w:tcBorders>
            <w:shd w:fill="151e49" w:val="clear"/>
            <w:tcMar>
              <w:top w:w="86.4" w:type="dxa"/>
              <w:left w:w="86.4" w:type="dxa"/>
              <w:bottom w:w="86.4" w:type="dxa"/>
              <w:right w:w="86.4" w:type="dxa"/>
            </w:tcMar>
            <w:vAlign w:val="center"/>
          </w:tcPr>
          <w:p w:rsidR="00000000" w:rsidDel="00000000" w:rsidP="00000000" w:rsidRDefault="00000000" w:rsidRPr="00000000" w14:paraId="00000075">
            <w:pPr>
              <w:spacing w:line="240" w:lineRule="auto"/>
              <w:jc w:val="center"/>
              <w:rPr>
                <w:b w:val="1"/>
                <w:color w:val="ffffff"/>
              </w:rPr>
            </w:pPr>
            <w:r w:rsidDel="00000000" w:rsidR="00000000" w:rsidRPr="00000000">
              <w:rPr>
                <w:b w:val="1"/>
                <w:color w:val="ffffff"/>
                <w:rtl w:val="0"/>
              </w:rPr>
              <w:t xml:space="preserve">Category Weights for Compliance Index</w:t>
            </w:r>
          </w:p>
        </w:tc>
      </w:tr>
      <w:tr>
        <w:trPr>
          <w:cantSplit w:val="0"/>
          <w:trHeight w:val="380.9765625" w:hRule="atLeast"/>
          <w:tblHeader w:val="0"/>
        </w:trPr>
        <w:tc>
          <w:tcPr>
            <w:tcBorders>
              <w:top w:color="000000" w:space="0" w:sz="8" w:val="single"/>
              <w:left w:color="000000" w:space="0" w:sz="8" w:val="single"/>
              <w:bottom w:color="000000" w:space="0" w:sz="8" w:val="single"/>
              <w:right w:color="000000" w:space="0" w:sz="8" w:val="single"/>
            </w:tcBorders>
            <w:shd w:fill="434a6d" w:val="clear"/>
            <w:tcMar>
              <w:top w:w="86.4" w:type="dxa"/>
              <w:left w:w="86.4" w:type="dxa"/>
              <w:bottom w:w="86.4" w:type="dxa"/>
              <w:right w:w="86.4" w:type="dxa"/>
            </w:tcMar>
            <w:vAlign w:val="center"/>
          </w:tcPr>
          <w:p w:rsidR="00000000" w:rsidDel="00000000" w:rsidP="00000000" w:rsidRDefault="00000000" w:rsidRPr="00000000" w14:paraId="00000077">
            <w:pPr>
              <w:spacing w:line="240" w:lineRule="auto"/>
              <w:jc w:val="center"/>
              <w:rPr>
                <w:b w:val="1"/>
                <w:color w:val="ffffff"/>
              </w:rPr>
            </w:pPr>
            <w:r w:rsidDel="00000000" w:rsidR="00000000" w:rsidRPr="00000000">
              <w:rPr>
                <w:b w:val="1"/>
                <w:color w:val="ffffff"/>
                <w:rtl w:val="0"/>
              </w:rPr>
              <w:t xml:space="preserve">Category</w:t>
            </w:r>
          </w:p>
        </w:tc>
        <w:tc>
          <w:tcPr>
            <w:tcBorders>
              <w:top w:color="000000" w:space="0" w:sz="8" w:val="single"/>
              <w:left w:color="000000" w:space="0" w:sz="8" w:val="single"/>
              <w:bottom w:color="000000" w:space="0" w:sz="8" w:val="single"/>
              <w:right w:color="000000" w:space="0" w:sz="8" w:val="single"/>
            </w:tcBorders>
            <w:shd w:fill="434a6d" w:val="clear"/>
            <w:tcMar>
              <w:top w:w="86.4" w:type="dxa"/>
              <w:left w:w="86.4" w:type="dxa"/>
              <w:bottom w:w="86.4" w:type="dxa"/>
              <w:right w:w="86.4" w:type="dxa"/>
            </w:tcMar>
            <w:vAlign w:val="center"/>
          </w:tcPr>
          <w:p w:rsidR="00000000" w:rsidDel="00000000" w:rsidP="00000000" w:rsidRDefault="00000000" w:rsidRPr="00000000" w14:paraId="00000078">
            <w:pPr>
              <w:spacing w:line="240" w:lineRule="auto"/>
              <w:jc w:val="center"/>
              <w:rPr>
                <w:b w:val="1"/>
                <w:color w:val="ffffff"/>
              </w:rPr>
            </w:pPr>
            <w:r w:rsidDel="00000000" w:rsidR="00000000" w:rsidRPr="00000000">
              <w:rPr>
                <w:b w:val="1"/>
                <w:color w:val="ffffff"/>
                <w:rtl w:val="0"/>
              </w:rPr>
              <w:t xml:space="preserve">Percentage Weight</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79">
            <w:pPr>
              <w:spacing w:line="240" w:lineRule="auto"/>
              <w:jc w:val="center"/>
              <w:rPr/>
            </w:pPr>
            <w:r w:rsidDel="00000000" w:rsidR="00000000" w:rsidRPr="00000000">
              <w:rPr>
                <w:rtl w:val="0"/>
              </w:rPr>
              <w:t xml:space="preserve">Indicator 4B</w:t>
            </w:r>
          </w:p>
        </w:tc>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7A">
            <w:pPr>
              <w:spacing w:line="240" w:lineRule="auto"/>
              <w:jc w:val="center"/>
              <w:rPr/>
            </w:pPr>
            <w:r w:rsidDel="00000000" w:rsidR="00000000" w:rsidRPr="00000000">
              <w:rPr>
                <w:rtl w:val="0"/>
              </w:rPr>
              <w:t xml:space="preserve">12.5%</w:t>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7B">
            <w:pPr>
              <w:spacing w:line="240" w:lineRule="auto"/>
              <w:ind w:left="1350" w:firstLine="0"/>
              <w:jc w:val="left"/>
              <w:rPr/>
            </w:pPr>
            <w:r w:rsidDel="00000000" w:rsidR="00000000" w:rsidRPr="00000000">
              <w:rPr>
                <w:rtl w:val="0"/>
              </w:rPr>
              <w:t xml:space="preserve">Indicator 9</w:t>
            </w:r>
          </w:p>
        </w:tc>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7C">
            <w:pPr>
              <w:spacing w:line="240" w:lineRule="auto"/>
              <w:jc w:val="center"/>
              <w:rPr/>
            </w:pPr>
            <w:r w:rsidDel="00000000" w:rsidR="00000000" w:rsidRPr="00000000">
              <w:rPr>
                <w:rtl w:val="0"/>
              </w:rPr>
              <w:t xml:space="preserve">12.5%</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7D">
            <w:pPr>
              <w:spacing w:line="240" w:lineRule="auto"/>
              <w:jc w:val="center"/>
              <w:rPr/>
            </w:pPr>
            <w:r w:rsidDel="00000000" w:rsidR="00000000" w:rsidRPr="00000000">
              <w:rPr>
                <w:rtl w:val="0"/>
              </w:rPr>
              <w:t xml:space="preserve">Indicator 10</w:t>
            </w:r>
          </w:p>
        </w:tc>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7E">
            <w:pPr>
              <w:spacing w:line="240" w:lineRule="auto"/>
              <w:jc w:val="center"/>
              <w:rPr/>
            </w:pPr>
            <w:r w:rsidDel="00000000" w:rsidR="00000000" w:rsidRPr="00000000">
              <w:rPr>
                <w:rtl w:val="0"/>
              </w:rPr>
              <w:t xml:space="preserve">12.5%</w:t>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7F">
            <w:pPr>
              <w:spacing w:line="240" w:lineRule="auto"/>
              <w:jc w:val="center"/>
              <w:rPr/>
            </w:pPr>
            <w:r w:rsidDel="00000000" w:rsidR="00000000" w:rsidRPr="00000000">
              <w:rPr>
                <w:rtl w:val="0"/>
              </w:rPr>
              <w:t xml:space="preserve">Indicator 11</w:t>
            </w:r>
          </w:p>
        </w:tc>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80">
            <w:pPr>
              <w:spacing w:line="240" w:lineRule="auto"/>
              <w:jc w:val="center"/>
              <w:rPr/>
            </w:pPr>
            <w:r w:rsidDel="00000000" w:rsidR="00000000" w:rsidRPr="00000000">
              <w:rPr>
                <w:rtl w:val="0"/>
              </w:rPr>
              <w:t xml:space="preserve">12.5%</w:t>
            </w:r>
          </w:p>
        </w:tc>
      </w:tr>
      <w:tr>
        <w:trPr>
          <w:cantSplit w:val="0"/>
          <w:trHeight w:val="320.9765625" w:hRule="atLeast"/>
          <w:tblHeader w:val="0"/>
        </w:trPr>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81">
            <w:pPr>
              <w:spacing w:line="240" w:lineRule="auto"/>
              <w:jc w:val="center"/>
              <w:rPr/>
            </w:pPr>
            <w:r w:rsidDel="00000000" w:rsidR="00000000" w:rsidRPr="00000000">
              <w:rPr>
                <w:rtl w:val="0"/>
              </w:rPr>
              <w:t xml:space="preserve">Indicator 12</w:t>
            </w:r>
          </w:p>
        </w:tc>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82">
            <w:pPr>
              <w:spacing w:line="240" w:lineRule="auto"/>
              <w:jc w:val="center"/>
              <w:rPr/>
            </w:pPr>
            <w:r w:rsidDel="00000000" w:rsidR="00000000" w:rsidRPr="00000000">
              <w:rPr>
                <w:rtl w:val="0"/>
              </w:rPr>
              <w:t xml:space="preserve">12.5%</w:t>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83">
            <w:pPr>
              <w:spacing w:line="240" w:lineRule="auto"/>
              <w:jc w:val="center"/>
              <w:rPr/>
            </w:pPr>
            <w:r w:rsidDel="00000000" w:rsidR="00000000" w:rsidRPr="00000000">
              <w:rPr>
                <w:rtl w:val="0"/>
              </w:rPr>
              <w:t xml:space="preserve">Indicator 13</w:t>
            </w:r>
          </w:p>
        </w:tc>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84">
            <w:pPr>
              <w:spacing w:line="240" w:lineRule="auto"/>
              <w:jc w:val="center"/>
              <w:rPr/>
            </w:pPr>
            <w:r w:rsidDel="00000000" w:rsidR="00000000" w:rsidRPr="00000000">
              <w:rPr>
                <w:rtl w:val="0"/>
              </w:rPr>
              <w:t xml:space="preserve">12.5%</w:t>
            </w:r>
          </w:p>
        </w:tc>
      </w:tr>
      <w:tr>
        <w:trPr>
          <w:cantSplit w:val="0"/>
          <w:tblHeader w:val="0"/>
        </w:trPr>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85">
            <w:pPr>
              <w:spacing w:line="240" w:lineRule="auto"/>
              <w:jc w:val="center"/>
              <w:rPr/>
            </w:pPr>
            <w:r w:rsidDel="00000000" w:rsidR="00000000" w:rsidRPr="00000000">
              <w:rPr>
                <w:rtl w:val="0"/>
              </w:rPr>
              <w:t xml:space="preserve">Continued Noncompliance</w:t>
            </w:r>
          </w:p>
        </w:tc>
        <w:tc>
          <w:tcPr>
            <w:tcBorders>
              <w:top w:color="000000" w:space="0" w:sz="8" w:val="single"/>
              <w:left w:color="000000" w:space="0" w:sz="8" w:val="single"/>
              <w:bottom w:color="000000" w:space="0" w:sz="8" w:val="single"/>
              <w:right w:color="000000" w:space="0" w:sz="8" w:val="single"/>
            </w:tcBorders>
            <w:tcMar>
              <w:top w:w="86.4" w:type="dxa"/>
              <w:left w:w="86.4" w:type="dxa"/>
              <w:bottom w:w="86.4" w:type="dxa"/>
              <w:right w:w="86.4" w:type="dxa"/>
            </w:tcMar>
            <w:vAlign w:val="center"/>
          </w:tcPr>
          <w:p w:rsidR="00000000" w:rsidDel="00000000" w:rsidP="00000000" w:rsidRDefault="00000000" w:rsidRPr="00000000" w14:paraId="00000086">
            <w:pPr>
              <w:spacing w:line="240" w:lineRule="auto"/>
              <w:jc w:val="center"/>
              <w:rPr/>
            </w:pPr>
            <w:r w:rsidDel="00000000" w:rsidR="00000000" w:rsidRPr="00000000">
              <w:rPr>
                <w:rtl w:val="0"/>
              </w:rPr>
              <w:t xml:space="preserve">10%</w:t>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87">
            <w:pPr>
              <w:spacing w:line="240" w:lineRule="auto"/>
              <w:jc w:val="center"/>
              <w:rPr/>
            </w:pPr>
            <w:r w:rsidDel="00000000" w:rsidR="00000000" w:rsidRPr="00000000">
              <w:rPr>
                <w:rtl w:val="0"/>
              </w:rPr>
              <w:t xml:space="preserve">Longstanding Noncompliance</w:t>
            </w:r>
          </w:p>
        </w:tc>
        <w:tc>
          <w:tcPr>
            <w:tcBorders>
              <w:top w:color="000000" w:space="0" w:sz="8" w:val="single"/>
              <w:left w:color="000000" w:space="0" w:sz="8" w:val="single"/>
              <w:bottom w:color="000000" w:space="0" w:sz="8" w:val="single"/>
              <w:right w:color="000000" w:space="0" w:sz="8" w:val="single"/>
            </w:tcBorders>
            <w:shd w:fill="e7e8ec" w:val="clear"/>
            <w:tcMar>
              <w:top w:w="86.4" w:type="dxa"/>
              <w:left w:w="86.4" w:type="dxa"/>
              <w:bottom w:w="86.4" w:type="dxa"/>
              <w:right w:w="86.4" w:type="dxa"/>
            </w:tcMar>
            <w:vAlign w:val="center"/>
          </w:tcPr>
          <w:p w:rsidR="00000000" w:rsidDel="00000000" w:rsidP="00000000" w:rsidRDefault="00000000" w:rsidRPr="00000000" w14:paraId="00000088">
            <w:pPr>
              <w:spacing w:line="240" w:lineRule="auto"/>
              <w:jc w:val="center"/>
              <w:rPr/>
            </w:pPr>
            <w:r w:rsidDel="00000000" w:rsidR="00000000" w:rsidRPr="00000000">
              <w:rPr>
                <w:rtl w:val="0"/>
              </w:rPr>
              <w:t xml:space="preserve">15%</w:t>
            </w:r>
          </w:p>
        </w:tc>
      </w:tr>
      <w:tr>
        <w:trPr>
          <w:cantSplit w:val="0"/>
          <w:tblHeader w:val="0"/>
        </w:trPr>
        <w:tc>
          <w:tcPr>
            <w:tcBorders>
              <w:top w:color="000000" w:space="0" w:sz="8" w:val="single"/>
              <w:left w:color="000000" w:space="0" w:sz="8" w:val="single"/>
              <w:bottom w:color="000000" w:space="0" w:sz="8" w:val="single"/>
              <w:right w:color="000000" w:space="0" w:sz="8" w:val="single"/>
            </w:tcBorders>
            <w:shd w:fill="151e49" w:val="clear"/>
            <w:tcMar>
              <w:top w:w="86.4" w:type="dxa"/>
              <w:left w:w="86.4" w:type="dxa"/>
              <w:bottom w:w="86.4" w:type="dxa"/>
              <w:right w:w="86.4" w:type="dxa"/>
            </w:tcMar>
            <w:vAlign w:val="center"/>
          </w:tcPr>
          <w:p w:rsidR="00000000" w:rsidDel="00000000" w:rsidP="00000000" w:rsidRDefault="00000000" w:rsidRPr="00000000" w14:paraId="00000089">
            <w:pPr>
              <w:spacing w:line="240" w:lineRule="auto"/>
              <w:jc w:val="center"/>
              <w:rPr>
                <w:b w:val="1"/>
                <w:color w:val="ffffff"/>
              </w:rPr>
            </w:pPr>
            <w:r w:rsidDel="00000000" w:rsidR="00000000" w:rsidRPr="00000000">
              <w:rPr>
                <w:b w:val="1"/>
                <w:color w:val="ffffff"/>
                <w:rtl w:val="0"/>
              </w:rPr>
              <w:t xml:space="preserve">Total</w:t>
            </w:r>
          </w:p>
        </w:tc>
        <w:tc>
          <w:tcPr>
            <w:tcBorders>
              <w:top w:color="000000" w:space="0" w:sz="8" w:val="single"/>
              <w:left w:color="000000" w:space="0" w:sz="8" w:val="single"/>
              <w:bottom w:color="000000" w:space="0" w:sz="8" w:val="single"/>
              <w:right w:color="000000" w:space="0" w:sz="8" w:val="single"/>
            </w:tcBorders>
            <w:shd w:fill="151e49" w:val="clear"/>
            <w:tcMar>
              <w:top w:w="86.4" w:type="dxa"/>
              <w:left w:w="86.4" w:type="dxa"/>
              <w:bottom w:w="86.4" w:type="dxa"/>
              <w:right w:w="86.4" w:type="dxa"/>
            </w:tcMar>
            <w:vAlign w:val="center"/>
          </w:tcPr>
          <w:p w:rsidR="00000000" w:rsidDel="00000000" w:rsidP="00000000" w:rsidRDefault="00000000" w:rsidRPr="00000000" w14:paraId="0000008A">
            <w:pPr>
              <w:spacing w:line="240" w:lineRule="auto"/>
              <w:jc w:val="center"/>
              <w:rPr>
                <w:b w:val="1"/>
                <w:color w:val="ffffff"/>
              </w:rPr>
            </w:pPr>
            <w:r w:rsidDel="00000000" w:rsidR="00000000" w:rsidRPr="00000000">
              <w:rPr>
                <w:b w:val="1"/>
                <w:color w:val="ffffff"/>
                <w:rtl w:val="0"/>
              </w:rPr>
              <w:t xml:space="preserve">100%</w:t>
            </w:r>
          </w:p>
        </w:tc>
      </w:tr>
    </w:tbl>
    <w:p w:rsidR="00000000" w:rsidDel="00000000" w:rsidP="00000000" w:rsidRDefault="00000000" w:rsidRPr="00000000" w14:paraId="0000008B">
      <w:pPr>
        <w:spacing w:after="200" w:before="240" w:lineRule="auto"/>
        <w:rPr>
          <w:sz w:val="2"/>
          <w:szCs w:val="2"/>
        </w:rPr>
      </w:pPr>
      <w:r w:rsidDel="00000000" w:rsidR="00000000" w:rsidRPr="00000000">
        <w:rPr>
          <w:rtl w:val="0"/>
        </w:rPr>
      </w:r>
    </w:p>
    <w:p w:rsidR="00000000" w:rsidDel="00000000" w:rsidP="00000000" w:rsidRDefault="00000000" w:rsidRPr="00000000" w14:paraId="0000008C">
      <w:pPr>
        <w:pStyle w:val="Heading1"/>
        <w:ind w:left="-90" w:firstLine="0"/>
        <w:rPr>
          <w:sz w:val="24"/>
          <w:szCs w:val="24"/>
        </w:rPr>
      </w:pPr>
      <w:bookmarkStart w:colFirst="0" w:colLast="0" w:name="_ouh4do7hmtxz" w:id="14"/>
      <w:bookmarkEnd w:id="14"/>
      <w:r w:rsidDel="00000000" w:rsidR="00000000" w:rsidRPr="00000000">
        <w:rPr>
          <w:sz w:val="24"/>
          <w:szCs w:val="24"/>
        </w:rPr>
        <w:drawing>
          <wp:inline distB="114300" distT="114300" distL="114300" distR="114300">
            <wp:extent cx="5943600" cy="534299"/>
            <wp:effectExtent b="0" l="0" r="0" t="0"/>
            <wp:docPr id="11" name="image8.png"/>
            <a:graphic>
              <a:graphicData uri="http://schemas.openxmlformats.org/drawingml/2006/picture">
                <pic:pic>
                  <pic:nvPicPr>
                    <pic:cNvPr id="0" name="image8.png"/>
                    <pic:cNvPicPr preferRelativeResize="0"/>
                  </pic:nvPicPr>
                  <pic:blipFill>
                    <a:blip r:embed="rId16"/>
                    <a:srcRect b="18258" l="0" r="0" t="17349"/>
                    <a:stretch>
                      <a:fillRect/>
                    </a:stretch>
                  </pic:blipFill>
                  <pic:spPr>
                    <a:xfrm>
                      <a:off x="0" y="0"/>
                      <a:ext cx="5943600" cy="534299"/>
                    </a:xfrm>
                    <a:prstGeom prst="rect"/>
                    <a:ln/>
                  </pic:spPr>
                </pic:pic>
              </a:graphicData>
            </a:graphic>
          </wp:inline>
        </w:drawing>
      </w: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TA involves communication between a specialist or consultant and the LEA to receive targeted support with a development need or problem to build organizational capacity. IDOE offers support with </w:t>
      </w:r>
      <w:hyperlink r:id="rId17">
        <w:r w:rsidDel="00000000" w:rsidR="00000000" w:rsidRPr="00000000">
          <w:rPr>
            <w:color w:val="1155cc"/>
            <w:u w:val="single"/>
            <w:rtl w:val="0"/>
          </w:rPr>
          <w:t xml:space="preserve">various levels</w:t>
        </w:r>
      </w:hyperlink>
      <w:r w:rsidDel="00000000" w:rsidR="00000000" w:rsidRPr="00000000">
        <w:rPr>
          <w:rtl w:val="0"/>
        </w:rPr>
        <w:t xml:space="preserve"> of TA, and the </w:t>
      </w:r>
      <w:hyperlink r:id="rId18">
        <w:r w:rsidDel="00000000" w:rsidR="00000000" w:rsidRPr="00000000">
          <w:rPr>
            <w:color w:val="1155cc"/>
            <w:u w:val="single"/>
            <w:rtl w:val="0"/>
          </w:rPr>
          <w:t xml:space="preserve">TA Request Form</w:t>
        </w:r>
      </w:hyperlink>
      <w:r w:rsidDel="00000000" w:rsidR="00000000" w:rsidRPr="00000000">
        <w:rPr>
          <w:rtl w:val="0"/>
        </w:rPr>
        <w:t xml:space="preserve"> may be submitted to request these resources. Additional resources are delineated below: </w:t>
      </w:r>
    </w:p>
    <w:p w:rsidR="00000000" w:rsidDel="00000000" w:rsidP="00000000" w:rsidRDefault="00000000" w:rsidRPr="00000000" w14:paraId="0000008E">
      <w:pPr>
        <w:rPr>
          <w:sz w:val="22"/>
          <w:szCs w:val="22"/>
        </w:rPr>
      </w:pPr>
      <w:r w:rsidDel="00000000" w:rsidR="00000000" w:rsidRPr="00000000">
        <w:rPr>
          <w:rtl w:val="0"/>
        </w:rPr>
      </w:r>
    </w:p>
    <w:tbl>
      <w:tblPr>
        <w:tblStyle w:val="Table4"/>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70"/>
        <w:gridCol w:w="6990"/>
        <w:tblGridChange w:id="0">
          <w:tblGrid>
            <w:gridCol w:w="2370"/>
            <w:gridCol w:w="6990"/>
          </w:tblGrid>
        </w:tblGridChange>
      </w:tblGrid>
      <w:tr>
        <w:trPr>
          <w:cantSplit w:val="0"/>
          <w:trHeight w:val="420" w:hRule="atLeast"/>
          <w:tblHeader w:val="0"/>
        </w:trPr>
        <w:tc>
          <w:tcPr>
            <w:gridSpan w:val="2"/>
            <w:shd w:fill="151e49" w:val="clear"/>
            <w:tcMar>
              <w:top w:w="100.0" w:type="dxa"/>
              <w:left w:w="100.0" w:type="dxa"/>
              <w:bottom w:w="100.0" w:type="dxa"/>
              <w:right w:w="100.0" w:type="dxa"/>
            </w:tcMar>
            <w:vAlign w:val="top"/>
          </w:tcPr>
          <w:p w:rsidR="00000000" w:rsidDel="00000000" w:rsidP="00000000" w:rsidRDefault="00000000" w:rsidRPr="00000000" w14:paraId="0000008F">
            <w:pPr>
              <w:widowControl w:val="0"/>
              <w:spacing w:line="240" w:lineRule="auto"/>
              <w:jc w:val="center"/>
              <w:rPr>
                <w:b w:val="1"/>
                <w:color w:val="ffffff"/>
                <w:sz w:val="22"/>
                <w:szCs w:val="22"/>
              </w:rPr>
            </w:pPr>
            <w:r w:rsidDel="00000000" w:rsidR="00000000" w:rsidRPr="00000000">
              <w:rPr>
                <w:b w:val="1"/>
                <w:color w:val="ffffff"/>
                <w:sz w:val="22"/>
                <w:szCs w:val="22"/>
                <w:rtl w:val="0"/>
              </w:rPr>
              <w:t xml:space="preserve">Technical Assistance Resources</w:t>
            </w:r>
          </w:p>
        </w:tc>
      </w:tr>
      <w:tr>
        <w:trPr>
          <w:cantSplit w:val="0"/>
          <w:tblHeader w:val="0"/>
        </w:trPr>
        <w:tc>
          <w:tcPr>
            <w:shd w:fill="434a6b" w:val="clear"/>
            <w:tcMar>
              <w:top w:w="100.0" w:type="dxa"/>
              <w:left w:w="100.0" w:type="dxa"/>
              <w:bottom w:w="100.0" w:type="dxa"/>
              <w:right w:w="100.0" w:type="dxa"/>
            </w:tcMar>
            <w:vAlign w:val="top"/>
          </w:tcPr>
          <w:p w:rsidR="00000000" w:rsidDel="00000000" w:rsidP="00000000" w:rsidRDefault="00000000" w:rsidRPr="00000000" w14:paraId="00000091">
            <w:pPr>
              <w:widowControl w:val="0"/>
              <w:spacing w:line="240" w:lineRule="auto"/>
              <w:jc w:val="center"/>
              <w:rPr>
                <w:b w:val="1"/>
                <w:color w:val="ffffff"/>
                <w:sz w:val="22"/>
                <w:szCs w:val="22"/>
              </w:rPr>
            </w:pPr>
            <w:r w:rsidDel="00000000" w:rsidR="00000000" w:rsidRPr="00000000">
              <w:rPr>
                <w:b w:val="1"/>
                <w:color w:val="ffffff"/>
                <w:sz w:val="22"/>
                <w:szCs w:val="22"/>
                <w:rtl w:val="0"/>
              </w:rPr>
              <w:t xml:space="preserve">Level of Support</w:t>
            </w:r>
          </w:p>
        </w:tc>
        <w:tc>
          <w:tcPr>
            <w:shd w:fill="434a6b" w:val="clear"/>
            <w:tcMar>
              <w:top w:w="100.0" w:type="dxa"/>
              <w:left w:w="100.0" w:type="dxa"/>
              <w:bottom w:w="100.0" w:type="dxa"/>
              <w:right w:w="100.0" w:type="dxa"/>
            </w:tcMar>
            <w:vAlign w:val="top"/>
          </w:tcPr>
          <w:p w:rsidR="00000000" w:rsidDel="00000000" w:rsidP="00000000" w:rsidRDefault="00000000" w:rsidRPr="00000000" w14:paraId="00000092">
            <w:pPr>
              <w:widowControl w:val="0"/>
              <w:spacing w:line="240" w:lineRule="auto"/>
              <w:jc w:val="center"/>
              <w:rPr>
                <w:b w:val="1"/>
                <w:color w:val="ffffff"/>
                <w:sz w:val="22"/>
                <w:szCs w:val="22"/>
              </w:rPr>
            </w:pPr>
            <w:r w:rsidDel="00000000" w:rsidR="00000000" w:rsidRPr="00000000">
              <w:rPr>
                <w:b w:val="1"/>
                <w:color w:val="ffffff"/>
                <w:sz w:val="22"/>
                <w:szCs w:val="22"/>
                <w:rtl w:val="0"/>
              </w:rPr>
              <w:t xml:space="preserve">Resources</w:t>
            </w:r>
          </w:p>
        </w:tc>
      </w:tr>
      <w:tr>
        <w:trPr>
          <w:cantSplit w:val="0"/>
          <w:tblHeader w:val="0"/>
        </w:trPr>
        <w:tc>
          <w:tcPr>
            <w:shd w:fill="656a83" w:val="clear"/>
            <w:tcMar>
              <w:top w:w="100.0" w:type="dxa"/>
              <w:left w:w="100.0" w:type="dxa"/>
              <w:bottom w:w="100.0" w:type="dxa"/>
              <w:right w:w="100.0" w:type="dxa"/>
            </w:tcMar>
            <w:vAlign w:val="top"/>
          </w:tcPr>
          <w:p w:rsidR="00000000" w:rsidDel="00000000" w:rsidP="00000000" w:rsidRDefault="00000000" w:rsidRPr="00000000" w14:paraId="00000093">
            <w:pPr>
              <w:widowControl w:val="0"/>
              <w:spacing w:line="240" w:lineRule="auto"/>
              <w:jc w:val="center"/>
              <w:rPr>
                <w:b w:val="1"/>
                <w:color w:val="ffffff"/>
                <w:sz w:val="22"/>
                <w:szCs w:val="22"/>
              </w:rPr>
            </w:pPr>
            <w:r w:rsidDel="00000000" w:rsidR="00000000" w:rsidRPr="00000000">
              <w:rPr>
                <w:rtl w:val="0"/>
              </w:rPr>
            </w:r>
          </w:p>
          <w:p w:rsidR="00000000" w:rsidDel="00000000" w:rsidP="00000000" w:rsidRDefault="00000000" w:rsidRPr="00000000" w14:paraId="00000094">
            <w:pPr>
              <w:widowControl w:val="0"/>
              <w:spacing w:line="240" w:lineRule="auto"/>
              <w:jc w:val="center"/>
              <w:rPr>
                <w:b w:val="1"/>
                <w:color w:val="ffffff"/>
                <w:sz w:val="22"/>
                <w:szCs w:val="22"/>
              </w:rPr>
            </w:pPr>
            <w:r w:rsidDel="00000000" w:rsidR="00000000" w:rsidRPr="00000000">
              <w:rPr>
                <w:rtl w:val="0"/>
              </w:rPr>
            </w:r>
          </w:p>
          <w:p w:rsidR="00000000" w:rsidDel="00000000" w:rsidP="00000000" w:rsidRDefault="00000000" w:rsidRPr="00000000" w14:paraId="00000095">
            <w:pPr>
              <w:widowControl w:val="0"/>
              <w:spacing w:line="240" w:lineRule="auto"/>
              <w:jc w:val="center"/>
              <w:rPr>
                <w:b w:val="1"/>
                <w:color w:val="ffffff"/>
                <w:sz w:val="22"/>
                <w:szCs w:val="22"/>
              </w:rPr>
            </w:pPr>
            <w:r w:rsidDel="00000000" w:rsidR="00000000" w:rsidRPr="00000000">
              <w:rPr>
                <w:rtl w:val="0"/>
              </w:rPr>
            </w:r>
          </w:p>
          <w:p w:rsidR="00000000" w:rsidDel="00000000" w:rsidP="00000000" w:rsidRDefault="00000000" w:rsidRPr="00000000" w14:paraId="00000096">
            <w:pPr>
              <w:widowControl w:val="0"/>
              <w:spacing w:line="240" w:lineRule="auto"/>
              <w:jc w:val="center"/>
              <w:rPr>
                <w:b w:val="1"/>
                <w:color w:val="ffffff"/>
                <w:sz w:val="22"/>
                <w:szCs w:val="22"/>
              </w:rPr>
            </w:pPr>
            <w:r w:rsidDel="00000000" w:rsidR="00000000" w:rsidRPr="00000000">
              <w:rPr>
                <w:rtl w:val="0"/>
              </w:rPr>
            </w:r>
          </w:p>
          <w:p w:rsidR="00000000" w:rsidDel="00000000" w:rsidP="00000000" w:rsidRDefault="00000000" w:rsidRPr="00000000" w14:paraId="00000097">
            <w:pPr>
              <w:widowControl w:val="0"/>
              <w:spacing w:line="240" w:lineRule="auto"/>
              <w:jc w:val="center"/>
              <w:rPr>
                <w:b w:val="1"/>
                <w:color w:val="ffffff"/>
                <w:sz w:val="22"/>
                <w:szCs w:val="22"/>
              </w:rPr>
            </w:pPr>
            <w:r w:rsidDel="00000000" w:rsidR="00000000" w:rsidRPr="00000000">
              <w:rPr>
                <w:b w:val="1"/>
                <w:color w:val="ffffff"/>
                <w:sz w:val="22"/>
                <w:szCs w:val="22"/>
                <w:rtl w:val="0"/>
              </w:rPr>
              <w:t xml:space="preserve">Universal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98">
            <w:pPr>
              <w:spacing w:after="80" w:lineRule="auto"/>
              <w:rPr>
                <w:sz w:val="22"/>
                <w:szCs w:val="22"/>
              </w:rPr>
            </w:pPr>
            <w:r w:rsidDel="00000000" w:rsidR="00000000" w:rsidRPr="00000000">
              <w:rPr>
                <w:sz w:val="22"/>
                <w:szCs w:val="22"/>
                <w:rtl w:val="0"/>
              </w:rPr>
              <w:t xml:space="preserve">IEP TA Center </w:t>
            </w:r>
          </w:p>
          <w:p w:rsidR="00000000" w:rsidDel="00000000" w:rsidP="00000000" w:rsidRDefault="00000000" w:rsidRPr="00000000" w14:paraId="00000099">
            <w:pPr>
              <w:numPr>
                <w:ilvl w:val="0"/>
                <w:numId w:val="2"/>
              </w:numPr>
              <w:ind w:left="720" w:hanging="360"/>
              <w:rPr>
                <w:sz w:val="22"/>
                <w:szCs w:val="22"/>
              </w:rPr>
            </w:pPr>
            <w:hyperlink r:id="rId19">
              <w:r w:rsidDel="00000000" w:rsidR="00000000" w:rsidRPr="00000000">
                <w:rPr>
                  <w:color w:val="1155cc"/>
                  <w:sz w:val="22"/>
                  <w:szCs w:val="22"/>
                  <w:u w:val="single"/>
                  <w:rtl w:val="0"/>
                </w:rPr>
                <w:t xml:space="preserve">Statewide Conference: Elevating Education: Improving Outcomes for All</w:t>
              </w:r>
            </w:hyperlink>
            <w:r w:rsidDel="00000000" w:rsidR="00000000" w:rsidRPr="00000000">
              <w:rPr>
                <w:sz w:val="22"/>
                <w:szCs w:val="22"/>
                <w:rtl w:val="0"/>
              </w:rPr>
              <w:t xml:space="preserve"> </w:t>
            </w:r>
          </w:p>
          <w:p w:rsidR="00000000" w:rsidDel="00000000" w:rsidP="00000000" w:rsidRDefault="00000000" w:rsidRPr="00000000" w14:paraId="0000009A">
            <w:pPr>
              <w:numPr>
                <w:ilvl w:val="0"/>
                <w:numId w:val="2"/>
              </w:numPr>
              <w:ind w:left="720" w:hanging="360"/>
              <w:rPr>
                <w:sz w:val="22"/>
                <w:szCs w:val="22"/>
              </w:rPr>
            </w:pPr>
            <w:hyperlink r:id="rId20">
              <w:r w:rsidDel="00000000" w:rsidR="00000000" w:rsidRPr="00000000">
                <w:rPr>
                  <w:color w:val="1155cc"/>
                  <w:sz w:val="22"/>
                  <w:szCs w:val="22"/>
                  <w:u w:val="single"/>
                  <w:rtl w:val="0"/>
                </w:rPr>
                <w:t xml:space="preserve">What Administrators Need to Know About Special Education (SPED)</w:t>
              </w:r>
            </w:hyperlink>
            <w:r w:rsidDel="00000000" w:rsidR="00000000" w:rsidRPr="00000000">
              <w:rPr>
                <w:rtl w:val="0"/>
              </w:rPr>
            </w:r>
          </w:p>
          <w:p w:rsidR="00000000" w:rsidDel="00000000" w:rsidP="00000000" w:rsidRDefault="00000000" w:rsidRPr="00000000" w14:paraId="0000009B">
            <w:pPr>
              <w:spacing w:after="80" w:before="120" w:lineRule="auto"/>
              <w:ind w:left="0" w:firstLine="0"/>
              <w:rPr>
                <w:sz w:val="22"/>
                <w:szCs w:val="22"/>
              </w:rPr>
            </w:pPr>
            <w:r w:rsidDel="00000000" w:rsidR="00000000" w:rsidRPr="00000000">
              <w:rPr>
                <w:sz w:val="22"/>
                <w:szCs w:val="22"/>
                <w:rtl w:val="0"/>
              </w:rPr>
              <w:t xml:space="preserve">IDOE</w:t>
            </w:r>
          </w:p>
          <w:p w:rsidR="00000000" w:rsidDel="00000000" w:rsidP="00000000" w:rsidRDefault="00000000" w:rsidRPr="00000000" w14:paraId="0000009C">
            <w:pPr>
              <w:numPr>
                <w:ilvl w:val="0"/>
                <w:numId w:val="1"/>
              </w:numPr>
              <w:ind w:left="720" w:hanging="360"/>
              <w:rPr>
                <w:sz w:val="22"/>
                <w:szCs w:val="22"/>
              </w:rPr>
            </w:pPr>
            <w:hyperlink r:id="rId21">
              <w:r w:rsidDel="00000000" w:rsidR="00000000" w:rsidRPr="00000000">
                <w:rPr>
                  <w:color w:val="1155cc"/>
                  <w:sz w:val="22"/>
                  <w:szCs w:val="22"/>
                  <w:u w:val="single"/>
                  <w:rtl w:val="0"/>
                </w:rPr>
                <w:t xml:space="preserve">Spread the Word: First Steps to Preschool Transitions</w:t>
              </w:r>
            </w:hyperlink>
            <w:r w:rsidDel="00000000" w:rsidR="00000000" w:rsidRPr="00000000">
              <w:rPr>
                <w:rtl w:val="0"/>
              </w:rPr>
            </w:r>
          </w:p>
        </w:tc>
      </w:tr>
      <w:tr>
        <w:trPr>
          <w:cantSplit w:val="0"/>
          <w:trHeight w:val="420" w:hRule="atLeast"/>
          <w:tblHeader w:val="0"/>
        </w:trPr>
        <w:tc>
          <w:tcPr>
            <w:shd w:fill="656a83" w:val="clear"/>
            <w:tcMar>
              <w:top w:w="100.0" w:type="dxa"/>
              <w:left w:w="100.0" w:type="dxa"/>
              <w:bottom w:w="100.0" w:type="dxa"/>
              <w:right w:w="100.0" w:type="dxa"/>
            </w:tcMar>
            <w:vAlign w:val="top"/>
          </w:tcPr>
          <w:p w:rsidR="00000000" w:rsidDel="00000000" w:rsidP="00000000" w:rsidRDefault="00000000" w:rsidRPr="00000000" w14:paraId="0000009D">
            <w:pPr>
              <w:widowControl w:val="0"/>
              <w:spacing w:line="240" w:lineRule="auto"/>
              <w:jc w:val="center"/>
              <w:rPr>
                <w:color w:val="ffffff"/>
                <w:sz w:val="22"/>
                <w:szCs w:val="22"/>
              </w:rPr>
            </w:pPr>
            <w:r w:rsidDel="00000000" w:rsidR="00000000" w:rsidRPr="00000000">
              <w:rPr>
                <w:b w:val="1"/>
                <w:color w:val="ffffff"/>
                <w:sz w:val="22"/>
                <w:szCs w:val="22"/>
                <w:rtl w:val="0"/>
              </w:rPr>
              <w:t xml:space="preserve">Targeted/</w:t>
            </w:r>
            <w:r w:rsidDel="00000000" w:rsidR="00000000" w:rsidRPr="00000000">
              <w:rPr>
                <w:color w:val="ffffff"/>
                <w:sz w:val="22"/>
                <w:szCs w:val="22"/>
                <w:rtl w:val="0"/>
              </w:rPr>
              <w:t xml:space="preserve"> </w:t>
            </w:r>
          </w:p>
          <w:p w:rsidR="00000000" w:rsidDel="00000000" w:rsidP="00000000" w:rsidRDefault="00000000" w:rsidRPr="00000000" w14:paraId="0000009E">
            <w:pPr>
              <w:widowControl w:val="0"/>
              <w:spacing w:line="240" w:lineRule="auto"/>
              <w:jc w:val="center"/>
              <w:rPr>
                <w:color w:val="ffffff"/>
                <w:sz w:val="22"/>
                <w:szCs w:val="22"/>
              </w:rPr>
            </w:pPr>
            <w:r w:rsidDel="00000000" w:rsidR="00000000" w:rsidRPr="00000000">
              <w:rPr>
                <w:b w:val="1"/>
                <w:color w:val="ffffff"/>
                <w:sz w:val="22"/>
                <w:szCs w:val="22"/>
                <w:rtl w:val="0"/>
              </w:rPr>
              <w:t xml:space="preserve">Intensive</w:t>
            </w:r>
            <w:r w:rsidDel="00000000" w:rsidR="00000000" w:rsidRPr="00000000">
              <w:rPr>
                <w:color w:val="ffffff"/>
                <w:sz w:val="22"/>
                <w:szCs w:val="22"/>
                <w:rtl w:val="0"/>
              </w:rPr>
              <w:t xml:space="preserve"> </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9F">
            <w:pPr>
              <w:widowControl w:val="0"/>
              <w:numPr>
                <w:ilvl w:val="0"/>
                <w:numId w:val="4"/>
              </w:numPr>
              <w:spacing w:line="240" w:lineRule="auto"/>
              <w:ind w:left="720" w:hanging="360"/>
              <w:rPr>
                <w:sz w:val="22"/>
                <w:szCs w:val="22"/>
              </w:rPr>
            </w:pPr>
            <w:hyperlink r:id="rId22">
              <w:r w:rsidDel="00000000" w:rsidR="00000000" w:rsidRPr="00000000">
                <w:rPr>
                  <w:color w:val="1155cc"/>
                  <w:sz w:val="22"/>
                  <w:szCs w:val="22"/>
                  <w:u w:val="single"/>
                  <w:rtl w:val="0"/>
                </w:rPr>
                <w:t xml:space="preserve">IDOE Technical Assistance Request Form</w:t>
              </w:r>
            </w:hyperlink>
            <w:r w:rsidDel="00000000" w:rsidR="00000000" w:rsidRPr="00000000">
              <w:rPr>
                <w:rtl w:val="0"/>
              </w:rPr>
            </w:r>
          </w:p>
        </w:tc>
      </w:tr>
    </w:tbl>
    <w:p w:rsidR="00000000" w:rsidDel="00000000" w:rsidP="00000000" w:rsidRDefault="00000000" w:rsidRPr="00000000" w14:paraId="000000A0">
      <w:pPr>
        <w:rPr>
          <w:sz w:val="22"/>
          <w:szCs w:val="22"/>
        </w:rPr>
      </w:pPr>
      <w:r w:rsidDel="00000000" w:rsidR="00000000" w:rsidRPr="00000000">
        <w:rPr>
          <w:rtl w:val="0"/>
        </w:rPr>
      </w:r>
    </w:p>
    <w:p w:rsidR="00000000" w:rsidDel="00000000" w:rsidP="00000000" w:rsidRDefault="00000000" w:rsidRPr="00000000" w14:paraId="000000A1">
      <w:pPr>
        <w:rPr>
          <w:sz w:val="22"/>
          <w:szCs w:val="22"/>
        </w:rPr>
      </w:pPr>
      <w:r w:rsidDel="00000000" w:rsidR="00000000" w:rsidRPr="00000000">
        <w:rPr>
          <w:sz w:val="22"/>
          <w:szCs w:val="22"/>
          <w:rtl w:val="0"/>
        </w:rPr>
        <w:t xml:space="preserve">Contact </w:t>
      </w:r>
      <w:r w:rsidDel="00000000" w:rsidR="00000000" w:rsidRPr="00000000">
        <w:rPr>
          <w:sz w:val="22"/>
          <w:szCs w:val="22"/>
          <w:rtl w:val="0"/>
        </w:rPr>
        <w:t xml:space="preserve">IDOE’s</w:t>
      </w:r>
      <w:r w:rsidDel="00000000" w:rsidR="00000000" w:rsidRPr="00000000">
        <w:rPr>
          <w:sz w:val="22"/>
          <w:szCs w:val="22"/>
          <w:rtl w:val="0"/>
        </w:rPr>
        <w:t xml:space="preserve"> </w:t>
      </w:r>
      <w:hyperlink r:id="rId23">
        <w:r w:rsidDel="00000000" w:rsidR="00000000" w:rsidRPr="00000000">
          <w:rPr>
            <w:color w:val="1155cc"/>
            <w:sz w:val="22"/>
            <w:szCs w:val="22"/>
            <w:u w:val="single"/>
            <w:rtl w:val="0"/>
          </w:rPr>
          <w:t xml:space="preserve">Office of Special Education</w:t>
        </w:r>
      </w:hyperlink>
      <w:r w:rsidDel="00000000" w:rsidR="00000000" w:rsidRPr="00000000">
        <w:rPr>
          <w:sz w:val="22"/>
          <w:szCs w:val="22"/>
          <w:rtl w:val="0"/>
        </w:rPr>
        <w:t xml:space="preserve"> for additional support.</w:t>
      </w:r>
    </w:p>
    <w:p w:rsidR="00000000" w:rsidDel="00000000" w:rsidP="00000000" w:rsidRDefault="00000000" w:rsidRPr="00000000" w14:paraId="000000A2">
      <w:pPr>
        <w:rPr>
          <w:sz w:val="22"/>
          <w:szCs w:val="22"/>
        </w:rPr>
      </w:pPr>
      <w:r w:rsidDel="00000000" w:rsidR="00000000" w:rsidRPr="00000000">
        <w:rPr>
          <w:rtl w:val="0"/>
        </w:rPr>
      </w:r>
    </w:p>
    <w:p w:rsidR="00000000" w:rsidDel="00000000" w:rsidP="00000000" w:rsidRDefault="00000000" w:rsidRPr="00000000" w14:paraId="000000A3">
      <w:pPr>
        <w:spacing w:after="240" w:before="240" w:lineRule="auto"/>
        <w:rPr/>
      </w:pPr>
      <w:r w:rsidDel="00000000" w:rsidR="00000000" w:rsidRPr="00000000">
        <w:rPr>
          <w:rtl w:val="0"/>
        </w:rPr>
      </w:r>
    </w:p>
    <w:p w:rsidR="00000000" w:rsidDel="00000000" w:rsidP="00000000" w:rsidRDefault="00000000" w:rsidRPr="00000000" w14:paraId="000000A4">
      <w:pPr>
        <w:spacing w:after="240" w:before="240" w:lineRule="auto"/>
        <w:rPr/>
      </w:pPr>
      <w:r w:rsidDel="00000000" w:rsidR="00000000" w:rsidRPr="00000000">
        <w:rPr>
          <w:rtl w:val="0"/>
        </w:rPr>
      </w:r>
    </w:p>
    <w:p w:rsidR="00000000" w:rsidDel="00000000" w:rsidP="00000000" w:rsidRDefault="00000000" w:rsidRPr="00000000" w14:paraId="000000A5">
      <w:pPr>
        <w:spacing w:after="240" w:before="240" w:lineRule="auto"/>
        <w:rPr/>
      </w:pPr>
      <w:r w:rsidDel="00000000" w:rsidR="00000000" w:rsidRPr="00000000">
        <w:rPr>
          <w:rtl w:val="0"/>
        </w:rPr>
      </w:r>
    </w:p>
    <w:p w:rsidR="00000000" w:rsidDel="00000000" w:rsidP="00000000" w:rsidRDefault="00000000" w:rsidRPr="00000000" w14:paraId="000000A6">
      <w:pPr>
        <w:spacing w:after="240" w:before="240" w:lineRule="auto"/>
        <w:rPr/>
      </w:pPr>
      <w:r w:rsidDel="00000000" w:rsidR="00000000" w:rsidRPr="00000000">
        <w:rPr>
          <w:rtl w:val="0"/>
        </w:rPr>
      </w:r>
    </w:p>
    <w:p w:rsidR="00000000" w:rsidDel="00000000" w:rsidP="00000000" w:rsidRDefault="00000000" w:rsidRPr="00000000" w14:paraId="000000A7">
      <w:pPr>
        <w:spacing w:after="240" w:before="240" w:line="480" w:lineRule="auto"/>
        <w:rPr>
          <w:sz w:val="24"/>
          <w:szCs w:val="24"/>
        </w:rPr>
      </w:pPr>
      <w:r w:rsidDel="00000000" w:rsidR="00000000" w:rsidRPr="00000000">
        <w:rPr>
          <w:rtl w:val="0"/>
        </w:rPr>
      </w:r>
    </w:p>
    <w:sectPr>
      <w:headerReference r:id="rId24" w:type="default"/>
      <w:headerReference r:id="rId25" w:type="first"/>
      <w:footerReference r:id="rId26" w:type="default"/>
      <w:footerReference r:id="rId27" w:type="first"/>
      <w:pgSz w:h="15840" w:w="12240" w:orient="portrait"/>
      <w:pgMar w:bottom="1440" w:top="0" w:left="1440" w:right="990" w:header="720" w:footer="0"/>
      <w:pgNumType w:start="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9">
    <w:pPr>
      <w:pageBreakBefore w:val="0"/>
      <w:ind w:right="-1440"/>
      <w:jc w:val="left"/>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-857249</wp:posOffset>
          </wp:positionH>
          <wp:positionV relativeFrom="paragraph">
            <wp:posOffset>-638174</wp:posOffset>
          </wp:positionV>
          <wp:extent cx="7515225" cy="632033"/>
          <wp:effectExtent b="0" l="0" r="0" t="0"/>
          <wp:wrapSquare wrapText="bothSides" distB="0" distT="0" distL="0" distR="0"/>
          <wp:docPr id="7" name="image2.png"/>
          <a:graphic>
            <a:graphicData uri="http://schemas.openxmlformats.org/drawingml/2006/picture">
              <pic:pic>
                <pic:nvPicPr>
                  <pic:cNvPr id="0" name="image2.png"/>
                  <pic:cNvPicPr preferRelativeResize="0"/>
                </pic:nvPicPr>
                <pic:blipFill>
                  <a:blip r:embed="rId1"/>
                  <a:srcRect b="20558" l="0" r="0" t="19198"/>
                  <a:stretch>
                    <a:fillRect/>
                  </a:stretch>
                </pic:blipFill>
                <pic:spPr>
                  <a:xfrm>
                    <a:off x="0" y="0"/>
                    <a:ext cx="7515225" cy="632033"/>
                  </a:xfrm>
                  <a:prstGeom prst="rect"/>
                  <a:ln/>
                </pic:spPr>
              </pic:pic>
            </a:graphicData>
          </a:graphic>
        </wp:anchor>
      </w:drawing>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A">
    <w:pPr>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AB">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LEAs found to be noncompliant with meeting timelines for First Steps’ transitions during the official data collection period (July-June of each school year) undergo an audit of their First Steps transitions conducted between July and October of the subsequent school year. </w:t>
      </w:r>
    </w:p>
  </w:footnote>
  <w:footnote w:id="1">
    <w:p w:rsidR="00000000" w:rsidDel="00000000" w:rsidP="00000000" w:rsidRDefault="00000000" w:rsidRPr="00000000" w14:paraId="000000AC">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LEAs that continue to have noncompliance after the fall audit will undergo an audit in the spring of the same school year as the subsequent audit took place in the fall. First Steps’ transitions conducted between January and April are monitored. </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8">
    <w:pPr>
      <w:spacing w:after="240" w:lineRule="auto"/>
      <w:rPr>
        <w:sz w:val="22"/>
        <w:szCs w:val="22"/>
      </w:rPr>
    </w:pPr>
    <w:r w:rsidDel="00000000" w:rsidR="00000000" w:rsidRPr="00000000">
      <w:rPr>
        <w:color w:val="0e101a"/>
        <w:sz w:val="20"/>
        <w:szCs w:val="20"/>
        <w:rtl w:val="0"/>
      </w:rPr>
      <w:t xml:space="preserve">Indicator 12 Monitoring and Compliance Guide</w:t>
      <w:tab/>
      <w:tab/>
      <w:tab/>
      <w:t xml:space="preserve">Indiana Department of Education</w:t>
    </w:r>
    <w:r w:rsidDel="00000000" w:rsidR="00000000" w:rsidRPr="00000000">
      <w:rPr>
        <w:rtl w:val="0"/>
      </w:rPr>
      <w:t xml:space="preserve">        </w:t>
    </w:r>
    <w:r w:rsidDel="00000000" w:rsidR="00000000" w:rsidRPr="00000000">
      <w:rPr>
        <w:sz w:val="22"/>
        <w:szCs w:val="22"/>
      </w:rPr>
      <w:fldChar w:fldCharType="begin"/>
      <w:instrText xml:space="preserve">PAGE</w:instrText>
      <w:fldChar w:fldCharType="separate"/>
      <w:fldChar w:fldCharType="end"/>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D">
    <w:pPr>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-923924</wp:posOffset>
          </wp:positionH>
          <wp:positionV relativeFrom="paragraph">
            <wp:posOffset>-457199</wp:posOffset>
          </wp:positionV>
          <wp:extent cx="7815263" cy="10108658"/>
          <wp:effectExtent b="0" l="0" r="0" t="0"/>
          <wp:wrapSquare wrapText="bothSides" distB="0" distT="0" distL="0" distR="0"/>
          <wp:docPr id="4" name="image7.png"/>
          <a:graphic>
            <a:graphicData uri="http://schemas.openxmlformats.org/drawingml/2006/picture">
              <pic:pic>
                <pic:nvPicPr>
                  <pic:cNvPr id="0" name="image7.png"/>
                  <pic:cNvPicPr preferRelativeResize="0"/>
                </pic:nvPicPr>
                <pic:blipFill>
                  <a:blip r:embed="rId1"/>
                  <a:srcRect b="0" l="0" r="0" t="0"/>
                  <a:stretch>
                    <a:fillRect/>
                  </a:stretch>
                </pic:blipFill>
                <pic:spPr>
                  <a:xfrm>
                    <a:off x="0" y="0"/>
                    <a:ext cx="7815263" cy="1010865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4"/>
        <w:szCs w:val="24"/>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line="360" w:lineRule="auto"/>
    </w:pPr>
    <w:rPr>
      <w:b w:val="1"/>
      <w:color w:val="151e49"/>
      <w:sz w:val="28"/>
      <w:szCs w:val="28"/>
    </w:rPr>
  </w:style>
  <w:style w:type="paragraph" w:styleId="Heading2">
    <w:name w:val="heading 2"/>
    <w:basedOn w:val="Normal"/>
    <w:next w:val="Normal"/>
    <w:pPr>
      <w:keepNext w:val="1"/>
      <w:keepLines w:val="1"/>
      <w:spacing w:line="360" w:lineRule="auto"/>
    </w:pPr>
    <w:rPr>
      <w:b w:val="1"/>
      <w:sz w:val="24"/>
      <w:szCs w:val="24"/>
    </w:rPr>
  </w:style>
  <w:style w:type="paragraph" w:styleId="Heading3">
    <w:name w:val="heading 3"/>
    <w:basedOn w:val="Normal"/>
    <w:next w:val="Normal"/>
    <w:pPr>
      <w:keepNext w:val="1"/>
      <w:keepLines w:val="1"/>
      <w:spacing w:line="360" w:lineRule="auto"/>
    </w:pPr>
    <w:rPr>
      <w:i w:val="1"/>
      <w:sz w:val="24"/>
      <w:szCs w:val="24"/>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rPr>
      <w:sz w:val="22"/>
      <w:szCs w:val="22"/>
    </w:rPr>
    <w:tblPr>
      <w:tblStyleRowBandSize w:val="1"/>
      <w:tblStyleColBandSize w:val="1"/>
      <w:tblCellMar>
        <w:top w:w="0.0" w:type="dxa"/>
        <w:left w:w="108.0" w:type="dxa"/>
        <w:bottom w:w="0.0" w:type="dxa"/>
        <w:right w:w="108.0" w:type="dxa"/>
      </w:tblCellMar>
    </w:tblPr>
  </w:style>
  <w:style w:type="table" w:styleId="Table3">
    <w:basedOn w:val="TableNormal"/>
    <w:rPr>
      <w:sz w:val="22"/>
      <w:szCs w:val="22"/>
    </w:rPr>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iepta.org/index.php/workshops-events/free-events/catalog-workshops/what-administrators-need-to-know-about-special-education" TargetMode="External"/><Relationship Id="rId22" Type="http://schemas.openxmlformats.org/officeDocument/2006/relationships/hyperlink" Target="https://form.jotform.com/220124617342950" TargetMode="External"/><Relationship Id="rId21" Type="http://schemas.openxmlformats.org/officeDocument/2006/relationships/hyperlink" Target="https://www.in.gov/doe/files/Spread-the-Word_-Part-C-to-Part-B-Transition.pdf" TargetMode="External"/><Relationship Id="rId24" Type="http://schemas.openxmlformats.org/officeDocument/2006/relationships/header" Target="header1.xml"/><Relationship Id="rId23" Type="http://schemas.openxmlformats.org/officeDocument/2006/relationships/hyperlink" Target="mailto:osemonitoring@doe.in.gov"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5.png"/><Relationship Id="rId26" Type="http://schemas.openxmlformats.org/officeDocument/2006/relationships/footer" Target="footer1.xml"/><Relationship Id="rId25" Type="http://schemas.openxmlformats.org/officeDocument/2006/relationships/header" Target="header2.xml"/><Relationship Id="rId27" Type="http://schemas.openxmlformats.org/officeDocument/2006/relationships/footer" Target="footer2.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1.png"/><Relationship Id="rId8" Type="http://schemas.openxmlformats.org/officeDocument/2006/relationships/hyperlink" Target="https://docs.google.com/document/d/15q2LSCpLGqrcm3VcSZrGl-MY2n6xRrg5Uyo1RyQTg6U/edit#heading=h.zb3biqgin3sw" TargetMode="External"/><Relationship Id="rId11" Type="http://schemas.openxmlformats.org/officeDocument/2006/relationships/image" Target="media/image6.png"/><Relationship Id="rId10" Type="http://schemas.openxmlformats.org/officeDocument/2006/relationships/image" Target="media/image9.png"/><Relationship Id="rId13" Type="http://schemas.openxmlformats.org/officeDocument/2006/relationships/image" Target="media/image4.png"/><Relationship Id="rId12" Type="http://schemas.openxmlformats.org/officeDocument/2006/relationships/image" Target="media/image3.png"/><Relationship Id="rId15" Type="http://schemas.openxmlformats.org/officeDocument/2006/relationships/image" Target="media/image10.png"/><Relationship Id="rId14" Type="http://schemas.openxmlformats.org/officeDocument/2006/relationships/image" Target="media/image12.png"/><Relationship Id="rId17" Type="http://schemas.openxmlformats.org/officeDocument/2006/relationships/hyperlink" Target="https://www.in.gov/doe/files/TA-Overview-and-Process.pdf" TargetMode="External"/><Relationship Id="rId16" Type="http://schemas.openxmlformats.org/officeDocument/2006/relationships/image" Target="media/image8.png"/><Relationship Id="rId19" Type="http://schemas.openxmlformats.org/officeDocument/2006/relationships/hyperlink" Target="https://www.iepta.org/index.php/statewide-conference-info" TargetMode="External"/><Relationship Id="rId18" Type="http://schemas.openxmlformats.org/officeDocument/2006/relationships/hyperlink" Target="https://form.jotform.com/22012461734295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