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1F0CC" w14:textId="2E101982" w:rsidR="006746F8" w:rsidRPr="005B4F73" w:rsidRDefault="00E46424"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Arial Narrow" w:eastAsiaTheme="majorEastAsia" w:hAnsi="Arial Narrow" w:cstheme="majorBidi"/>
          <w:caps/>
          <w:color w:val="182853"/>
          <w:spacing w:val="5"/>
          <w:sz w:val="72"/>
          <w:szCs w:val="52"/>
        </w:rPr>
      </w:pPr>
      <w:r w:rsidRPr="005B4F73">
        <w:rPr>
          <w:rFonts w:ascii="Arial Narrow" w:eastAsiaTheme="majorEastAsia" w:hAnsi="Arial Narrow" w:cstheme="majorBidi"/>
          <w:bCs w:val="0"/>
          <w:caps/>
          <w:color w:val="182853"/>
          <w:spacing w:val="5"/>
          <w:sz w:val="72"/>
          <w:szCs w:val="52"/>
        </w:rPr>
        <w:t>Integrated Preparedness Plan</w:t>
      </w:r>
      <w:r w:rsidR="009D7163" w:rsidRPr="005B4F73">
        <w:rPr>
          <w:rFonts w:ascii="Arial Narrow" w:eastAsiaTheme="majorEastAsia" w:hAnsi="Arial Narrow" w:cstheme="majorBidi"/>
          <w:bCs w:val="0"/>
          <w:caps/>
          <w:color w:val="182853"/>
          <w:spacing w:val="5"/>
          <w:sz w:val="72"/>
          <w:szCs w:val="52"/>
        </w:rPr>
        <w:t>ning Workshop Guide</w:t>
      </w:r>
      <w:r w:rsidRPr="005B4F73">
        <w:rPr>
          <w:rFonts w:ascii="Arial Narrow" w:eastAsiaTheme="majorEastAsia" w:hAnsi="Arial Narrow" w:cstheme="majorBidi"/>
          <w:bCs w:val="0"/>
          <w:caps/>
          <w:color w:val="182853"/>
          <w:spacing w:val="5"/>
          <w:sz w:val="72"/>
          <w:szCs w:val="52"/>
        </w:rPr>
        <w:t xml:space="preserve"> </w:t>
      </w:r>
    </w:p>
    <w:p w14:paraId="2377B046" w14:textId="00B10274" w:rsidR="006746F8" w:rsidRPr="00FB4D1B" w:rsidRDefault="009D7163" w:rsidP="009D7163">
      <w:pPr>
        <w:widowControl w:val="0"/>
        <w:autoSpaceDE w:val="0"/>
        <w:autoSpaceDN w:val="0"/>
        <w:adjustRightInd w:val="0"/>
        <w:spacing w:before="120"/>
        <w:rPr>
          <w:rFonts w:cs="Arial"/>
        </w:rPr>
        <w:sectPr w:rsidR="006746F8" w:rsidRPr="00FB4D1B" w:rsidSect="00A40CCA">
          <w:headerReference w:type="default" r:id="rId11"/>
          <w:footerReference w:type="default" r:id="rId12"/>
          <w:pgSz w:w="12240" w:h="15840" w:code="1"/>
          <w:pgMar w:top="1440" w:right="1440" w:bottom="1440" w:left="1440" w:header="72" w:footer="942" w:gutter="0"/>
          <w:pgNumType w:fmt="lowerRoman" w:start="3"/>
          <w:cols w:space="720"/>
          <w:docGrid w:linePitch="360"/>
        </w:sectPr>
      </w:pPr>
      <w:r w:rsidRPr="009D7163">
        <w:rPr>
          <w:rFonts w:cs="Arial"/>
        </w:rPr>
        <w:t>The Integrated Preparedness Planning Workshop (IPPW) Guide provides guidance to jurisdictions/organizations in conducting an Integrated Preparedness Planning Workshop that is designed to assist in identifying threats, hazards, and risks; developing preparedness priorities for addressing those risks; and utilizing the integrated preparedness cycle to build, sustain and deliver capabilities aligned with the preparedness priorities through the use of a multi-year schedule of preparedness activities</w:t>
      </w:r>
      <w:r>
        <w:rPr>
          <w:rFonts w:cs="Arial"/>
        </w:rPr>
        <w:t>.</w:t>
      </w:r>
    </w:p>
    <w:p w14:paraId="41B232BD" w14:textId="229BE4F9" w:rsidR="006746F8" w:rsidRDefault="00A67DEF" w:rsidP="006746F8">
      <w:pPr>
        <w:pStyle w:val="Heading1"/>
      </w:pPr>
      <w:r w:rsidRPr="00A67DEF">
        <w:lastRenderedPageBreak/>
        <w:t>OVERVIEW</w:t>
      </w:r>
    </w:p>
    <w:p w14:paraId="28CFA4AD" w14:textId="3B50CD0F" w:rsidR="00417F25" w:rsidRPr="00417F25" w:rsidRDefault="00417F25" w:rsidP="00763491">
      <w:pPr>
        <w:pStyle w:val="BodyText"/>
        <w:spacing w:line="276" w:lineRule="auto"/>
      </w:pPr>
      <w:r w:rsidRPr="00417F25">
        <w:t xml:space="preserve">The creation of an effective capabilities-based preparedness program begins with an Integrated Preparedness Plan (IPP) which establishes overall preparedness priorities and outlines a multi-year schedule of preparedness activities designed to address those priorities and validate capabilities. The Integrated Preparedness Planning Workshop (IPPW) provides an interactive forum for </w:t>
      </w:r>
      <w:r w:rsidR="00E6322E">
        <w:t>w</w:t>
      </w:r>
      <w:r w:rsidRPr="00417F25">
        <w:t xml:space="preserve">hole </w:t>
      </w:r>
      <w:r w:rsidR="00E6322E">
        <w:t>c</w:t>
      </w:r>
      <w:r w:rsidRPr="00417F25">
        <w:t xml:space="preserve">ommunity stakeholders to engage in the creation of the IPP. The IPPW also serves to coordinate preparedness activities across organizations </w:t>
      </w:r>
      <w:proofErr w:type="gramStart"/>
      <w:r w:rsidRPr="00417F25">
        <w:t>in order to</w:t>
      </w:r>
      <w:proofErr w:type="gramEnd"/>
      <w:r w:rsidRPr="00417F25">
        <w:t xml:space="preserve"> maximize the use of resources and prevent duplication of effort. </w:t>
      </w:r>
    </w:p>
    <w:p w14:paraId="40ED5405" w14:textId="570785A1" w:rsidR="00417F25" w:rsidRPr="00417F25" w:rsidRDefault="00417F25" w:rsidP="00763491">
      <w:pPr>
        <w:pStyle w:val="BodyText"/>
        <w:spacing w:line="276" w:lineRule="auto"/>
      </w:pPr>
      <w:r w:rsidRPr="00417F25">
        <w:t>At the end of the IPPW, program managers will have a clear understanding of specific multi-year preparedness priorities and any available information on previously planned preparedness activities that align to those priorities. Once the preparedness priorities are outlined, stakeholders develop the multi-year Integrated Preparedness Plan (IPP).</w:t>
      </w:r>
    </w:p>
    <w:p w14:paraId="6BBD0F1E" w14:textId="5357DCA5" w:rsidR="00417F25" w:rsidRPr="00417F25" w:rsidRDefault="00417F25" w:rsidP="00763491">
      <w:pPr>
        <w:pStyle w:val="BodyText"/>
        <w:spacing w:line="276" w:lineRule="auto"/>
      </w:pPr>
      <w:r w:rsidRPr="00417F25">
        <w:t xml:space="preserve">This IPPW </w:t>
      </w:r>
      <w:r w:rsidR="006D6950">
        <w:t>u</w:t>
      </w:r>
      <w:r w:rsidRPr="00417F25">
        <w:t xml:space="preserve">ser </w:t>
      </w:r>
      <w:r w:rsidR="006D6950">
        <w:t>g</w:t>
      </w:r>
      <w:r w:rsidRPr="00417F25">
        <w:t>uide provides guidance for jurisdictions/organizations conducting an IPPW and includes sample documents and relevant reference material.</w:t>
      </w:r>
    </w:p>
    <w:tbl>
      <w:tblPr>
        <w:tblStyle w:val="TableGrid"/>
        <w:tblW w:w="17764"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2074"/>
        <w:gridCol w:w="7845"/>
        <w:gridCol w:w="7845"/>
      </w:tblGrid>
      <w:tr w:rsidR="00557586" w:rsidRPr="00FB4D1B" w14:paraId="27AD5D45" w14:textId="0A8F459E" w:rsidTr="00557586">
        <w:trPr>
          <w:trHeight w:val="404"/>
        </w:trPr>
        <w:tc>
          <w:tcPr>
            <w:tcW w:w="2074" w:type="dxa"/>
            <w:vAlign w:val="center"/>
          </w:tcPr>
          <w:p w14:paraId="605A0262" w14:textId="0594EF9E" w:rsidR="00557586" w:rsidRPr="00FB4D1B" w:rsidRDefault="00557586" w:rsidP="00417F25">
            <w:pPr>
              <w:spacing w:after="200" w:line="276" w:lineRule="auto"/>
              <w:rPr>
                <w:rFonts w:cs="Arial"/>
                <w:b/>
                <w:color w:val="FFFFFF" w:themeColor="background1"/>
                <w:szCs w:val="20"/>
              </w:rPr>
            </w:pPr>
          </w:p>
        </w:tc>
        <w:tc>
          <w:tcPr>
            <w:tcW w:w="7845" w:type="dxa"/>
            <w:vAlign w:val="center"/>
          </w:tcPr>
          <w:p w14:paraId="781A654E" w14:textId="12CA3DFA" w:rsidR="00557586" w:rsidRPr="00FB4D1B" w:rsidRDefault="00557586" w:rsidP="00192387">
            <w:pPr>
              <w:rPr>
                <w:rFonts w:cs="Arial"/>
                <w:szCs w:val="20"/>
                <w:highlight w:val="lightGray"/>
              </w:rPr>
            </w:pPr>
          </w:p>
        </w:tc>
        <w:tc>
          <w:tcPr>
            <w:tcW w:w="7845" w:type="dxa"/>
          </w:tcPr>
          <w:p w14:paraId="356E6E81" w14:textId="77777777" w:rsidR="00557586" w:rsidRPr="00FB4D1B" w:rsidRDefault="00557586" w:rsidP="00192387">
            <w:pPr>
              <w:rPr>
                <w:rFonts w:cs="Arial"/>
                <w:szCs w:val="20"/>
                <w:highlight w:val="lightGray"/>
              </w:rPr>
            </w:pPr>
          </w:p>
        </w:tc>
      </w:tr>
    </w:tbl>
    <w:p w14:paraId="30C962D6" w14:textId="77777777" w:rsidR="006746F8" w:rsidRPr="00B51EF7" w:rsidRDefault="006746F8" w:rsidP="006746F8">
      <w:pPr>
        <w:pStyle w:val="BodyText"/>
        <w:sectPr w:rsidR="006746F8" w:rsidRPr="00B51EF7" w:rsidSect="002068B5">
          <w:headerReference w:type="default" r:id="rId13"/>
          <w:footerReference w:type="default" r:id="rId14"/>
          <w:pgSz w:w="12240" w:h="15840" w:code="1"/>
          <w:pgMar w:top="1440" w:right="1440" w:bottom="1440" w:left="1440" w:header="432" w:footer="432" w:gutter="0"/>
          <w:pgNumType w:fmt="lowerRoman" w:start="1"/>
          <w:cols w:space="720"/>
          <w:docGrid w:linePitch="360"/>
        </w:sectPr>
      </w:pPr>
    </w:p>
    <w:p w14:paraId="1F2438C8" w14:textId="43B4BBFA" w:rsidR="00A92347" w:rsidRDefault="00417F25" w:rsidP="00804DA6">
      <w:pPr>
        <w:pStyle w:val="Heading2"/>
      </w:pPr>
      <w:bookmarkStart w:id="0" w:name="_Toc336197853"/>
      <w:bookmarkStart w:id="1" w:name="_Toc336426625"/>
      <w:r>
        <w:lastRenderedPageBreak/>
        <w:t>Executive Summary</w:t>
      </w:r>
    </w:p>
    <w:p w14:paraId="1311174B" w14:textId="4A22BC6D" w:rsidR="008B09E9" w:rsidRPr="008B09E9" w:rsidRDefault="00417F25" w:rsidP="00763491">
      <w:pPr>
        <w:spacing w:line="276" w:lineRule="auto"/>
      </w:pPr>
      <w:r>
        <w:t xml:space="preserve">The </w:t>
      </w:r>
      <w:r w:rsidR="006D6950">
        <w:t>e</w:t>
      </w:r>
      <w:r>
        <w:t xml:space="preserve">xecutive </w:t>
      </w:r>
      <w:r w:rsidR="006D6950">
        <w:t>s</w:t>
      </w:r>
      <w:r>
        <w:t xml:space="preserve">ummary should generally be </w:t>
      </w:r>
      <w:r w:rsidR="006D6950">
        <w:t>one to three</w:t>
      </w:r>
      <w:r>
        <w:t xml:space="preserve"> paragraphs explaining what occurred during the IPPW </w:t>
      </w:r>
      <w:r w:rsidR="006D6950">
        <w:t xml:space="preserve">along </w:t>
      </w:r>
      <w:r>
        <w:t>with strengths</w:t>
      </w:r>
      <w:r w:rsidR="006D6950">
        <w:t xml:space="preserve"> and </w:t>
      </w:r>
      <w:r>
        <w:t xml:space="preserve">areas of improvement. </w:t>
      </w:r>
      <w:r w:rsidR="002068B5">
        <w:t>An executive summary is an overall summary of the exercise and the topics discussed.</w:t>
      </w:r>
    </w:p>
    <w:p w14:paraId="678A6243" w14:textId="1A288287" w:rsidR="00804DA6" w:rsidRPr="00A67DEF" w:rsidRDefault="00192387" w:rsidP="00804DA6">
      <w:pPr>
        <w:pStyle w:val="Heading2"/>
      </w:pPr>
      <w:r>
        <w:t>Purpose</w:t>
      </w:r>
    </w:p>
    <w:bookmarkEnd w:id="0"/>
    <w:bookmarkEnd w:id="1"/>
    <w:p w14:paraId="2E1DBD9D" w14:textId="672A2926" w:rsidR="00417F25" w:rsidRDefault="00417F25" w:rsidP="00763491">
      <w:pPr>
        <w:pStyle w:val="BodyText"/>
        <w:spacing w:line="276" w:lineRule="auto"/>
      </w:pPr>
      <w:r>
        <w:t xml:space="preserve">The purpose of the IPPW is to consider the range of preparedness activities within the Integrated Preparedness Cycle and, along with the guidance provided by senior leaders, identify and set preparedness priorities and schedule preparedness activities for the multi-year IPP cycle. </w:t>
      </w:r>
    </w:p>
    <w:p w14:paraId="0455D163" w14:textId="77777777" w:rsidR="00417F25" w:rsidRPr="00463780" w:rsidRDefault="00417F25" w:rsidP="00417F25">
      <w:pPr>
        <w:pStyle w:val="Heading2"/>
      </w:pPr>
      <w:bookmarkStart w:id="2" w:name="_Toc343613176"/>
      <w:bookmarkStart w:id="3" w:name="_Toc242263766"/>
      <w:bookmarkStart w:id="4" w:name="_Toc255226086"/>
      <w:r>
        <w:t>IPPW Conduct</w:t>
      </w:r>
      <w:bookmarkEnd w:id="2"/>
    </w:p>
    <w:p w14:paraId="6B4E6F78" w14:textId="7AD46E7D" w:rsidR="00417F25" w:rsidRDefault="00417F25" w:rsidP="00763491">
      <w:pPr>
        <w:pStyle w:val="BodyText"/>
        <w:spacing w:line="276" w:lineRule="auto"/>
      </w:pPr>
      <w:r w:rsidRPr="005670EB">
        <w:t>At the</w:t>
      </w:r>
      <w:r>
        <w:t xml:space="preserve"> IP</w:t>
      </w:r>
      <w:r w:rsidRPr="005670EB">
        <w:t xml:space="preserve">PW, stakeholders </w:t>
      </w:r>
      <w:r>
        <w:t xml:space="preserve">draw on a jurisdiction’s/organization’s specific threats, hazards, previously identified areas for improvement, current capabilities, external sources and requirements and accreditation standards and regulations to develop or update preparedness priorities. </w:t>
      </w:r>
    </w:p>
    <w:p w14:paraId="3B174AC0" w14:textId="5220E381" w:rsidR="00417F25" w:rsidRPr="009F1E1A" w:rsidRDefault="00417F25" w:rsidP="00763491">
      <w:pPr>
        <w:spacing w:line="276" w:lineRule="auto"/>
        <w:rPr>
          <w:rFonts w:cs="Arial"/>
        </w:rPr>
      </w:pPr>
      <w:r w:rsidRPr="009F1E1A">
        <w:rPr>
          <w:rFonts w:cs="Arial"/>
        </w:rPr>
        <w:t>Once priorities have been set, workshop participants examine preparedness factors throughout each of the Integrated Preparedness Cycle elements of plan</w:t>
      </w:r>
      <w:r w:rsidR="00461CE8">
        <w:rPr>
          <w:rFonts w:cs="Arial"/>
        </w:rPr>
        <w:t>ning</w:t>
      </w:r>
      <w:r w:rsidRPr="009F1E1A">
        <w:rPr>
          <w:rFonts w:cs="Arial"/>
        </w:rPr>
        <w:t>, organiz</w:t>
      </w:r>
      <w:r w:rsidR="00461CE8">
        <w:rPr>
          <w:rFonts w:cs="Arial"/>
        </w:rPr>
        <w:t>ing</w:t>
      </w:r>
      <w:r w:rsidRPr="009F1E1A">
        <w:rPr>
          <w:rFonts w:cs="Arial"/>
        </w:rPr>
        <w:t>/equip</w:t>
      </w:r>
      <w:r w:rsidR="00461CE8">
        <w:rPr>
          <w:rFonts w:cs="Arial"/>
        </w:rPr>
        <w:t>ping</w:t>
      </w:r>
      <w:r w:rsidRPr="009F1E1A">
        <w:rPr>
          <w:rFonts w:cs="Arial"/>
        </w:rPr>
        <w:t>, train</w:t>
      </w:r>
      <w:r w:rsidR="00461CE8">
        <w:rPr>
          <w:rFonts w:cs="Arial"/>
        </w:rPr>
        <w:t>ing</w:t>
      </w:r>
      <w:r w:rsidRPr="009F1E1A">
        <w:rPr>
          <w:rFonts w:cs="Arial"/>
        </w:rPr>
        <w:t>, exercis</w:t>
      </w:r>
      <w:r w:rsidR="00461CE8">
        <w:rPr>
          <w:rFonts w:cs="Arial"/>
        </w:rPr>
        <w:t>ing</w:t>
      </w:r>
      <w:r w:rsidRPr="009F1E1A">
        <w:rPr>
          <w:rFonts w:cs="Arial"/>
        </w:rPr>
        <w:t xml:space="preserve"> and improv</w:t>
      </w:r>
      <w:r w:rsidR="00461CE8">
        <w:rPr>
          <w:rFonts w:cs="Arial"/>
        </w:rPr>
        <w:t>ing in order</w:t>
      </w:r>
      <w:r w:rsidRPr="009F1E1A">
        <w:rPr>
          <w:rFonts w:cs="Arial"/>
        </w:rPr>
        <w:t xml:space="preserve"> to build a comprehensive multi-year schedule of preparedness activities that will serve to build, sustain and deliver the jurisdiction’s/organization’s capabilities aligned with the preparedness priorities.</w:t>
      </w:r>
    </w:p>
    <w:p w14:paraId="079B80D8" w14:textId="77777777" w:rsidR="00417F25" w:rsidRPr="0018366E" w:rsidRDefault="00417F25" w:rsidP="00417F25">
      <w:pPr>
        <w:pStyle w:val="Heading3"/>
      </w:pPr>
      <w:r w:rsidRPr="007E3651">
        <w:t>Identify</w:t>
      </w:r>
      <w:r>
        <w:t xml:space="preserve"> Preparedness Priority Factors</w:t>
      </w:r>
    </w:p>
    <w:p w14:paraId="73AA90D1" w14:textId="52C4A999" w:rsidR="00417F25" w:rsidRDefault="00417F25" w:rsidP="00763491">
      <w:pPr>
        <w:pStyle w:val="BodyText"/>
        <w:spacing w:line="276" w:lineRule="auto"/>
      </w:pPr>
      <w:r>
        <w:t>The cornerstone of an effective preparedness program is a thorough understanding of the threats, hazards and risks facing a jurisdiction/organization. With this understanding, a jurisdiction/organization can then consider other factors which may influence the program’s preparedness priorities.</w:t>
      </w:r>
    </w:p>
    <w:p w14:paraId="7182A486" w14:textId="5DAB3556" w:rsidR="00417F25" w:rsidRDefault="00417F25" w:rsidP="00763491">
      <w:pPr>
        <w:pStyle w:val="BodyText"/>
        <w:spacing w:line="276" w:lineRule="auto"/>
      </w:pPr>
      <w:r>
        <w:t>Workshop participants should have a robust understanding of the jurisdictional/organizational preparedness factors and program requirements listed below:</w:t>
      </w:r>
    </w:p>
    <w:p w14:paraId="4B87523B" w14:textId="0C2A0D85" w:rsidR="00417F25" w:rsidRDefault="00417F25" w:rsidP="00EF451E">
      <w:pPr>
        <w:pStyle w:val="BodyText"/>
        <w:spacing w:line="276" w:lineRule="auto"/>
        <w:rPr>
          <w:rStyle w:val="Strong"/>
        </w:rPr>
      </w:pPr>
      <w:r>
        <w:rPr>
          <w:rStyle w:val="Strong"/>
        </w:rPr>
        <w:t>Threats, Hazards and Risks</w:t>
      </w:r>
    </w:p>
    <w:p w14:paraId="216A7E7F" w14:textId="77777777" w:rsidR="00417F25" w:rsidRPr="00524486" w:rsidRDefault="00417F25" w:rsidP="00EF451E">
      <w:pPr>
        <w:pStyle w:val="ListBullet2"/>
        <w:numPr>
          <w:ilvl w:val="0"/>
          <w:numId w:val="6"/>
        </w:numPr>
        <w:spacing w:before="60" w:after="60" w:line="276" w:lineRule="auto"/>
        <w:contextualSpacing w:val="0"/>
      </w:pPr>
      <w:r w:rsidRPr="00524486">
        <w:t>National threats and hazards</w:t>
      </w:r>
    </w:p>
    <w:p w14:paraId="0D83988B" w14:textId="77777777" w:rsidR="00417F25" w:rsidRPr="00524486" w:rsidRDefault="00417F25" w:rsidP="00EF451E">
      <w:pPr>
        <w:pStyle w:val="ListBullet2"/>
        <w:numPr>
          <w:ilvl w:val="0"/>
          <w:numId w:val="6"/>
        </w:numPr>
        <w:spacing w:before="60" w:after="60" w:line="276" w:lineRule="auto"/>
        <w:contextualSpacing w:val="0"/>
      </w:pPr>
      <w:r>
        <w:t>Jurisdictional/O</w:t>
      </w:r>
      <w:r w:rsidRPr="00524486">
        <w:t xml:space="preserve">rganizational threats and </w:t>
      </w:r>
      <w:proofErr w:type="gramStart"/>
      <w:r w:rsidRPr="00524486">
        <w:t>hazards</w:t>
      </w:r>
      <w:r>
        <w:t>;</w:t>
      </w:r>
      <w:proofErr w:type="gramEnd"/>
    </w:p>
    <w:p w14:paraId="0C7FCE23" w14:textId="0E647EDC" w:rsidR="00417F25" w:rsidRPr="00524486" w:rsidRDefault="00417F25" w:rsidP="00EF451E">
      <w:pPr>
        <w:pStyle w:val="ListBullet2"/>
        <w:numPr>
          <w:ilvl w:val="0"/>
          <w:numId w:val="6"/>
        </w:numPr>
        <w:spacing w:before="60" w:after="60" w:line="276" w:lineRule="auto"/>
        <w:contextualSpacing w:val="0"/>
      </w:pPr>
      <w:r w:rsidRPr="00524486">
        <w:t xml:space="preserve">Threat and </w:t>
      </w:r>
      <w:r w:rsidR="001945AA">
        <w:t>h</w:t>
      </w:r>
      <w:r w:rsidRPr="00524486">
        <w:t xml:space="preserve">azard </w:t>
      </w:r>
      <w:r w:rsidR="001945AA">
        <w:t>i</w:t>
      </w:r>
      <w:r w:rsidRPr="00524486">
        <w:t xml:space="preserve">dentification and </w:t>
      </w:r>
      <w:r w:rsidR="001945AA">
        <w:t>r</w:t>
      </w:r>
      <w:r w:rsidRPr="00524486">
        <w:t xml:space="preserve">isk </w:t>
      </w:r>
      <w:r w:rsidR="001945AA">
        <w:t>a</w:t>
      </w:r>
      <w:r w:rsidRPr="00524486">
        <w:t>ssessment (THIRA</w:t>
      </w:r>
      <w:proofErr w:type="gramStart"/>
      <w:r w:rsidRPr="00524486">
        <w:t>)</w:t>
      </w:r>
      <w:r>
        <w:t>;</w:t>
      </w:r>
      <w:proofErr w:type="gramEnd"/>
    </w:p>
    <w:p w14:paraId="1E13CCB0" w14:textId="77777777" w:rsidR="00417F25" w:rsidRPr="00524486" w:rsidRDefault="00417F25" w:rsidP="00EF451E">
      <w:pPr>
        <w:pStyle w:val="ListBullet2"/>
        <w:numPr>
          <w:ilvl w:val="0"/>
          <w:numId w:val="6"/>
        </w:numPr>
        <w:spacing w:before="60" w:after="60" w:line="276" w:lineRule="auto"/>
        <w:contextualSpacing w:val="0"/>
      </w:pPr>
      <w:r w:rsidRPr="00524486">
        <w:t>Local risk assessments</w:t>
      </w:r>
      <w:r>
        <w:t>;</w:t>
      </w:r>
      <w:r w:rsidRPr="00524486">
        <w:t xml:space="preserve"> and</w:t>
      </w:r>
    </w:p>
    <w:p w14:paraId="78A049B6" w14:textId="77777777" w:rsidR="00417F25" w:rsidRDefault="00417F25" w:rsidP="00EF451E">
      <w:pPr>
        <w:pStyle w:val="ListBullet2"/>
        <w:numPr>
          <w:ilvl w:val="0"/>
          <w:numId w:val="6"/>
        </w:numPr>
        <w:spacing w:before="60" w:after="60" w:line="276" w:lineRule="auto"/>
        <w:contextualSpacing w:val="0"/>
      </w:pPr>
      <w:r w:rsidRPr="00524486">
        <w:lastRenderedPageBreak/>
        <w:t>Hazard vulnerability analysis.</w:t>
      </w:r>
    </w:p>
    <w:p w14:paraId="3838B9C9" w14:textId="77777777" w:rsidR="00417F25" w:rsidRPr="003A67C0" w:rsidRDefault="00417F25" w:rsidP="00EF451E">
      <w:pPr>
        <w:pStyle w:val="ListBullet2"/>
        <w:numPr>
          <w:ilvl w:val="0"/>
          <w:numId w:val="0"/>
        </w:numPr>
        <w:spacing w:line="276" w:lineRule="auto"/>
      </w:pPr>
      <w:r>
        <w:rPr>
          <w:b/>
        </w:rPr>
        <w:t xml:space="preserve">Areas for Improvement and Capabilities </w:t>
      </w:r>
    </w:p>
    <w:p w14:paraId="733C38CC" w14:textId="77777777" w:rsidR="00417F25" w:rsidRDefault="00417F25" w:rsidP="00EF451E">
      <w:pPr>
        <w:pStyle w:val="ListBullet2"/>
        <w:numPr>
          <w:ilvl w:val="0"/>
          <w:numId w:val="7"/>
        </w:numPr>
        <w:spacing w:before="60" w:after="60" w:line="276" w:lineRule="auto"/>
        <w:contextualSpacing w:val="0"/>
      </w:pPr>
      <w:r>
        <w:t xml:space="preserve">Areas for improvement and capability assessments previously </w:t>
      </w:r>
      <w:proofErr w:type="gramStart"/>
      <w:r>
        <w:t>identified;</w:t>
      </w:r>
      <w:proofErr w:type="gramEnd"/>
    </w:p>
    <w:p w14:paraId="685BCFB6" w14:textId="77777777" w:rsidR="00417F25" w:rsidRDefault="00417F25" w:rsidP="00EF451E">
      <w:pPr>
        <w:pStyle w:val="ListBullet2"/>
        <w:numPr>
          <w:ilvl w:val="0"/>
          <w:numId w:val="7"/>
        </w:numPr>
        <w:spacing w:before="60" w:after="60" w:line="276" w:lineRule="auto"/>
        <w:contextualSpacing w:val="0"/>
      </w:pPr>
      <w:r>
        <w:t xml:space="preserve">Prioritized corrective </w:t>
      </w:r>
      <w:proofErr w:type="gramStart"/>
      <w:r>
        <w:t>actions;</w:t>
      </w:r>
      <w:proofErr w:type="gramEnd"/>
    </w:p>
    <w:p w14:paraId="253C5EA6" w14:textId="77777777" w:rsidR="00417F25" w:rsidRDefault="00417F25" w:rsidP="00EF451E">
      <w:pPr>
        <w:pStyle w:val="ListBullet2"/>
        <w:numPr>
          <w:ilvl w:val="0"/>
          <w:numId w:val="7"/>
        </w:numPr>
        <w:spacing w:before="60" w:after="60" w:line="276" w:lineRule="auto"/>
        <w:contextualSpacing w:val="0"/>
      </w:pPr>
      <w:r>
        <w:t xml:space="preserve">Newly acquired capabilities and </w:t>
      </w:r>
      <w:proofErr w:type="gramStart"/>
      <w:r>
        <w:t>resources;</w:t>
      </w:r>
      <w:proofErr w:type="gramEnd"/>
    </w:p>
    <w:p w14:paraId="1807BE81" w14:textId="77777777" w:rsidR="00417F25" w:rsidRDefault="00417F25" w:rsidP="00EF451E">
      <w:pPr>
        <w:pStyle w:val="ListBullet2"/>
        <w:numPr>
          <w:ilvl w:val="0"/>
          <w:numId w:val="7"/>
        </w:numPr>
        <w:spacing w:before="60" w:after="60" w:line="276" w:lineRule="auto"/>
        <w:contextualSpacing w:val="0"/>
      </w:pPr>
      <w:r>
        <w:t>Completed corrective actions needing validation through exercises; and</w:t>
      </w:r>
    </w:p>
    <w:p w14:paraId="7C24172D" w14:textId="77777777" w:rsidR="00417F25" w:rsidRDefault="00417F25" w:rsidP="00EF451E">
      <w:pPr>
        <w:pStyle w:val="ListBullet2"/>
        <w:numPr>
          <w:ilvl w:val="0"/>
          <w:numId w:val="7"/>
        </w:numPr>
        <w:spacing w:before="60" w:after="60" w:line="276" w:lineRule="auto"/>
        <w:contextualSpacing w:val="0"/>
      </w:pPr>
      <w:r w:rsidRPr="00524486">
        <w:t xml:space="preserve">Strengths to be shared with other </w:t>
      </w:r>
      <w:r>
        <w:t>jurisdictions/</w:t>
      </w:r>
      <w:r w:rsidRPr="00524486">
        <w:t>organizations</w:t>
      </w:r>
      <w:r>
        <w:t>.</w:t>
      </w:r>
    </w:p>
    <w:p w14:paraId="0F9A2205" w14:textId="77777777" w:rsidR="00417F25" w:rsidRPr="00A5260A" w:rsidRDefault="00417F25" w:rsidP="00EF451E">
      <w:pPr>
        <w:pStyle w:val="ListBullet2"/>
        <w:numPr>
          <w:ilvl w:val="0"/>
          <w:numId w:val="0"/>
        </w:numPr>
        <w:spacing w:line="276" w:lineRule="auto"/>
        <w:rPr>
          <w:b/>
        </w:rPr>
      </w:pPr>
      <w:r w:rsidRPr="00A5260A">
        <w:rPr>
          <w:b/>
        </w:rPr>
        <w:t>External Sources and Requirements</w:t>
      </w:r>
    </w:p>
    <w:p w14:paraId="2717D948" w14:textId="77777777" w:rsidR="00417F25" w:rsidRPr="003A67C0" w:rsidRDefault="00417F25" w:rsidP="00EF451E">
      <w:pPr>
        <w:pStyle w:val="ListBullet2"/>
        <w:numPr>
          <w:ilvl w:val="0"/>
          <w:numId w:val="12"/>
        </w:numPr>
        <w:spacing w:before="60" w:after="60" w:line="276" w:lineRule="auto"/>
        <w:contextualSpacing w:val="0"/>
      </w:pPr>
      <w:r w:rsidRPr="003A67C0">
        <w:t xml:space="preserve">Industry </w:t>
      </w:r>
      <w:proofErr w:type="gramStart"/>
      <w:r w:rsidRPr="003A67C0">
        <w:t>reports;</w:t>
      </w:r>
      <w:proofErr w:type="gramEnd"/>
    </w:p>
    <w:p w14:paraId="58F77339" w14:textId="77777777" w:rsidR="00417F25" w:rsidRPr="003A67C0" w:rsidRDefault="00417F25" w:rsidP="00EF451E">
      <w:pPr>
        <w:pStyle w:val="ListBullet2"/>
        <w:numPr>
          <w:ilvl w:val="0"/>
          <w:numId w:val="12"/>
        </w:numPr>
        <w:spacing w:before="60" w:after="60" w:line="276" w:lineRule="auto"/>
        <w:contextualSpacing w:val="0"/>
      </w:pPr>
      <w:r w:rsidRPr="003A67C0">
        <w:t xml:space="preserve">State or national preparedness </w:t>
      </w:r>
      <w:proofErr w:type="gramStart"/>
      <w:r w:rsidRPr="003A67C0">
        <w:t>reports;</w:t>
      </w:r>
      <w:proofErr w:type="gramEnd"/>
    </w:p>
    <w:p w14:paraId="280C4A45" w14:textId="77777777" w:rsidR="00417F25" w:rsidRPr="003A67C0" w:rsidRDefault="00417F25" w:rsidP="00EF451E">
      <w:pPr>
        <w:pStyle w:val="ListBullet2"/>
        <w:numPr>
          <w:ilvl w:val="0"/>
          <w:numId w:val="12"/>
        </w:numPr>
        <w:spacing w:before="60" w:after="60" w:line="276" w:lineRule="auto"/>
        <w:contextualSpacing w:val="0"/>
      </w:pPr>
      <w:r w:rsidRPr="003A67C0">
        <w:t>Homeland security strategies; and</w:t>
      </w:r>
    </w:p>
    <w:p w14:paraId="7A89F681" w14:textId="77777777" w:rsidR="00417F25" w:rsidRPr="003A67C0" w:rsidRDefault="00417F25" w:rsidP="00EF451E">
      <w:pPr>
        <w:pStyle w:val="ListBullet2"/>
        <w:numPr>
          <w:ilvl w:val="0"/>
          <w:numId w:val="12"/>
        </w:numPr>
        <w:spacing w:before="60" w:after="60" w:line="276" w:lineRule="auto"/>
        <w:contextualSpacing w:val="0"/>
      </w:pPr>
      <w:r w:rsidRPr="003A67C0">
        <w:t>Grants or funding-specific requirements</w:t>
      </w:r>
    </w:p>
    <w:p w14:paraId="19C2B0F8" w14:textId="77777777" w:rsidR="00417F25" w:rsidRPr="00A5260A" w:rsidRDefault="00417F25" w:rsidP="00EF451E">
      <w:pPr>
        <w:pStyle w:val="ListBullet2"/>
        <w:numPr>
          <w:ilvl w:val="0"/>
          <w:numId w:val="0"/>
        </w:numPr>
        <w:spacing w:line="276" w:lineRule="auto"/>
        <w:rPr>
          <w:b/>
        </w:rPr>
      </w:pPr>
      <w:r w:rsidRPr="00A5260A">
        <w:rPr>
          <w:b/>
        </w:rPr>
        <w:t>Accreditation Standards and Regulations</w:t>
      </w:r>
    </w:p>
    <w:p w14:paraId="5D0BE88B" w14:textId="77777777" w:rsidR="00417F25" w:rsidRPr="00D55B5A" w:rsidRDefault="00417F25" w:rsidP="00EF451E">
      <w:pPr>
        <w:pStyle w:val="ListBullet2"/>
        <w:numPr>
          <w:ilvl w:val="0"/>
          <w:numId w:val="13"/>
        </w:numPr>
        <w:spacing w:before="60" w:after="60" w:line="276" w:lineRule="auto"/>
        <w:contextualSpacing w:val="0"/>
      </w:pPr>
      <w:r w:rsidRPr="00D55B5A">
        <w:t xml:space="preserve">Accreditation requirements; and </w:t>
      </w:r>
    </w:p>
    <w:p w14:paraId="2CE4FD28" w14:textId="40637140" w:rsidR="00417F25" w:rsidRPr="00D55B5A" w:rsidRDefault="00417F25" w:rsidP="00EF451E">
      <w:pPr>
        <w:pStyle w:val="ListBullet2"/>
        <w:numPr>
          <w:ilvl w:val="0"/>
          <w:numId w:val="13"/>
        </w:numPr>
        <w:spacing w:before="60" w:after="60" w:line="276" w:lineRule="auto"/>
        <w:contextualSpacing w:val="0"/>
      </w:pPr>
      <w:r w:rsidRPr="00D55B5A">
        <w:t xml:space="preserve">Local, </w:t>
      </w:r>
      <w:proofErr w:type="gramStart"/>
      <w:r w:rsidRPr="00D55B5A">
        <w:t>state</w:t>
      </w:r>
      <w:proofErr w:type="gramEnd"/>
      <w:r w:rsidRPr="00D55B5A">
        <w:t xml:space="preserve"> and federal regulations</w:t>
      </w:r>
    </w:p>
    <w:p w14:paraId="67D0A725" w14:textId="2CEC6BCC" w:rsidR="00417F25" w:rsidRPr="00A77786" w:rsidRDefault="00417F25" w:rsidP="00EF451E">
      <w:pPr>
        <w:pStyle w:val="BodyText"/>
        <w:spacing w:line="276" w:lineRule="auto"/>
      </w:pPr>
      <w:r w:rsidRPr="00A77786">
        <w:t xml:space="preserve">Participants </w:t>
      </w:r>
      <w:r>
        <w:t xml:space="preserve">should </w:t>
      </w:r>
      <w:r w:rsidRPr="00A77786">
        <w:t>work in small groups to build lists for each of the listed factors and brief the lists to the plenary group.</w:t>
      </w:r>
      <w:r>
        <w:t xml:space="preserve"> The information compiled from group discussion should then lead </w:t>
      </w:r>
      <w:r w:rsidR="00EC4B1D">
        <w:t>into</w:t>
      </w:r>
      <w:r>
        <w:t xml:space="preserve"> decisions regarding the jurisdiction’s/organization’s preparedness priorities.</w:t>
      </w:r>
    </w:p>
    <w:p w14:paraId="4AA91873" w14:textId="77777777" w:rsidR="00417F25" w:rsidRPr="007E2832" w:rsidRDefault="00417F25" w:rsidP="00417F25">
      <w:pPr>
        <w:pStyle w:val="Heading3"/>
      </w:pPr>
      <w:r>
        <w:t>Establish Preparedness Priorities</w:t>
      </w:r>
    </w:p>
    <w:p w14:paraId="541BBDBB" w14:textId="0B2E102F" w:rsidR="00417F25" w:rsidRPr="001945AA" w:rsidRDefault="00417F25" w:rsidP="00EF451E">
      <w:pPr>
        <w:pStyle w:val="BodyText"/>
        <w:spacing w:line="276" w:lineRule="auto"/>
      </w:pPr>
      <w:r w:rsidRPr="0031386D">
        <w:t>Preparedness priorities should be informed by risk, capability assessments, findings</w:t>
      </w:r>
      <w:r w:rsidR="00E46F16">
        <w:t xml:space="preserve">, </w:t>
      </w:r>
      <w:r w:rsidRPr="0031386D">
        <w:t xml:space="preserve">corrective actions from previous events and external requirements. Preparedness priorities should be comprehensive to meet whole community needs and will drive preparedness activities throughout the Integrated Preparedness Cycle. </w:t>
      </w:r>
      <w:r w:rsidRPr="001945AA">
        <w:t>Working from senior leadership guidance and the identified preparedness factors, the workshop facilitator leads a group discussion to set preparedness priorities that will drive preparedness activities for the multi-year Integrated Preparedness Plan (IPP) cycle.</w:t>
      </w:r>
    </w:p>
    <w:p w14:paraId="474A937D" w14:textId="77777777" w:rsidR="00417F25" w:rsidRPr="007E2832" w:rsidRDefault="00417F25" w:rsidP="00417F25">
      <w:pPr>
        <w:pStyle w:val="Heading3"/>
      </w:pPr>
      <w:r>
        <w:t>Develop a Multi-year Schedule</w:t>
      </w:r>
    </w:p>
    <w:p w14:paraId="1308F31C" w14:textId="7D808665" w:rsidR="00417F25" w:rsidRPr="0031386D" w:rsidRDefault="00417F25" w:rsidP="00EF451E">
      <w:pPr>
        <w:pStyle w:val="BodyText"/>
        <w:spacing w:line="276" w:lineRule="auto"/>
        <w:rPr>
          <w:rFonts w:cs="Arial"/>
        </w:rPr>
      </w:pPr>
      <w:r w:rsidRPr="00DE1CB2">
        <w:t xml:space="preserve">After setting preparedness priorities, the IPPW participants build a draft multi-year schedule that outlines the associated preparedness activities that will address those priorities. Combining the results from examining the preparedness priority factors and the decided upon priorities, participants should then consider factors within each of the inter-related elements of the Integrated Preparedness Cycle. Utilizing this comprehensive approach to developing the multi-year schedule of preparedness activities will provide a continuous </w:t>
      </w:r>
      <w:r w:rsidRPr="0031386D">
        <w:t xml:space="preserve">and reliable approach to support decision making </w:t>
      </w:r>
      <w:r w:rsidRPr="0031386D">
        <w:lastRenderedPageBreak/>
        <w:t xml:space="preserve">and resource allocation, and for measuring progress toward building, sustaining and delivering capabilities based on a jurisdiction’s/organization’s </w:t>
      </w:r>
      <w:r w:rsidRPr="0031386D">
        <w:rPr>
          <w:rFonts w:cs="Arial"/>
        </w:rPr>
        <w:t>threats, hazards and risks.</w:t>
      </w:r>
    </w:p>
    <w:p w14:paraId="288FB677" w14:textId="1ACABD82" w:rsidR="00E46F16" w:rsidRPr="00EF451E" w:rsidRDefault="00417F25" w:rsidP="00EF451E">
      <w:pPr>
        <w:pStyle w:val="BodyText"/>
        <w:spacing w:line="276" w:lineRule="auto"/>
        <w:rPr>
          <w:rFonts w:cs="Arial"/>
        </w:rPr>
      </w:pPr>
      <w:r w:rsidRPr="0031386D">
        <w:rPr>
          <w:rFonts w:cs="Arial"/>
        </w:rPr>
        <w:t xml:space="preserve">Participants should consider each element of the Integrated Preparedness Cycle both independently and as it relates to and affects the other elements of the cycle to then build a multi-year schedule of upcoming preparedness activities. </w:t>
      </w:r>
    </w:p>
    <w:p w14:paraId="504F6476" w14:textId="67EA74CC" w:rsidR="00417F25" w:rsidRPr="00417F25" w:rsidRDefault="00417F25" w:rsidP="00EA3E89">
      <w:pPr>
        <w:spacing w:before="60" w:after="60" w:line="276" w:lineRule="auto"/>
        <w:rPr>
          <w:rFonts w:cs="Arial"/>
          <w:b/>
        </w:rPr>
      </w:pPr>
      <w:r w:rsidRPr="00417F25">
        <w:rPr>
          <w:rFonts w:cs="Arial"/>
          <w:b/>
        </w:rPr>
        <w:t xml:space="preserve">Planning Factors </w:t>
      </w:r>
    </w:p>
    <w:p w14:paraId="47815BEE" w14:textId="2697BB22" w:rsidR="00417F25" w:rsidRPr="00EC4B1D" w:rsidRDefault="00417F25" w:rsidP="00EA3E89">
      <w:pPr>
        <w:spacing w:before="60" w:after="60" w:line="276" w:lineRule="auto"/>
        <w:rPr>
          <w:rFonts w:cs="Arial"/>
        </w:rPr>
      </w:pPr>
      <w:r w:rsidRPr="00EC4B1D">
        <w:rPr>
          <w:rFonts w:cs="Arial"/>
        </w:rPr>
        <w:t xml:space="preserve">Participants should understand and discuss what plans, policies, </w:t>
      </w:r>
      <w:proofErr w:type="gramStart"/>
      <w:r w:rsidRPr="00EC4B1D">
        <w:rPr>
          <w:rFonts w:cs="Arial"/>
        </w:rPr>
        <w:t>procedures</w:t>
      </w:r>
      <w:proofErr w:type="gramEnd"/>
      <w:r w:rsidRPr="00EC4B1D">
        <w:rPr>
          <w:rFonts w:cs="Arial"/>
        </w:rPr>
        <w:t xml:space="preserve"> and checklists will be reviewed, updated or written during this IPP cycle and any planning goals or deadlines already established.</w:t>
      </w:r>
      <w:r w:rsidR="00337173">
        <w:rPr>
          <w:rFonts w:cs="Arial"/>
        </w:rPr>
        <w:t xml:space="preserve"> </w:t>
      </w:r>
      <w:r w:rsidRPr="00EC4B1D">
        <w:rPr>
          <w:rFonts w:cs="Arial"/>
        </w:rPr>
        <w:t>Also consider planning factors related to the other Integrated Preparedness Cycle elements:</w:t>
      </w:r>
    </w:p>
    <w:p w14:paraId="48B099AB" w14:textId="77777777" w:rsidR="00417F25" w:rsidRPr="00EC4B1D" w:rsidRDefault="00417F25" w:rsidP="00EA3E89">
      <w:pPr>
        <w:pStyle w:val="ListParagraph"/>
        <w:numPr>
          <w:ilvl w:val="0"/>
          <w:numId w:val="14"/>
        </w:numPr>
        <w:spacing w:before="60" w:after="60" w:line="276" w:lineRule="auto"/>
        <w:contextualSpacing w:val="0"/>
        <w:rPr>
          <w:rFonts w:cs="Arial"/>
        </w:rPr>
      </w:pPr>
      <w:r w:rsidRPr="00EC4B1D">
        <w:rPr>
          <w:rFonts w:cs="Arial"/>
        </w:rPr>
        <w:t xml:space="preserve">Improve: existing corrective actions to be integrated into </w:t>
      </w:r>
      <w:proofErr w:type="gramStart"/>
      <w:r w:rsidRPr="00EC4B1D">
        <w:rPr>
          <w:rFonts w:cs="Arial"/>
        </w:rPr>
        <w:t>plans;</w:t>
      </w:r>
      <w:proofErr w:type="gramEnd"/>
    </w:p>
    <w:p w14:paraId="3A0417A7" w14:textId="70FB0EE0" w:rsidR="00417F25" w:rsidRPr="00EC4B1D" w:rsidRDefault="00417F25" w:rsidP="00EA3E89">
      <w:pPr>
        <w:numPr>
          <w:ilvl w:val="0"/>
          <w:numId w:val="8"/>
        </w:numPr>
        <w:spacing w:before="60" w:after="60" w:line="276" w:lineRule="auto"/>
        <w:rPr>
          <w:rFonts w:cs="Arial"/>
        </w:rPr>
      </w:pPr>
      <w:r w:rsidRPr="00EC4B1D">
        <w:rPr>
          <w:rFonts w:cs="Arial"/>
        </w:rPr>
        <w:t>Organize/Equip: information needed on jurisdictional/organizational factors and equipment usage/needs in order to complete</w:t>
      </w:r>
      <w:r w:rsidR="00337173">
        <w:rPr>
          <w:rFonts w:cs="Arial"/>
        </w:rPr>
        <w:t xml:space="preserve"> </w:t>
      </w:r>
      <w:proofErr w:type="gramStart"/>
      <w:r w:rsidR="00337173">
        <w:rPr>
          <w:rFonts w:cs="Arial"/>
        </w:rPr>
        <w:t>or</w:t>
      </w:r>
      <w:r w:rsidRPr="00EC4B1D">
        <w:rPr>
          <w:rFonts w:cs="Arial"/>
        </w:rPr>
        <w:t xml:space="preserve"> </w:t>
      </w:r>
      <w:r w:rsidR="00337173">
        <w:rPr>
          <w:rFonts w:cs="Arial"/>
        </w:rPr>
        <w:t xml:space="preserve"> </w:t>
      </w:r>
      <w:r w:rsidRPr="00EC4B1D">
        <w:rPr>
          <w:rFonts w:cs="Arial"/>
        </w:rPr>
        <w:t>validate</w:t>
      </w:r>
      <w:proofErr w:type="gramEnd"/>
      <w:r w:rsidRPr="00EC4B1D">
        <w:rPr>
          <w:rFonts w:cs="Arial"/>
        </w:rPr>
        <w:t xml:space="preserve"> a plan, or identify the need for a new plan; and</w:t>
      </w:r>
    </w:p>
    <w:p w14:paraId="4A0C3609" w14:textId="6A76A673" w:rsidR="00417F25" w:rsidRPr="00EC4B1D" w:rsidRDefault="00417F25" w:rsidP="00EA3E89">
      <w:pPr>
        <w:numPr>
          <w:ilvl w:val="0"/>
          <w:numId w:val="8"/>
        </w:numPr>
        <w:spacing w:before="60" w:after="60" w:line="276" w:lineRule="auto"/>
        <w:rPr>
          <w:rFonts w:cs="Arial"/>
        </w:rPr>
      </w:pPr>
      <w:r w:rsidRPr="00EC4B1D">
        <w:rPr>
          <w:rFonts w:cs="Arial"/>
        </w:rPr>
        <w:t xml:space="preserve">Train: training needed for existing plans, policies, </w:t>
      </w:r>
      <w:proofErr w:type="gramStart"/>
      <w:r w:rsidRPr="00EC4B1D">
        <w:rPr>
          <w:rFonts w:cs="Arial"/>
        </w:rPr>
        <w:t>procedures</w:t>
      </w:r>
      <w:proofErr w:type="gramEnd"/>
      <w:r w:rsidRPr="00EC4B1D">
        <w:rPr>
          <w:rFonts w:cs="Arial"/>
        </w:rPr>
        <w:t xml:space="preserve"> and checklists to be executed as intended.</w:t>
      </w:r>
    </w:p>
    <w:p w14:paraId="5181E557" w14:textId="77777777" w:rsidR="00417F25" w:rsidRPr="00417F25" w:rsidRDefault="00417F25" w:rsidP="00EA3E89">
      <w:pPr>
        <w:spacing w:before="60" w:after="60" w:line="276" w:lineRule="auto"/>
        <w:rPr>
          <w:rFonts w:cs="Arial"/>
          <w:b/>
        </w:rPr>
      </w:pPr>
      <w:r w:rsidRPr="00417F25">
        <w:rPr>
          <w:rFonts w:cs="Arial"/>
          <w:b/>
        </w:rPr>
        <w:t>Organization and Equipment Factors</w:t>
      </w:r>
    </w:p>
    <w:p w14:paraId="7F480DEC" w14:textId="00F7FBA1" w:rsidR="00417F25" w:rsidRPr="00EC4B1D" w:rsidRDefault="00417F25" w:rsidP="00EA3E89">
      <w:pPr>
        <w:spacing w:before="60" w:after="60" w:line="276" w:lineRule="auto"/>
        <w:rPr>
          <w:rFonts w:cs="Arial"/>
        </w:rPr>
      </w:pPr>
      <w:r w:rsidRPr="00EC4B1D">
        <w:rPr>
          <w:rFonts w:cs="Arial"/>
        </w:rPr>
        <w:t xml:space="preserve">Participants should understand and discuss any new equipment or jurisdictional/organizational structure changes anticipated during this Integrated Preparedness Plan (IPP) cycle and how jurisdictional/organizational structure and equipment shortfalls and limiting factors can be mitigated through training </w:t>
      </w:r>
      <w:r w:rsidR="00C63086">
        <w:rPr>
          <w:rFonts w:cs="Arial"/>
        </w:rPr>
        <w:t>and/</w:t>
      </w:r>
      <w:r w:rsidRPr="00EC4B1D">
        <w:rPr>
          <w:rFonts w:cs="Arial"/>
        </w:rPr>
        <w:t>or highlighted and tested through exercises.</w:t>
      </w:r>
    </w:p>
    <w:p w14:paraId="0A4B1657" w14:textId="77777777" w:rsidR="00417F25" w:rsidRPr="00EC4B1D" w:rsidRDefault="00417F25" w:rsidP="00EA3E89">
      <w:pPr>
        <w:spacing w:before="60" w:after="60" w:line="276" w:lineRule="auto"/>
        <w:rPr>
          <w:rFonts w:cs="Arial"/>
        </w:rPr>
      </w:pPr>
      <w:r w:rsidRPr="00EC4B1D">
        <w:rPr>
          <w:rFonts w:cs="Arial"/>
        </w:rPr>
        <w:t>Also consider organizing and equipping factors related to the other Integrated Preparedness Cycle elements:</w:t>
      </w:r>
    </w:p>
    <w:p w14:paraId="7DA4C7F7" w14:textId="77777777" w:rsidR="00417F25" w:rsidRPr="00EC4B1D" w:rsidRDefault="00417F25" w:rsidP="00EA3E89">
      <w:pPr>
        <w:numPr>
          <w:ilvl w:val="0"/>
          <w:numId w:val="9"/>
        </w:numPr>
        <w:spacing w:before="60" w:after="60" w:line="276" w:lineRule="auto"/>
        <w:rPr>
          <w:rFonts w:cs="Arial"/>
        </w:rPr>
      </w:pPr>
      <w:r w:rsidRPr="00EC4B1D">
        <w:rPr>
          <w:rFonts w:cs="Arial"/>
        </w:rPr>
        <w:t xml:space="preserve">Improve: existing corrective actions needing to be taken related to jurisdictional/organizational structure and </w:t>
      </w:r>
      <w:proofErr w:type="gramStart"/>
      <w:r w:rsidRPr="00EC4B1D">
        <w:rPr>
          <w:rFonts w:cs="Arial"/>
        </w:rPr>
        <w:t>equipment;</w:t>
      </w:r>
      <w:proofErr w:type="gramEnd"/>
    </w:p>
    <w:p w14:paraId="3598500F" w14:textId="64DC8C60" w:rsidR="00417F25" w:rsidRPr="00EC4B1D" w:rsidRDefault="00417F25" w:rsidP="00EA3E89">
      <w:pPr>
        <w:numPr>
          <w:ilvl w:val="0"/>
          <w:numId w:val="9"/>
        </w:numPr>
        <w:spacing w:before="60" w:after="60" w:line="276" w:lineRule="auto"/>
        <w:rPr>
          <w:rFonts w:cs="Arial"/>
        </w:rPr>
      </w:pPr>
      <w:r w:rsidRPr="00EC4B1D">
        <w:rPr>
          <w:rFonts w:cs="Arial"/>
        </w:rPr>
        <w:t>Plan: planning considerations such as budgetary considerations, grants, pending purchase approvals, pending retirements, high staff turnover, long term vacancies and other known jurisdiction/organization structure and equipment challenges projected for the upcoming IPP cycle; and</w:t>
      </w:r>
    </w:p>
    <w:p w14:paraId="2F4416B5" w14:textId="77777777" w:rsidR="00417F25" w:rsidRPr="00EC4B1D" w:rsidRDefault="00417F25" w:rsidP="00EA3E89">
      <w:pPr>
        <w:numPr>
          <w:ilvl w:val="0"/>
          <w:numId w:val="9"/>
        </w:numPr>
        <w:spacing w:before="60" w:after="60" w:line="276" w:lineRule="auto"/>
        <w:rPr>
          <w:rFonts w:cs="Arial"/>
        </w:rPr>
      </w:pPr>
      <w:r w:rsidRPr="00EC4B1D">
        <w:rPr>
          <w:rFonts w:cs="Arial"/>
        </w:rPr>
        <w:t>Train: training needed to make the jurisdiction/organization and existing equipment and capabilities highly efficient and effective.</w:t>
      </w:r>
    </w:p>
    <w:p w14:paraId="475DB8AB" w14:textId="77777777" w:rsidR="00557586" w:rsidRDefault="00557586">
      <w:pPr>
        <w:spacing w:after="200" w:line="276" w:lineRule="auto"/>
        <w:rPr>
          <w:b/>
        </w:rPr>
      </w:pPr>
      <w:r>
        <w:rPr>
          <w:b/>
        </w:rPr>
        <w:br w:type="page"/>
      </w:r>
    </w:p>
    <w:p w14:paraId="6227EDA0" w14:textId="689215DD" w:rsidR="00417F25" w:rsidRDefault="00417F25" w:rsidP="00EA3E89">
      <w:pPr>
        <w:pStyle w:val="BodyText"/>
        <w:spacing w:line="276" w:lineRule="auto"/>
        <w:rPr>
          <w:b/>
        </w:rPr>
      </w:pPr>
      <w:r>
        <w:rPr>
          <w:b/>
        </w:rPr>
        <w:lastRenderedPageBreak/>
        <w:t>Identify Training Opportunities</w:t>
      </w:r>
    </w:p>
    <w:p w14:paraId="30D40518" w14:textId="77777777" w:rsidR="00417F25" w:rsidRDefault="00417F25" w:rsidP="00EA3E89">
      <w:pPr>
        <w:pStyle w:val="BodyText"/>
        <w:spacing w:line="276" w:lineRule="auto"/>
      </w:pPr>
      <w:r>
        <w:t>Taking into consideration all previous preparedness activity factors discussed, along with agreed upon preparedness priorities, participants should identify training priorities and opportunities which include:</w:t>
      </w:r>
    </w:p>
    <w:p w14:paraId="50D427C2" w14:textId="77777777" w:rsidR="00417F25" w:rsidRDefault="00417F25" w:rsidP="00EA3E89">
      <w:pPr>
        <w:pStyle w:val="BodyText"/>
        <w:numPr>
          <w:ilvl w:val="0"/>
          <w:numId w:val="10"/>
        </w:numPr>
        <w:spacing w:after="0" w:line="276" w:lineRule="auto"/>
      </w:pPr>
      <w:r>
        <w:t xml:space="preserve">Current training capabilities and planned </w:t>
      </w:r>
      <w:proofErr w:type="gramStart"/>
      <w:r>
        <w:t>courses;</w:t>
      </w:r>
      <w:proofErr w:type="gramEnd"/>
    </w:p>
    <w:p w14:paraId="76062699" w14:textId="77777777" w:rsidR="00417F25" w:rsidRDefault="00417F25" w:rsidP="00EA3E89">
      <w:pPr>
        <w:pStyle w:val="BodyText"/>
        <w:numPr>
          <w:ilvl w:val="0"/>
          <w:numId w:val="10"/>
        </w:numPr>
        <w:spacing w:after="0" w:line="276" w:lineRule="auto"/>
      </w:pPr>
      <w:r>
        <w:t xml:space="preserve">Recurring training requirements during this </w:t>
      </w:r>
      <w:proofErr w:type="gramStart"/>
      <w:r>
        <w:t>cycle;</w:t>
      </w:r>
      <w:proofErr w:type="gramEnd"/>
    </w:p>
    <w:p w14:paraId="6503B5B7" w14:textId="3187AD26" w:rsidR="00417F25" w:rsidRDefault="00417F25" w:rsidP="00EA3E89">
      <w:pPr>
        <w:pStyle w:val="BodyText"/>
        <w:numPr>
          <w:ilvl w:val="0"/>
          <w:numId w:val="10"/>
        </w:numPr>
        <w:spacing w:after="0" w:line="276" w:lineRule="auto"/>
      </w:pPr>
      <w:r>
        <w:t xml:space="preserve">Training needs to close gaps (considerations from </w:t>
      </w:r>
      <w:r w:rsidR="00A20316">
        <w:t>p</w:t>
      </w:r>
      <w:r>
        <w:t xml:space="preserve">lan, </w:t>
      </w:r>
      <w:r w:rsidR="00A20316">
        <w:t>o</w:t>
      </w:r>
      <w:r>
        <w:t xml:space="preserve">rganize, </w:t>
      </w:r>
      <w:r w:rsidR="00A20316">
        <w:t>e</w:t>
      </w:r>
      <w:r>
        <w:t xml:space="preserve">quip </w:t>
      </w:r>
      <w:r w:rsidR="00A20316">
        <w:t>and i</w:t>
      </w:r>
      <w:r>
        <w:t>mprove</w:t>
      </w:r>
      <w:proofErr w:type="gramStart"/>
      <w:r>
        <w:t>);</w:t>
      </w:r>
      <w:proofErr w:type="gramEnd"/>
    </w:p>
    <w:p w14:paraId="5A5F0A51" w14:textId="77777777" w:rsidR="00417F25" w:rsidRDefault="00417F25" w:rsidP="00EA3E89">
      <w:pPr>
        <w:pStyle w:val="BodyText"/>
        <w:numPr>
          <w:ilvl w:val="0"/>
          <w:numId w:val="10"/>
        </w:numPr>
        <w:spacing w:after="0" w:line="276" w:lineRule="auto"/>
      </w:pPr>
      <w:r>
        <w:t>Training needs to be accomplished before an exercise for it to be effective; and</w:t>
      </w:r>
    </w:p>
    <w:p w14:paraId="0B1BA14B" w14:textId="77777777" w:rsidR="00417F25" w:rsidRDefault="00417F25" w:rsidP="00EA3E89">
      <w:pPr>
        <w:pStyle w:val="BodyText"/>
        <w:numPr>
          <w:ilvl w:val="0"/>
          <w:numId w:val="10"/>
        </w:numPr>
        <w:spacing w:after="0" w:line="276" w:lineRule="auto"/>
      </w:pPr>
      <w:r>
        <w:t>Training options available.</w:t>
      </w:r>
    </w:p>
    <w:p w14:paraId="3C42F850" w14:textId="77777777" w:rsidR="00417F25" w:rsidRPr="00F65C85" w:rsidRDefault="00417F25" w:rsidP="00EA3E89">
      <w:pPr>
        <w:pStyle w:val="BodyText"/>
        <w:spacing w:before="240" w:after="0" w:line="276" w:lineRule="auto"/>
        <w:rPr>
          <w:b/>
        </w:rPr>
      </w:pPr>
      <w:r>
        <w:rPr>
          <w:b/>
        </w:rPr>
        <w:t xml:space="preserve">Identify Potential </w:t>
      </w:r>
      <w:r w:rsidRPr="00F65C85">
        <w:rPr>
          <w:b/>
        </w:rPr>
        <w:t>Exercises</w:t>
      </w:r>
    </w:p>
    <w:p w14:paraId="703CED66" w14:textId="6D3FAEC7" w:rsidR="00417F25" w:rsidRDefault="00417F25" w:rsidP="00EA3E89">
      <w:pPr>
        <w:pStyle w:val="ListBullet"/>
        <w:numPr>
          <w:ilvl w:val="0"/>
          <w:numId w:val="0"/>
        </w:numPr>
        <w:spacing w:line="276" w:lineRule="auto"/>
      </w:pPr>
      <w:r>
        <w:t xml:space="preserve">Identify potential exercises for inclusion in the multi-year schedule, including pre-planned exercises, standing exercise requirements, and exercise activities planned at other levels such as </w:t>
      </w:r>
      <w:r w:rsidR="00A20316">
        <w:t>f</w:t>
      </w:r>
      <w:r>
        <w:t xml:space="preserve">ederal, regional, </w:t>
      </w:r>
      <w:proofErr w:type="gramStart"/>
      <w:r>
        <w:t>state</w:t>
      </w:r>
      <w:proofErr w:type="gramEnd"/>
      <w:r>
        <w:t xml:space="preserve"> and local. Based on priorities and previous preparedness activity considerations, participants should utilize the following questions to guide decisions on exercise activities for the IPP:</w:t>
      </w:r>
    </w:p>
    <w:p w14:paraId="6C6C682D" w14:textId="3F20F0E5" w:rsidR="00417F25" w:rsidRDefault="00417F25" w:rsidP="00EA3E89">
      <w:pPr>
        <w:pStyle w:val="ListBullet"/>
        <w:numPr>
          <w:ilvl w:val="0"/>
          <w:numId w:val="11"/>
        </w:numPr>
        <w:spacing w:before="60" w:after="60" w:line="276" w:lineRule="auto"/>
      </w:pPr>
      <w:r>
        <w:t xml:space="preserve">What changes to plans, policies, </w:t>
      </w:r>
      <w:proofErr w:type="gramStart"/>
      <w:r>
        <w:t>procedures</w:t>
      </w:r>
      <w:proofErr w:type="gramEnd"/>
      <w:r>
        <w:t xml:space="preserve"> and checklists will need validating?</w:t>
      </w:r>
    </w:p>
    <w:p w14:paraId="15E56596" w14:textId="6DC64A8B" w:rsidR="00417F25" w:rsidRDefault="00417F25" w:rsidP="00EA3E89">
      <w:pPr>
        <w:pStyle w:val="ListBullet"/>
        <w:numPr>
          <w:ilvl w:val="0"/>
          <w:numId w:val="11"/>
        </w:numPr>
        <w:spacing w:before="60" w:after="60" w:line="276" w:lineRule="auto"/>
      </w:pPr>
      <w:r>
        <w:t>What jurisdictions/organizations, departments and teams need exercising and in what way?</w:t>
      </w:r>
    </w:p>
    <w:p w14:paraId="1C76D9E0" w14:textId="77777777" w:rsidR="00417F25" w:rsidRDefault="00417F25" w:rsidP="00EA3E89">
      <w:pPr>
        <w:pStyle w:val="ListBullet"/>
        <w:numPr>
          <w:ilvl w:val="0"/>
          <w:numId w:val="11"/>
        </w:numPr>
        <w:spacing w:before="60" w:after="60" w:line="276" w:lineRule="auto"/>
      </w:pPr>
      <w:r>
        <w:t xml:space="preserve">Does equipment usage need </w:t>
      </w:r>
      <w:proofErr w:type="gramStart"/>
      <w:r>
        <w:t>validating</w:t>
      </w:r>
      <w:proofErr w:type="gramEnd"/>
      <w:r>
        <w:t>?</w:t>
      </w:r>
    </w:p>
    <w:p w14:paraId="16912A90" w14:textId="77777777" w:rsidR="00417F25" w:rsidRDefault="00417F25" w:rsidP="00EA3E89">
      <w:pPr>
        <w:pStyle w:val="ListBullet"/>
        <w:numPr>
          <w:ilvl w:val="0"/>
          <w:numId w:val="11"/>
        </w:numPr>
        <w:spacing w:before="60" w:after="60" w:line="276" w:lineRule="auto"/>
      </w:pPr>
      <w:r>
        <w:t>What training is needed prior to exercising?</w:t>
      </w:r>
    </w:p>
    <w:p w14:paraId="5A1A9507" w14:textId="77777777" w:rsidR="00417F25" w:rsidRDefault="00417F25" w:rsidP="00EA3E89">
      <w:pPr>
        <w:pStyle w:val="ListBullet"/>
        <w:numPr>
          <w:ilvl w:val="0"/>
          <w:numId w:val="11"/>
        </w:numPr>
        <w:spacing w:before="60" w:after="60" w:line="276" w:lineRule="auto"/>
      </w:pPr>
      <w:r>
        <w:t>What previous corrective actions need to be validated?</w:t>
      </w:r>
    </w:p>
    <w:p w14:paraId="48D408A8" w14:textId="77777777" w:rsidR="00417F25" w:rsidRDefault="00417F25" w:rsidP="00EA3E89">
      <w:pPr>
        <w:pStyle w:val="ListBullet"/>
        <w:numPr>
          <w:ilvl w:val="0"/>
          <w:numId w:val="11"/>
        </w:numPr>
        <w:spacing w:before="60" w:after="60" w:line="276" w:lineRule="auto"/>
      </w:pPr>
      <w:r>
        <w:t>What types of exercises will meet these needs?</w:t>
      </w:r>
    </w:p>
    <w:p w14:paraId="095CEA14" w14:textId="77777777" w:rsidR="00417F25" w:rsidRDefault="00417F25" w:rsidP="00EA3E89">
      <w:pPr>
        <w:pStyle w:val="ListBullet"/>
        <w:numPr>
          <w:ilvl w:val="0"/>
          <w:numId w:val="11"/>
        </w:numPr>
        <w:spacing w:before="60" w:after="60" w:line="276" w:lineRule="auto"/>
      </w:pPr>
      <w:r>
        <w:t xml:space="preserve">What is the goal or intended outcome of the chosen exercises? </w:t>
      </w:r>
    </w:p>
    <w:p w14:paraId="4C8CBAF6" w14:textId="3BD5F407" w:rsidR="00417F25" w:rsidRDefault="00417F25" w:rsidP="00EA3E89">
      <w:pPr>
        <w:pStyle w:val="BodyText"/>
        <w:spacing w:before="240" w:after="240" w:line="276" w:lineRule="auto"/>
      </w:pPr>
      <w:r>
        <w:t>The preparedness activities identified during the</w:t>
      </w:r>
      <w:r w:rsidR="00A20316">
        <w:t xml:space="preserve"> </w:t>
      </w:r>
      <w:r>
        <w:t>IPPW, as well as the preparedness priorities,</w:t>
      </w:r>
      <w:r w:rsidRPr="009F0F5E">
        <w:t xml:space="preserve"> </w:t>
      </w:r>
      <w:r>
        <w:t>are the key components of the</w:t>
      </w:r>
      <w:r w:rsidRPr="009F0F5E">
        <w:t xml:space="preserve"> </w:t>
      </w:r>
      <w:r>
        <w:t>IPP</w:t>
      </w:r>
      <w:r w:rsidRPr="009F0F5E">
        <w:t>.</w:t>
      </w:r>
      <w:r>
        <w:t xml:space="preserve"> The IPP</w:t>
      </w:r>
      <w:r w:rsidRPr="009F0F5E">
        <w:t xml:space="preserve"> </w:t>
      </w:r>
      <w:r w:rsidRPr="00DF7B0C">
        <w:t xml:space="preserve">should </w:t>
      </w:r>
      <w:r w:rsidRPr="00E60195">
        <w:t>reflect</w:t>
      </w:r>
      <w:r w:rsidRPr="00DF7B0C">
        <w:t xml:space="preserve"> a progressive planning approach that improves capabilities through a series of </w:t>
      </w:r>
      <w:r>
        <w:t>preparedness activities</w:t>
      </w:r>
      <w:r w:rsidRPr="00DF7B0C">
        <w:t xml:space="preserve"> </w:t>
      </w:r>
      <w:r>
        <w:t xml:space="preserve">that </w:t>
      </w:r>
      <w:r w:rsidRPr="00DF7B0C">
        <w:t>involve an increasing level of complexity over time</w:t>
      </w:r>
      <w:r w:rsidRPr="009F0F5E">
        <w:t>.</w:t>
      </w:r>
      <w:r>
        <w:t xml:space="preserve"> </w:t>
      </w:r>
      <w:r w:rsidRPr="009F0F5E">
        <w:t xml:space="preserve">The schedule should list the proposed </w:t>
      </w:r>
      <w:r>
        <w:t>preparedness activities</w:t>
      </w:r>
      <w:r w:rsidRPr="009F0F5E">
        <w:t xml:space="preserve"> to be conducted over the ensuing </w:t>
      </w:r>
      <w:r>
        <w:t>multi-year cycle</w:t>
      </w:r>
      <w:r w:rsidRPr="009F0F5E">
        <w:t>.</w:t>
      </w:r>
      <w:r>
        <w:t xml:space="preserve"> For e</w:t>
      </w:r>
      <w:r w:rsidRPr="009F0F5E">
        <w:t xml:space="preserve">xample, </w:t>
      </w:r>
      <w:r>
        <w:t xml:space="preserve">a three-year </w:t>
      </w:r>
      <w:r w:rsidRPr="009F0F5E">
        <w:t xml:space="preserve">schedule created </w:t>
      </w:r>
      <w:r>
        <w:t>at the beginning of</w:t>
      </w:r>
      <w:r w:rsidRPr="009F0F5E">
        <w:t xml:space="preserve"> 20</w:t>
      </w:r>
      <w:r>
        <w:t xml:space="preserve">21 should </w:t>
      </w:r>
      <w:r w:rsidRPr="009F0F5E">
        <w:t>represent activities expected to occur from January 1, 20</w:t>
      </w:r>
      <w:r>
        <w:t>21</w:t>
      </w:r>
      <w:r w:rsidRPr="009F0F5E">
        <w:t>, to December 31, 20</w:t>
      </w:r>
      <w:r>
        <w:t>24</w:t>
      </w:r>
      <w:r w:rsidRPr="009F0F5E">
        <w:t>.</w:t>
      </w:r>
      <w:r>
        <w:t xml:space="preserve"> </w:t>
      </w:r>
      <w:r w:rsidRPr="009F0F5E">
        <w:t>For exercises held in the first year, approximate dates should be available. For second- and third-year schedules, tentative dates may be used</w:t>
      </w:r>
      <w:r>
        <w:t xml:space="preserve"> and updated during the </w:t>
      </w:r>
      <w:r w:rsidR="00A20316">
        <w:t xml:space="preserve">years </w:t>
      </w:r>
      <w:r>
        <w:t>following</w:t>
      </w:r>
      <w:r w:rsidR="00A20316">
        <w:t xml:space="preserve"> </w:t>
      </w:r>
      <w:r>
        <w:t>IPPW</w:t>
      </w:r>
      <w:r w:rsidRPr="009F0F5E">
        <w:t>.</w:t>
      </w:r>
    </w:p>
    <w:p w14:paraId="4DED43F6" w14:textId="77777777" w:rsidR="00417F25" w:rsidRDefault="00417F25" w:rsidP="00417F25">
      <w:pPr>
        <w:pStyle w:val="Heading3"/>
      </w:pPr>
      <w:r>
        <w:lastRenderedPageBreak/>
        <w:t xml:space="preserve">Continuous </w:t>
      </w:r>
      <w:r w:rsidRPr="002E369B">
        <w:t>Improvement Pl</w:t>
      </w:r>
      <w:r>
        <w:t>anning</w:t>
      </w:r>
    </w:p>
    <w:p w14:paraId="225510FB" w14:textId="69C7EF5A" w:rsidR="00417F25" w:rsidRDefault="00417F25" w:rsidP="00391999">
      <w:pPr>
        <w:pStyle w:val="BodyText"/>
        <w:spacing w:before="240" w:after="240" w:line="276" w:lineRule="auto"/>
      </w:pPr>
      <w:r>
        <w:t xml:space="preserve">Identifying strengths, areas for improvement and corrective actions that result from exercises and </w:t>
      </w:r>
      <w:r w:rsidR="00A20316">
        <w:t>real-world</w:t>
      </w:r>
      <w:r>
        <w:t xml:space="preserve"> events help jurisdictions/organizations build, </w:t>
      </w:r>
      <w:proofErr w:type="gramStart"/>
      <w:r>
        <w:t>sustain</w:t>
      </w:r>
      <w:proofErr w:type="gramEnd"/>
      <w:r>
        <w:t xml:space="preserve"> and deliver capabilities as part of a continuous improvement process. The conduct of improvement planning ultimately supports the Integrated Preparedness Cycle. By continually examining the implementation of corrective actions, jurisdictions/organizations can identify capability gaps and determine what corrective actions require validation through exercises. Improvement </w:t>
      </w:r>
      <w:r w:rsidR="00A20316">
        <w:t>p</w:t>
      </w:r>
      <w:r>
        <w:t xml:space="preserve">lanning activities can help shape a jurisdiction’s/organization’s preparedness priorities for future </w:t>
      </w:r>
      <w:r w:rsidR="00A20316">
        <w:t>i</w:t>
      </w:r>
      <w:r>
        <w:t xml:space="preserve">ntegrated </w:t>
      </w:r>
      <w:r w:rsidR="00A20316">
        <w:t>p</w:t>
      </w:r>
      <w:r>
        <w:t xml:space="preserve">reparedness </w:t>
      </w:r>
      <w:r w:rsidR="00A20316">
        <w:t>p</w:t>
      </w:r>
      <w:r>
        <w:t>lanning and support continuous improvement in the building and sustaining of capabilities.</w:t>
      </w:r>
    </w:p>
    <w:p w14:paraId="34793424" w14:textId="593A238A" w:rsidR="00EA3E89" w:rsidRDefault="00417F25" w:rsidP="00391999">
      <w:pPr>
        <w:pStyle w:val="BodyText"/>
        <w:spacing w:before="240" w:after="240" w:line="276" w:lineRule="auto"/>
      </w:pPr>
      <w:r>
        <w:t>Once the multi-year schedule has been created, workshop participants should discuss, and if needed, develop an agreed upon tracking methodology to be used for tracking the progression of preparedness activities</w:t>
      </w:r>
      <w:r w:rsidR="00A20316">
        <w:t xml:space="preserve">, </w:t>
      </w:r>
      <w:r>
        <w:t>identified corrective actions and the impact on capabilities.</w:t>
      </w:r>
    </w:p>
    <w:p w14:paraId="3053F703" w14:textId="77777777" w:rsidR="00EA3E89" w:rsidRDefault="00EA3E89">
      <w:pPr>
        <w:spacing w:after="200" w:line="276" w:lineRule="auto"/>
      </w:pPr>
      <w:r>
        <w:br w:type="page"/>
      </w:r>
    </w:p>
    <w:bookmarkEnd w:id="3"/>
    <w:bookmarkEnd w:id="4"/>
    <w:p w14:paraId="03726716" w14:textId="77777777" w:rsidR="00417F25" w:rsidRDefault="00417F25" w:rsidP="00417F25">
      <w:pPr>
        <w:pStyle w:val="Heading1"/>
      </w:pPr>
      <w:r>
        <w:lastRenderedPageBreak/>
        <w:t>Workshop Planning</w:t>
      </w:r>
    </w:p>
    <w:p w14:paraId="56E9642C" w14:textId="77777777" w:rsidR="00417F25" w:rsidRPr="00E15640" w:rsidRDefault="00417F25" w:rsidP="00417F25">
      <w:pPr>
        <w:pStyle w:val="Heading2"/>
      </w:pPr>
      <w:r w:rsidRPr="00E15640">
        <w:t>Roles and Responsibilities</w:t>
      </w:r>
    </w:p>
    <w:p w14:paraId="52B4DA21" w14:textId="0C423189" w:rsidR="00417F25" w:rsidRDefault="00417F25" w:rsidP="00391999">
      <w:pPr>
        <w:spacing w:line="276" w:lineRule="auto"/>
      </w:pPr>
      <w:r w:rsidRPr="005670EB">
        <w:t xml:space="preserve">Sponsoring and conducting </w:t>
      </w:r>
      <w:r>
        <w:t>an Integrated Preparedness Planning Workshop (IP</w:t>
      </w:r>
      <w:r w:rsidRPr="005670EB">
        <w:t>PW</w:t>
      </w:r>
      <w:r>
        <w:t>)</w:t>
      </w:r>
      <w:r w:rsidRPr="005670EB">
        <w:t xml:space="preserve"> require</w:t>
      </w:r>
      <w:r>
        <w:t>s</w:t>
      </w:r>
      <w:r w:rsidRPr="005670EB">
        <w:t xml:space="preserve"> a great deal of preparation and coordination.</w:t>
      </w:r>
      <w:r>
        <w:t xml:space="preserve"> </w:t>
      </w:r>
      <w:r w:rsidRPr="005137C4">
        <w:t xml:space="preserve">To ensure </w:t>
      </w:r>
      <w:r>
        <w:t>improvement planning and the IP</w:t>
      </w:r>
      <w:r w:rsidRPr="005137C4">
        <w:t>PW</w:t>
      </w:r>
      <w:r>
        <w:t xml:space="preserve"> are effective,</w:t>
      </w:r>
      <w:r w:rsidRPr="002D5F9A">
        <w:t xml:space="preserve"> </w:t>
      </w:r>
      <w:r>
        <w:t>both sponsors and participants should take steps to prepare for, conduct and follow-up after the workshop. These steps are outlined in the roles and responsibilities in the following sections.</w:t>
      </w:r>
    </w:p>
    <w:p w14:paraId="7F20FE46" w14:textId="77777777" w:rsidR="00417F25" w:rsidRPr="00E15640" w:rsidRDefault="00417F25" w:rsidP="00417F25">
      <w:pPr>
        <w:pStyle w:val="Heading3"/>
      </w:pPr>
      <w:r w:rsidRPr="00E15640">
        <w:t>Workshop Sponsor</w:t>
      </w:r>
    </w:p>
    <w:p w14:paraId="2FC7BEEA" w14:textId="7E4E35FD" w:rsidR="00417F25" w:rsidRDefault="00417F25" w:rsidP="00391999">
      <w:pPr>
        <w:pStyle w:val="BodyText"/>
        <w:spacing w:line="276" w:lineRule="auto"/>
      </w:pPr>
      <w:r w:rsidRPr="00CB10E3">
        <w:t xml:space="preserve">Sponsor </w:t>
      </w:r>
      <w:r>
        <w:t xml:space="preserve">jurisdiction/organization </w:t>
      </w:r>
      <w:r w:rsidR="006C2A7B">
        <w:t>p</w:t>
      </w:r>
      <w:r w:rsidRPr="00CB10E3">
        <w:t xml:space="preserve">oints of </w:t>
      </w:r>
      <w:r w:rsidR="006C2A7B">
        <w:t>c</w:t>
      </w:r>
      <w:r w:rsidRPr="00CB10E3">
        <w:t>ontact (POCs)</w:t>
      </w:r>
      <w:r>
        <w:t xml:space="preserve"> are the primary planners of the IPPW. Their responsibilities are listed in the following sections.</w:t>
      </w:r>
    </w:p>
    <w:p w14:paraId="1CF3D7AC" w14:textId="77777777" w:rsidR="00417F25" w:rsidRPr="00A677A6" w:rsidRDefault="00417F25" w:rsidP="00417F25">
      <w:pPr>
        <w:pStyle w:val="Heading4"/>
      </w:pPr>
      <w:r w:rsidRPr="00A677A6">
        <w:t>Preparation</w:t>
      </w:r>
    </w:p>
    <w:p w14:paraId="51A5B1F5" w14:textId="7ED1E97C" w:rsidR="00417F25" w:rsidRPr="006446E1" w:rsidRDefault="00417F25" w:rsidP="00391999">
      <w:pPr>
        <w:pStyle w:val="BodyText"/>
        <w:spacing w:line="276" w:lineRule="auto"/>
      </w:pPr>
      <w:r>
        <w:t xml:space="preserve">In </w:t>
      </w:r>
      <w:r w:rsidRPr="00524486">
        <w:t>preparation</w:t>
      </w:r>
      <w:r>
        <w:t xml:space="preserve"> for the IPPW, sponsor jurisdictions/organizations are responsible for:</w:t>
      </w:r>
    </w:p>
    <w:p w14:paraId="5CA8E0FD" w14:textId="55F7257E" w:rsidR="00417F25" w:rsidRPr="00524486" w:rsidRDefault="00417F25" w:rsidP="00391999">
      <w:pPr>
        <w:pStyle w:val="ListBullet"/>
        <w:spacing w:line="276" w:lineRule="auto"/>
      </w:pPr>
      <w:r w:rsidRPr="00524486">
        <w:t>Coordinating with key stakeholders to identify a date, time</w:t>
      </w:r>
      <w:r>
        <w:t xml:space="preserve"> and location for the </w:t>
      </w:r>
      <w:proofErr w:type="gramStart"/>
      <w:r>
        <w:t>workshop;</w:t>
      </w:r>
      <w:proofErr w:type="gramEnd"/>
    </w:p>
    <w:p w14:paraId="55CC33B5" w14:textId="3E87B527" w:rsidR="00417F25" w:rsidRPr="00524486" w:rsidRDefault="00417F25" w:rsidP="00391999">
      <w:pPr>
        <w:pStyle w:val="ListBullet"/>
        <w:spacing w:line="276" w:lineRule="auto"/>
      </w:pPr>
      <w:r w:rsidRPr="00524486">
        <w:t>Developing a list of workshop invitees that includes represent</w:t>
      </w:r>
      <w:r>
        <w:t xml:space="preserve">atives from the </w:t>
      </w:r>
      <w:r w:rsidR="006C2A7B">
        <w:t>w</w:t>
      </w:r>
      <w:r>
        <w:t xml:space="preserve">hole </w:t>
      </w:r>
      <w:proofErr w:type="gramStart"/>
      <w:r w:rsidR="006C2A7B">
        <w:t>c</w:t>
      </w:r>
      <w:r>
        <w:t>ommunity;</w:t>
      </w:r>
      <w:proofErr w:type="gramEnd"/>
    </w:p>
    <w:p w14:paraId="15E892E1" w14:textId="0A2A3425" w:rsidR="00417F25" w:rsidRPr="00524486" w:rsidRDefault="00417F25" w:rsidP="00391999">
      <w:pPr>
        <w:pStyle w:val="ListBullet"/>
        <w:spacing w:line="276" w:lineRule="auto"/>
      </w:pPr>
      <w:r w:rsidRPr="00524486">
        <w:t>Developing and distributing the workshop invitation letter.</w:t>
      </w:r>
      <w:r>
        <w:t xml:space="preserve"> </w:t>
      </w:r>
      <w:r w:rsidRPr="00524486">
        <w:t xml:space="preserve">A sample </w:t>
      </w:r>
      <w:r>
        <w:t>IP</w:t>
      </w:r>
      <w:r w:rsidRPr="00524486">
        <w:t>PW invitation l</w:t>
      </w:r>
      <w:r>
        <w:t xml:space="preserve">etter is provided in Appendix </w:t>
      </w:r>
      <w:proofErr w:type="gramStart"/>
      <w:r>
        <w:t>A;</w:t>
      </w:r>
      <w:proofErr w:type="gramEnd"/>
    </w:p>
    <w:p w14:paraId="16577957" w14:textId="77777777" w:rsidR="00417F25" w:rsidRPr="00524486" w:rsidRDefault="00417F25" w:rsidP="00391999">
      <w:pPr>
        <w:pStyle w:val="ListBullet"/>
        <w:spacing w:line="276" w:lineRule="auto"/>
      </w:pPr>
      <w:r w:rsidRPr="00524486">
        <w:t>Tracking workshop RSVPs and follow-up w</w:t>
      </w:r>
      <w:r>
        <w:t xml:space="preserve">ith any non-responsive </w:t>
      </w:r>
      <w:proofErr w:type="gramStart"/>
      <w:r>
        <w:t>invitees;</w:t>
      </w:r>
      <w:proofErr w:type="gramEnd"/>
    </w:p>
    <w:p w14:paraId="34D6A98A" w14:textId="50651944" w:rsidR="00417F25" w:rsidRPr="00524486" w:rsidRDefault="00417F25" w:rsidP="00391999">
      <w:pPr>
        <w:pStyle w:val="ListBullet"/>
        <w:spacing w:line="276" w:lineRule="auto"/>
      </w:pPr>
      <w:r w:rsidRPr="00524486">
        <w:t xml:space="preserve">Initiating a data call for stakeholders to identify and submit their </w:t>
      </w:r>
      <w:r>
        <w:t>jurisdiction’s/</w:t>
      </w:r>
      <w:r w:rsidRPr="00524486">
        <w:t>organization</w:t>
      </w:r>
      <w:r w:rsidR="006C2A7B">
        <w:t>’</w:t>
      </w:r>
      <w:r w:rsidRPr="00524486">
        <w:t xml:space="preserve">s key factors for consideration in developing </w:t>
      </w:r>
      <w:r>
        <w:t>preparedness</w:t>
      </w:r>
      <w:r w:rsidRPr="00524486">
        <w:t xml:space="preserve"> priorities during </w:t>
      </w:r>
      <w:r>
        <w:t>the workshop</w:t>
      </w:r>
      <w:r w:rsidRPr="00524486">
        <w:t>.</w:t>
      </w:r>
      <w:r>
        <w:t xml:space="preserve"> </w:t>
      </w:r>
      <w:r w:rsidRPr="00524486">
        <w:t>This can include lessons learned and corrective actions from past exercises and real</w:t>
      </w:r>
      <w:r>
        <w:t>-</w:t>
      </w:r>
      <w:r w:rsidRPr="00524486">
        <w:t>world events, recent threat/hazard assessments, state preparedness strategies and</w:t>
      </w:r>
      <w:r>
        <w:t xml:space="preserve"> other factors listed </w:t>
      </w:r>
      <w:proofErr w:type="gramStart"/>
      <w:r>
        <w:t>above;</w:t>
      </w:r>
      <w:proofErr w:type="gramEnd"/>
    </w:p>
    <w:p w14:paraId="2A32F00C" w14:textId="471151D5" w:rsidR="00417F25" w:rsidRPr="00524486" w:rsidRDefault="00417F25" w:rsidP="00391999">
      <w:pPr>
        <w:pStyle w:val="ListBullet"/>
        <w:spacing w:line="276" w:lineRule="auto"/>
      </w:pPr>
      <w:r w:rsidRPr="00524486">
        <w:t>Preparing all documentation and meeting materials (</w:t>
      </w:r>
      <w:r w:rsidR="006C2A7B">
        <w:t xml:space="preserve">such as </w:t>
      </w:r>
      <w:r w:rsidRPr="00524486">
        <w:t>agendas, presentations and minu</w:t>
      </w:r>
      <w:r>
        <w:t xml:space="preserve">tes) in support of the </w:t>
      </w:r>
      <w:proofErr w:type="gramStart"/>
      <w:r>
        <w:t>workshop;</w:t>
      </w:r>
      <w:proofErr w:type="gramEnd"/>
    </w:p>
    <w:p w14:paraId="7F2FB8D3" w14:textId="77777777" w:rsidR="00417F25" w:rsidRDefault="00417F25" w:rsidP="00391999">
      <w:pPr>
        <w:pStyle w:val="ListBullet"/>
        <w:tabs>
          <w:tab w:val="clear" w:pos="720"/>
        </w:tabs>
        <w:spacing w:line="276" w:lineRule="auto"/>
      </w:pPr>
      <w:r>
        <w:t xml:space="preserve">Overseeing all logistical considerations for the workshop, including venue selection, room setup, audio/visual equipment, material production, etc., </w:t>
      </w:r>
      <w:proofErr w:type="gramStart"/>
      <w:r>
        <w:t>and;</w:t>
      </w:r>
      <w:proofErr w:type="gramEnd"/>
    </w:p>
    <w:p w14:paraId="64D266E5" w14:textId="101D9E89" w:rsidR="00417F25" w:rsidRPr="00524486" w:rsidRDefault="00417F25" w:rsidP="00391999">
      <w:pPr>
        <w:pStyle w:val="ListBullet"/>
        <w:spacing w:line="276" w:lineRule="auto"/>
      </w:pPr>
      <w:r w:rsidRPr="00524486">
        <w:t xml:space="preserve">Developing and distributing workshop read-ahead material prior to the </w:t>
      </w:r>
      <w:r>
        <w:t>workshop</w:t>
      </w:r>
      <w:r w:rsidRPr="00524486">
        <w:t>.</w:t>
      </w:r>
      <w:r>
        <w:t xml:space="preserve"> </w:t>
      </w:r>
      <w:r w:rsidRPr="00524486">
        <w:t xml:space="preserve">Typical </w:t>
      </w:r>
      <w:r>
        <w:t>IP</w:t>
      </w:r>
      <w:r w:rsidRPr="00524486">
        <w:t>PW read-ahead material includes:</w:t>
      </w:r>
    </w:p>
    <w:p w14:paraId="76C23CEC" w14:textId="77777777" w:rsidR="00417F25" w:rsidRDefault="00417F25" w:rsidP="00391999">
      <w:pPr>
        <w:pStyle w:val="ListBullet2"/>
        <w:spacing w:line="276" w:lineRule="auto"/>
      </w:pPr>
      <w:r>
        <w:t xml:space="preserve">Description of the workshop purpose and desired </w:t>
      </w:r>
      <w:proofErr w:type="gramStart"/>
      <w:r>
        <w:t>outcomes;</w:t>
      </w:r>
      <w:proofErr w:type="gramEnd"/>
    </w:p>
    <w:p w14:paraId="14A832DB" w14:textId="77777777" w:rsidR="00417F25" w:rsidRDefault="00417F25" w:rsidP="00391999">
      <w:pPr>
        <w:pStyle w:val="ListBullet2"/>
        <w:spacing w:line="276" w:lineRule="auto"/>
      </w:pPr>
      <w:r>
        <w:t xml:space="preserve">Workshop </w:t>
      </w:r>
      <w:proofErr w:type="gramStart"/>
      <w:r>
        <w:t>agenda;</w:t>
      </w:r>
      <w:proofErr w:type="gramEnd"/>
    </w:p>
    <w:p w14:paraId="13B3BE9F" w14:textId="77777777" w:rsidR="00417F25" w:rsidRDefault="00417F25" w:rsidP="00391999">
      <w:pPr>
        <w:pStyle w:val="ListBullet2"/>
        <w:spacing w:line="276" w:lineRule="auto"/>
      </w:pPr>
      <w:r>
        <w:lastRenderedPageBreak/>
        <w:t>Previous Integrated Preparedness Plans (IPPs</w:t>
      </w:r>
      <w:proofErr w:type="gramStart"/>
      <w:r>
        <w:t>);</w:t>
      </w:r>
      <w:proofErr w:type="gramEnd"/>
    </w:p>
    <w:p w14:paraId="71A4A30A" w14:textId="13EC029B" w:rsidR="00417F25" w:rsidRDefault="00417F25" w:rsidP="00391999">
      <w:pPr>
        <w:pStyle w:val="ListBullet2"/>
        <w:spacing w:line="276" w:lineRule="auto"/>
      </w:pPr>
      <w:r>
        <w:t xml:space="preserve">Summary of </w:t>
      </w:r>
      <w:r w:rsidR="006C2A7B">
        <w:t>a</w:t>
      </w:r>
      <w:r>
        <w:t>fter-</w:t>
      </w:r>
      <w:r w:rsidR="006C2A7B">
        <w:t>a</w:t>
      </w:r>
      <w:r>
        <w:t xml:space="preserve">ction </w:t>
      </w:r>
      <w:r w:rsidR="006C2A7B">
        <w:t>r</w:t>
      </w:r>
      <w:r>
        <w:t>eports/</w:t>
      </w:r>
      <w:r w:rsidR="006C2A7B">
        <w:t>i</w:t>
      </w:r>
      <w:r>
        <w:t xml:space="preserve">mprovement </w:t>
      </w:r>
      <w:r w:rsidR="006C2A7B">
        <w:t>p</w:t>
      </w:r>
      <w:r>
        <w:t>lans (AAR/IP) from the previous year’s real-world events</w:t>
      </w:r>
      <w:r w:rsidRPr="00861551">
        <w:t xml:space="preserve"> </w:t>
      </w:r>
      <w:r>
        <w:t xml:space="preserve">and exercises, including progress made to </w:t>
      </w:r>
      <w:proofErr w:type="gramStart"/>
      <w:r>
        <w:t>date;</w:t>
      </w:r>
      <w:proofErr w:type="gramEnd"/>
    </w:p>
    <w:p w14:paraId="540FA933" w14:textId="77777777" w:rsidR="00417F25" w:rsidRDefault="00417F25" w:rsidP="00391999">
      <w:pPr>
        <w:pStyle w:val="ListBullet2"/>
        <w:spacing w:line="276" w:lineRule="auto"/>
      </w:pPr>
      <w:r>
        <w:t xml:space="preserve">Overview of the current threat or hazard environment, such as THIRA information, </w:t>
      </w:r>
      <w:proofErr w:type="gramStart"/>
      <w:r>
        <w:t>and;</w:t>
      </w:r>
      <w:proofErr w:type="gramEnd"/>
    </w:p>
    <w:p w14:paraId="77DAD906" w14:textId="77777777" w:rsidR="00417F25" w:rsidRDefault="00417F25" w:rsidP="00391999">
      <w:pPr>
        <w:pStyle w:val="ListBullet2"/>
        <w:spacing w:line="276" w:lineRule="auto"/>
      </w:pPr>
      <w:r>
        <w:t>Capabilities and/or additional reference documents.</w:t>
      </w:r>
    </w:p>
    <w:p w14:paraId="03753798" w14:textId="77777777" w:rsidR="00417F25" w:rsidRPr="00CB10E3" w:rsidRDefault="00417F25" w:rsidP="00417F25">
      <w:pPr>
        <w:pStyle w:val="Heading4"/>
      </w:pPr>
      <w:r w:rsidRPr="00CB10E3">
        <w:t>Conduct</w:t>
      </w:r>
    </w:p>
    <w:p w14:paraId="42E27FA9" w14:textId="1252F931" w:rsidR="00417F25" w:rsidRPr="005928B1" w:rsidRDefault="00417F25" w:rsidP="00391999">
      <w:pPr>
        <w:pStyle w:val="BodyText"/>
        <w:spacing w:line="276" w:lineRule="auto"/>
      </w:pPr>
      <w:r>
        <w:t xml:space="preserve">During the IPPW </w:t>
      </w:r>
      <w:r w:rsidRPr="00524486">
        <w:t>conduct</w:t>
      </w:r>
      <w:r>
        <w:t>, sponsor jurisdictions/organizations are responsible for:</w:t>
      </w:r>
    </w:p>
    <w:p w14:paraId="06484E24" w14:textId="77777777" w:rsidR="00417F25" w:rsidRPr="00F11A3F" w:rsidRDefault="00417F25" w:rsidP="00391999">
      <w:pPr>
        <w:pStyle w:val="ListParagraph"/>
        <w:numPr>
          <w:ilvl w:val="0"/>
          <w:numId w:val="21"/>
        </w:numPr>
        <w:spacing w:line="276" w:lineRule="auto"/>
      </w:pPr>
      <w:r w:rsidRPr="00F11A3F">
        <w:t>Conducting final arrangement checks with venue (including a walkthrough w</w:t>
      </w:r>
      <w:r>
        <w:t>ith the facility manager</w:t>
      </w:r>
      <w:proofErr w:type="gramStart"/>
      <w:r>
        <w:t>);</w:t>
      </w:r>
      <w:proofErr w:type="gramEnd"/>
    </w:p>
    <w:p w14:paraId="1EEA6318" w14:textId="77777777" w:rsidR="00417F25" w:rsidRPr="00F11A3F" w:rsidRDefault="00417F25" w:rsidP="00391999">
      <w:pPr>
        <w:pStyle w:val="ListParagraph"/>
        <w:numPr>
          <w:ilvl w:val="0"/>
          <w:numId w:val="21"/>
        </w:numPr>
        <w:spacing w:line="276" w:lineRule="auto"/>
      </w:pPr>
      <w:r w:rsidRPr="00F11A3F">
        <w:t>Facilitating or providing a facilitator for the workshop.</w:t>
      </w:r>
      <w:r>
        <w:t xml:space="preserve"> </w:t>
      </w:r>
      <w:r w:rsidRPr="00F11A3F">
        <w:t>If breakout groups are required, providing facilitators for group discussions who will ensure participants sta</w:t>
      </w:r>
      <w:r>
        <w:t>y focused on the workshop goals; and</w:t>
      </w:r>
    </w:p>
    <w:p w14:paraId="20E8430C" w14:textId="77777777" w:rsidR="00417F25" w:rsidRPr="00F11A3F" w:rsidRDefault="00417F25" w:rsidP="00391999">
      <w:pPr>
        <w:pStyle w:val="ListParagraph"/>
        <w:numPr>
          <w:ilvl w:val="0"/>
          <w:numId w:val="21"/>
        </w:numPr>
        <w:spacing w:line="276" w:lineRule="auto"/>
      </w:pPr>
      <w:r w:rsidRPr="00F11A3F">
        <w:t>Coordinating recording (note taking) of major points of discussion.</w:t>
      </w:r>
    </w:p>
    <w:p w14:paraId="0960E719" w14:textId="77777777" w:rsidR="00417F25" w:rsidRPr="00CB10E3" w:rsidRDefault="00417F25" w:rsidP="00417F25">
      <w:pPr>
        <w:pStyle w:val="Heading4"/>
      </w:pPr>
      <w:r w:rsidRPr="00CB10E3">
        <w:t>Follow-up</w:t>
      </w:r>
    </w:p>
    <w:p w14:paraId="658E6559" w14:textId="559A655F" w:rsidR="00417F25" w:rsidRPr="005928B1" w:rsidRDefault="00417F25" w:rsidP="00391999">
      <w:pPr>
        <w:pStyle w:val="BodyText"/>
        <w:spacing w:line="276" w:lineRule="auto"/>
      </w:pPr>
      <w:r>
        <w:t>After the IPPW is concluded, sponsor jurisdictions/organizations are responsible for:</w:t>
      </w:r>
    </w:p>
    <w:p w14:paraId="22D2FB2C" w14:textId="77777777" w:rsidR="00417F25" w:rsidRPr="003F7386" w:rsidRDefault="00417F25" w:rsidP="00391999">
      <w:pPr>
        <w:pStyle w:val="ListBullet"/>
        <w:numPr>
          <w:ilvl w:val="0"/>
          <w:numId w:val="15"/>
        </w:numPr>
        <w:spacing w:before="60" w:after="60" w:line="276" w:lineRule="auto"/>
      </w:pPr>
      <w:r w:rsidRPr="003F7386">
        <w:t>Draft</w:t>
      </w:r>
      <w:r>
        <w:t>ing</w:t>
      </w:r>
      <w:r w:rsidRPr="003F7386">
        <w:t xml:space="preserve"> </w:t>
      </w:r>
      <w:r>
        <w:t>a workshop</w:t>
      </w:r>
      <w:r w:rsidRPr="003F7386">
        <w:t xml:space="preserve"> </w:t>
      </w:r>
      <w:r>
        <w:t>s</w:t>
      </w:r>
      <w:r w:rsidRPr="003F7386">
        <w:t>ummary</w:t>
      </w:r>
      <w:r>
        <w:t>;</w:t>
      </w:r>
      <w:r w:rsidRPr="003F7386">
        <w:t xml:space="preserve"> </w:t>
      </w:r>
      <w:r>
        <w:t>distributing it to participants;</w:t>
      </w:r>
      <w:r w:rsidRPr="00915C64">
        <w:t xml:space="preserve"> </w:t>
      </w:r>
      <w:r w:rsidRPr="003F7386">
        <w:t>and submi</w:t>
      </w:r>
      <w:r>
        <w:t>t</w:t>
      </w:r>
      <w:r w:rsidRPr="003F7386">
        <w:t>t</w:t>
      </w:r>
      <w:r>
        <w:t>ing</w:t>
      </w:r>
      <w:r w:rsidRPr="003F7386">
        <w:t xml:space="preserve"> </w:t>
      </w:r>
      <w:r>
        <w:t xml:space="preserve">it </w:t>
      </w:r>
      <w:r w:rsidRPr="003F7386">
        <w:t xml:space="preserve">to </w:t>
      </w:r>
      <w:r>
        <w:t>the appropriate authority; and</w:t>
      </w:r>
    </w:p>
    <w:p w14:paraId="12FA99C9" w14:textId="75001F46" w:rsidR="00417F25" w:rsidRPr="003F7386" w:rsidRDefault="00417F25" w:rsidP="00391999">
      <w:pPr>
        <w:pStyle w:val="ListBullet"/>
        <w:numPr>
          <w:ilvl w:val="0"/>
          <w:numId w:val="15"/>
        </w:numPr>
        <w:spacing w:before="60" w:after="60" w:line="276" w:lineRule="auto"/>
      </w:pPr>
      <w:r>
        <w:t xml:space="preserve">Compiling, </w:t>
      </w:r>
      <w:proofErr w:type="gramStart"/>
      <w:r>
        <w:t>submitting</w:t>
      </w:r>
      <w:proofErr w:type="gramEnd"/>
      <w:r>
        <w:t xml:space="preserve"> and distributing</w:t>
      </w:r>
      <w:r w:rsidRPr="003F7386">
        <w:t xml:space="preserve"> </w:t>
      </w:r>
      <w:r>
        <w:t xml:space="preserve">the </w:t>
      </w:r>
      <w:r w:rsidRPr="003F7386">
        <w:t xml:space="preserve">final </w:t>
      </w:r>
      <w:r>
        <w:t>IPP</w:t>
      </w:r>
      <w:r w:rsidRPr="003F7386">
        <w:t xml:space="preserve"> to the </w:t>
      </w:r>
      <w:r>
        <w:t>workshop participants and the appropriate authority</w:t>
      </w:r>
      <w:r w:rsidRPr="003F7386">
        <w:t>.</w:t>
      </w:r>
      <w:r>
        <w:t xml:space="preserve"> </w:t>
      </w:r>
      <w:r w:rsidRPr="003F7386">
        <w:t xml:space="preserve">The </w:t>
      </w:r>
      <w:r>
        <w:t>jurisdiction/organization POC must submit all plans.</w:t>
      </w:r>
    </w:p>
    <w:p w14:paraId="32EA5C7B" w14:textId="77777777" w:rsidR="00417F25" w:rsidRDefault="00417F25" w:rsidP="00417F25">
      <w:pPr>
        <w:pStyle w:val="Heading4"/>
      </w:pPr>
      <w:r>
        <w:t>Workshop Participants</w:t>
      </w:r>
    </w:p>
    <w:p w14:paraId="63EAB7D1" w14:textId="46D859D6" w:rsidR="00417F25" w:rsidRPr="00417F25" w:rsidRDefault="00417F25" w:rsidP="00391999">
      <w:pPr>
        <w:pStyle w:val="BodyText"/>
        <w:spacing w:line="276" w:lineRule="auto"/>
        <w:rPr>
          <w:rFonts w:cs="Arial"/>
        </w:rPr>
      </w:pPr>
      <w:r>
        <w:t xml:space="preserve">The Integrated Preparedness Planning Workshop (IPPW) participants are </w:t>
      </w:r>
      <w:r w:rsidR="005E54F5">
        <w:t>w</w:t>
      </w:r>
      <w:r>
        <w:t xml:space="preserve">hole </w:t>
      </w:r>
      <w:r w:rsidR="005E54F5">
        <w:t>c</w:t>
      </w:r>
      <w:r>
        <w:t xml:space="preserve">ommunity stakeholders who provide input to preparedness priorities and the development of the IPP. This group should include, but </w:t>
      </w:r>
      <w:r w:rsidR="005E54F5">
        <w:t xml:space="preserve">is </w:t>
      </w:r>
      <w:r>
        <w:t xml:space="preserve">not </w:t>
      </w:r>
      <w:r w:rsidRPr="00417F25">
        <w:rPr>
          <w:rFonts w:cs="Arial"/>
        </w:rPr>
        <w:t xml:space="preserve">limited to: </w:t>
      </w:r>
    </w:p>
    <w:p w14:paraId="3E9AC4A9" w14:textId="74FB4812" w:rsidR="00417F25" w:rsidRPr="00417F25" w:rsidRDefault="00417F25" w:rsidP="00391999">
      <w:pPr>
        <w:widowControl w:val="0"/>
        <w:numPr>
          <w:ilvl w:val="1"/>
          <w:numId w:val="16"/>
        </w:numPr>
        <w:autoSpaceDE w:val="0"/>
        <w:autoSpaceDN w:val="0"/>
        <w:spacing w:before="120" w:line="276" w:lineRule="auto"/>
        <w:ind w:left="720" w:right="873"/>
        <w:jc w:val="both"/>
        <w:rPr>
          <w:rFonts w:cs="Arial"/>
          <w:szCs w:val="22"/>
          <w:lang w:bidi="en-US"/>
        </w:rPr>
      </w:pPr>
      <w:r w:rsidRPr="00417F25">
        <w:rPr>
          <w:rFonts w:cs="Arial"/>
          <w:szCs w:val="22"/>
          <w:lang w:bidi="en-US"/>
        </w:rPr>
        <w:t>Senior</w:t>
      </w:r>
      <w:r w:rsidRPr="00417F25">
        <w:rPr>
          <w:rFonts w:cs="Arial"/>
          <w:spacing w:val="-8"/>
          <w:szCs w:val="22"/>
          <w:lang w:bidi="en-US"/>
        </w:rPr>
        <w:t xml:space="preserve"> </w:t>
      </w:r>
      <w:r w:rsidRPr="00417F25">
        <w:rPr>
          <w:rFonts w:cs="Arial"/>
          <w:szCs w:val="22"/>
          <w:lang w:bidi="en-US"/>
        </w:rPr>
        <w:t>leaders</w:t>
      </w:r>
      <w:r w:rsidRPr="00417F25">
        <w:rPr>
          <w:rFonts w:cs="Arial"/>
          <w:spacing w:val="-9"/>
          <w:szCs w:val="22"/>
          <w:lang w:bidi="en-US"/>
        </w:rPr>
        <w:t xml:space="preserve"> </w:t>
      </w:r>
      <w:r w:rsidRPr="00417F25">
        <w:rPr>
          <w:rFonts w:cs="Arial"/>
          <w:szCs w:val="22"/>
          <w:lang w:bidi="en-US"/>
        </w:rPr>
        <w:t>responsible</w:t>
      </w:r>
      <w:r w:rsidRPr="00417F25">
        <w:rPr>
          <w:rFonts w:cs="Arial"/>
          <w:spacing w:val="-7"/>
          <w:szCs w:val="22"/>
          <w:lang w:bidi="en-US"/>
        </w:rPr>
        <w:t xml:space="preserve"> </w:t>
      </w:r>
      <w:r w:rsidRPr="00417F25">
        <w:rPr>
          <w:rFonts w:cs="Arial"/>
          <w:szCs w:val="22"/>
          <w:lang w:bidi="en-US"/>
        </w:rPr>
        <w:t>for</w:t>
      </w:r>
      <w:r w:rsidRPr="00417F25">
        <w:rPr>
          <w:rFonts w:cs="Arial"/>
          <w:spacing w:val="-8"/>
          <w:szCs w:val="22"/>
          <w:lang w:bidi="en-US"/>
        </w:rPr>
        <w:t xml:space="preserve"> </w:t>
      </w:r>
      <w:r w:rsidRPr="00417F25">
        <w:rPr>
          <w:rFonts w:cs="Arial"/>
          <w:szCs w:val="22"/>
          <w:lang w:bidi="en-US"/>
        </w:rPr>
        <w:t>providing</w:t>
      </w:r>
      <w:r w:rsidRPr="00417F25">
        <w:rPr>
          <w:rFonts w:cs="Arial"/>
          <w:spacing w:val="-8"/>
          <w:szCs w:val="22"/>
          <w:lang w:bidi="en-US"/>
        </w:rPr>
        <w:t xml:space="preserve"> </w:t>
      </w:r>
      <w:r w:rsidRPr="00417F25">
        <w:rPr>
          <w:rFonts w:cs="Arial"/>
          <w:szCs w:val="22"/>
          <w:lang w:bidi="en-US"/>
        </w:rPr>
        <w:t>direction</w:t>
      </w:r>
      <w:r w:rsidRPr="00417F25">
        <w:rPr>
          <w:rFonts w:cs="Arial"/>
          <w:spacing w:val="-9"/>
          <w:szCs w:val="22"/>
          <w:lang w:bidi="en-US"/>
        </w:rPr>
        <w:t xml:space="preserve"> </w:t>
      </w:r>
      <w:r w:rsidRPr="00417F25">
        <w:rPr>
          <w:rFonts w:cs="Arial"/>
          <w:szCs w:val="22"/>
          <w:lang w:bidi="en-US"/>
        </w:rPr>
        <w:t>and</w:t>
      </w:r>
      <w:r w:rsidRPr="00417F25">
        <w:rPr>
          <w:rFonts w:cs="Arial"/>
          <w:spacing w:val="-8"/>
          <w:szCs w:val="22"/>
          <w:lang w:bidi="en-US"/>
        </w:rPr>
        <w:t xml:space="preserve"> </w:t>
      </w:r>
      <w:r w:rsidRPr="00417F25">
        <w:rPr>
          <w:rFonts w:cs="Arial"/>
          <w:szCs w:val="22"/>
          <w:lang w:bidi="en-US"/>
        </w:rPr>
        <w:t>guidance</w:t>
      </w:r>
      <w:r w:rsidRPr="00417F25">
        <w:rPr>
          <w:rFonts w:cs="Arial"/>
          <w:spacing w:val="-9"/>
          <w:szCs w:val="22"/>
          <w:lang w:bidi="en-US"/>
        </w:rPr>
        <w:t xml:space="preserve"> </w:t>
      </w:r>
      <w:r w:rsidRPr="00417F25">
        <w:rPr>
          <w:rFonts w:cs="Arial"/>
          <w:szCs w:val="22"/>
          <w:lang w:bidi="en-US"/>
        </w:rPr>
        <w:t>for</w:t>
      </w:r>
      <w:r w:rsidRPr="00417F25">
        <w:rPr>
          <w:rFonts w:cs="Arial"/>
          <w:spacing w:val="-36"/>
          <w:szCs w:val="22"/>
          <w:lang w:bidi="en-US"/>
        </w:rPr>
        <w:t xml:space="preserve"> </w:t>
      </w:r>
      <w:r w:rsidRPr="00417F25">
        <w:rPr>
          <w:rFonts w:cs="Arial"/>
          <w:szCs w:val="22"/>
          <w:lang w:bidi="en-US"/>
        </w:rPr>
        <w:t>preparedness</w:t>
      </w:r>
      <w:r w:rsidRPr="00417F25">
        <w:rPr>
          <w:rFonts w:cs="Arial"/>
          <w:spacing w:val="-7"/>
          <w:szCs w:val="22"/>
          <w:lang w:bidi="en-US"/>
        </w:rPr>
        <w:t xml:space="preserve"> </w:t>
      </w:r>
      <w:r w:rsidRPr="00417F25">
        <w:rPr>
          <w:rFonts w:cs="Arial"/>
          <w:szCs w:val="22"/>
          <w:lang w:bidi="en-US"/>
        </w:rPr>
        <w:t xml:space="preserve">priorities, planning activities and those responsible for providing resources to support preparedness </w:t>
      </w:r>
      <w:proofErr w:type="gramStart"/>
      <w:r w:rsidRPr="00417F25">
        <w:rPr>
          <w:rFonts w:cs="Arial"/>
          <w:szCs w:val="22"/>
          <w:lang w:bidi="en-US"/>
        </w:rPr>
        <w:t>efforts;</w:t>
      </w:r>
      <w:proofErr w:type="gramEnd"/>
    </w:p>
    <w:p w14:paraId="52776B46" w14:textId="6708D8DE" w:rsidR="00417F25" w:rsidRPr="00417F25" w:rsidRDefault="00417F25" w:rsidP="00391999">
      <w:pPr>
        <w:widowControl w:val="0"/>
        <w:numPr>
          <w:ilvl w:val="1"/>
          <w:numId w:val="16"/>
        </w:numPr>
        <w:autoSpaceDE w:val="0"/>
        <w:autoSpaceDN w:val="0"/>
        <w:spacing w:before="120" w:line="276" w:lineRule="auto"/>
        <w:ind w:left="720" w:right="877"/>
        <w:jc w:val="both"/>
        <w:rPr>
          <w:rFonts w:cs="Arial"/>
          <w:szCs w:val="22"/>
          <w:lang w:bidi="en-US"/>
        </w:rPr>
      </w:pPr>
      <w:r w:rsidRPr="00417F25">
        <w:rPr>
          <w:rFonts w:cs="Arial"/>
          <w:szCs w:val="22"/>
          <w:lang w:bidi="en-US"/>
        </w:rPr>
        <w:t>Relevant planning, training, exercise and grant program managers who would be responsible for carrying out the activities identified during the</w:t>
      </w:r>
      <w:r w:rsidRPr="00417F25">
        <w:rPr>
          <w:rFonts w:cs="Arial"/>
          <w:spacing w:val="-9"/>
          <w:szCs w:val="22"/>
          <w:lang w:bidi="en-US"/>
        </w:rPr>
        <w:t xml:space="preserve"> </w:t>
      </w:r>
      <w:proofErr w:type="gramStart"/>
      <w:r w:rsidRPr="00417F25">
        <w:rPr>
          <w:rFonts w:cs="Arial"/>
          <w:szCs w:val="22"/>
          <w:lang w:bidi="en-US"/>
        </w:rPr>
        <w:t>workshop;</w:t>
      </w:r>
      <w:proofErr w:type="gramEnd"/>
    </w:p>
    <w:p w14:paraId="4A5B3B24" w14:textId="77777777" w:rsidR="00417F25" w:rsidRPr="00417F25" w:rsidRDefault="00417F25" w:rsidP="00391999">
      <w:pPr>
        <w:widowControl w:val="0"/>
        <w:numPr>
          <w:ilvl w:val="1"/>
          <w:numId w:val="16"/>
        </w:numPr>
        <w:autoSpaceDE w:val="0"/>
        <w:autoSpaceDN w:val="0"/>
        <w:spacing w:before="119" w:line="276" w:lineRule="auto"/>
        <w:ind w:left="720"/>
        <w:jc w:val="both"/>
        <w:rPr>
          <w:rFonts w:cs="Arial"/>
          <w:szCs w:val="22"/>
          <w:lang w:bidi="en-US"/>
        </w:rPr>
      </w:pPr>
      <w:r w:rsidRPr="00417F25">
        <w:rPr>
          <w:rFonts w:cs="Arial"/>
          <w:szCs w:val="22"/>
          <w:lang w:bidi="en-US"/>
        </w:rPr>
        <w:t>Individuals with knowledge of the jurisdiction’s/organization’s risks and</w:t>
      </w:r>
      <w:r w:rsidRPr="00417F25">
        <w:rPr>
          <w:rFonts w:cs="Arial"/>
          <w:spacing w:val="-7"/>
          <w:szCs w:val="22"/>
          <w:lang w:bidi="en-US"/>
        </w:rPr>
        <w:t xml:space="preserve"> </w:t>
      </w:r>
      <w:r w:rsidRPr="00417F25">
        <w:rPr>
          <w:rFonts w:cs="Arial"/>
          <w:szCs w:val="22"/>
          <w:lang w:bidi="en-US"/>
        </w:rPr>
        <w:t>capabilities;</w:t>
      </w:r>
    </w:p>
    <w:p w14:paraId="28F89E55" w14:textId="5974A014" w:rsidR="00417F25" w:rsidRPr="00417F25" w:rsidRDefault="00417F25" w:rsidP="00391999">
      <w:pPr>
        <w:widowControl w:val="0"/>
        <w:numPr>
          <w:ilvl w:val="1"/>
          <w:numId w:val="16"/>
        </w:numPr>
        <w:autoSpaceDE w:val="0"/>
        <w:autoSpaceDN w:val="0"/>
        <w:spacing w:before="119" w:line="276" w:lineRule="auto"/>
        <w:ind w:left="720" w:right="866"/>
        <w:jc w:val="both"/>
        <w:rPr>
          <w:rFonts w:cs="Arial"/>
          <w:szCs w:val="22"/>
          <w:lang w:bidi="en-US"/>
        </w:rPr>
      </w:pPr>
      <w:r w:rsidRPr="00417F25">
        <w:rPr>
          <w:rFonts w:cs="Arial"/>
          <w:szCs w:val="22"/>
          <w:lang w:bidi="en-US"/>
        </w:rPr>
        <w:t xml:space="preserve">Representatives from relevant disciplines that would be part of the exercises or real-world incidents, including appropriate local, regional or federal department and agency </w:t>
      </w:r>
      <w:proofErr w:type="gramStart"/>
      <w:r w:rsidRPr="00417F25">
        <w:rPr>
          <w:rFonts w:cs="Arial"/>
          <w:szCs w:val="22"/>
          <w:lang w:bidi="en-US"/>
        </w:rPr>
        <w:t>representatives;</w:t>
      </w:r>
      <w:proofErr w:type="gramEnd"/>
    </w:p>
    <w:p w14:paraId="64DEFCF1" w14:textId="77777777" w:rsidR="00417F25" w:rsidRPr="00417F25" w:rsidRDefault="00417F25" w:rsidP="00391999">
      <w:pPr>
        <w:widowControl w:val="0"/>
        <w:numPr>
          <w:ilvl w:val="1"/>
          <w:numId w:val="16"/>
        </w:numPr>
        <w:autoSpaceDE w:val="0"/>
        <w:autoSpaceDN w:val="0"/>
        <w:spacing w:before="120" w:line="276" w:lineRule="auto"/>
        <w:ind w:left="720" w:hanging="361"/>
        <w:jc w:val="both"/>
        <w:rPr>
          <w:rFonts w:cs="Arial"/>
          <w:szCs w:val="22"/>
          <w:lang w:bidi="en-US"/>
        </w:rPr>
      </w:pPr>
      <w:r w:rsidRPr="00417F25">
        <w:rPr>
          <w:rFonts w:cs="Arial"/>
          <w:szCs w:val="22"/>
          <w:lang w:bidi="en-US"/>
        </w:rPr>
        <w:lastRenderedPageBreak/>
        <w:t>Individuals with administrative responsibility relevant to exercise</w:t>
      </w:r>
      <w:r w:rsidRPr="00417F25">
        <w:rPr>
          <w:rFonts w:cs="Arial"/>
          <w:spacing w:val="-23"/>
          <w:szCs w:val="22"/>
          <w:lang w:bidi="en-US"/>
        </w:rPr>
        <w:t xml:space="preserve"> </w:t>
      </w:r>
      <w:proofErr w:type="gramStart"/>
      <w:r w:rsidRPr="00417F25">
        <w:rPr>
          <w:rFonts w:cs="Arial"/>
          <w:szCs w:val="22"/>
          <w:lang w:bidi="en-US"/>
        </w:rPr>
        <w:t>conduct;</w:t>
      </w:r>
      <w:proofErr w:type="gramEnd"/>
    </w:p>
    <w:p w14:paraId="599A9020" w14:textId="77777777" w:rsidR="00417F25" w:rsidRPr="00417F25" w:rsidRDefault="00417F25" w:rsidP="00391999">
      <w:pPr>
        <w:widowControl w:val="0"/>
        <w:numPr>
          <w:ilvl w:val="1"/>
          <w:numId w:val="16"/>
        </w:numPr>
        <w:autoSpaceDE w:val="0"/>
        <w:autoSpaceDN w:val="0"/>
        <w:spacing w:before="118" w:line="276" w:lineRule="auto"/>
        <w:ind w:left="720"/>
        <w:jc w:val="both"/>
        <w:rPr>
          <w:rFonts w:cs="Arial"/>
          <w:szCs w:val="22"/>
          <w:lang w:bidi="en-US"/>
        </w:rPr>
      </w:pPr>
      <w:r w:rsidRPr="00417F25">
        <w:rPr>
          <w:rFonts w:cs="Arial"/>
          <w:szCs w:val="22"/>
          <w:lang w:bidi="en-US"/>
        </w:rPr>
        <w:t>Advocates for individuals with disabilities and access and functional needs;</w:t>
      </w:r>
      <w:r w:rsidRPr="00417F25">
        <w:rPr>
          <w:rFonts w:cs="Arial"/>
          <w:spacing w:val="-6"/>
          <w:szCs w:val="22"/>
          <w:lang w:bidi="en-US"/>
        </w:rPr>
        <w:t xml:space="preserve"> </w:t>
      </w:r>
      <w:r w:rsidRPr="00417F25">
        <w:rPr>
          <w:rFonts w:cs="Arial"/>
          <w:szCs w:val="22"/>
          <w:lang w:bidi="en-US"/>
        </w:rPr>
        <w:t>and</w:t>
      </w:r>
    </w:p>
    <w:p w14:paraId="19980F04" w14:textId="6A2DFA87" w:rsidR="00417F25" w:rsidRPr="00417F25" w:rsidRDefault="00417F25" w:rsidP="00391999">
      <w:pPr>
        <w:widowControl w:val="0"/>
        <w:numPr>
          <w:ilvl w:val="1"/>
          <w:numId w:val="16"/>
        </w:numPr>
        <w:autoSpaceDE w:val="0"/>
        <w:autoSpaceDN w:val="0"/>
        <w:spacing w:before="119" w:line="276" w:lineRule="auto"/>
        <w:ind w:left="720" w:right="858"/>
        <w:jc w:val="both"/>
        <w:rPr>
          <w:rFonts w:cs="Arial"/>
          <w:szCs w:val="22"/>
          <w:lang w:bidi="en-US"/>
        </w:rPr>
      </w:pPr>
      <w:r w:rsidRPr="00417F25">
        <w:rPr>
          <w:rFonts w:cs="Arial"/>
          <w:szCs w:val="22"/>
          <w:lang w:bidi="en-US"/>
        </w:rPr>
        <w:t>Community representatives to include businesses, the healthcare sector, volunteer organizations, nongovernmental organizations, nonprofits, faith-based and social support organizations.</w:t>
      </w:r>
    </w:p>
    <w:p w14:paraId="7984DBCD" w14:textId="05E69238" w:rsidR="00417F25" w:rsidRDefault="00417F25" w:rsidP="00391999">
      <w:pPr>
        <w:pStyle w:val="BodyText"/>
        <w:spacing w:line="276" w:lineRule="auto"/>
      </w:pPr>
      <w:r>
        <w:t>Participant responsibilities for the IPPW preparation, conduct and follow-up are listed in the following sections.</w:t>
      </w:r>
    </w:p>
    <w:p w14:paraId="6F4F28A8" w14:textId="77777777" w:rsidR="00417F25" w:rsidRDefault="00417F25" w:rsidP="00417F25">
      <w:pPr>
        <w:pStyle w:val="Heading3"/>
      </w:pPr>
      <w:r>
        <w:t>Workshop Participants</w:t>
      </w:r>
    </w:p>
    <w:p w14:paraId="4AD7B456" w14:textId="77777777" w:rsidR="00417F25" w:rsidRPr="00CB10E3" w:rsidRDefault="00417F25" w:rsidP="00417F25">
      <w:pPr>
        <w:pStyle w:val="Heading4"/>
      </w:pPr>
      <w:r w:rsidRPr="00CB10E3">
        <w:t>Preparation</w:t>
      </w:r>
    </w:p>
    <w:p w14:paraId="502E1218" w14:textId="5E5CD816" w:rsidR="00417F25" w:rsidRPr="005928B1" w:rsidRDefault="00417F25" w:rsidP="00391999">
      <w:pPr>
        <w:pStyle w:val="BodyText"/>
        <w:spacing w:line="276" w:lineRule="auto"/>
      </w:pPr>
      <w:r>
        <w:t xml:space="preserve">In </w:t>
      </w:r>
      <w:r w:rsidRPr="00524486">
        <w:t>preparation</w:t>
      </w:r>
      <w:r>
        <w:t xml:space="preserve"> for the IPPW, participants are responsible for:</w:t>
      </w:r>
    </w:p>
    <w:p w14:paraId="12790E2B" w14:textId="3A969278" w:rsidR="00417F25" w:rsidRPr="001F2E8E" w:rsidRDefault="00417F25" w:rsidP="00391999">
      <w:pPr>
        <w:pStyle w:val="ListBullet"/>
        <w:tabs>
          <w:tab w:val="clear" w:pos="720"/>
        </w:tabs>
        <w:spacing w:line="276" w:lineRule="auto"/>
      </w:pPr>
      <w:r w:rsidRPr="001F2E8E">
        <w:t>Responding to the data call requesting</w:t>
      </w:r>
      <w:r w:rsidR="00477B7C">
        <w:t xml:space="preserve"> </w:t>
      </w:r>
      <w:r>
        <w:t>jurisdictions/</w:t>
      </w:r>
      <w:r w:rsidRPr="001F2E8E">
        <w:t xml:space="preserve">organizations factors to consider informing </w:t>
      </w:r>
      <w:r>
        <w:t>preparedness</w:t>
      </w:r>
      <w:r w:rsidRPr="001F2E8E">
        <w:t xml:space="preserve"> priority </w:t>
      </w:r>
      <w:proofErr w:type="gramStart"/>
      <w:r w:rsidRPr="001F2E8E">
        <w:t>development</w:t>
      </w:r>
      <w:r>
        <w:t>;</w:t>
      </w:r>
      <w:proofErr w:type="gramEnd"/>
    </w:p>
    <w:p w14:paraId="49214D3B" w14:textId="20421EE3" w:rsidR="00417F25" w:rsidRDefault="00417F25" w:rsidP="00391999">
      <w:pPr>
        <w:pStyle w:val="ListBullet"/>
        <w:tabs>
          <w:tab w:val="clear" w:pos="720"/>
        </w:tabs>
        <w:spacing w:line="276" w:lineRule="auto"/>
      </w:pPr>
      <w:r>
        <w:t xml:space="preserve">Reviewing the previous </w:t>
      </w:r>
      <w:proofErr w:type="gramStart"/>
      <w:r>
        <w:t>IPP;</w:t>
      </w:r>
      <w:proofErr w:type="gramEnd"/>
    </w:p>
    <w:p w14:paraId="1D9CA076" w14:textId="23A7B2B3" w:rsidR="00417F25" w:rsidRDefault="00417F25" w:rsidP="00391999">
      <w:pPr>
        <w:pStyle w:val="ListBullet"/>
        <w:tabs>
          <w:tab w:val="clear" w:pos="720"/>
        </w:tabs>
        <w:spacing w:line="276" w:lineRule="auto"/>
      </w:pPr>
      <w:r>
        <w:t>Reviewing their jurisdiction’s/organization’s improvement plans from exercises and real-world events</w:t>
      </w:r>
      <w:r w:rsidR="00477B7C">
        <w:t xml:space="preserve"> and</w:t>
      </w:r>
      <w:r>
        <w:t xml:space="preserve"> focusing on the corrective actions that are outstanding or need to be validated through training and </w:t>
      </w:r>
      <w:proofErr w:type="gramStart"/>
      <w:r>
        <w:t>exercises;</w:t>
      </w:r>
      <w:proofErr w:type="gramEnd"/>
    </w:p>
    <w:p w14:paraId="1CC4820C" w14:textId="737F3466" w:rsidR="00417F25" w:rsidRDefault="00417F25" w:rsidP="00391999">
      <w:pPr>
        <w:pStyle w:val="ListBullet"/>
        <w:tabs>
          <w:tab w:val="clear" w:pos="720"/>
        </w:tabs>
        <w:spacing w:line="276" w:lineRule="auto"/>
      </w:pPr>
      <w:r>
        <w:t xml:space="preserve">Reviewing their jurisdiction’s/organization’s planning, organizing and equipping </w:t>
      </w:r>
      <w:proofErr w:type="gramStart"/>
      <w:r>
        <w:t>considerations;</w:t>
      </w:r>
      <w:proofErr w:type="gramEnd"/>
    </w:p>
    <w:p w14:paraId="39BDBC29" w14:textId="77777777" w:rsidR="00417F25" w:rsidRDefault="00417F25" w:rsidP="00391999">
      <w:pPr>
        <w:pStyle w:val="ListBullet"/>
        <w:tabs>
          <w:tab w:val="clear" w:pos="720"/>
        </w:tabs>
        <w:spacing w:line="276" w:lineRule="auto"/>
      </w:pPr>
      <w:r>
        <w:t>Reviewing their jurisdiction’s/organization’s current training and exercise schedule and any training and exercise requirements; and</w:t>
      </w:r>
    </w:p>
    <w:p w14:paraId="3EE83468" w14:textId="77777777" w:rsidR="00417F25" w:rsidRDefault="00417F25" w:rsidP="00391999">
      <w:pPr>
        <w:pStyle w:val="ListBullet"/>
        <w:tabs>
          <w:tab w:val="clear" w:pos="720"/>
        </w:tabs>
        <w:spacing w:line="276" w:lineRule="auto"/>
      </w:pPr>
      <w:r>
        <w:t>Reviewing all read-ahead information provided by the workshop sponsor jurisdiction/organization.</w:t>
      </w:r>
    </w:p>
    <w:p w14:paraId="6D2F4681" w14:textId="5A719BD1" w:rsidR="00417F25" w:rsidRDefault="00417F25" w:rsidP="00391999">
      <w:pPr>
        <w:pStyle w:val="ListBullet"/>
        <w:numPr>
          <w:ilvl w:val="0"/>
          <w:numId w:val="0"/>
        </w:numPr>
        <w:spacing w:line="276" w:lineRule="auto"/>
      </w:pPr>
      <w:r>
        <w:t xml:space="preserve">If desired, a jurisdiction/organization could complete a separate, lower level (IPP prior to attending the larger jurisdiction’s/organization’s IPPW </w:t>
      </w:r>
      <w:proofErr w:type="gramStart"/>
      <w:r>
        <w:t>in order to</w:t>
      </w:r>
      <w:proofErr w:type="gramEnd"/>
      <w:r>
        <w:t xml:space="preserve"> prepare the necessary information needed to inform the development of the comprehensive IPP at the workshop.</w:t>
      </w:r>
    </w:p>
    <w:p w14:paraId="49B0C311" w14:textId="77777777" w:rsidR="00417F25" w:rsidRPr="00CB10E3" w:rsidRDefault="00417F25" w:rsidP="00417F25">
      <w:pPr>
        <w:pStyle w:val="Heading4"/>
      </w:pPr>
      <w:r w:rsidRPr="00524486">
        <w:t>Conduct</w:t>
      </w:r>
    </w:p>
    <w:p w14:paraId="1D3834ED" w14:textId="0F3C8E42" w:rsidR="00417F25" w:rsidRPr="005928B1" w:rsidRDefault="00417F25" w:rsidP="00391999">
      <w:pPr>
        <w:pStyle w:val="BodyText"/>
        <w:spacing w:line="276" w:lineRule="auto"/>
      </w:pPr>
      <w:r>
        <w:t>During the IPPW conduct, participants are responsible for:</w:t>
      </w:r>
    </w:p>
    <w:p w14:paraId="10532218" w14:textId="212A3E63" w:rsidR="00417F25" w:rsidRPr="00524486" w:rsidRDefault="00417F25" w:rsidP="00391999">
      <w:pPr>
        <w:pStyle w:val="ListBullet"/>
        <w:spacing w:line="276" w:lineRule="auto"/>
      </w:pPr>
      <w:r w:rsidRPr="00524486">
        <w:t xml:space="preserve">Having a working knowledge of their </w:t>
      </w:r>
      <w:r>
        <w:t>jurisdiction’s/</w:t>
      </w:r>
      <w:r w:rsidRPr="00524486">
        <w:t xml:space="preserve">organization’s capabilities, threats and hazards, homeland security strategy, preparedness reports, external requirements and accreditation standards or </w:t>
      </w:r>
      <w:proofErr w:type="gramStart"/>
      <w:r w:rsidRPr="00524486">
        <w:t>regulations</w:t>
      </w:r>
      <w:r>
        <w:t>;</w:t>
      </w:r>
      <w:proofErr w:type="gramEnd"/>
    </w:p>
    <w:p w14:paraId="604FBCD2" w14:textId="77777777" w:rsidR="00417F25" w:rsidRPr="00524486" w:rsidRDefault="00417F25" w:rsidP="00391999">
      <w:pPr>
        <w:pStyle w:val="ListBullet"/>
        <w:spacing w:line="276" w:lineRule="auto"/>
      </w:pPr>
      <w:r w:rsidRPr="00524486">
        <w:t xml:space="preserve">Bringing their </w:t>
      </w:r>
      <w:r>
        <w:t>jurisdiction’s/</w:t>
      </w:r>
      <w:r w:rsidRPr="00524486">
        <w:t xml:space="preserve">organization’s training and exercise schedules to the </w:t>
      </w:r>
      <w:proofErr w:type="gramStart"/>
      <w:r w:rsidRPr="00524486">
        <w:t>workshop</w:t>
      </w:r>
      <w:r>
        <w:t>;</w:t>
      </w:r>
      <w:proofErr w:type="gramEnd"/>
    </w:p>
    <w:p w14:paraId="6E0BB6C7" w14:textId="0B365C3F" w:rsidR="00417F25" w:rsidRPr="00524486" w:rsidRDefault="00417F25" w:rsidP="00391999">
      <w:pPr>
        <w:pStyle w:val="ListBullet"/>
        <w:spacing w:line="276" w:lineRule="auto"/>
      </w:pPr>
      <w:r w:rsidRPr="00524486">
        <w:lastRenderedPageBreak/>
        <w:t xml:space="preserve">Having authority to commit personnel and resources to the activities scheduled in the </w:t>
      </w:r>
      <w:r>
        <w:t>IPP; and</w:t>
      </w:r>
    </w:p>
    <w:p w14:paraId="526FDF1C" w14:textId="77777777" w:rsidR="00417F25" w:rsidRPr="00524486" w:rsidRDefault="00417F25" w:rsidP="00391999">
      <w:pPr>
        <w:pStyle w:val="ListBullet"/>
        <w:spacing w:line="276" w:lineRule="auto"/>
      </w:pPr>
      <w:r w:rsidRPr="00524486">
        <w:t xml:space="preserve">Actively participating in workshop discussions, representing their </w:t>
      </w:r>
      <w:r>
        <w:t>jurisdiction’s/</w:t>
      </w:r>
      <w:r w:rsidRPr="00524486">
        <w:t>organization’s</w:t>
      </w:r>
      <w:r>
        <w:t xml:space="preserve"> perspective and priorities.</w:t>
      </w:r>
    </w:p>
    <w:p w14:paraId="189D5487" w14:textId="77777777" w:rsidR="00417F25" w:rsidRPr="00CB10E3" w:rsidRDefault="00417F25" w:rsidP="00391999">
      <w:pPr>
        <w:pStyle w:val="Heading4"/>
        <w:spacing w:line="276" w:lineRule="auto"/>
      </w:pPr>
      <w:r w:rsidRPr="00CB10E3">
        <w:t>Follow-up</w:t>
      </w:r>
    </w:p>
    <w:p w14:paraId="66C06DF2" w14:textId="4E8E17AA" w:rsidR="00417F25" w:rsidRPr="005928B1" w:rsidRDefault="00417F25" w:rsidP="00391999">
      <w:pPr>
        <w:pStyle w:val="BodyText"/>
        <w:spacing w:line="276" w:lineRule="auto"/>
      </w:pPr>
      <w:r>
        <w:t>After the IPPW is concluded, participants are responsible for:</w:t>
      </w:r>
    </w:p>
    <w:p w14:paraId="7F46D1E0" w14:textId="66C1ABAF" w:rsidR="00417F25" w:rsidRDefault="00417F25" w:rsidP="00391999">
      <w:pPr>
        <w:pStyle w:val="ListBullet"/>
        <w:tabs>
          <w:tab w:val="clear" w:pos="720"/>
        </w:tabs>
        <w:spacing w:line="276" w:lineRule="auto"/>
      </w:pPr>
      <w:r>
        <w:t xml:space="preserve">Reviewing the workshop summary and </w:t>
      </w:r>
      <w:r w:rsidR="00477B7C">
        <w:t xml:space="preserve">the </w:t>
      </w:r>
      <w:r>
        <w:t xml:space="preserve">newly developed IPP provided by the sponsor. </w:t>
      </w:r>
    </w:p>
    <w:p w14:paraId="2AF2752F" w14:textId="03A85B99" w:rsidR="00417F25" w:rsidRDefault="00417F25" w:rsidP="00391999">
      <w:pPr>
        <w:pStyle w:val="ListBullet"/>
        <w:tabs>
          <w:tab w:val="clear" w:pos="720"/>
        </w:tabs>
        <w:spacing w:line="276" w:lineRule="auto"/>
      </w:pPr>
      <w:r>
        <w:t>Coordinating with appropriate personnel in their jurisdiction/organization to integrate the new IPP into other preparedness activity schedules, and suggest training and exercise participants, as appropriate.</w:t>
      </w:r>
    </w:p>
    <w:p w14:paraId="393F6F56" w14:textId="6D4F3CF9" w:rsidR="00391999" w:rsidRDefault="00391999">
      <w:pPr>
        <w:spacing w:after="200" w:line="276" w:lineRule="auto"/>
      </w:pPr>
      <w:r>
        <w:br w:type="page"/>
      </w:r>
    </w:p>
    <w:p w14:paraId="13E31817" w14:textId="77777777" w:rsidR="005F02E6" w:rsidRDefault="005F02E6" w:rsidP="00391999">
      <w:pPr>
        <w:pStyle w:val="ListBullet"/>
        <w:numPr>
          <w:ilvl w:val="0"/>
          <w:numId w:val="0"/>
        </w:numPr>
        <w:spacing w:line="276" w:lineRule="auto"/>
        <w:ind w:left="720" w:hanging="360"/>
        <w:sectPr w:rsidR="005F02E6" w:rsidSect="00F118F5">
          <w:headerReference w:type="default" r:id="rId15"/>
          <w:footerReference w:type="default" r:id="rId16"/>
          <w:pgSz w:w="12240" w:h="15840" w:code="1"/>
          <w:pgMar w:top="1440" w:right="1440" w:bottom="1440" w:left="1440" w:header="432" w:footer="432" w:gutter="0"/>
          <w:pgNumType w:start="1"/>
          <w:cols w:space="720"/>
          <w:docGrid w:linePitch="360"/>
        </w:sectPr>
      </w:pPr>
    </w:p>
    <w:p w14:paraId="438231A4" w14:textId="77777777" w:rsidR="00417F25" w:rsidRDefault="00417F25" w:rsidP="00417F25">
      <w:pPr>
        <w:pStyle w:val="Heading1"/>
      </w:pPr>
      <w:bookmarkStart w:id="5" w:name="_Toc255226102"/>
      <w:bookmarkStart w:id="6" w:name="_Toc303940093"/>
      <w:bookmarkStart w:id="7" w:name="_Toc343613178"/>
      <w:r>
        <w:lastRenderedPageBreak/>
        <w:t xml:space="preserve">Appendix A: Sample </w:t>
      </w:r>
      <w:bookmarkEnd w:id="5"/>
      <w:bookmarkEnd w:id="6"/>
      <w:r>
        <w:t>Material</w:t>
      </w:r>
      <w:bookmarkEnd w:id="7"/>
    </w:p>
    <w:p w14:paraId="74B730E6" w14:textId="77777777" w:rsidR="00417F25" w:rsidRPr="003F7386" w:rsidRDefault="00417F25" w:rsidP="00417F25">
      <w:pPr>
        <w:pStyle w:val="Heading2"/>
      </w:pPr>
      <w:bookmarkStart w:id="8" w:name="_Toc242263783"/>
      <w:bookmarkStart w:id="9" w:name="_Toc255226103"/>
      <w:bookmarkStart w:id="10" w:name="_Toc303940094"/>
      <w:bookmarkStart w:id="11" w:name="_Toc343613179"/>
      <w:r>
        <w:t xml:space="preserve">Sample </w:t>
      </w:r>
      <w:r w:rsidRPr="003F7386">
        <w:t>Invitation Letter</w:t>
      </w:r>
      <w:bookmarkEnd w:id="8"/>
      <w:bookmarkEnd w:id="9"/>
      <w:bookmarkEnd w:id="10"/>
      <w:bookmarkEnd w:id="11"/>
    </w:p>
    <w:p w14:paraId="32DBDCF8" w14:textId="77777777" w:rsidR="00417F25" w:rsidRPr="004531C0" w:rsidRDefault="00417F25" w:rsidP="00417F25">
      <w:pPr>
        <w:pStyle w:val="BodyText"/>
        <w:ind w:left="1080" w:hanging="1080"/>
        <w:rPr>
          <w:rStyle w:val="ODPParaInd2Char"/>
          <w:bCs w:val="0"/>
        </w:rPr>
      </w:pPr>
      <w:r w:rsidRPr="0009391E">
        <w:rPr>
          <w:b/>
        </w:rPr>
        <w:t>To:</w:t>
      </w:r>
      <w:r w:rsidRPr="0009391E">
        <w:rPr>
          <w:rStyle w:val="ODPParaInd2Char"/>
        </w:rPr>
        <w:tab/>
      </w:r>
      <w:r w:rsidRPr="009071AD">
        <w:rPr>
          <w:highlight w:val="lightGray"/>
        </w:rPr>
        <w:t>[</w:t>
      </w:r>
      <w:r>
        <w:rPr>
          <w:highlight w:val="lightGray"/>
        </w:rPr>
        <w:t>Jurisdiction/</w:t>
      </w:r>
      <w:r w:rsidRPr="009071AD">
        <w:rPr>
          <w:highlight w:val="lightGray"/>
        </w:rPr>
        <w:t>Organization Representative]</w:t>
      </w:r>
    </w:p>
    <w:p w14:paraId="37B8E1D9" w14:textId="77777777" w:rsidR="00417F25" w:rsidRPr="009071AD" w:rsidRDefault="00417F25" w:rsidP="00417F25">
      <w:pPr>
        <w:pStyle w:val="BodyText"/>
        <w:ind w:left="1080" w:hanging="1080"/>
      </w:pPr>
      <w:r w:rsidRPr="0009391E">
        <w:rPr>
          <w:b/>
        </w:rPr>
        <w:t>From:</w:t>
      </w:r>
      <w:r w:rsidRPr="0009391E">
        <w:tab/>
      </w:r>
      <w:r>
        <w:rPr>
          <w:highlight w:val="lightGray"/>
        </w:rPr>
        <w:t>[Jurisdiction/</w:t>
      </w:r>
      <w:r w:rsidRPr="009071AD">
        <w:rPr>
          <w:highlight w:val="lightGray"/>
        </w:rPr>
        <w:t>Organization Representative]</w:t>
      </w:r>
    </w:p>
    <w:p w14:paraId="4ABD0DCF" w14:textId="77777777" w:rsidR="00417F25" w:rsidRPr="0009391E" w:rsidRDefault="00417F25" w:rsidP="00417F25">
      <w:pPr>
        <w:pStyle w:val="BodyText"/>
        <w:ind w:left="1080" w:hanging="1080"/>
      </w:pPr>
      <w:r w:rsidRPr="0009391E">
        <w:rPr>
          <w:b/>
        </w:rPr>
        <w:t>Date:</w:t>
      </w:r>
      <w:r w:rsidRPr="0009391E">
        <w:tab/>
      </w:r>
      <w:r w:rsidRPr="00445BBC">
        <w:rPr>
          <w:highlight w:val="lightGray"/>
        </w:rPr>
        <w:fldChar w:fldCharType="begin">
          <w:ffData>
            <w:name w:val="Text1"/>
            <w:enabled/>
            <w:calcOnExit w:val="0"/>
            <w:textInput>
              <w:default w:val="[Date]"/>
            </w:textInput>
          </w:ffData>
        </w:fldChar>
      </w:r>
      <w:r w:rsidRPr="00445BBC">
        <w:rPr>
          <w:highlight w:val="lightGray"/>
        </w:rPr>
        <w:instrText xml:space="preserve"> FORMTEXT </w:instrText>
      </w:r>
      <w:r w:rsidRPr="00445BBC">
        <w:rPr>
          <w:highlight w:val="lightGray"/>
        </w:rPr>
      </w:r>
      <w:r w:rsidRPr="00445BBC">
        <w:rPr>
          <w:highlight w:val="lightGray"/>
        </w:rPr>
        <w:fldChar w:fldCharType="separate"/>
      </w:r>
      <w:r w:rsidRPr="00445BBC">
        <w:rPr>
          <w:highlight w:val="lightGray"/>
        </w:rPr>
        <w:t>[Date]</w:t>
      </w:r>
      <w:r w:rsidRPr="00445BBC">
        <w:rPr>
          <w:highlight w:val="lightGray"/>
        </w:rPr>
        <w:fldChar w:fldCharType="end"/>
      </w:r>
    </w:p>
    <w:p w14:paraId="51C79F15" w14:textId="77777777" w:rsidR="00417F25" w:rsidRPr="0009391E" w:rsidRDefault="00417F25" w:rsidP="00417F25">
      <w:pPr>
        <w:pStyle w:val="BodyText"/>
        <w:ind w:left="1080" w:hanging="1080"/>
      </w:pPr>
      <w:r w:rsidRPr="0009391E">
        <w:rPr>
          <w:b/>
        </w:rPr>
        <w:t>Subject:</w:t>
      </w:r>
      <w:r w:rsidRPr="0009391E">
        <w:tab/>
      </w:r>
      <w:r>
        <w:t>Integrated Preparedness</w:t>
      </w:r>
      <w:r w:rsidRPr="0009391E">
        <w:rPr>
          <w:szCs w:val="26"/>
        </w:rPr>
        <w:t xml:space="preserve"> Planning Workshop (</w:t>
      </w:r>
      <w:r>
        <w:rPr>
          <w:szCs w:val="26"/>
        </w:rPr>
        <w:t>IPPW</w:t>
      </w:r>
      <w:r w:rsidRPr="0009391E">
        <w:rPr>
          <w:szCs w:val="26"/>
        </w:rPr>
        <w:t>)</w:t>
      </w:r>
    </w:p>
    <w:p w14:paraId="722EBD25" w14:textId="77777777" w:rsidR="00417F25" w:rsidRPr="00CF1352" w:rsidRDefault="00417F25" w:rsidP="00417F25">
      <w:pPr>
        <w:pStyle w:val="BodyText"/>
      </w:pPr>
      <w:r w:rsidRPr="00FB5D5A">
        <w:rPr>
          <w:highlight w:val="lightGray"/>
        </w:rPr>
        <w:t xml:space="preserve">[Sponsor </w:t>
      </w:r>
      <w:r>
        <w:rPr>
          <w:highlight w:val="lightGray"/>
        </w:rPr>
        <w:t>Jurisdiction/</w:t>
      </w:r>
      <w:r w:rsidRPr="00FB5D5A">
        <w:rPr>
          <w:highlight w:val="lightGray"/>
        </w:rPr>
        <w:t>Organization]</w:t>
      </w:r>
      <w:r w:rsidRPr="00CF1352">
        <w:t xml:space="preserve"> invites you to attend the </w:t>
      </w:r>
      <w:r>
        <w:t xml:space="preserve">Integrated Preparedness </w:t>
      </w:r>
      <w:r w:rsidRPr="00CF1352">
        <w:t>Planning Workshop (</w:t>
      </w:r>
      <w:r>
        <w:t>IPPW</w:t>
      </w:r>
      <w:r w:rsidRPr="00CF1352">
        <w:t xml:space="preserve">) on </w:t>
      </w:r>
      <w:r w:rsidRPr="00445BBC">
        <w:rPr>
          <w:highlight w:val="lightGray"/>
        </w:rPr>
        <w:t>[date]</w:t>
      </w:r>
      <w:r w:rsidRPr="00CF1352">
        <w:t xml:space="preserve"> at </w:t>
      </w:r>
      <w:r w:rsidRPr="00445BBC">
        <w:rPr>
          <w:highlight w:val="lightGray"/>
        </w:rPr>
        <w:t>[location]</w:t>
      </w:r>
      <w:r w:rsidRPr="00CF1352">
        <w:t xml:space="preserve">. The workshop will begin at </w:t>
      </w:r>
      <w:r w:rsidRPr="00445BBC">
        <w:rPr>
          <w:highlight w:val="lightGray"/>
        </w:rPr>
        <w:t>[time]</w:t>
      </w:r>
      <w:r w:rsidRPr="00CF1352">
        <w:t xml:space="preserve"> and conclude at </w:t>
      </w:r>
      <w:r w:rsidRPr="00445BBC">
        <w:rPr>
          <w:highlight w:val="lightGray"/>
        </w:rPr>
        <w:t>[time]</w:t>
      </w:r>
      <w:r w:rsidRPr="00CF1352">
        <w:t xml:space="preserve">; attendee registration will begin at </w:t>
      </w:r>
      <w:r w:rsidRPr="00445BBC">
        <w:rPr>
          <w:highlight w:val="lightGray"/>
        </w:rPr>
        <w:t>[time]</w:t>
      </w:r>
      <w:r w:rsidRPr="00CF1352">
        <w:t>.</w:t>
      </w:r>
    </w:p>
    <w:p w14:paraId="061B3074" w14:textId="6CCEA9E9" w:rsidR="00417F25" w:rsidRPr="006E6F1B" w:rsidRDefault="00417F25" w:rsidP="00417F25">
      <w:pPr>
        <w:pStyle w:val="BodyText"/>
      </w:pPr>
      <w:r>
        <w:t>An IPPW</w:t>
      </w:r>
      <w:r w:rsidRPr="005137C4">
        <w:t xml:space="preserve"> provides the opportunity to </w:t>
      </w:r>
      <w:r>
        <w:t>collaboratively establish preparedness priorities</w:t>
      </w:r>
      <w:r w:rsidRPr="005137C4">
        <w:t xml:space="preserve"> and develop or update </w:t>
      </w:r>
      <w:r>
        <w:t>the</w:t>
      </w:r>
      <w:r w:rsidRPr="005137C4">
        <w:t xml:space="preserve"> </w:t>
      </w:r>
      <w:r>
        <w:t>Integrated Preparedness Plan (IPP)</w:t>
      </w:r>
      <w:r w:rsidRPr="005137C4">
        <w:t>.</w:t>
      </w:r>
      <w:r>
        <w:t xml:space="preserve"> Coordination of preparedness activities is important for us to</w:t>
      </w:r>
      <w:r w:rsidRPr="006E6F1B">
        <w:t xml:space="preserve"> prevent duplication of efforts, ensure resources are not overextended and maximize the efficacy of </w:t>
      </w:r>
      <w:r>
        <w:t>preparedness activity</w:t>
      </w:r>
      <w:r w:rsidRPr="006E6F1B">
        <w:t xml:space="preserve"> appropriations.</w:t>
      </w:r>
      <w:r>
        <w:t xml:space="preserve"> </w:t>
      </w:r>
      <w:r w:rsidRPr="006E6F1B">
        <w:t>Moreover, schedule</w:t>
      </w:r>
      <w:r w:rsidR="003A255C">
        <w:t>d</w:t>
      </w:r>
      <w:r w:rsidRPr="006E6F1B">
        <w:t xml:space="preserve"> collaboration present</w:t>
      </w:r>
      <w:r>
        <w:t>s</w:t>
      </w:r>
      <w:r w:rsidRPr="006E6F1B">
        <w:t xml:space="preserve"> opportunities for </w:t>
      </w:r>
      <w:r>
        <w:t>jurisdictions/organizations</w:t>
      </w:r>
      <w:r w:rsidRPr="006E6F1B">
        <w:t xml:space="preserve"> to fulfill multiple </w:t>
      </w:r>
      <w:r>
        <w:t>preparedness</w:t>
      </w:r>
      <w:r w:rsidRPr="006E6F1B">
        <w:t xml:space="preserve"> requirements with a single </w:t>
      </w:r>
      <w:r>
        <w:t>activity</w:t>
      </w:r>
      <w:r w:rsidRPr="006E6F1B">
        <w:t>.</w:t>
      </w:r>
    </w:p>
    <w:p w14:paraId="5C1E76EE" w14:textId="77777777" w:rsidR="00417F25" w:rsidRPr="00CF1352" w:rsidRDefault="00417F25" w:rsidP="00417F25">
      <w:pPr>
        <w:pStyle w:val="BodyText"/>
      </w:pPr>
      <w:r>
        <w:t xml:space="preserve">Participants should be prepared to provide input to the preparedness priorities and development of the IPP. </w:t>
      </w:r>
      <w:proofErr w:type="gramStart"/>
      <w:r>
        <w:t>In order to</w:t>
      </w:r>
      <w:proofErr w:type="gramEnd"/>
      <w:r>
        <w:t xml:space="preserve"> facilitate productive discussions at the IPPW, participants should submit the following information to </w:t>
      </w:r>
      <w:r w:rsidRPr="009071AD">
        <w:rPr>
          <w:highlight w:val="lightGray"/>
        </w:rPr>
        <w:t>[POC]</w:t>
      </w:r>
      <w:r>
        <w:t xml:space="preserve"> by </w:t>
      </w:r>
      <w:r w:rsidRPr="009071AD">
        <w:rPr>
          <w:highlight w:val="lightGray"/>
        </w:rPr>
        <w:t>[date]</w:t>
      </w:r>
      <w:r>
        <w:t>:</w:t>
      </w:r>
    </w:p>
    <w:p w14:paraId="17C5696C" w14:textId="77777777" w:rsidR="00417F25" w:rsidRPr="009071AD" w:rsidRDefault="00417F25" w:rsidP="00417F25">
      <w:pPr>
        <w:pStyle w:val="ListBullet"/>
        <w:numPr>
          <w:ilvl w:val="0"/>
          <w:numId w:val="19"/>
        </w:numPr>
        <w:spacing w:before="60"/>
      </w:pPr>
      <w:r>
        <w:t xml:space="preserve">Summary of jurisdictional/organizational threat and hazard </w:t>
      </w:r>
      <w:proofErr w:type="gramStart"/>
      <w:r>
        <w:t>information;</w:t>
      </w:r>
      <w:proofErr w:type="gramEnd"/>
    </w:p>
    <w:p w14:paraId="0B6A095D" w14:textId="77777777" w:rsidR="00417F25" w:rsidRPr="009071AD" w:rsidRDefault="00417F25" w:rsidP="00417F25">
      <w:pPr>
        <w:pStyle w:val="ListBullet"/>
        <w:numPr>
          <w:ilvl w:val="0"/>
          <w:numId w:val="19"/>
        </w:numPr>
        <w:spacing w:before="60"/>
      </w:pPr>
      <w:r>
        <w:t xml:space="preserve">Corrective actions and/or areas for improvement from exercises and real-world </w:t>
      </w:r>
      <w:proofErr w:type="gramStart"/>
      <w:r>
        <w:t>incidents;</w:t>
      </w:r>
      <w:proofErr w:type="gramEnd"/>
    </w:p>
    <w:p w14:paraId="7DF5DFF1" w14:textId="4F594BBA" w:rsidR="00417F25" w:rsidRPr="009071AD" w:rsidRDefault="00417F25" w:rsidP="00417F25">
      <w:pPr>
        <w:pStyle w:val="ListBullet"/>
        <w:numPr>
          <w:ilvl w:val="0"/>
          <w:numId w:val="19"/>
        </w:numPr>
        <w:spacing w:before="60"/>
      </w:pPr>
      <w:r>
        <w:t>External sources and requirements, such as homeland security strategies, preparedness reports or industry reports; and</w:t>
      </w:r>
    </w:p>
    <w:p w14:paraId="5C9D125E" w14:textId="77777777" w:rsidR="00417F25" w:rsidRPr="009071AD" w:rsidRDefault="00417F25" w:rsidP="00417F25">
      <w:pPr>
        <w:pStyle w:val="ListBullet"/>
        <w:numPr>
          <w:ilvl w:val="0"/>
          <w:numId w:val="19"/>
        </w:numPr>
        <w:spacing w:before="60"/>
      </w:pPr>
      <w:r>
        <w:t>Accreditation standards and regulations.</w:t>
      </w:r>
    </w:p>
    <w:p w14:paraId="10D676B2" w14:textId="77777777" w:rsidR="00417F25" w:rsidRPr="009071AD" w:rsidRDefault="00417F25" w:rsidP="00417F25">
      <w:pPr>
        <w:pStyle w:val="ListBullet"/>
        <w:numPr>
          <w:ilvl w:val="0"/>
          <w:numId w:val="0"/>
        </w:numPr>
      </w:pPr>
      <w:r>
        <w:t>Participants should also review the following read-ahead material:</w:t>
      </w:r>
    </w:p>
    <w:p w14:paraId="0E943647" w14:textId="77777777" w:rsidR="00417F25" w:rsidRPr="00EE609E" w:rsidRDefault="00417F25" w:rsidP="00417F25">
      <w:pPr>
        <w:pStyle w:val="ListBullet"/>
        <w:numPr>
          <w:ilvl w:val="0"/>
          <w:numId w:val="18"/>
        </w:numPr>
        <w:spacing w:before="60"/>
      </w:pPr>
      <w:r>
        <w:t>Previous year’s IPP; and</w:t>
      </w:r>
    </w:p>
    <w:p w14:paraId="66F2EA54" w14:textId="77777777" w:rsidR="00417F25" w:rsidRDefault="00417F25" w:rsidP="00417F25">
      <w:pPr>
        <w:pStyle w:val="ListBullet"/>
        <w:numPr>
          <w:ilvl w:val="0"/>
          <w:numId w:val="18"/>
        </w:numPr>
        <w:spacing w:before="60"/>
      </w:pPr>
      <w:r w:rsidRPr="00EE609E">
        <w:rPr>
          <w:highlight w:val="lightGray"/>
        </w:rPr>
        <w:t>[</w:t>
      </w:r>
      <w:r>
        <w:rPr>
          <w:highlight w:val="lightGray"/>
        </w:rPr>
        <w:t>C</w:t>
      </w:r>
      <w:r w:rsidRPr="00EE609E">
        <w:rPr>
          <w:highlight w:val="lightGray"/>
        </w:rPr>
        <w:t xml:space="preserve">apabilities or other references, </w:t>
      </w:r>
      <w:r>
        <w:rPr>
          <w:highlight w:val="lightGray"/>
        </w:rPr>
        <w:t xml:space="preserve">as </w:t>
      </w:r>
      <w:r w:rsidRPr="00EE609E">
        <w:rPr>
          <w:highlight w:val="lightGray"/>
        </w:rPr>
        <w:t>appropriate]</w:t>
      </w:r>
      <w:r>
        <w:t>.</w:t>
      </w:r>
    </w:p>
    <w:p w14:paraId="10147CA0" w14:textId="77777777" w:rsidR="00417F25" w:rsidRPr="00CF1352" w:rsidRDefault="00417F25" w:rsidP="00417F25">
      <w:pPr>
        <w:pStyle w:val="BodyText"/>
      </w:pPr>
      <w:r>
        <w:t>Because of the importance of preparedness planning decisions, we</w:t>
      </w:r>
      <w:r w:rsidRPr="00CF1352">
        <w:t xml:space="preserve"> ask that </w:t>
      </w:r>
      <w:r>
        <w:t xml:space="preserve">any </w:t>
      </w:r>
      <w:r w:rsidRPr="00CF1352">
        <w:t xml:space="preserve">requests for </w:t>
      </w:r>
      <w:r>
        <w:t xml:space="preserve">additional </w:t>
      </w:r>
      <w:r w:rsidRPr="00CF1352">
        <w:t>attendees or alternate representative</w:t>
      </w:r>
      <w:r>
        <w:t>s</w:t>
      </w:r>
      <w:r w:rsidRPr="00CF1352">
        <w:t xml:space="preserve"> be made through </w:t>
      </w:r>
      <w:r w:rsidRPr="00445BBC">
        <w:rPr>
          <w:highlight w:val="lightGray"/>
        </w:rPr>
        <w:t>[</w:t>
      </w:r>
      <w:r>
        <w:rPr>
          <w:highlight w:val="lightGray"/>
        </w:rPr>
        <w:t>Sponsor Jurisdiction/Organization</w:t>
      </w:r>
      <w:r w:rsidRPr="00445BBC">
        <w:rPr>
          <w:highlight w:val="lightGray"/>
        </w:rPr>
        <w:t>]</w:t>
      </w:r>
      <w:r w:rsidRPr="00540C0D">
        <w:t>.</w:t>
      </w:r>
      <w:r>
        <w:t xml:space="preserve"> </w:t>
      </w:r>
      <w:r w:rsidRPr="00CF1352">
        <w:t xml:space="preserve">We look forward to your participation in this </w:t>
      </w:r>
      <w:r>
        <w:t>workshop</w:t>
      </w:r>
      <w:r w:rsidRPr="00CF1352">
        <w:t>.</w:t>
      </w:r>
    </w:p>
    <w:p w14:paraId="7CFDAD02" w14:textId="77777777" w:rsidR="00417F25" w:rsidRPr="00CF1352" w:rsidRDefault="00417F25" w:rsidP="00417F25">
      <w:pPr>
        <w:pStyle w:val="BodyText"/>
      </w:pPr>
      <w:r>
        <w:t>Attachments:</w:t>
      </w:r>
    </w:p>
    <w:p w14:paraId="2AE33058" w14:textId="77777777" w:rsidR="00417F25" w:rsidRDefault="00417F25" w:rsidP="00417F25">
      <w:pPr>
        <w:pStyle w:val="BodyText"/>
        <w:numPr>
          <w:ilvl w:val="0"/>
          <w:numId w:val="17"/>
        </w:numPr>
        <w:spacing w:after="120"/>
      </w:pPr>
      <w:r w:rsidRPr="00CF1352">
        <w:t>Registration Form</w:t>
      </w:r>
      <w:r>
        <w:t>,</w:t>
      </w:r>
    </w:p>
    <w:p w14:paraId="68C27B4E" w14:textId="2FBAF09E" w:rsidR="00417F25" w:rsidRDefault="00417F25" w:rsidP="00417F25">
      <w:pPr>
        <w:pStyle w:val="BodyText"/>
        <w:numPr>
          <w:ilvl w:val="0"/>
          <w:numId w:val="17"/>
        </w:numPr>
        <w:spacing w:after="120"/>
      </w:pPr>
      <w:r w:rsidRPr="00CF1352">
        <w:t>Agenda</w:t>
      </w:r>
      <w:r w:rsidR="00B81892">
        <w:t>;</w:t>
      </w:r>
      <w:r>
        <w:t xml:space="preserve"> and</w:t>
      </w:r>
    </w:p>
    <w:p w14:paraId="0801494A" w14:textId="77777777" w:rsidR="00417F25" w:rsidRDefault="00417F25" w:rsidP="00417F25">
      <w:pPr>
        <w:pStyle w:val="BodyText"/>
        <w:numPr>
          <w:ilvl w:val="0"/>
          <w:numId w:val="17"/>
        </w:numPr>
        <w:spacing w:after="120"/>
      </w:pPr>
      <w:r w:rsidRPr="009F6482">
        <w:rPr>
          <w:highlight w:val="lightGray"/>
        </w:rPr>
        <w:lastRenderedPageBreak/>
        <w:t>[Other read ahead material, as appropriate]</w:t>
      </w:r>
      <w:r>
        <w:rPr>
          <w:highlight w:val="lightGray"/>
        </w:rPr>
        <w:t>.</w:t>
      </w:r>
    </w:p>
    <w:p w14:paraId="49400888" w14:textId="77777777" w:rsidR="00417F25" w:rsidRPr="003F7386" w:rsidRDefault="00417F25" w:rsidP="00417F25">
      <w:pPr>
        <w:pStyle w:val="Heading2"/>
      </w:pPr>
      <w:r w:rsidRPr="003F7386">
        <w:t xml:space="preserve">Sample </w:t>
      </w:r>
      <w:r>
        <w:t>IPPW</w:t>
      </w:r>
      <w:r w:rsidRPr="003F7386">
        <w:t xml:space="preserve"> Agenda</w:t>
      </w:r>
    </w:p>
    <w:tbl>
      <w:tblPr>
        <w:tblStyle w:val="TableGrid"/>
        <w:tblW w:w="0" w:type="auto"/>
        <w:tblLook w:val="04A0" w:firstRow="1" w:lastRow="0" w:firstColumn="1" w:lastColumn="0" w:noHBand="0" w:noVBand="1"/>
        <w:tblCaption w:val="Sample TEPW Agenda"/>
        <w:tblDescription w:val="This is a sample TEPW Agenda with sample timeframes and agenda items."/>
      </w:tblPr>
      <w:tblGrid>
        <w:gridCol w:w="1615"/>
        <w:gridCol w:w="7735"/>
      </w:tblGrid>
      <w:tr w:rsidR="00417F25" w:rsidRPr="00D93E44" w14:paraId="7D483549" w14:textId="77777777" w:rsidTr="00AE7559">
        <w:trPr>
          <w:cantSplit/>
          <w:trHeight w:val="332"/>
          <w:tblHeader/>
        </w:trPr>
        <w:tc>
          <w:tcPr>
            <w:tcW w:w="1615" w:type="dxa"/>
            <w:shd w:val="clear" w:color="auto" w:fill="003366"/>
            <w:vAlign w:val="center"/>
          </w:tcPr>
          <w:p w14:paraId="38943887" w14:textId="77777777" w:rsidR="00417F25" w:rsidRPr="0051218B" w:rsidRDefault="00417F25" w:rsidP="00417F25">
            <w:pPr>
              <w:pStyle w:val="TableHead"/>
              <w:jc w:val="left"/>
              <w:rPr>
                <w:rFonts w:cs="Arial"/>
                <w:sz w:val="24"/>
              </w:rPr>
            </w:pPr>
            <w:r w:rsidRPr="0051218B">
              <w:rPr>
                <w:rFonts w:cs="Arial"/>
                <w:sz w:val="24"/>
              </w:rPr>
              <w:t>Time</w:t>
            </w:r>
          </w:p>
        </w:tc>
        <w:tc>
          <w:tcPr>
            <w:tcW w:w="7735" w:type="dxa"/>
            <w:vAlign w:val="center"/>
          </w:tcPr>
          <w:p w14:paraId="294954D5" w14:textId="77777777" w:rsidR="00417F25" w:rsidRPr="0051218B" w:rsidRDefault="00417F25" w:rsidP="00417F25">
            <w:pPr>
              <w:pStyle w:val="TableHead"/>
              <w:jc w:val="left"/>
              <w:rPr>
                <w:rFonts w:cs="Arial"/>
                <w:sz w:val="24"/>
              </w:rPr>
            </w:pPr>
            <w:r w:rsidRPr="0051218B">
              <w:rPr>
                <w:rFonts w:cs="Arial"/>
                <w:sz w:val="24"/>
              </w:rPr>
              <w:t>Activity</w:t>
            </w:r>
          </w:p>
        </w:tc>
      </w:tr>
      <w:tr w:rsidR="00417F25" w:rsidRPr="004E286A" w14:paraId="4DA713C2" w14:textId="77777777" w:rsidTr="00AE7559">
        <w:trPr>
          <w:cantSplit/>
          <w:trHeight w:val="413"/>
          <w:tblHeader/>
        </w:trPr>
        <w:tc>
          <w:tcPr>
            <w:tcW w:w="1615" w:type="dxa"/>
            <w:shd w:val="clear" w:color="auto" w:fill="003366"/>
            <w:vAlign w:val="center"/>
          </w:tcPr>
          <w:p w14:paraId="56311D6A" w14:textId="77777777" w:rsidR="00417F25" w:rsidRPr="0051218B" w:rsidRDefault="00417F25" w:rsidP="00417F25">
            <w:pPr>
              <w:pStyle w:val="TableText0"/>
              <w:jc w:val="left"/>
              <w:rPr>
                <w:rFonts w:ascii="Arial" w:hAnsi="Arial" w:cs="Arial"/>
                <w:b/>
                <w:sz w:val="24"/>
                <w:szCs w:val="24"/>
              </w:rPr>
            </w:pPr>
            <w:r w:rsidRPr="0051218B">
              <w:rPr>
                <w:rFonts w:ascii="Arial" w:hAnsi="Arial" w:cs="Arial"/>
                <w:b/>
                <w:sz w:val="24"/>
                <w:szCs w:val="24"/>
              </w:rPr>
              <w:t>8:30 a.m.</w:t>
            </w:r>
          </w:p>
        </w:tc>
        <w:tc>
          <w:tcPr>
            <w:tcW w:w="7735" w:type="dxa"/>
            <w:vAlign w:val="center"/>
          </w:tcPr>
          <w:p w14:paraId="35425AED" w14:textId="77777777" w:rsidR="00417F25" w:rsidRPr="0051218B" w:rsidRDefault="00417F25" w:rsidP="00417F25">
            <w:pPr>
              <w:pStyle w:val="TableText0"/>
              <w:jc w:val="left"/>
              <w:rPr>
                <w:rFonts w:ascii="Arial" w:hAnsi="Arial" w:cs="Arial"/>
                <w:sz w:val="24"/>
                <w:szCs w:val="24"/>
              </w:rPr>
            </w:pPr>
            <w:r w:rsidRPr="0051218B">
              <w:rPr>
                <w:rFonts w:ascii="Arial" w:hAnsi="Arial" w:cs="Arial"/>
                <w:sz w:val="24"/>
                <w:szCs w:val="24"/>
              </w:rPr>
              <w:t>Registration</w:t>
            </w:r>
          </w:p>
        </w:tc>
      </w:tr>
      <w:tr w:rsidR="00417F25" w:rsidRPr="004E286A" w14:paraId="69E805A0" w14:textId="77777777" w:rsidTr="00AE7559">
        <w:trPr>
          <w:cantSplit/>
          <w:tblHeader/>
        </w:trPr>
        <w:tc>
          <w:tcPr>
            <w:tcW w:w="1615" w:type="dxa"/>
            <w:shd w:val="clear" w:color="auto" w:fill="003366"/>
            <w:vAlign w:val="center"/>
          </w:tcPr>
          <w:p w14:paraId="1DADD544" w14:textId="77777777" w:rsidR="00417F25" w:rsidRPr="0051218B" w:rsidRDefault="00417F25" w:rsidP="00417F25">
            <w:pPr>
              <w:pStyle w:val="TableText0"/>
              <w:jc w:val="left"/>
              <w:rPr>
                <w:rFonts w:ascii="Arial" w:hAnsi="Arial" w:cs="Arial"/>
                <w:b/>
                <w:sz w:val="24"/>
                <w:szCs w:val="24"/>
              </w:rPr>
            </w:pPr>
            <w:r w:rsidRPr="0051218B">
              <w:rPr>
                <w:rFonts w:ascii="Arial" w:hAnsi="Arial" w:cs="Arial"/>
                <w:b/>
                <w:sz w:val="24"/>
                <w:szCs w:val="24"/>
              </w:rPr>
              <w:t>9:00 a.m.</w:t>
            </w:r>
          </w:p>
        </w:tc>
        <w:tc>
          <w:tcPr>
            <w:tcW w:w="7735" w:type="dxa"/>
            <w:vAlign w:val="center"/>
          </w:tcPr>
          <w:p w14:paraId="30DB58BD" w14:textId="77777777" w:rsidR="00417F25" w:rsidRPr="0051218B" w:rsidRDefault="00417F25" w:rsidP="00417F25">
            <w:pPr>
              <w:pStyle w:val="TableText0"/>
              <w:jc w:val="left"/>
              <w:rPr>
                <w:rFonts w:ascii="Arial" w:hAnsi="Arial" w:cs="Arial"/>
                <w:sz w:val="24"/>
                <w:szCs w:val="24"/>
              </w:rPr>
            </w:pPr>
            <w:r w:rsidRPr="0051218B">
              <w:rPr>
                <w:rFonts w:ascii="Arial" w:hAnsi="Arial" w:cs="Arial"/>
                <w:sz w:val="24"/>
                <w:szCs w:val="24"/>
              </w:rPr>
              <w:t>Welcome and Introductions</w:t>
            </w:r>
          </w:p>
        </w:tc>
      </w:tr>
      <w:tr w:rsidR="00417F25" w:rsidRPr="004E286A" w14:paraId="0AE8DE90" w14:textId="77777777" w:rsidTr="00AE7559">
        <w:trPr>
          <w:cantSplit/>
          <w:tblHeader/>
        </w:trPr>
        <w:tc>
          <w:tcPr>
            <w:tcW w:w="1615" w:type="dxa"/>
            <w:shd w:val="clear" w:color="auto" w:fill="003366"/>
            <w:vAlign w:val="center"/>
          </w:tcPr>
          <w:p w14:paraId="052CC975" w14:textId="77777777" w:rsidR="00417F25" w:rsidRPr="0051218B" w:rsidRDefault="00417F25" w:rsidP="00417F25">
            <w:pPr>
              <w:pStyle w:val="TableText0"/>
              <w:jc w:val="left"/>
              <w:rPr>
                <w:rFonts w:ascii="Arial" w:hAnsi="Arial" w:cs="Arial"/>
                <w:b/>
                <w:sz w:val="24"/>
                <w:szCs w:val="24"/>
              </w:rPr>
            </w:pPr>
            <w:r w:rsidRPr="0051218B">
              <w:rPr>
                <w:rFonts w:ascii="Arial" w:hAnsi="Arial" w:cs="Arial"/>
                <w:b/>
                <w:sz w:val="24"/>
                <w:szCs w:val="24"/>
              </w:rPr>
              <w:t>9:15 a.m.</w:t>
            </w:r>
          </w:p>
        </w:tc>
        <w:tc>
          <w:tcPr>
            <w:tcW w:w="7735" w:type="dxa"/>
            <w:vAlign w:val="center"/>
          </w:tcPr>
          <w:p w14:paraId="22394A6C" w14:textId="77777777" w:rsidR="00417F25" w:rsidRPr="0051218B" w:rsidRDefault="00417F25" w:rsidP="00417F25">
            <w:pPr>
              <w:pStyle w:val="TableText0"/>
              <w:jc w:val="left"/>
              <w:rPr>
                <w:rFonts w:ascii="Arial" w:hAnsi="Arial" w:cs="Arial"/>
                <w:sz w:val="24"/>
                <w:szCs w:val="24"/>
              </w:rPr>
            </w:pPr>
            <w:r w:rsidRPr="0051218B">
              <w:rPr>
                <w:rFonts w:ascii="Arial" w:hAnsi="Arial" w:cs="Arial"/>
                <w:sz w:val="24"/>
                <w:szCs w:val="24"/>
              </w:rPr>
              <w:t>IPPW Overview</w:t>
            </w:r>
          </w:p>
        </w:tc>
      </w:tr>
      <w:tr w:rsidR="00417F25" w:rsidRPr="004E286A" w14:paraId="0241591D" w14:textId="77777777" w:rsidTr="00AE7559">
        <w:trPr>
          <w:cantSplit/>
          <w:tblHeader/>
        </w:trPr>
        <w:tc>
          <w:tcPr>
            <w:tcW w:w="1615" w:type="dxa"/>
            <w:shd w:val="clear" w:color="auto" w:fill="003366"/>
            <w:vAlign w:val="center"/>
          </w:tcPr>
          <w:p w14:paraId="22AEFF2C" w14:textId="77777777" w:rsidR="00417F25" w:rsidRPr="0051218B" w:rsidRDefault="00417F25" w:rsidP="00417F25">
            <w:pPr>
              <w:pStyle w:val="TableText0"/>
              <w:jc w:val="left"/>
              <w:rPr>
                <w:rFonts w:ascii="Arial" w:hAnsi="Arial" w:cs="Arial"/>
                <w:b/>
                <w:sz w:val="24"/>
                <w:szCs w:val="24"/>
              </w:rPr>
            </w:pPr>
            <w:r w:rsidRPr="0051218B">
              <w:rPr>
                <w:rFonts w:ascii="Arial" w:hAnsi="Arial" w:cs="Arial"/>
                <w:b/>
                <w:sz w:val="24"/>
                <w:szCs w:val="24"/>
              </w:rPr>
              <w:t>9:30 a.m.</w:t>
            </w:r>
          </w:p>
        </w:tc>
        <w:tc>
          <w:tcPr>
            <w:tcW w:w="7735" w:type="dxa"/>
            <w:vAlign w:val="center"/>
          </w:tcPr>
          <w:p w14:paraId="2E80120D" w14:textId="77777777" w:rsidR="00417F25" w:rsidRPr="0051218B" w:rsidRDefault="00417F25" w:rsidP="00417F25">
            <w:pPr>
              <w:pStyle w:val="TableText0"/>
              <w:jc w:val="left"/>
              <w:rPr>
                <w:rFonts w:ascii="Arial" w:hAnsi="Arial" w:cs="Arial"/>
                <w:sz w:val="24"/>
                <w:szCs w:val="24"/>
              </w:rPr>
            </w:pPr>
            <w:r w:rsidRPr="0051218B">
              <w:rPr>
                <w:rFonts w:ascii="Arial" w:hAnsi="Arial" w:cs="Arial"/>
                <w:sz w:val="24"/>
                <w:szCs w:val="24"/>
              </w:rPr>
              <w:t>Identify Preparedness Priority Factors</w:t>
            </w:r>
          </w:p>
        </w:tc>
      </w:tr>
      <w:tr w:rsidR="00417F25" w:rsidRPr="004E286A" w14:paraId="75E72A4F" w14:textId="77777777" w:rsidTr="00AE7559">
        <w:trPr>
          <w:cantSplit/>
          <w:tblHeader/>
        </w:trPr>
        <w:tc>
          <w:tcPr>
            <w:tcW w:w="1615" w:type="dxa"/>
            <w:shd w:val="clear" w:color="auto" w:fill="003366"/>
            <w:vAlign w:val="center"/>
          </w:tcPr>
          <w:p w14:paraId="20045F97" w14:textId="77777777" w:rsidR="00417F25" w:rsidRPr="0051218B" w:rsidRDefault="00417F25" w:rsidP="00417F25">
            <w:pPr>
              <w:pStyle w:val="TableText0"/>
              <w:jc w:val="left"/>
              <w:rPr>
                <w:rFonts w:ascii="Arial" w:hAnsi="Arial" w:cs="Arial"/>
                <w:b/>
                <w:sz w:val="24"/>
                <w:szCs w:val="24"/>
              </w:rPr>
            </w:pPr>
            <w:r w:rsidRPr="0051218B">
              <w:rPr>
                <w:rFonts w:ascii="Arial" w:hAnsi="Arial" w:cs="Arial"/>
                <w:b/>
                <w:sz w:val="24"/>
                <w:szCs w:val="24"/>
              </w:rPr>
              <w:t>11:00 a.m.</w:t>
            </w:r>
          </w:p>
        </w:tc>
        <w:tc>
          <w:tcPr>
            <w:tcW w:w="7735" w:type="dxa"/>
            <w:vAlign w:val="center"/>
          </w:tcPr>
          <w:p w14:paraId="62D3E438" w14:textId="77777777" w:rsidR="00417F25" w:rsidRPr="0051218B" w:rsidRDefault="00417F25" w:rsidP="00417F25">
            <w:pPr>
              <w:pStyle w:val="TableText0"/>
              <w:jc w:val="left"/>
              <w:rPr>
                <w:rFonts w:ascii="Arial" w:hAnsi="Arial" w:cs="Arial"/>
                <w:sz w:val="24"/>
                <w:szCs w:val="24"/>
              </w:rPr>
            </w:pPr>
            <w:r w:rsidRPr="0051218B">
              <w:rPr>
                <w:rFonts w:ascii="Arial" w:hAnsi="Arial" w:cs="Arial"/>
                <w:sz w:val="24"/>
                <w:szCs w:val="24"/>
              </w:rPr>
              <w:t>Establish Preparedness Priorities</w:t>
            </w:r>
          </w:p>
        </w:tc>
      </w:tr>
      <w:tr w:rsidR="00417F25" w:rsidRPr="004E286A" w14:paraId="009F2FD0" w14:textId="77777777" w:rsidTr="00AE7559">
        <w:trPr>
          <w:cantSplit/>
          <w:tblHeader/>
        </w:trPr>
        <w:tc>
          <w:tcPr>
            <w:tcW w:w="1615" w:type="dxa"/>
            <w:shd w:val="clear" w:color="auto" w:fill="003366"/>
            <w:vAlign w:val="center"/>
          </w:tcPr>
          <w:p w14:paraId="404EFD1A" w14:textId="77777777" w:rsidR="00417F25" w:rsidRPr="0051218B" w:rsidRDefault="00417F25" w:rsidP="00417F25">
            <w:pPr>
              <w:pStyle w:val="TableText0"/>
              <w:jc w:val="left"/>
              <w:rPr>
                <w:rFonts w:ascii="Arial" w:hAnsi="Arial" w:cs="Arial"/>
                <w:b/>
                <w:sz w:val="24"/>
                <w:szCs w:val="24"/>
              </w:rPr>
            </w:pPr>
            <w:r w:rsidRPr="0051218B">
              <w:rPr>
                <w:rFonts w:ascii="Arial" w:hAnsi="Arial" w:cs="Arial"/>
                <w:b/>
                <w:sz w:val="24"/>
                <w:szCs w:val="24"/>
              </w:rPr>
              <w:t>12:00 p.m.</w:t>
            </w:r>
          </w:p>
        </w:tc>
        <w:tc>
          <w:tcPr>
            <w:tcW w:w="7735" w:type="dxa"/>
            <w:vAlign w:val="center"/>
          </w:tcPr>
          <w:p w14:paraId="3150B792" w14:textId="77777777" w:rsidR="00417F25" w:rsidRPr="0051218B" w:rsidRDefault="00417F25" w:rsidP="00417F25">
            <w:pPr>
              <w:pStyle w:val="TableText0"/>
              <w:jc w:val="left"/>
              <w:rPr>
                <w:rFonts w:ascii="Arial" w:hAnsi="Arial" w:cs="Arial"/>
                <w:sz w:val="24"/>
                <w:szCs w:val="24"/>
              </w:rPr>
            </w:pPr>
            <w:r w:rsidRPr="0051218B">
              <w:rPr>
                <w:rFonts w:ascii="Arial" w:hAnsi="Arial" w:cs="Arial"/>
                <w:sz w:val="24"/>
                <w:szCs w:val="24"/>
              </w:rPr>
              <w:t>Lunch</w:t>
            </w:r>
          </w:p>
        </w:tc>
      </w:tr>
      <w:tr w:rsidR="00417F25" w:rsidRPr="004E286A" w14:paraId="24AEBC1D" w14:textId="77777777" w:rsidTr="00AE7559">
        <w:trPr>
          <w:cantSplit/>
          <w:tblHeader/>
        </w:trPr>
        <w:tc>
          <w:tcPr>
            <w:tcW w:w="1615" w:type="dxa"/>
            <w:shd w:val="clear" w:color="auto" w:fill="003366"/>
            <w:vAlign w:val="center"/>
          </w:tcPr>
          <w:p w14:paraId="75F9F4E2" w14:textId="77777777" w:rsidR="00417F25" w:rsidRPr="0051218B" w:rsidRDefault="00417F25" w:rsidP="00417F25">
            <w:pPr>
              <w:pStyle w:val="TableText0"/>
              <w:jc w:val="left"/>
              <w:rPr>
                <w:rFonts w:ascii="Arial" w:hAnsi="Arial" w:cs="Arial"/>
                <w:b/>
                <w:sz w:val="24"/>
                <w:szCs w:val="24"/>
              </w:rPr>
            </w:pPr>
            <w:r w:rsidRPr="0051218B">
              <w:rPr>
                <w:rFonts w:ascii="Arial" w:hAnsi="Arial" w:cs="Arial"/>
                <w:b/>
                <w:sz w:val="24"/>
                <w:szCs w:val="24"/>
              </w:rPr>
              <w:t>1:00 p.m.</w:t>
            </w:r>
          </w:p>
        </w:tc>
        <w:tc>
          <w:tcPr>
            <w:tcW w:w="7735" w:type="dxa"/>
            <w:vAlign w:val="center"/>
          </w:tcPr>
          <w:p w14:paraId="11347665" w14:textId="77777777" w:rsidR="00417F25" w:rsidRPr="0051218B" w:rsidRDefault="00417F25" w:rsidP="00417F25">
            <w:pPr>
              <w:pStyle w:val="TableText0"/>
              <w:jc w:val="left"/>
              <w:rPr>
                <w:rFonts w:ascii="Arial" w:hAnsi="Arial" w:cs="Arial"/>
                <w:sz w:val="24"/>
                <w:szCs w:val="24"/>
              </w:rPr>
            </w:pPr>
            <w:r w:rsidRPr="0051218B">
              <w:rPr>
                <w:rFonts w:ascii="Arial" w:hAnsi="Arial" w:cs="Arial"/>
                <w:sz w:val="24"/>
                <w:szCs w:val="24"/>
              </w:rPr>
              <w:t>Develop Multi-Year Schedule</w:t>
            </w:r>
          </w:p>
        </w:tc>
      </w:tr>
      <w:tr w:rsidR="00417F25" w:rsidRPr="004E286A" w14:paraId="6B628DEE" w14:textId="77777777" w:rsidTr="00AE7559">
        <w:trPr>
          <w:cantSplit/>
          <w:tblHeader/>
        </w:trPr>
        <w:tc>
          <w:tcPr>
            <w:tcW w:w="1615" w:type="dxa"/>
            <w:shd w:val="clear" w:color="auto" w:fill="003366"/>
            <w:vAlign w:val="center"/>
          </w:tcPr>
          <w:p w14:paraId="5E735995" w14:textId="77777777" w:rsidR="00417F25" w:rsidRPr="0051218B" w:rsidRDefault="00417F25" w:rsidP="00417F25">
            <w:pPr>
              <w:pStyle w:val="TableText0"/>
              <w:jc w:val="left"/>
              <w:rPr>
                <w:rFonts w:ascii="Arial" w:hAnsi="Arial" w:cs="Arial"/>
                <w:b/>
                <w:sz w:val="24"/>
                <w:szCs w:val="24"/>
              </w:rPr>
            </w:pPr>
            <w:r w:rsidRPr="0051218B">
              <w:rPr>
                <w:rFonts w:ascii="Arial" w:hAnsi="Arial" w:cs="Arial"/>
                <w:b/>
                <w:sz w:val="24"/>
                <w:szCs w:val="24"/>
              </w:rPr>
              <w:t>2:30 p.m.</w:t>
            </w:r>
          </w:p>
        </w:tc>
        <w:tc>
          <w:tcPr>
            <w:tcW w:w="7735" w:type="dxa"/>
            <w:vAlign w:val="center"/>
          </w:tcPr>
          <w:p w14:paraId="0A409A0D" w14:textId="77777777" w:rsidR="00417F25" w:rsidRPr="0051218B" w:rsidRDefault="00417F25" w:rsidP="00417F25">
            <w:pPr>
              <w:pStyle w:val="TableText0"/>
              <w:jc w:val="left"/>
              <w:rPr>
                <w:rFonts w:ascii="Arial" w:hAnsi="Arial" w:cs="Arial"/>
                <w:sz w:val="24"/>
                <w:szCs w:val="24"/>
              </w:rPr>
            </w:pPr>
            <w:r w:rsidRPr="0051218B">
              <w:rPr>
                <w:rFonts w:ascii="Arial" w:hAnsi="Arial" w:cs="Arial"/>
                <w:sz w:val="24"/>
                <w:szCs w:val="24"/>
              </w:rPr>
              <w:t>Improvement Planning and Tracking Methodology</w:t>
            </w:r>
          </w:p>
        </w:tc>
      </w:tr>
      <w:tr w:rsidR="00417F25" w:rsidRPr="004E286A" w14:paraId="083700B1" w14:textId="77777777" w:rsidTr="00AE7559">
        <w:trPr>
          <w:cantSplit/>
          <w:tblHeader/>
        </w:trPr>
        <w:tc>
          <w:tcPr>
            <w:tcW w:w="1615" w:type="dxa"/>
            <w:shd w:val="clear" w:color="auto" w:fill="003366"/>
            <w:vAlign w:val="center"/>
          </w:tcPr>
          <w:p w14:paraId="3EEBDFEB" w14:textId="77777777" w:rsidR="00417F25" w:rsidRPr="0051218B" w:rsidRDefault="00417F25" w:rsidP="00417F25">
            <w:pPr>
              <w:pStyle w:val="TableText0"/>
              <w:jc w:val="left"/>
              <w:rPr>
                <w:rFonts w:ascii="Arial" w:hAnsi="Arial" w:cs="Arial"/>
                <w:b/>
                <w:sz w:val="24"/>
                <w:szCs w:val="24"/>
              </w:rPr>
            </w:pPr>
            <w:r w:rsidRPr="0051218B">
              <w:rPr>
                <w:rFonts w:ascii="Arial" w:hAnsi="Arial" w:cs="Arial"/>
                <w:b/>
                <w:sz w:val="24"/>
                <w:szCs w:val="24"/>
              </w:rPr>
              <w:t>4:45 p.m.</w:t>
            </w:r>
          </w:p>
        </w:tc>
        <w:tc>
          <w:tcPr>
            <w:tcW w:w="7735" w:type="dxa"/>
            <w:vAlign w:val="center"/>
          </w:tcPr>
          <w:p w14:paraId="79FA08F8" w14:textId="7FB9E685" w:rsidR="00417F25" w:rsidRPr="0051218B" w:rsidRDefault="00417F25" w:rsidP="00417F25">
            <w:pPr>
              <w:pStyle w:val="TableText0"/>
              <w:jc w:val="left"/>
              <w:rPr>
                <w:rFonts w:ascii="Arial" w:hAnsi="Arial" w:cs="Arial"/>
                <w:sz w:val="24"/>
                <w:szCs w:val="24"/>
              </w:rPr>
            </w:pPr>
            <w:r w:rsidRPr="0051218B">
              <w:rPr>
                <w:rFonts w:ascii="Arial" w:hAnsi="Arial" w:cs="Arial"/>
                <w:sz w:val="24"/>
                <w:szCs w:val="24"/>
              </w:rPr>
              <w:t>Hot</w:t>
            </w:r>
            <w:r w:rsidR="00D94A3B">
              <w:rPr>
                <w:rFonts w:ascii="Arial" w:hAnsi="Arial" w:cs="Arial"/>
                <w:sz w:val="24"/>
                <w:szCs w:val="24"/>
              </w:rPr>
              <w:t xml:space="preserve"> W</w:t>
            </w:r>
            <w:r w:rsidRPr="0051218B">
              <w:rPr>
                <w:rFonts w:ascii="Arial" w:hAnsi="Arial" w:cs="Arial"/>
                <w:sz w:val="24"/>
                <w:szCs w:val="24"/>
              </w:rPr>
              <w:t>ash</w:t>
            </w:r>
          </w:p>
        </w:tc>
      </w:tr>
      <w:tr w:rsidR="00417F25" w:rsidRPr="004E286A" w14:paraId="23225770" w14:textId="77777777" w:rsidTr="00AE7559">
        <w:trPr>
          <w:cantSplit/>
          <w:tblHeader/>
        </w:trPr>
        <w:tc>
          <w:tcPr>
            <w:tcW w:w="1615" w:type="dxa"/>
            <w:shd w:val="clear" w:color="auto" w:fill="003366"/>
            <w:vAlign w:val="center"/>
          </w:tcPr>
          <w:p w14:paraId="41223DAC" w14:textId="77777777" w:rsidR="00417F25" w:rsidRPr="0051218B" w:rsidRDefault="00417F25" w:rsidP="00417F25">
            <w:pPr>
              <w:pStyle w:val="TableText0"/>
              <w:jc w:val="left"/>
              <w:rPr>
                <w:rFonts w:ascii="Arial" w:hAnsi="Arial" w:cs="Arial"/>
                <w:b/>
                <w:sz w:val="24"/>
                <w:szCs w:val="24"/>
              </w:rPr>
            </w:pPr>
            <w:r w:rsidRPr="0051218B">
              <w:rPr>
                <w:rFonts w:ascii="Arial" w:hAnsi="Arial" w:cs="Arial"/>
                <w:b/>
                <w:sz w:val="24"/>
                <w:szCs w:val="24"/>
              </w:rPr>
              <w:t>5:00 p.m.</w:t>
            </w:r>
          </w:p>
        </w:tc>
        <w:tc>
          <w:tcPr>
            <w:tcW w:w="7735" w:type="dxa"/>
            <w:vAlign w:val="center"/>
          </w:tcPr>
          <w:p w14:paraId="59A4D23D" w14:textId="77777777" w:rsidR="00417F25" w:rsidRPr="0051218B" w:rsidRDefault="00417F25" w:rsidP="00417F25">
            <w:pPr>
              <w:pStyle w:val="TableText0"/>
              <w:jc w:val="left"/>
              <w:rPr>
                <w:rFonts w:ascii="Arial" w:hAnsi="Arial" w:cs="Arial"/>
                <w:sz w:val="24"/>
                <w:szCs w:val="24"/>
              </w:rPr>
            </w:pPr>
            <w:r w:rsidRPr="0051218B">
              <w:rPr>
                <w:rFonts w:ascii="Arial" w:hAnsi="Arial" w:cs="Arial"/>
                <w:sz w:val="24"/>
                <w:szCs w:val="24"/>
              </w:rPr>
              <w:t>Adjourn</w:t>
            </w:r>
          </w:p>
        </w:tc>
      </w:tr>
    </w:tbl>
    <w:p w14:paraId="2693E110" w14:textId="77777777" w:rsidR="00417F25" w:rsidRDefault="00417F25" w:rsidP="00417F25">
      <w:pPr>
        <w:pStyle w:val="Heading2"/>
      </w:pPr>
      <w:r w:rsidRPr="00C40E40">
        <w:t xml:space="preserve">Sample Planning </w:t>
      </w:r>
      <w:r w:rsidRPr="004E286A">
        <w:t>Checklist</w:t>
      </w:r>
    </w:p>
    <w:p w14:paraId="122DDCCF" w14:textId="77777777" w:rsidR="00417F25" w:rsidRPr="00C40E40" w:rsidRDefault="00417F25" w:rsidP="00417F25">
      <w:pPr>
        <w:pStyle w:val="Heading3"/>
      </w:pPr>
      <w:r w:rsidRPr="004E286A">
        <w:t>Preparation</w:t>
      </w:r>
    </w:p>
    <w:p w14:paraId="047CBB4F" w14:textId="31ADB344" w:rsidR="00417F25" w:rsidRPr="00C40E40" w:rsidRDefault="00417F25" w:rsidP="00417F25">
      <w:pPr>
        <w:pStyle w:val="ListBullet"/>
      </w:pPr>
      <w:r>
        <w:t xml:space="preserve">Identify date, </w:t>
      </w:r>
      <w:proofErr w:type="gramStart"/>
      <w:r>
        <w:t>time</w:t>
      </w:r>
      <w:proofErr w:type="gramEnd"/>
      <w:r>
        <w:t xml:space="preserve"> and location for workshop,</w:t>
      </w:r>
    </w:p>
    <w:p w14:paraId="402A6B77" w14:textId="77777777" w:rsidR="00417F25" w:rsidRPr="00C40E40" w:rsidRDefault="00417F25" w:rsidP="00417F25">
      <w:pPr>
        <w:pStyle w:val="ListBullet"/>
      </w:pPr>
      <w:r>
        <w:t>Develop invite list,</w:t>
      </w:r>
    </w:p>
    <w:p w14:paraId="36697CB0" w14:textId="77777777" w:rsidR="00417F25" w:rsidRPr="00C40E40" w:rsidRDefault="00417F25" w:rsidP="00417F25">
      <w:pPr>
        <w:pStyle w:val="ListBullet"/>
      </w:pPr>
      <w:r>
        <w:t>Develop and distribute workshop invitation letter, including an RSVP deadline,</w:t>
      </w:r>
    </w:p>
    <w:p w14:paraId="07E13838" w14:textId="77777777" w:rsidR="00417F25" w:rsidRPr="00C40E40" w:rsidRDefault="00417F25" w:rsidP="00417F25">
      <w:pPr>
        <w:pStyle w:val="ListBullet"/>
      </w:pPr>
      <w:r>
        <w:t>Track workshop RSVPs and follow-up with non-responsive invitees,</w:t>
      </w:r>
    </w:p>
    <w:p w14:paraId="66366C5F" w14:textId="2A708891" w:rsidR="00417F25" w:rsidRPr="00C40E40" w:rsidRDefault="00417F25" w:rsidP="00417F25">
      <w:pPr>
        <w:pStyle w:val="ListBullet"/>
      </w:pPr>
      <w:r>
        <w:t>Issue data call for jurisdictions/organizations factors to consider during workshop discussion,</w:t>
      </w:r>
    </w:p>
    <w:p w14:paraId="50E862E9" w14:textId="77777777" w:rsidR="00417F25" w:rsidRDefault="00417F25" w:rsidP="00417F25">
      <w:pPr>
        <w:pStyle w:val="ListBullet"/>
      </w:pPr>
      <w:r>
        <w:t>Develop and distribute workshop read-ahead material, including:</w:t>
      </w:r>
    </w:p>
    <w:p w14:paraId="7E275BC8" w14:textId="77777777" w:rsidR="00417F25" w:rsidRPr="004E286A" w:rsidRDefault="00417F25" w:rsidP="0031386D">
      <w:pPr>
        <w:pStyle w:val="ListBullet2"/>
        <w:numPr>
          <w:ilvl w:val="0"/>
          <w:numId w:val="20"/>
        </w:numPr>
      </w:pPr>
      <w:r w:rsidRPr="004E286A">
        <w:t xml:space="preserve">Description of the workshop purpose and desired </w:t>
      </w:r>
      <w:proofErr w:type="gramStart"/>
      <w:r w:rsidRPr="004E286A">
        <w:t>outcomes</w:t>
      </w:r>
      <w:r>
        <w:t>;</w:t>
      </w:r>
      <w:proofErr w:type="gramEnd"/>
    </w:p>
    <w:p w14:paraId="46F91160" w14:textId="77777777" w:rsidR="00417F25" w:rsidRPr="004E286A" w:rsidRDefault="00417F25" w:rsidP="0031386D">
      <w:pPr>
        <w:pStyle w:val="ListBullet2"/>
        <w:numPr>
          <w:ilvl w:val="0"/>
          <w:numId w:val="20"/>
        </w:numPr>
      </w:pPr>
      <w:r w:rsidRPr="004E286A">
        <w:t xml:space="preserve">Workshop </w:t>
      </w:r>
      <w:proofErr w:type="gramStart"/>
      <w:r w:rsidRPr="004E286A">
        <w:t>agend</w:t>
      </w:r>
      <w:r>
        <w:t>a;</w:t>
      </w:r>
      <w:proofErr w:type="gramEnd"/>
    </w:p>
    <w:p w14:paraId="5C1C6451" w14:textId="77777777" w:rsidR="00417F25" w:rsidRPr="004E286A" w:rsidRDefault="00417F25" w:rsidP="0031386D">
      <w:pPr>
        <w:pStyle w:val="ListBullet2"/>
        <w:numPr>
          <w:ilvl w:val="0"/>
          <w:numId w:val="20"/>
        </w:numPr>
      </w:pPr>
      <w:r>
        <w:t>IPP</w:t>
      </w:r>
      <w:r w:rsidRPr="004E286A">
        <w:t xml:space="preserve"> from previous </w:t>
      </w:r>
      <w:proofErr w:type="gramStart"/>
      <w:r w:rsidRPr="004E286A">
        <w:t>year</w:t>
      </w:r>
      <w:r>
        <w:t>;</w:t>
      </w:r>
      <w:proofErr w:type="gramEnd"/>
    </w:p>
    <w:p w14:paraId="48416C77" w14:textId="62001B6E" w:rsidR="00417F25" w:rsidRPr="004E286A" w:rsidRDefault="00417F25" w:rsidP="0031386D">
      <w:pPr>
        <w:pStyle w:val="ListBullet2"/>
        <w:numPr>
          <w:ilvl w:val="0"/>
          <w:numId w:val="20"/>
        </w:numPr>
      </w:pPr>
      <w:r w:rsidRPr="004E286A">
        <w:t xml:space="preserve">Summary of </w:t>
      </w:r>
      <w:r w:rsidR="0041353A">
        <w:t>a</w:t>
      </w:r>
      <w:r w:rsidRPr="004E286A">
        <w:t>fter</w:t>
      </w:r>
      <w:r>
        <w:t>-</w:t>
      </w:r>
      <w:r w:rsidR="0041353A">
        <w:t>a</w:t>
      </w:r>
      <w:r w:rsidRPr="004E286A">
        <w:t xml:space="preserve">ction </w:t>
      </w:r>
      <w:r w:rsidR="0041353A">
        <w:t>r</w:t>
      </w:r>
      <w:r w:rsidRPr="004E286A">
        <w:t>eports/</w:t>
      </w:r>
      <w:r w:rsidR="0041353A">
        <w:t>i</w:t>
      </w:r>
      <w:r w:rsidRPr="004E286A">
        <w:t xml:space="preserve">mprovement </w:t>
      </w:r>
      <w:r w:rsidR="0041353A">
        <w:t>p</w:t>
      </w:r>
      <w:r w:rsidRPr="004E286A">
        <w:t xml:space="preserve">lans (AAR/IP) from the previous year’s </w:t>
      </w:r>
      <w:r>
        <w:t xml:space="preserve">exercises and </w:t>
      </w:r>
      <w:r w:rsidRPr="004E286A">
        <w:t xml:space="preserve">real-world </w:t>
      </w:r>
      <w:r>
        <w:t>incidents</w:t>
      </w:r>
      <w:r w:rsidRPr="004E286A">
        <w:t xml:space="preserve">, including progress made to </w:t>
      </w:r>
      <w:proofErr w:type="gramStart"/>
      <w:r w:rsidRPr="004E286A">
        <w:t>date</w:t>
      </w:r>
      <w:r>
        <w:t>;</w:t>
      </w:r>
      <w:proofErr w:type="gramEnd"/>
    </w:p>
    <w:p w14:paraId="10EAE06F" w14:textId="77777777" w:rsidR="00417F25" w:rsidRPr="004E286A" w:rsidRDefault="00417F25" w:rsidP="0031386D">
      <w:pPr>
        <w:pStyle w:val="ListBullet2"/>
        <w:numPr>
          <w:ilvl w:val="0"/>
          <w:numId w:val="20"/>
        </w:numPr>
      </w:pPr>
      <w:r w:rsidRPr="004E286A">
        <w:t>Overview of the current threat or hazard environment, such as Threat and Hazard Identification and Risk Assessment (THIRA) information</w:t>
      </w:r>
      <w:r>
        <w:t>; and</w:t>
      </w:r>
    </w:p>
    <w:p w14:paraId="1DB0B594" w14:textId="77777777" w:rsidR="00417F25" w:rsidRPr="004E286A" w:rsidRDefault="00417F25" w:rsidP="0031386D">
      <w:pPr>
        <w:pStyle w:val="ListBullet2"/>
        <w:numPr>
          <w:ilvl w:val="0"/>
          <w:numId w:val="20"/>
        </w:numPr>
      </w:pPr>
      <w:r>
        <w:t>C</w:t>
      </w:r>
      <w:r w:rsidRPr="004E286A">
        <w:t>apabilities and/or additional reference documents</w:t>
      </w:r>
      <w:r>
        <w:t xml:space="preserve">. </w:t>
      </w:r>
    </w:p>
    <w:p w14:paraId="1F32AB89" w14:textId="77777777" w:rsidR="00417F25" w:rsidRPr="00C40E40" w:rsidRDefault="00417F25" w:rsidP="0031386D">
      <w:pPr>
        <w:pStyle w:val="ListBullet"/>
        <w:numPr>
          <w:ilvl w:val="0"/>
          <w:numId w:val="20"/>
        </w:numPr>
      </w:pPr>
      <w:r>
        <w:t>Complete workshop logistical arrangements, including venue selection, room setup, audio/visual equipment, material production, etc.</w:t>
      </w:r>
    </w:p>
    <w:p w14:paraId="26E21FEA" w14:textId="77777777" w:rsidR="00557586" w:rsidRDefault="00557586">
      <w:pPr>
        <w:spacing w:after="200" w:line="276" w:lineRule="auto"/>
        <w:rPr>
          <w:rFonts w:ascii="Arial Narrow" w:hAnsi="Arial Narrow" w:cs="Arial"/>
          <w:b/>
          <w:bCs/>
          <w:caps/>
          <w:color w:val="6F5614"/>
        </w:rPr>
      </w:pPr>
      <w:r>
        <w:br w:type="page"/>
      </w:r>
    </w:p>
    <w:p w14:paraId="75EB6628" w14:textId="7C821EBC" w:rsidR="00417F25" w:rsidRDefault="00417F25" w:rsidP="00417F25">
      <w:pPr>
        <w:pStyle w:val="Heading3"/>
      </w:pPr>
      <w:r w:rsidRPr="004E286A">
        <w:lastRenderedPageBreak/>
        <w:t>Conduct</w:t>
      </w:r>
    </w:p>
    <w:p w14:paraId="62BAFFFE" w14:textId="77777777" w:rsidR="00417F25" w:rsidRDefault="00417F25" w:rsidP="00417F25">
      <w:pPr>
        <w:pStyle w:val="ListBullet"/>
      </w:pPr>
      <w:r>
        <w:t>Conduct final arrangement checks with venue (including walkthrough with hotel/workshop manager),</w:t>
      </w:r>
    </w:p>
    <w:p w14:paraId="3AFBB008" w14:textId="77777777" w:rsidR="00417F25" w:rsidRDefault="00417F25" w:rsidP="00417F25">
      <w:pPr>
        <w:pStyle w:val="ListBullet"/>
      </w:pPr>
      <w:r>
        <w:t>Register all IPPW attendees,</w:t>
      </w:r>
    </w:p>
    <w:p w14:paraId="649CE6F0" w14:textId="77777777" w:rsidR="00417F25" w:rsidRDefault="00417F25" w:rsidP="00417F25">
      <w:pPr>
        <w:pStyle w:val="ListBullet"/>
      </w:pPr>
      <w:r>
        <w:t>Select designated workshop facilitator (if one is not provided) and breakout group facilitators as required, and</w:t>
      </w:r>
    </w:p>
    <w:p w14:paraId="725482B1" w14:textId="77777777" w:rsidR="00417F25" w:rsidRPr="00C40E40" w:rsidRDefault="00417F25" w:rsidP="00417F25">
      <w:pPr>
        <w:pStyle w:val="ListBullet"/>
      </w:pPr>
      <w:r>
        <w:t>Designate note-taker to record workshop discussion.</w:t>
      </w:r>
    </w:p>
    <w:p w14:paraId="2F26A3A8" w14:textId="77777777" w:rsidR="00417F25" w:rsidRDefault="00417F25" w:rsidP="00417F25">
      <w:pPr>
        <w:pStyle w:val="Heading3"/>
      </w:pPr>
      <w:r w:rsidRPr="004E286A">
        <w:t>Follow</w:t>
      </w:r>
      <w:r w:rsidRPr="00C40E40">
        <w:t>-up</w:t>
      </w:r>
    </w:p>
    <w:p w14:paraId="78613879" w14:textId="77777777" w:rsidR="00417F25" w:rsidRDefault="00417F25" w:rsidP="00417F25">
      <w:pPr>
        <w:pStyle w:val="ListBullet"/>
      </w:pPr>
      <w:r>
        <w:t>Draft IPPW summary,</w:t>
      </w:r>
    </w:p>
    <w:p w14:paraId="44C06EFF" w14:textId="39293057" w:rsidR="00417F25" w:rsidRDefault="00417F25" w:rsidP="00417F25">
      <w:pPr>
        <w:pStyle w:val="ListBullet"/>
      </w:pPr>
      <w:r>
        <w:t>Distribute IPPW summary to participants and submit to appropriate authority</w:t>
      </w:r>
      <w:r w:rsidR="0041353A">
        <w:t>;</w:t>
      </w:r>
      <w:r>
        <w:t xml:space="preserve"> and</w:t>
      </w:r>
    </w:p>
    <w:p w14:paraId="7657F683" w14:textId="77777777" w:rsidR="005F02E6" w:rsidRPr="005F02E6" w:rsidRDefault="00417F25" w:rsidP="00DC5D0C">
      <w:pPr>
        <w:pStyle w:val="ListBullet"/>
        <w:spacing w:after="200" w:line="276" w:lineRule="auto"/>
        <w:rPr>
          <w:rFonts w:ascii="Arial Narrow" w:hAnsi="Arial Narrow" w:cs="Arial"/>
          <w:b/>
          <w:bCs/>
          <w:caps/>
          <w:color w:val="182853"/>
          <w:kern w:val="32"/>
          <w:sz w:val="38"/>
          <w:szCs w:val="38"/>
        </w:rPr>
      </w:pPr>
      <w:r>
        <w:t>Submit final IPP to participants and appropriate authority.</w:t>
      </w:r>
    </w:p>
    <w:p w14:paraId="326EEDF2" w14:textId="77777777" w:rsidR="005F02E6" w:rsidRDefault="005F02E6" w:rsidP="005F02E6">
      <w:pPr>
        <w:pStyle w:val="ListBullet"/>
        <w:numPr>
          <w:ilvl w:val="0"/>
          <w:numId w:val="0"/>
        </w:numPr>
        <w:spacing w:after="200" w:line="276" w:lineRule="auto"/>
        <w:ind w:left="720" w:hanging="360"/>
      </w:pPr>
    </w:p>
    <w:p w14:paraId="35A34E36" w14:textId="77777777" w:rsidR="005F02E6" w:rsidRDefault="005F02E6" w:rsidP="005F02E6">
      <w:pPr>
        <w:pStyle w:val="ListBullet"/>
        <w:numPr>
          <w:ilvl w:val="0"/>
          <w:numId w:val="0"/>
        </w:numPr>
        <w:spacing w:after="200" w:line="276" w:lineRule="auto"/>
        <w:ind w:left="720" w:hanging="360"/>
        <w:sectPr w:rsidR="005F02E6" w:rsidSect="00E97A9E">
          <w:headerReference w:type="default" r:id="rId17"/>
          <w:footerReference w:type="default" r:id="rId18"/>
          <w:type w:val="continuous"/>
          <w:pgSz w:w="12240" w:h="15840" w:code="1"/>
          <w:pgMar w:top="1440" w:right="1440" w:bottom="1440" w:left="1440" w:header="432" w:footer="432" w:gutter="0"/>
          <w:pgNumType w:start="1"/>
          <w:cols w:space="720"/>
          <w:docGrid w:linePitch="360"/>
        </w:sectPr>
      </w:pPr>
    </w:p>
    <w:p w14:paraId="1397A75F" w14:textId="4A0825EA" w:rsidR="005F02E6" w:rsidRDefault="005F02E6" w:rsidP="005F02E6">
      <w:pPr>
        <w:pStyle w:val="ListBullet"/>
        <w:numPr>
          <w:ilvl w:val="0"/>
          <w:numId w:val="0"/>
        </w:numPr>
        <w:spacing w:after="200" w:line="276" w:lineRule="auto"/>
        <w:ind w:left="720" w:hanging="360"/>
      </w:pPr>
    </w:p>
    <w:p w14:paraId="2EC52C94" w14:textId="64AB1D80" w:rsidR="005F02E6" w:rsidRPr="005F02E6" w:rsidRDefault="005F02E6" w:rsidP="005F02E6">
      <w:pPr>
        <w:pStyle w:val="ListBullet"/>
        <w:numPr>
          <w:ilvl w:val="0"/>
          <w:numId w:val="0"/>
        </w:numPr>
        <w:spacing w:after="200" w:line="276" w:lineRule="auto"/>
        <w:ind w:left="720" w:hanging="360"/>
        <w:rPr>
          <w:rFonts w:ascii="Arial Narrow" w:hAnsi="Arial Narrow" w:cs="Arial"/>
          <w:b/>
          <w:bCs/>
          <w:caps/>
          <w:color w:val="182853"/>
          <w:kern w:val="32"/>
          <w:sz w:val="38"/>
          <w:szCs w:val="38"/>
        </w:rPr>
      </w:pPr>
      <w:r>
        <w:br w:type="page"/>
      </w:r>
    </w:p>
    <w:p w14:paraId="3FC550F9" w14:textId="0926C0F5" w:rsidR="00417F25" w:rsidRPr="005C63EF" w:rsidRDefault="00417F25" w:rsidP="00417F25">
      <w:pPr>
        <w:pStyle w:val="Heading1"/>
        <w:rPr>
          <w:rFonts w:ascii="Arial" w:hAnsi="Arial"/>
        </w:rPr>
      </w:pPr>
      <w:r>
        <w:lastRenderedPageBreak/>
        <w:t xml:space="preserve">Appendix </w:t>
      </w:r>
      <w:r w:rsidRPr="005C63EF">
        <w:t>B</w:t>
      </w:r>
      <w:r w:rsidRPr="005C63EF">
        <w:rPr>
          <w:rFonts w:ascii="Arial" w:hAnsi="Arial"/>
        </w:rPr>
        <w:t xml:space="preserve">: </w:t>
      </w:r>
      <w:r>
        <w:rPr>
          <w:rFonts w:ascii="Arial" w:hAnsi="Arial"/>
        </w:rPr>
        <w:t>References</w:t>
      </w:r>
    </w:p>
    <w:p w14:paraId="0FC039DA" w14:textId="77777777" w:rsidR="00417F25" w:rsidRDefault="00417F25" w:rsidP="00417F25">
      <w:pPr>
        <w:pStyle w:val="Heading2"/>
      </w:pPr>
      <w:bookmarkStart w:id="12" w:name="_Toc343613183"/>
      <w:r>
        <w:t>National Preparedness Goal</w:t>
      </w:r>
      <w:bookmarkEnd w:id="12"/>
    </w:p>
    <w:p w14:paraId="5C78080E" w14:textId="211D31CA" w:rsidR="00417F25" w:rsidRPr="00233C56" w:rsidRDefault="00417F25" w:rsidP="00417F25">
      <w:pPr>
        <w:pStyle w:val="BodyText"/>
      </w:pPr>
      <w:r w:rsidRPr="00BA6596">
        <w:t xml:space="preserve">The National Preparedness Goal outlines the core capabilities needed to achieve the five mission areas: </w:t>
      </w:r>
      <w:r w:rsidR="0041353A">
        <w:t>p</w:t>
      </w:r>
      <w:r w:rsidRPr="00BA6596">
        <w:t xml:space="preserve">revention, </w:t>
      </w:r>
      <w:r w:rsidR="0041353A">
        <w:t>p</w:t>
      </w:r>
      <w:r w:rsidRPr="00BA6596">
        <w:t xml:space="preserve">rotection, </w:t>
      </w:r>
      <w:r w:rsidR="0041353A">
        <w:t>m</w:t>
      </w:r>
      <w:r w:rsidRPr="00BA6596">
        <w:t xml:space="preserve">itigation, </w:t>
      </w:r>
      <w:proofErr w:type="gramStart"/>
      <w:r w:rsidR="0041353A">
        <w:t>r</w:t>
      </w:r>
      <w:r w:rsidRPr="00BA6596">
        <w:t>esponse</w:t>
      </w:r>
      <w:proofErr w:type="gramEnd"/>
      <w:r w:rsidRPr="00BA6596">
        <w:t xml:space="preserve"> and </w:t>
      </w:r>
      <w:r w:rsidR="0041353A">
        <w:t>r</w:t>
      </w:r>
      <w:r w:rsidRPr="00BA6596">
        <w:t>ecovery.</w:t>
      </w:r>
      <w:r>
        <w:t xml:space="preserve"> </w:t>
      </w:r>
      <w:r w:rsidRPr="00BA6596">
        <w:t xml:space="preserve">The core capabilities are designed to be interdependent and require </w:t>
      </w:r>
      <w:r>
        <w:t>jurisdictions/</w:t>
      </w:r>
      <w:r w:rsidRPr="00BA6596">
        <w:t>organizations to use existing preparedness networks and activities, improve training and exercise programs, promote innovation and ensure that the administrative, finance and logistics systems are in place to support these capabilities.</w:t>
      </w:r>
      <w:r>
        <w:t xml:space="preserve"> </w:t>
      </w:r>
      <w:r w:rsidRPr="00BA6596">
        <w:t>The Goal also identifies capability targets for each core capability</w:t>
      </w:r>
      <w:r w:rsidR="0041353A">
        <w:t xml:space="preserve"> and</w:t>
      </w:r>
      <w:r w:rsidRPr="00BA6596">
        <w:t xml:space="preserve"> serve as the basis for the development of performance measures to track the progress of capability execution</w:t>
      </w:r>
      <w:r>
        <w:t xml:space="preserve"> and</w:t>
      </w:r>
      <w:r w:rsidRPr="00BA6596">
        <w:t xml:space="preserve"> guide the allocation of resources in support of national preparedness. </w:t>
      </w:r>
      <w:r>
        <w:t xml:space="preserve">For more information about the National Preparedness Goal, please review the National Preparedness Goal document which details the above information and can be found </w:t>
      </w:r>
      <w:r w:rsidR="0041353A">
        <w:t>on</w:t>
      </w:r>
      <w:r>
        <w:t xml:space="preserve"> FEMA</w:t>
      </w:r>
      <w:r w:rsidR="0041353A">
        <w:t>’s</w:t>
      </w:r>
      <w:r>
        <w:t xml:space="preserve"> website: </w:t>
      </w:r>
      <w:hyperlink r:id="rId19" w:history="1">
        <w:r>
          <w:rPr>
            <w:rStyle w:val="Hyperlink"/>
          </w:rPr>
          <w:t>https://www.fema.gov/national-preparedness-goal.</w:t>
        </w:r>
      </w:hyperlink>
    </w:p>
    <w:p w14:paraId="03D9F335" w14:textId="77777777" w:rsidR="00417F25" w:rsidRDefault="00417F25" w:rsidP="00417F25">
      <w:pPr>
        <w:pStyle w:val="Heading2"/>
      </w:pPr>
      <w:bookmarkStart w:id="13" w:name="_Toc343613184"/>
      <w:r>
        <w:t>The National Preparedness System</w:t>
      </w:r>
      <w:bookmarkEnd w:id="13"/>
    </w:p>
    <w:p w14:paraId="5B53DDDE" w14:textId="0BA319F4" w:rsidR="00417F25" w:rsidRDefault="00417F25" w:rsidP="00417F25">
      <w:pPr>
        <w:pStyle w:val="BodyText"/>
      </w:pPr>
      <w:r>
        <w:t xml:space="preserve">Building from the core capabilities described in the Goal, the National Preparedness System describes a series of components and how they interact to build, </w:t>
      </w:r>
      <w:proofErr w:type="gramStart"/>
      <w:r>
        <w:t>sustain</w:t>
      </w:r>
      <w:proofErr w:type="gramEnd"/>
      <w:r>
        <w:t xml:space="preserve"> and deliver the core capabilities necessary in order to achieve the Goal. These components provide a consistent and reliable approach to support decision-making, resource allocation and measure progress towards the Goal’s intended outcomes.</w:t>
      </w:r>
    </w:p>
    <w:p w14:paraId="3B736E88" w14:textId="7A1C3347" w:rsidR="00417F25" w:rsidRDefault="00417F25" w:rsidP="00417F25">
      <w:pPr>
        <w:pStyle w:val="BodyText"/>
      </w:pPr>
      <w:r>
        <w:t>For more information about the National Preparedness System, please visit FEMA</w:t>
      </w:r>
      <w:r w:rsidR="0041353A">
        <w:t>’s</w:t>
      </w:r>
      <w:r>
        <w:t xml:space="preserve"> website at: </w:t>
      </w:r>
      <w:hyperlink r:id="rId20" w:history="1">
        <w:r>
          <w:rPr>
            <w:rStyle w:val="Hyperlink"/>
          </w:rPr>
          <w:t>http://www.fema.gov/pdf/prepared/nps_description.pdf.</w:t>
        </w:r>
      </w:hyperlink>
    </w:p>
    <w:p w14:paraId="56642BED" w14:textId="77777777" w:rsidR="00417F25" w:rsidRPr="00B62E1B" w:rsidRDefault="00417F25" w:rsidP="00417F25">
      <w:pPr>
        <w:pStyle w:val="Heading2"/>
        <w:rPr>
          <w:rFonts w:ascii="Times New Roman" w:hAnsi="Times New Roman"/>
          <w:color w:val="auto"/>
          <w:sz w:val="24"/>
        </w:rPr>
      </w:pPr>
      <w:bookmarkStart w:id="14" w:name="_Toc343613185"/>
      <w:r>
        <w:t>Homeland Security Exercise and Evaluation Program</w:t>
      </w:r>
      <w:bookmarkEnd w:id="14"/>
    </w:p>
    <w:p w14:paraId="5BF5F8BD" w14:textId="76C07989" w:rsidR="00417F25" w:rsidRDefault="00417F25" w:rsidP="00417F25">
      <w:pPr>
        <w:pStyle w:val="BodyText"/>
      </w:pPr>
      <w:bookmarkStart w:id="15" w:name="_Toc315254184"/>
      <w:r w:rsidRPr="00255249">
        <w:t xml:space="preserve">The Homeland Security Exercise and Evaluation Program (HSEEP) provides a set of </w:t>
      </w:r>
      <w:r>
        <w:t xml:space="preserve">guiding </w:t>
      </w:r>
      <w:r w:rsidRPr="00255249">
        <w:t>principles for exercise programs</w:t>
      </w:r>
      <w:r>
        <w:t>,</w:t>
      </w:r>
      <w:r w:rsidRPr="00255249">
        <w:t xml:space="preserve"> as well as a common methodology for exercise program management, design and development, conduct, </w:t>
      </w:r>
      <w:proofErr w:type="gramStart"/>
      <w:r w:rsidRPr="00255249">
        <w:t>evaluation</w:t>
      </w:r>
      <w:proofErr w:type="gramEnd"/>
      <w:r w:rsidRPr="00255249">
        <w:t xml:space="preserve"> and improvement planning.</w:t>
      </w:r>
      <w:bookmarkEnd w:id="15"/>
      <w:r>
        <w:t xml:space="preserve"> </w:t>
      </w:r>
      <w:bookmarkStart w:id="16" w:name="_Toc315254185"/>
      <w:r w:rsidRPr="00255249">
        <w:t xml:space="preserve">Exercises are a key component of national preparedness—they provide </w:t>
      </w:r>
      <w:r>
        <w:t xml:space="preserve">senior leaders as well as stakeholders from across the </w:t>
      </w:r>
      <w:r w:rsidRPr="00255249">
        <w:t xml:space="preserve">whole community with the opportunity to </w:t>
      </w:r>
      <w:r>
        <w:t xml:space="preserve">shape planning, </w:t>
      </w:r>
      <w:r w:rsidRPr="00255249">
        <w:t xml:space="preserve">assess </w:t>
      </w:r>
      <w:r>
        <w:t xml:space="preserve">and validate </w:t>
      </w:r>
      <w:r w:rsidRPr="00255249">
        <w:t>capabilities and address areas for improvement.</w:t>
      </w:r>
      <w:bookmarkEnd w:id="16"/>
    </w:p>
    <w:p w14:paraId="06545C1B" w14:textId="070BA695" w:rsidR="00417F25" w:rsidRDefault="00417F25" w:rsidP="00417F25">
      <w:pPr>
        <w:pStyle w:val="BodyText"/>
      </w:pPr>
      <w:r>
        <w:t xml:space="preserve">For more information, please visit </w:t>
      </w:r>
      <w:r w:rsidRPr="009122D6">
        <w:t>FEMA</w:t>
      </w:r>
      <w:r w:rsidR="009A733F">
        <w:t>’s</w:t>
      </w:r>
      <w:r w:rsidRPr="009122D6">
        <w:t xml:space="preserve"> </w:t>
      </w:r>
      <w:r w:rsidR="009A733F">
        <w:t>web</w:t>
      </w:r>
      <w:r w:rsidRPr="009122D6">
        <w:t xml:space="preserve">site at: </w:t>
      </w:r>
      <w:hyperlink r:id="rId21" w:history="1">
        <w:r>
          <w:rPr>
            <w:rStyle w:val="Hyperlink"/>
          </w:rPr>
          <w:t>https://www.fema.gov/HSEEP.</w:t>
        </w:r>
      </w:hyperlink>
    </w:p>
    <w:p w14:paraId="310A8AF8" w14:textId="77777777" w:rsidR="00557586" w:rsidRDefault="00557586">
      <w:pPr>
        <w:spacing w:after="200" w:line="276" w:lineRule="auto"/>
        <w:rPr>
          <w:rFonts w:ascii="Arial Narrow" w:hAnsi="Arial Narrow" w:cs="Arial"/>
          <w:b/>
          <w:bCs/>
          <w:iCs/>
          <w:caps/>
          <w:color w:val="000080"/>
          <w:sz w:val="28"/>
          <w:szCs w:val="28"/>
        </w:rPr>
      </w:pPr>
      <w:bookmarkStart w:id="17" w:name="_Toc343613187"/>
      <w:r>
        <w:br w:type="page"/>
      </w:r>
    </w:p>
    <w:p w14:paraId="6D5E2B6F" w14:textId="71825BD9" w:rsidR="00417F25" w:rsidRDefault="00417F25" w:rsidP="00417F25">
      <w:pPr>
        <w:pStyle w:val="Heading2"/>
      </w:pPr>
      <w:r>
        <w:lastRenderedPageBreak/>
        <w:t>National Exercise Program</w:t>
      </w:r>
      <w:bookmarkEnd w:id="17"/>
    </w:p>
    <w:p w14:paraId="50B520EF" w14:textId="7A33FB2C" w:rsidR="00417F25" w:rsidRDefault="00417F25" w:rsidP="00417F25">
      <w:pPr>
        <w:pStyle w:val="BodyText"/>
      </w:pPr>
      <w:r>
        <w:t xml:space="preserve">The </w:t>
      </w:r>
      <w:r w:rsidR="007F63B5">
        <w:t>National Exercise Program (</w:t>
      </w:r>
      <w:r>
        <w:t>NEP</w:t>
      </w:r>
      <w:r w:rsidR="007F63B5">
        <w:t>)</w:t>
      </w:r>
      <w:r>
        <w:t xml:space="preserve"> is a two-year progressive exercise cycle designed to support national preparedness. It serves as the cornerstone of a collective effort to test, </w:t>
      </w:r>
      <w:proofErr w:type="gramStart"/>
      <w:r>
        <w:t>improve</w:t>
      </w:r>
      <w:proofErr w:type="gramEnd"/>
      <w:r>
        <w:t xml:space="preserve"> and assess national preparedness across the homeland security enterprise. The NEP provides a framework for prioritizing and focusing exercise activities across the whole community without precluding or replacing individual jurisdictional/organizational exercise programs.</w:t>
      </w:r>
    </w:p>
    <w:p w14:paraId="4FBD41F9" w14:textId="3737AE29" w:rsidR="00417F25" w:rsidRPr="0097508D" w:rsidRDefault="00417F25" w:rsidP="00417F25">
      <w:pPr>
        <w:pStyle w:val="BodyText"/>
      </w:pPr>
      <w:r>
        <w:t>For more information, please visit the NEP section on FEMA</w:t>
      </w:r>
      <w:r w:rsidR="005A71F1">
        <w:t>’s</w:t>
      </w:r>
      <w:r>
        <w:t xml:space="preserve"> website: </w:t>
      </w:r>
      <w:hyperlink r:id="rId22" w:history="1">
        <w:r>
          <w:rPr>
            <w:rStyle w:val="Hyperlink"/>
          </w:rPr>
          <w:t>http://www.fema.gov/national-exercise-program.</w:t>
        </w:r>
      </w:hyperlink>
    </w:p>
    <w:p w14:paraId="44244DB1" w14:textId="77777777" w:rsidR="00417F25" w:rsidRDefault="00417F25" w:rsidP="006D0B53">
      <w:pPr>
        <w:pStyle w:val="ListBullet"/>
        <w:numPr>
          <w:ilvl w:val="0"/>
          <w:numId w:val="0"/>
        </w:numPr>
      </w:pPr>
    </w:p>
    <w:sectPr w:rsidR="00417F25" w:rsidSect="005F02E6">
      <w:headerReference w:type="default" r:id="rId23"/>
      <w:footerReference w:type="default" r:id="rId24"/>
      <w:type w:val="continuous"/>
      <w:pgSz w:w="12240" w:h="15840" w:code="1"/>
      <w:pgMar w:top="1440" w:right="1440" w:bottom="1440" w:left="1440" w:header="432"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60CC5" w14:textId="77777777" w:rsidR="00FF63BC" w:rsidRDefault="00FF63BC" w:rsidP="00D31366">
      <w:r>
        <w:separator/>
      </w:r>
    </w:p>
  </w:endnote>
  <w:endnote w:type="continuationSeparator" w:id="0">
    <w:p w14:paraId="5D64352D" w14:textId="77777777" w:rsidR="00FF63BC" w:rsidRDefault="00FF63BC" w:rsidP="00D31366">
      <w:r>
        <w:continuationSeparator/>
      </w:r>
    </w:p>
  </w:endnote>
  <w:endnote w:type="continuationNotice" w:id="1">
    <w:p w14:paraId="3784AA96" w14:textId="77777777" w:rsidR="00FF63BC" w:rsidRDefault="00FF6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oanna 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A00EC" w14:textId="2077302D" w:rsidR="00263DCF" w:rsidRPr="00A67DEF" w:rsidRDefault="00263DCF" w:rsidP="004F37DF">
    <w:pPr>
      <w:pStyle w:val="Footer"/>
      <w:rPr>
        <w:rFonts w:cs="Arial"/>
        <w:color w:val="FFFFFF" w:themeColor="background1"/>
        <w:sz w:val="18"/>
        <w:szCs w:val="18"/>
      </w:rPr>
    </w:pPr>
    <w:r w:rsidRPr="00A67DEF">
      <w:rPr>
        <w:rFonts w:cs="Arial"/>
        <w:color w:val="FFFFFF" w:themeColor="background1"/>
        <w:sz w:val="18"/>
        <w:szCs w:val="18"/>
      </w:rPr>
      <w:t xml:space="preserve">Rev. </w:t>
    </w:r>
    <w:r w:rsidR="0031386D">
      <w:rPr>
        <w:rFonts w:cs="Arial"/>
        <w:color w:val="FFFFFF" w:themeColor="background1"/>
        <w:sz w:val="18"/>
        <w:szCs w:val="18"/>
      </w:rPr>
      <w:t>Octo</w:t>
    </w:r>
    <w:r w:rsidR="00DE293D">
      <w:rPr>
        <w:rFonts w:cs="Arial"/>
        <w:color w:val="FFFFFF" w:themeColor="background1"/>
        <w:sz w:val="18"/>
        <w:szCs w:val="18"/>
      </w:rPr>
      <w:t>ber 2020</w:t>
    </w:r>
  </w:p>
  <w:p w14:paraId="505235B3" w14:textId="115DACA9" w:rsidR="00263DCF" w:rsidRPr="00A67DEF" w:rsidRDefault="00263DCF">
    <w:pPr>
      <w:pStyle w:val="Footer"/>
      <w:rPr>
        <w:color w:val="FFFFFF" w:themeColor="background1"/>
      </w:rPr>
    </w:pPr>
    <w:r w:rsidRPr="00A67DEF">
      <w:rPr>
        <w:rFonts w:cs="Arial"/>
        <w:color w:val="FFFFFF" w:themeColor="background1"/>
        <w:sz w:val="18"/>
        <w:szCs w:val="18"/>
      </w:rPr>
      <w:t>HSEEP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28333" w14:textId="21CA7CBE" w:rsidR="002D6989" w:rsidRDefault="005B4F73" w:rsidP="005B4F73">
    <w:pPr>
      <w:pStyle w:val="Header"/>
      <w:tabs>
        <w:tab w:val="clear" w:pos="9360"/>
        <w:tab w:val="center" w:pos="4320"/>
        <w:tab w:val="right" w:pos="8640"/>
      </w:tabs>
      <w:rPr>
        <w:rStyle w:val="PageNumber"/>
        <w:b w:val="0"/>
        <w:color w:val="FFFFFF" w:themeColor="background1"/>
      </w:rPr>
    </w:pPr>
    <w:r>
      <w:rPr>
        <w:rStyle w:val="PageNumber"/>
        <w:b w:val="0"/>
        <w:color w:val="FFFFFF" w:themeColor="background1"/>
      </w:rPr>
      <w:tab/>
    </w:r>
    <w:r w:rsidR="00263DCF" w:rsidRPr="00CB56CC">
      <w:rPr>
        <w:rStyle w:val="PageNumber"/>
        <w:b w:val="0"/>
        <w:color w:val="FFFFFF" w:themeColor="background1"/>
      </w:rPr>
      <w:fldChar w:fldCharType="begin"/>
    </w:r>
    <w:r w:rsidR="00263DCF" w:rsidRPr="00CB56CC">
      <w:rPr>
        <w:rStyle w:val="PageNumber"/>
        <w:b w:val="0"/>
        <w:color w:val="FFFFFF" w:themeColor="background1"/>
      </w:rPr>
      <w:instrText xml:space="preserve"> PAGE </w:instrText>
    </w:r>
    <w:r w:rsidR="00263DCF" w:rsidRPr="00CB56CC">
      <w:rPr>
        <w:rStyle w:val="PageNumber"/>
        <w:b w:val="0"/>
        <w:color w:val="FFFFFF" w:themeColor="background1"/>
      </w:rPr>
      <w:fldChar w:fldCharType="separate"/>
    </w:r>
    <w:r w:rsidR="00263DCF">
      <w:rPr>
        <w:rStyle w:val="PageNumber"/>
        <w:b w:val="0"/>
        <w:noProof/>
        <w:color w:val="FFFFFF" w:themeColor="background1"/>
      </w:rPr>
      <w:t>1</w:t>
    </w:r>
    <w:r w:rsidR="00263DCF" w:rsidRPr="00CB56CC">
      <w:rPr>
        <w:rStyle w:val="PageNumber"/>
        <w:b w:val="0"/>
        <w:color w:val="FFFFFF" w:themeColor="background1"/>
      </w:rPr>
      <w:fldChar w:fldCharType="end"/>
    </w:r>
  </w:p>
  <w:p w14:paraId="1066CAB4" w14:textId="5C7FA36E" w:rsidR="00FF3A7A" w:rsidRPr="00FF3A7A" w:rsidRDefault="00FF3A7A" w:rsidP="001B772A">
    <w:pPr>
      <w:pStyle w:val="Header"/>
      <w:tabs>
        <w:tab w:val="clear" w:pos="9360"/>
        <w:tab w:val="center" w:pos="4320"/>
        <w:tab w:val="right" w:pos="8640"/>
      </w:tabs>
      <w:rPr>
        <w:rStyle w:val="PageNumber"/>
        <w:b w:val="0"/>
        <w:smallCaps/>
        <w:color w:val="FFFFFF" w:themeColor="background1"/>
        <w:sz w:val="18"/>
        <w:szCs w:val="18"/>
      </w:rPr>
    </w:pPr>
    <w:r>
      <w:rPr>
        <w:rStyle w:val="PageNumber"/>
        <w:b w:val="0"/>
        <w:smallCaps/>
        <w:color w:val="FFFFFF" w:themeColor="background1"/>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F85E5" w14:textId="4EE88F78" w:rsidR="00155A93" w:rsidRDefault="00155A93" w:rsidP="005B4F73">
    <w:pPr>
      <w:pStyle w:val="Header"/>
      <w:tabs>
        <w:tab w:val="clear" w:pos="9360"/>
        <w:tab w:val="center" w:pos="4320"/>
        <w:tab w:val="right" w:pos="8640"/>
      </w:tabs>
      <w:rPr>
        <w:rStyle w:val="PageNumber"/>
        <w:b w:val="0"/>
        <w:color w:val="FFFFFF" w:themeColor="background1"/>
      </w:rPr>
    </w:pPr>
    <w:r>
      <w:rPr>
        <w:rStyle w:val="PageNumber"/>
        <w:b w:val="0"/>
        <w:color w:val="FFFFFF" w:themeColor="background1"/>
      </w:rPr>
      <w:tab/>
    </w:r>
    <w:r w:rsidRPr="00CB56CC">
      <w:rPr>
        <w:rStyle w:val="PageNumber"/>
        <w:b w:val="0"/>
        <w:color w:val="FFFFFF" w:themeColor="background1"/>
      </w:rPr>
      <w:fldChar w:fldCharType="begin"/>
    </w:r>
    <w:r w:rsidRPr="00CB56CC">
      <w:rPr>
        <w:rStyle w:val="PageNumber"/>
        <w:b w:val="0"/>
        <w:color w:val="FFFFFF" w:themeColor="background1"/>
      </w:rPr>
      <w:instrText xml:space="preserve"> PAGE </w:instrText>
    </w:r>
    <w:r w:rsidRPr="00CB56CC">
      <w:rPr>
        <w:rStyle w:val="PageNumber"/>
        <w:b w:val="0"/>
        <w:color w:val="FFFFFF" w:themeColor="background1"/>
      </w:rPr>
      <w:fldChar w:fldCharType="separate"/>
    </w:r>
    <w:r>
      <w:rPr>
        <w:rStyle w:val="PageNumber"/>
        <w:b w:val="0"/>
        <w:noProof/>
        <w:color w:val="FFFFFF" w:themeColor="background1"/>
      </w:rPr>
      <w:t>1</w:t>
    </w:r>
    <w:r w:rsidRPr="00CB56CC">
      <w:rPr>
        <w:rStyle w:val="PageNumber"/>
        <w:b w:val="0"/>
        <w:color w:val="FFFFFF" w:themeColor="background1"/>
      </w:rPr>
      <w:fldChar w:fldCharType="end"/>
    </w:r>
  </w:p>
  <w:p w14:paraId="467097E7" w14:textId="7702E496" w:rsidR="00155A93" w:rsidRPr="00FF3A7A" w:rsidRDefault="00155A93" w:rsidP="001B772A">
    <w:pPr>
      <w:pStyle w:val="Header"/>
      <w:tabs>
        <w:tab w:val="clear" w:pos="9360"/>
        <w:tab w:val="center" w:pos="4320"/>
        <w:tab w:val="right" w:pos="8640"/>
      </w:tabs>
      <w:rPr>
        <w:rStyle w:val="PageNumber"/>
        <w:b w:val="0"/>
        <w:smallCaps/>
        <w:color w:val="FFFFFF" w:themeColor="background1"/>
        <w:sz w:val="18"/>
        <w:szCs w:val="18"/>
      </w:rPr>
    </w:pPr>
    <w:r>
      <w:rPr>
        <w:rStyle w:val="PageNumber"/>
        <w:b w:val="0"/>
        <w:smallCaps/>
        <w:color w:val="FFFFFF" w:themeColor="background1"/>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C4FD0" w14:textId="21D77CA4" w:rsidR="001A7C15" w:rsidRDefault="001A7C15" w:rsidP="005B4F73">
    <w:pPr>
      <w:pStyle w:val="Header"/>
      <w:tabs>
        <w:tab w:val="clear" w:pos="9360"/>
        <w:tab w:val="center" w:pos="4320"/>
        <w:tab w:val="right" w:pos="8640"/>
      </w:tabs>
      <w:rPr>
        <w:rStyle w:val="PageNumber"/>
        <w:b w:val="0"/>
        <w:color w:val="FFFFFF" w:themeColor="background1"/>
      </w:rPr>
    </w:pPr>
    <w:r>
      <w:rPr>
        <w:rStyle w:val="PageNumber"/>
        <w:b w:val="0"/>
        <w:color w:val="FFFFFF" w:themeColor="background1"/>
      </w:rPr>
      <w:tab/>
      <w:t>A-</w:t>
    </w:r>
    <w:r w:rsidRPr="00CB56CC">
      <w:rPr>
        <w:rStyle w:val="PageNumber"/>
        <w:b w:val="0"/>
        <w:color w:val="FFFFFF" w:themeColor="background1"/>
      </w:rPr>
      <w:fldChar w:fldCharType="begin"/>
    </w:r>
    <w:r w:rsidRPr="00CB56CC">
      <w:rPr>
        <w:rStyle w:val="PageNumber"/>
        <w:b w:val="0"/>
        <w:color w:val="FFFFFF" w:themeColor="background1"/>
      </w:rPr>
      <w:instrText xml:space="preserve"> PAGE </w:instrText>
    </w:r>
    <w:r w:rsidRPr="00CB56CC">
      <w:rPr>
        <w:rStyle w:val="PageNumber"/>
        <w:b w:val="0"/>
        <w:color w:val="FFFFFF" w:themeColor="background1"/>
      </w:rPr>
      <w:fldChar w:fldCharType="separate"/>
    </w:r>
    <w:r>
      <w:rPr>
        <w:rStyle w:val="PageNumber"/>
        <w:b w:val="0"/>
        <w:noProof/>
        <w:color w:val="FFFFFF" w:themeColor="background1"/>
      </w:rPr>
      <w:t>1</w:t>
    </w:r>
    <w:r w:rsidRPr="00CB56CC">
      <w:rPr>
        <w:rStyle w:val="PageNumber"/>
        <w:b w:val="0"/>
        <w:color w:val="FFFFFF" w:themeColor="background1"/>
      </w:rPr>
      <w:fldChar w:fldCharType="end"/>
    </w:r>
  </w:p>
  <w:p w14:paraId="162EB927" w14:textId="34D4B563" w:rsidR="001A7C15" w:rsidRPr="00FF3A7A" w:rsidRDefault="001A7C15" w:rsidP="001B772A">
    <w:pPr>
      <w:pStyle w:val="Header"/>
      <w:tabs>
        <w:tab w:val="clear" w:pos="9360"/>
        <w:tab w:val="center" w:pos="4320"/>
        <w:tab w:val="right" w:pos="8640"/>
      </w:tabs>
      <w:rPr>
        <w:rStyle w:val="PageNumber"/>
        <w:b w:val="0"/>
        <w:smallCaps/>
        <w:color w:val="FFFFFF" w:themeColor="background1"/>
        <w:sz w:val="18"/>
        <w:szCs w:val="18"/>
      </w:rPr>
    </w:pPr>
    <w:r>
      <w:rPr>
        <w:rStyle w:val="PageNumber"/>
        <w:b w:val="0"/>
        <w:smallCaps/>
        <w:color w:val="FFFFFF" w:themeColor="background1"/>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A0741" w14:textId="56C27215" w:rsidR="001A7C15" w:rsidRDefault="001A7C15" w:rsidP="005B4F73">
    <w:pPr>
      <w:pStyle w:val="Header"/>
      <w:tabs>
        <w:tab w:val="clear" w:pos="9360"/>
        <w:tab w:val="center" w:pos="4320"/>
        <w:tab w:val="right" w:pos="8640"/>
      </w:tabs>
      <w:rPr>
        <w:rStyle w:val="PageNumber"/>
        <w:b w:val="0"/>
        <w:color w:val="FFFFFF" w:themeColor="background1"/>
      </w:rPr>
    </w:pPr>
    <w:r>
      <w:rPr>
        <w:rStyle w:val="PageNumber"/>
        <w:b w:val="0"/>
        <w:color w:val="FFFFFF" w:themeColor="background1"/>
      </w:rPr>
      <w:tab/>
      <w:t>B-</w:t>
    </w:r>
    <w:r w:rsidRPr="00CB56CC">
      <w:rPr>
        <w:rStyle w:val="PageNumber"/>
        <w:b w:val="0"/>
        <w:color w:val="FFFFFF" w:themeColor="background1"/>
      </w:rPr>
      <w:fldChar w:fldCharType="begin"/>
    </w:r>
    <w:r w:rsidRPr="00CB56CC">
      <w:rPr>
        <w:rStyle w:val="PageNumber"/>
        <w:b w:val="0"/>
        <w:color w:val="FFFFFF" w:themeColor="background1"/>
      </w:rPr>
      <w:instrText xml:space="preserve"> PAGE </w:instrText>
    </w:r>
    <w:r w:rsidRPr="00CB56CC">
      <w:rPr>
        <w:rStyle w:val="PageNumber"/>
        <w:b w:val="0"/>
        <w:color w:val="FFFFFF" w:themeColor="background1"/>
      </w:rPr>
      <w:fldChar w:fldCharType="separate"/>
    </w:r>
    <w:r>
      <w:rPr>
        <w:rStyle w:val="PageNumber"/>
        <w:b w:val="0"/>
        <w:noProof/>
        <w:color w:val="FFFFFF" w:themeColor="background1"/>
      </w:rPr>
      <w:t>1</w:t>
    </w:r>
    <w:r w:rsidRPr="00CB56CC">
      <w:rPr>
        <w:rStyle w:val="PageNumber"/>
        <w:b w:val="0"/>
        <w:color w:val="FFFFFF" w:themeColor="background1"/>
      </w:rPr>
      <w:fldChar w:fldCharType="end"/>
    </w:r>
  </w:p>
  <w:p w14:paraId="44150C0C" w14:textId="73B65602" w:rsidR="001A7C15" w:rsidRPr="00FF3A7A" w:rsidRDefault="001A7C15" w:rsidP="001B772A">
    <w:pPr>
      <w:pStyle w:val="Header"/>
      <w:tabs>
        <w:tab w:val="clear" w:pos="9360"/>
        <w:tab w:val="center" w:pos="4320"/>
        <w:tab w:val="right" w:pos="8640"/>
      </w:tabs>
      <w:rPr>
        <w:rStyle w:val="PageNumber"/>
        <w:b w:val="0"/>
        <w:smallCaps/>
        <w:color w:val="FFFFFF" w:themeColor="background1"/>
        <w:sz w:val="18"/>
        <w:szCs w:val="18"/>
      </w:rPr>
    </w:pPr>
    <w:r>
      <w:rPr>
        <w:rStyle w:val="PageNumber"/>
        <w:b w:val="0"/>
        <w:smallCaps/>
        <w:color w:val="FFFFFF" w:themeColor="background1"/>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09B74" w14:textId="77777777" w:rsidR="00FF63BC" w:rsidRDefault="00FF63BC" w:rsidP="00D31366">
      <w:r>
        <w:separator/>
      </w:r>
    </w:p>
  </w:footnote>
  <w:footnote w:type="continuationSeparator" w:id="0">
    <w:p w14:paraId="546721DF" w14:textId="77777777" w:rsidR="00FF63BC" w:rsidRDefault="00FF63BC" w:rsidP="00D31366">
      <w:r>
        <w:continuationSeparator/>
      </w:r>
    </w:p>
  </w:footnote>
  <w:footnote w:type="continuationNotice" w:id="1">
    <w:p w14:paraId="60DA34D2" w14:textId="77777777" w:rsidR="00FF63BC" w:rsidRDefault="00FF63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25D7F" w14:textId="5A8DD5D4" w:rsidR="00263DCF" w:rsidRDefault="00263DCF">
    <w:pPr>
      <w:pStyle w:val="Header"/>
    </w:pPr>
    <w:r>
      <w:rPr>
        <w:noProof/>
      </w:rPr>
      <w:drawing>
        <wp:anchor distT="0" distB="0" distL="114300" distR="114300" simplePos="0" relativeHeight="251658241" behindDoc="1" locked="0" layoutInCell="1" allowOverlap="1" wp14:anchorId="0E50FBD0" wp14:editId="02747235">
          <wp:simplePos x="0" y="0"/>
          <wp:positionH relativeFrom="page">
            <wp:align>left</wp:align>
          </wp:positionH>
          <wp:positionV relativeFrom="page">
            <wp:align>top</wp:align>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Background-Fro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65F07" w14:textId="6ECCFF08" w:rsidR="00263DCF" w:rsidRPr="00CB56CC" w:rsidRDefault="00263DCF" w:rsidP="00CB56CC">
    <w:pPr>
      <w:pStyle w:val="Header"/>
      <w:rPr>
        <w:color w:val="FFFFFF" w:themeColor="background1"/>
      </w:rPr>
    </w:pPr>
    <w:r w:rsidRPr="00CB56CC">
      <w:rPr>
        <w:noProof/>
        <w:color w:val="FFFFFF" w:themeColor="background1"/>
      </w:rPr>
      <w:drawing>
        <wp:anchor distT="0" distB="0" distL="114300" distR="114300" simplePos="0" relativeHeight="251658244" behindDoc="1" locked="0" layoutInCell="1" allowOverlap="1" wp14:anchorId="3AF868E3" wp14:editId="30BC43D0">
          <wp:simplePos x="0" y="0"/>
          <wp:positionH relativeFrom="page">
            <wp:posOffset>0</wp:posOffset>
          </wp:positionH>
          <wp:positionV relativeFrom="page">
            <wp:posOffset>-522353540</wp:posOffset>
          </wp:positionV>
          <wp:extent cx="10058400" cy="10058400"/>
          <wp:effectExtent l="0" t="0" r="0" b="0"/>
          <wp:wrapNone/>
          <wp:docPr id="6" name="Picture 6" descr="C:\Users\asturm\AppData\Local\Microsoft\Windows\INetCache\Content.Word\Report-Backgroun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sturm\AppData\Local\Microsoft\Windows\INetCache\Content.Word\Report-Backgroun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607254" b="-607254"/>
                  <a:stretch/>
                </pic:blipFill>
                <pic:spPr bwMode="auto">
                  <a:xfrm>
                    <a:off x="0" y="0"/>
                    <a:ext cx="10058400"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B56CC">
      <w:rPr>
        <w:noProof/>
        <w:color w:val="FFFFFF" w:themeColor="background1"/>
      </w:rPr>
      <w:drawing>
        <wp:anchor distT="0" distB="0" distL="114300" distR="114300" simplePos="0" relativeHeight="251658240" behindDoc="1" locked="0" layoutInCell="1" allowOverlap="1" wp14:anchorId="6B91A26A" wp14:editId="277AA9BF">
          <wp:simplePos x="0" y="0"/>
          <wp:positionH relativeFrom="page">
            <wp:align>left</wp:align>
          </wp:positionH>
          <wp:positionV relativeFrom="page">
            <wp:align>top</wp:align>
          </wp:positionV>
          <wp:extent cx="7777480" cy="10058400"/>
          <wp:effectExtent l="0" t="0" r="0" b="0"/>
          <wp:wrapNone/>
          <wp:docPr id="8" name="Picture 8" descr="C:\Users\asturm\AppData\Local\Microsoft\Windows\INetCache\Content.Word\Report-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urm\AppData\Local\Microsoft\Windows\INetCache\Content.Word\Report-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480"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FFFF" w:themeColor="background1"/>
      </w:rPr>
      <w:t>Integrated Preparedness Plan</w:t>
    </w:r>
    <w:r w:rsidR="00417F25">
      <w:rPr>
        <w:color w:val="FFFFFF" w:themeColor="background1"/>
      </w:rPr>
      <w:t>ning Workshop</w:t>
    </w:r>
    <w:r w:rsidRPr="00CB56CC">
      <w:rPr>
        <w:color w:val="FFFFFF" w:themeColor="background1"/>
      </w:rPr>
      <w:tab/>
    </w:r>
    <w:r w:rsidR="00417F25">
      <w:rPr>
        <w:color w:val="FFFFFF" w:themeColor="background1"/>
      </w:rPr>
      <w:t>User Guide</w:t>
    </w:r>
  </w:p>
  <w:p w14:paraId="02E85468" w14:textId="38D03749" w:rsidR="00263DCF" w:rsidRPr="00CB56CC" w:rsidRDefault="00263DCF" w:rsidP="00CB56CC">
    <w:pPr>
      <w:pStyle w:val="Header"/>
      <w:spacing w:after="120"/>
      <w:rPr>
        <w:color w:val="FFFFFF" w:themeColor="background1"/>
      </w:rPr>
    </w:pPr>
    <w:r>
      <w:rPr>
        <w:color w:val="FFFFFF" w:themeColor="background1"/>
        <w:szCs w:val="12"/>
      </w:rPr>
      <w:t>(IPP</w:t>
    </w:r>
    <w:r w:rsidR="00417F25">
      <w:rPr>
        <w:color w:val="FFFFFF" w:themeColor="background1"/>
        <w:szCs w:val="12"/>
      </w:rPr>
      <w:t>W</w:t>
    </w:r>
    <w:r>
      <w:rPr>
        <w:color w:val="FFFFFF" w:themeColor="background1"/>
        <w:szCs w:val="12"/>
      </w:rPr>
      <w:t>)</w:t>
    </w:r>
    <w:r w:rsidRPr="00CB56CC">
      <w:rPr>
        <w:color w:val="FFFFFF" w:themeColor="background1"/>
        <w:szCs w:val="12"/>
      </w:rPr>
      <w:tab/>
    </w:r>
  </w:p>
  <w:p w14:paraId="6CBB7987" w14:textId="77777777" w:rsidR="00263DCF" w:rsidRDefault="00263D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C3EDF" w14:textId="77777777" w:rsidR="00AA7B94" w:rsidRPr="00CB56CC" w:rsidRDefault="00AA7B94" w:rsidP="00CB56CC">
    <w:pPr>
      <w:pStyle w:val="Header"/>
      <w:rPr>
        <w:color w:val="FFFFFF" w:themeColor="background1"/>
      </w:rPr>
    </w:pPr>
    <w:r w:rsidRPr="00CB56CC">
      <w:rPr>
        <w:noProof/>
        <w:color w:val="FFFFFF" w:themeColor="background1"/>
      </w:rPr>
      <w:drawing>
        <wp:anchor distT="0" distB="0" distL="114300" distR="114300" simplePos="0" relativeHeight="251661316" behindDoc="1" locked="0" layoutInCell="1" allowOverlap="1" wp14:anchorId="01A3D6B8" wp14:editId="05711076">
          <wp:simplePos x="0" y="0"/>
          <wp:positionH relativeFrom="page">
            <wp:posOffset>0</wp:posOffset>
          </wp:positionH>
          <wp:positionV relativeFrom="page">
            <wp:posOffset>-522353540</wp:posOffset>
          </wp:positionV>
          <wp:extent cx="10058400" cy="10058400"/>
          <wp:effectExtent l="0" t="0" r="0" b="0"/>
          <wp:wrapNone/>
          <wp:docPr id="1" name="Picture 1" descr="C:\Users\asturm\AppData\Local\Microsoft\Windows\INetCache\Content.Word\Report-Backgroun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sturm\AppData\Local\Microsoft\Windows\INetCache\Content.Word\Report-Backgroun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607254" b="-607254"/>
                  <a:stretch/>
                </pic:blipFill>
                <pic:spPr bwMode="auto">
                  <a:xfrm>
                    <a:off x="0" y="0"/>
                    <a:ext cx="10058400"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B56CC">
      <w:rPr>
        <w:noProof/>
        <w:color w:val="FFFFFF" w:themeColor="background1"/>
      </w:rPr>
      <w:drawing>
        <wp:anchor distT="0" distB="0" distL="114300" distR="114300" simplePos="0" relativeHeight="251660292" behindDoc="1" locked="0" layoutInCell="1" allowOverlap="1" wp14:anchorId="5D913A83" wp14:editId="277E890B">
          <wp:simplePos x="0" y="0"/>
          <wp:positionH relativeFrom="page">
            <wp:align>left</wp:align>
          </wp:positionH>
          <wp:positionV relativeFrom="page">
            <wp:align>top</wp:align>
          </wp:positionV>
          <wp:extent cx="7777480" cy="10058400"/>
          <wp:effectExtent l="0" t="0" r="0" b="0"/>
          <wp:wrapNone/>
          <wp:docPr id="2" name="Picture 2" descr="C:\Users\asturm\AppData\Local\Microsoft\Windows\INetCache\Content.Word\Report-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urm\AppData\Local\Microsoft\Windows\INetCache\Content.Word\Report-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480"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FFFF" w:themeColor="background1"/>
      </w:rPr>
      <w:t>Integrated Preparedness Planning Workshop</w:t>
    </w:r>
    <w:r w:rsidRPr="00CB56CC">
      <w:rPr>
        <w:color w:val="FFFFFF" w:themeColor="background1"/>
      </w:rPr>
      <w:tab/>
    </w:r>
    <w:r>
      <w:rPr>
        <w:color w:val="FFFFFF" w:themeColor="background1"/>
      </w:rPr>
      <w:t>User Guide</w:t>
    </w:r>
  </w:p>
  <w:p w14:paraId="08C4B892" w14:textId="77777777" w:rsidR="00AA7B94" w:rsidRPr="00CB56CC" w:rsidRDefault="00AA7B94" w:rsidP="00CB56CC">
    <w:pPr>
      <w:pStyle w:val="Header"/>
      <w:spacing w:after="120"/>
      <w:rPr>
        <w:color w:val="FFFFFF" w:themeColor="background1"/>
      </w:rPr>
    </w:pPr>
    <w:r>
      <w:rPr>
        <w:color w:val="FFFFFF" w:themeColor="background1"/>
        <w:szCs w:val="12"/>
      </w:rPr>
      <w:t>(IPPW)</w:t>
    </w:r>
    <w:r w:rsidRPr="00CB56CC">
      <w:rPr>
        <w:color w:val="FFFFFF" w:themeColor="background1"/>
        <w:szCs w:val="12"/>
      </w:rPr>
      <w:tab/>
    </w:r>
  </w:p>
  <w:p w14:paraId="7DE97E6B" w14:textId="77777777" w:rsidR="00AA7B94" w:rsidRDefault="00AA7B9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62C69" w14:textId="5A8E89D1" w:rsidR="005F02E6" w:rsidRPr="00CB56CC" w:rsidRDefault="005F02E6" w:rsidP="00CB56CC">
    <w:pPr>
      <w:pStyle w:val="Header"/>
      <w:rPr>
        <w:color w:val="FFFFFF" w:themeColor="background1"/>
      </w:rPr>
    </w:pPr>
    <w:r w:rsidRPr="00CB56CC">
      <w:rPr>
        <w:noProof/>
        <w:color w:val="FFFFFF" w:themeColor="background1"/>
      </w:rPr>
      <w:drawing>
        <wp:anchor distT="0" distB="0" distL="114300" distR="114300" simplePos="0" relativeHeight="251663364" behindDoc="1" locked="0" layoutInCell="1" allowOverlap="1" wp14:anchorId="42C12801" wp14:editId="31F821BE">
          <wp:simplePos x="0" y="0"/>
          <wp:positionH relativeFrom="page">
            <wp:posOffset>0</wp:posOffset>
          </wp:positionH>
          <wp:positionV relativeFrom="topMargin">
            <wp:posOffset>19752</wp:posOffset>
          </wp:positionV>
          <wp:extent cx="7777480" cy="10058400"/>
          <wp:effectExtent l="0" t="0" r="0" b="0"/>
          <wp:wrapNone/>
          <wp:docPr id="11" name="Picture 11" descr="C:\Users\asturm\AppData\Local\Microsoft\Windows\INetCache\Content.Word\Report-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urm\AppData\Local\Microsoft\Windows\INetCache\Content.Word\Report-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480"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6CC">
      <w:rPr>
        <w:noProof/>
        <w:color w:val="FFFFFF" w:themeColor="background1"/>
      </w:rPr>
      <w:drawing>
        <wp:anchor distT="0" distB="0" distL="114300" distR="114300" simplePos="0" relativeHeight="251664388" behindDoc="1" locked="0" layoutInCell="1" allowOverlap="1" wp14:anchorId="57CE7591" wp14:editId="4B3B108B">
          <wp:simplePos x="0" y="0"/>
          <wp:positionH relativeFrom="page">
            <wp:posOffset>0</wp:posOffset>
          </wp:positionH>
          <wp:positionV relativeFrom="page">
            <wp:posOffset>-522353540</wp:posOffset>
          </wp:positionV>
          <wp:extent cx="10058400" cy="10058400"/>
          <wp:effectExtent l="0" t="0" r="0" b="0"/>
          <wp:wrapNone/>
          <wp:docPr id="10" name="Picture 10" descr="C:\Users\asturm\AppData\Local\Microsoft\Windows\INetCache\Content.Word\Report-Backgroun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sturm\AppData\Local\Microsoft\Windows\INetCache\Content.Word\Report-Backgroun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607254" b="-607254"/>
                  <a:stretch/>
                </pic:blipFill>
                <pic:spPr bwMode="auto">
                  <a:xfrm>
                    <a:off x="0" y="0"/>
                    <a:ext cx="10058400"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FFFFFF" w:themeColor="background1"/>
      </w:rPr>
      <w:t>Integrated Preparedness Planning Workshop</w:t>
    </w:r>
    <w:r w:rsidRPr="00CB56CC">
      <w:rPr>
        <w:color w:val="FFFFFF" w:themeColor="background1"/>
      </w:rPr>
      <w:tab/>
    </w:r>
    <w:r>
      <w:rPr>
        <w:color w:val="FFFFFF" w:themeColor="background1"/>
      </w:rPr>
      <w:t>User Guide</w:t>
    </w:r>
  </w:p>
  <w:p w14:paraId="06E260C2" w14:textId="7BA0955A" w:rsidR="005F02E6" w:rsidRPr="00CB56CC" w:rsidRDefault="005F02E6" w:rsidP="00CB56CC">
    <w:pPr>
      <w:pStyle w:val="Header"/>
      <w:spacing w:after="120"/>
      <w:rPr>
        <w:color w:val="FFFFFF" w:themeColor="background1"/>
      </w:rPr>
    </w:pPr>
    <w:r>
      <w:rPr>
        <w:color w:val="FFFFFF" w:themeColor="background1"/>
        <w:szCs w:val="12"/>
      </w:rPr>
      <w:t>(IPPW)</w:t>
    </w:r>
    <w:r w:rsidRPr="00CB56CC">
      <w:rPr>
        <w:color w:val="FFFFFF" w:themeColor="background1"/>
        <w:szCs w:val="12"/>
      </w:rPr>
      <w:tab/>
    </w:r>
  </w:p>
  <w:p w14:paraId="35A6B730" w14:textId="22B0E187" w:rsidR="005F02E6" w:rsidRDefault="005F02E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BE42D" w14:textId="77777777" w:rsidR="00D97830" w:rsidRPr="00CB56CC" w:rsidRDefault="00D97830" w:rsidP="00CB56CC">
    <w:pPr>
      <w:pStyle w:val="Header"/>
      <w:rPr>
        <w:color w:val="FFFFFF" w:themeColor="background1"/>
      </w:rPr>
    </w:pPr>
    <w:r w:rsidRPr="00CB56CC">
      <w:rPr>
        <w:noProof/>
        <w:color w:val="FFFFFF" w:themeColor="background1"/>
      </w:rPr>
      <w:drawing>
        <wp:anchor distT="0" distB="0" distL="114300" distR="114300" simplePos="0" relativeHeight="251666436" behindDoc="1" locked="0" layoutInCell="1" allowOverlap="1" wp14:anchorId="6C16C36C" wp14:editId="40540563">
          <wp:simplePos x="0" y="0"/>
          <wp:positionH relativeFrom="page">
            <wp:posOffset>0</wp:posOffset>
          </wp:positionH>
          <wp:positionV relativeFrom="topMargin">
            <wp:posOffset>19752</wp:posOffset>
          </wp:positionV>
          <wp:extent cx="7777480" cy="10058400"/>
          <wp:effectExtent l="0" t="0" r="0" b="0"/>
          <wp:wrapNone/>
          <wp:docPr id="12" name="Picture 12" descr="C:\Users\asturm\AppData\Local\Microsoft\Windows\INetCache\Content.Word\Report-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urm\AppData\Local\Microsoft\Windows\INetCache\Content.Word\Report-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480"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6CC">
      <w:rPr>
        <w:noProof/>
        <w:color w:val="FFFFFF" w:themeColor="background1"/>
      </w:rPr>
      <w:drawing>
        <wp:anchor distT="0" distB="0" distL="114300" distR="114300" simplePos="0" relativeHeight="251667460" behindDoc="1" locked="0" layoutInCell="1" allowOverlap="1" wp14:anchorId="725F8A3E" wp14:editId="56476036">
          <wp:simplePos x="0" y="0"/>
          <wp:positionH relativeFrom="page">
            <wp:posOffset>0</wp:posOffset>
          </wp:positionH>
          <wp:positionV relativeFrom="page">
            <wp:posOffset>-522353540</wp:posOffset>
          </wp:positionV>
          <wp:extent cx="10058400" cy="10058400"/>
          <wp:effectExtent l="0" t="0" r="0" b="0"/>
          <wp:wrapNone/>
          <wp:docPr id="13" name="Picture 13" descr="C:\Users\asturm\AppData\Local\Microsoft\Windows\INetCache\Content.Word\Report-Backgroun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sturm\AppData\Local\Microsoft\Windows\INetCache\Content.Word\Report-Backgroun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607254" b="-607254"/>
                  <a:stretch/>
                </pic:blipFill>
                <pic:spPr bwMode="auto">
                  <a:xfrm>
                    <a:off x="0" y="0"/>
                    <a:ext cx="10058400"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FFFFFF" w:themeColor="background1"/>
      </w:rPr>
      <w:t>Integrated Preparedness Planning Workshop</w:t>
    </w:r>
    <w:r w:rsidRPr="00CB56CC">
      <w:rPr>
        <w:color w:val="FFFFFF" w:themeColor="background1"/>
      </w:rPr>
      <w:tab/>
    </w:r>
    <w:r>
      <w:rPr>
        <w:color w:val="FFFFFF" w:themeColor="background1"/>
      </w:rPr>
      <w:t>User Guide</w:t>
    </w:r>
  </w:p>
  <w:p w14:paraId="600D32B7" w14:textId="77777777" w:rsidR="00D97830" w:rsidRPr="00CB56CC" w:rsidRDefault="00D97830" w:rsidP="00CB56CC">
    <w:pPr>
      <w:pStyle w:val="Header"/>
      <w:spacing w:after="120"/>
      <w:rPr>
        <w:color w:val="FFFFFF" w:themeColor="background1"/>
      </w:rPr>
    </w:pPr>
    <w:r>
      <w:rPr>
        <w:color w:val="FFFFFF" w:themeColor="background1"/>
        <w:szCs w:val="12"/>
      </w:rPr>
      <w:t>(IPPW)</w:t>
    </w:r>
    <w:r w:rsidRPr="00CB56CC">
      <w:rPr>
        <w:color w:val="FFFFFF" w:themeColor="background1"/>
        <w:szCs w:val="12"/>
      </w:rPr>
      <w:tab/>
    </w:r>
  </w:p>
  <w:p w14:paraId="755F824D" w14:textId="77777777" w:rsidR="00D97830" w:rsidRDefault="00D978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EDB24B5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EF88C94"/>
    <w:lvl w:ilvl="0">
      <w:start w:val="1"/>
      <w:numFmt w:val="bullet"/>
      <w:pStyle w:val="ListBullet"/>
      <w:lvlText w:val=""/>
      <w:lvlJc w:val="left"/>
      <w:pPr>
        <w:tabs>
          <w:tab w:val="num" w:pos="720"/>
        </w:tabs>
        <w:ind w:left="720" w:hanging="360"/>
      </w:pPr>
      <w:rPr>
        <w:rFonts w:ascii="Symbol" w:hAnsi="Symbol" w:hint="default"/>
        <w:color w:val="auto"/>
        <w:sz w:val="24"/>
        <w:szCs w:val="24"/>
      </w:rPr>
    </w:lvl>
  </w:abstractNum>
  <w:abstractNum w:abstractNumId="2" w15:restartNumberingAfterBreak="0">
    <w:nsid w:val="00766735"/>
    <w:multiLevelType w:val="hybridMultilevel"/>
    <w:tmpl w:val="75C6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12F68"/>
    <w:multiLevelType w:val="hybridMultilevel"/>
    <w:tmpl w:val="B084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93E0A"/>
    <w:multiLevelType w:val="hybridMultilevel"/>
    <w:tmpl w:val="8AD6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F61D5"/>
    <w:multiLevelType w:val="hybridMultilevel"/>
    <w:tmpl w:val="DED6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86327"/>
    <w:multiLevelType w:val="hybridMultilevel"/>
    <w:tmpl w:val="3EC2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02932"/>
    <w:multiLevelType w:val="hybridMultilevel"/>
    <w:tmpl w:val="B79EBA64"/>
    <w:lvl w:ilvl="0" w:tplc="26BA203C">
      <w:start w:val="1"/>
      <w:numFmt w:val="decimal"/>
      <w:pStyle w:val="NumberList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F3B2E"/>
    <w:multiLevelType w:val="hybridMultilevel"/>
    <w:tmpl w:val="39A0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95CC8"/>
    <w:multiLevelType w:val="hybridMultilevel"/>
    <w:tmpl w:val="5DFA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178C3"/>
    <w:multiLevelType w:val="hybridMultilevel"/>
    <w:tmpl w:val="25BC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EF3228"/>
    <w:multiLevelType w:val="hybridMultilevel"/>
    <w:tmpl w:val="B0E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E64B3"/>
    <w:multiLevelType w:val="hybridMultilevel"/>
    <w:tmpl w:val="FFAAB7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BF4E44"/>
    <w:multiLevelType w:val="hybridMultilevel"/>
    <w:tmpl w:val="BA1E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054210"/>
    <w:multiLevelType w:val="hybridMultilevel"/>
    <w:tmpl w:val="5F42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F7AFC"/>
    <w:multiLevelType w:val="hybridMultilevel"/>
    <w:tmpl w:val="C226BEB2"/>
    <w:lvl w:ilvl="0" w:tplc="56009B28">
      <w:start w:val="1"/>
      <w:numFmt w:val="decimal"/>
      <w:lvlText w:val="%1."/>
      <w:lvlJc w:val="left"/>
      <w:pPr>
        <w:ind w:left="1499" w:hanging="540"/>
      </w:pPr>
      <w:rPr>
        <w:rFonts w:ascii="Arial" w:eastAsia="Arial" w:hAnsi="Arial" w:cs="Arial" w:hint="default"/>
        <w:b/>
        <w:bCs/>
        <w:color w:val="1F487C"/>
        <w:spacing w:val="0"/>
        <w:w w:val="100"/>
        <w:sz w:val="32"/>
        <w:szCs w:val="32"/>
        <w:lang w:val="en-US" w:eastAsia="en-US" w:bidi="en-US"/>
      </w:rPr>
    </w:lvl>
    <w:lvl w:ilvl="1" w:tplc="F6246F08">
      <w:numFmt w:val="bullet"/>
      <w:lvlText w:val=""/>
      <w:lvlJc w:val="left"/>
      <w:pPr>
        <w:ind w:left="1680" w:hanging="360"/>
      </w:pPr>
      <w:rPr>
        <w:rFonts w:ascii="Symbol" w:eastAsia="Symbol" w:hAnsi="Symbol" w:cs="Symbol" w:hint="default"/>
        <w:w w:val="100"/>
        <w:sz w:val="24"/>
        <w:szCs w:val="24"/>
        <w:lang w:val="en-US" w:eastAsia="en-US" w:bidi="en-US"/>
      </w:rPr>
    </w:lvl>
    <w:lvl w:ilvl="2" w:tplc="2932E752">
      <w:numFmt w:val="bullet"/>
      <w:lvlText w:val="•"/>
      <w:lvlJc w:val="left"/>
      <w:pPr>
        <w:ind w:left="2297" w:hanging="360"/>
      </w:pPr>
      <w:rPr>
        <w:rFonts w:hint="default"/>
        <w:lang w:val="en-US" w:eastAsia="en-US" w:bidi="en-US"/>
      </w:rPr>
    </w:lvl>
    <w:lvl w:ilvl="3" w:tplc="D22C8ACA">
      <w:numFmt w:val="bullet"/>
      <w:lvlText w:val="•"/>
      <w:lvlJc w:val="left"/>
      <w:pPr>
        <w:ind w:left="2914" w:hanging="360"/>
      </w:pPr>
      <w:rPr>
        <w:rFonts w:hint="default"/>
        <w:lang w:val="en-US" w:eastAsia="en-US" w:bidi="en-US"/>
      </w:rPr>
    </w:lvl>
    <w:lvl w:ilvl="4" w:tplc="F3C21E2C">
      <w:numFmt w:val="bullet"/>
      <w:lvlText w:val="•"/>
      <w:lvlJc w:val="left"/>
      <w:pPr>
        <w:ind w:left="3531" w:hanging="360"/>
      </w:pPr>
      <w:rPr>
        <w:rFonts w:hint="default"/>
        <w:lang w:val="en-US" w:eastAsia="en-US" w:bidi="en-US"/>
      </w:rPr>
    </w:lvl>
    <w:lvl w:ilvl="5" w:tplc="09881BC2">
      <w:numFmt w:val="bullet"/>
      <w:lvlText w:val="•"/>
      <w:lvlJc w:val="left"/>
      <w:pPr>
        <w:ind w:left="4149" w:hanging="360"/>
      </w:pPr>
      <w:rPr>
        <w:rFonts w:hint="default"/>
        <w:lang w:val="en-US" w:eastAsia="en-US" w:bidi="en-US"/>
      </w:rPr>
    </w:lvl>
    <w:lvl w:ilvl="6" w:tplc="3C584574">
      <w:numFmt w:val="bullet"/>
      <w:lvlText w:val="•"/>
      <w:lvlJc w:val="left"/>
      <w:pPr>
        <w:ind w:left="4766" w:hanging="360"/>
      </w:pPr>
      <w:rPr>
        <w:rFonts w:hint="default"/>
        <w:lang w:val="en-US" w:eastAsia="en-US" w:bidi="en-US"/>
      </w:rPr>
    </w:lvl>
    <w:lvl w:ilvl="7" w:tplc="EDBAB522">
      <w:numFmt w:val="bullet"/>
      <w:lvlText w:val="•"/>
      <w:lvlJc w:val="left"/>
      <w:pPr>
        <w:ind w:left="5383" w:hanging="360"/>
      </w:pPr>
      <w:rPr>
        <w:rFonts w:hint="default"/>
        <w:lang w:val="en-US" w:eastAsia="en-US" w:bidi="en-US"/>
      </w:rPr>
    </w:lvl>
    <w:lvl w:ilvl="8" w:tplc="8388568A">
      <w:numFmt w:val="bullet"/>
      <w:lvlText w:val="•"/>
      <w:lvlJc w:val="left"/>
      <w:pPr>
        <w:ind w:left="6001" w:hanging="360"/>
      </w:pPr>
      <w:rPr>
        <w:rFonts w:hint="default"/>
        <w:lang w:val="en-US" w:eastAsia="en-US" w:bidi="en-US"/>
      </w:rPr>
    </w:lvl>
  </w:abstractNum>
  <w:abstractNum w:abstractNumId="16" w15:restartNumberingAfterBreak="0">
    <w:nsid w:val="594204D9"/>
    <w:multiLevelType w:val="hybridMultilevel"/>
    <w:tmpl w:val="4E48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A3E9E"/>
    <w:multiLevelType w:val="hybridMultilevel"/>
    <w:tmpl w:val="D74C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9B1FFE"/>
    <w:multiLevelType w:val="hybridMultilevel"/>
    <w:tmpl w:val="1B76CAEE"/>
    <w:lvl w:ilvl="0" w:tplc="E0106BA0">
      <w:start w:val="1"/>
      <w:numFmt w:val="bullet"/>
      <w:pStyle w:val="Table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123DA5"/>
    <w:multiLevelType w:val="hybridMultilevel"/>
    <w:tmpl w:val="60D6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0"/>
  </w:num>
  <w:num w:numId="4">
    <w:abstractNumId w:val="19"/>
  </w:num>
  <w:num w:numId="5">
    <w:abstractNumId w:val="7"/>
  </w:num>
  <w:num w:numId="6">
    <w:abstractNumId w:val="10"/>
  </w:num>
  <w:num w:numId="7">
    <w:abstractNumId w:val="5"/>
  </w:num>
  <w:num w:numId="8">
    <w:abstractNumId w:val="6"/>
  </w:num>
  <w:num w:numId="9">
    <w:abstractNumId w:val="17"/>
  </w:num>
  <w:num w:numId="10">
    <w:abstractNumId w:val="11"/>
  </w:num>
  <w:num w:numId="11">
    <w:abstractNumId w:val="8"/>
  </w:num>
  <w:num w:numId="12">
    <w:abstractNumId w:val="3"/>
  </w:num>
  <w:num w:numId="13">
    <w:abstractNumId w:val="16"/>
  </w:num>
  <w:num w:numId="14">
    <w:abstractNumId w:val="9"/>
  </w:num>
  <w:num w:numId="15">
    <w:abstractNumId w:val="4"/>
  </w:num>
  <w:num w:numId="16">
    <w:abstractNumId w:val="15"/>
  </w:num>
  <w:num w:numId="17">
    <w:abstractNumId w:val="2"/>
  </w:num>
  <w:num w:numId="18">
    <w:abstractNumId w:val="14"/>
  </w:num>
  <w:num w:numId="19">
    <w:abstractNumId w:val="13"/>
  </w:num>
  <w:num w:numId="20">
    <w:abstractNumId w:val="12"/>
  </w:num>
  <w:num w:numId="2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66"/>
    <w:rsid w:val="00001C6B"/>
    <w:rsid w:val="0001500E"/>
    <w:rsid w:val="00025486"/>
    <w:rsid w:val="000317B8"/>
    <w:rsid w:val="00037C2C"/>
    <w:rsid w:val="00044E28"/>
    <w:rsid w:val="00046BAE"/>
    <w:rsid w:val="00054AB0"/>
    <w:rsid w:val="000558D2"/>
    <w:rsid w:val="000566A6"/>
    <w:rsid w:val="00070EEF"/>
    <w:rsid w:val="0007427E"/>
    <w:rsid w:val="00077731"/>
    <w:rsid w:val="00086A41"/>
    <w:rsid w:val="000A1352"/>
    <w:rsid w:val="000D7FAD"/>
    <w:rsid w:val="000F0135"/>
    <w:rsid w:val="000F69BD"/>
    <w:rsid w:val="00102D63"/>
    <w:rsid w:val="001039E8"/>
    <w:rsid w:val="001065B6"/>
    <w:rsid w:val="001072D2"/>
    <w:rsid w:val="001151FC"/>
    <w:rsid w:val="001200C3"/>
    <w:rsid w:val="001230C1"/>
    <w:rsid w:val="00127FD8"/>
    <w:rsid w:val="00147EDA"/>
    <w:rsid w:val="001553E4"/>
    <w:rsid w:val="00155A93"/>
    <w:rsid w:val="0016008D"/>
    <w:rsid w:val="001635FF"/>
    <w:rsid w:val="00173A85"/>
    <w:rsid w:val="001909F6"/>
    <w:rsid w:val="00192387"/>
    <w:rsid w:val="001945AA"/>
    <w:rsid w:val="001A1DEF"/>
    <w:rsid w:val="001A3FDF"/>
    <w:rsid w:val="001A6FB1"/>
    <w:rsid w:val="001A7C15"/>
    <w:rsid w:val="001B13DF"/>
    <w:rsid w:val="001B772A"/>
    <w:rsid w:val="001D5D3A"/>
    <w:rsid w:val="001D714A"/>
    <w:rsid w:val="001E0986"/>
    <w:rsid w:val="001E1B07"/>
    <w:rsid w:val="002068B5"/>
    <w:rsid w:val="00216FB4"/>
    <w:rsid w:val="00225C6E"/>
    <w:rsid w:val="0022733F"/>
    <w:rsid w:val="00230AB3"/>
    <w:rsid w:val="002351A6"/>
    <w:rsid w:val="00235D6F"/>
    <w:rsid w:val="002546BD"/>
    <w:rsid w:val="00255A08"/>
    <w:rsid w:val="00263DCF"/>
    <w:rsid w:val="00265727"/>
    <w:rsid w:val="00271872"/>
    <w:rsid w:val="00285D39"/>
    <w:rsid w:val="002A01AA"/>
    <w:rsid w:val="002A0802"/>
    <w:rsid w:val="002A11CF"/>
    <w:rsid w:val="002A70AA"/>
    <w:rsid w:val="002B0EF7"/>
    <w:rsid w:val="002B362A"/>
    <w:rsid w:val="002C01F9"/>
    <w:rsid w:val="002C5E93"/>
    <w:rsid w:val="002D6989"/>
    <w:rsid w:val="002E3E39"/>
    <w:rsid w:val="002E4431"/>
    <w:rsid w:val="002F2CFA"/>
    <w:rsid w:val="002F6911"/>
    <w:rsid w:val="0030022B"/>
    <w:rsid w:val="00305EC5"/>
    <w:rsid w:val="00306195"/>
    <w:rsid w:val="003102FC"/>
    <w:rsid w:val="00312D35"/>
    <w:rsid w:val="0031386D"/>
    <w:rsid w:val="003170C3"/>
    <w:rsid w:val="003174DE"/>
    <w:rsid w:val="0033566C"/>
    <w:rsid w:val="00337173"/>
    <w:rsid w:val="00344CE7"/>
    <w:rsid w:val="003543A1"/>
    <w:rsid w:val="0039112D"/>
    <w:rsid w:val="00391999"/>
    <w:rsid w:val="003A0595"/>
    <w:rsid w:val="003A255C"/>
    <w:rsid w:val="003B04F4"/>
    <w:rsid w:val="003C44B1"/>
    <w:rsid w:val="003E5A4E"/>
    <w:rsid w:val="003F7DB9"/>
    <w:rsid w:val="0040351B"/>
    <w:rsid w:val="0041353A"/>
    <w:rsid w:val="00417F25"/>
    <w:rsid w:val="004263BE"/>
    <w:rsid w:val="00440AA6"/>
    <w:rsid w:val="00451D3D"/>
    <w:rsid w:val="00455B89"/>
    <w:rsid w:val="00461CE8"/>
    <w:rsid w:val="00476816"/>
    <w:rsid w:val="00477B7C"/>
    <w:rsid w:val="00497C77"/>
    <w:rsid w:val="004A1191"/>
    <w:rsid w:val="004C7C97"/>
    <w:rsid w:val="004D34FD"/>
    <w:rsid w:val="004E7D88"/>
    <w:rsid w:val="004F37DF"/>
    <w:rsid w:val="005053C2"/>
    <w:rsid w:val="005102B5"/>
    <w:rsid w:val="0051218B"/>
    <w:rsid w:val="0051236C"/>
    <w:rsid w:val="00522CCC"/>
    <w:rsid w:val="0053534D"/>
    <w:rsid w:val="00542951"/>
    <w:rsid w:val="00544DD0"/>
    <w:rsid w:val="005457F0"/>
    <w:rsid w:val="00556D79"/>
    <w:rsid w:val="00557586"/>
    <w:rsid w:val="005657CD"/>
    <w:rsid w:val="00566352"/>
    <w:rsid w:val="00570003"/>
    <w:rsid w:val="00571D7B"/>
    <w:rsid w:val="0057238A"/>
    <w:rsid w:val="0057303A"/>
    <w:rsid w:val="00576DCA"/>
    <w:rsid w:val="005816EA"/>
    <w:rsid w:val="00582144"/>
    <w:rsid w:val="0059022D"/>
    <w:rsid w:val="005A60DA"/>
    <w:rsid w:val="005A65C1"/>
    <w:rsid w:val="005A71F1"/>
    <w:rsid w:val="005B4F73"/>
    <w:rsid w:val="005B6D04"/>
    <w:rsid w:val="005C1230"/>
    <w:rsid w:val="005C57CA"/>
    <w:rsid w:val="005D1E24"/>
    <w:rsid w:val="005D358A"/>
    <w:rsid w:val="005E2D3F"/>
    <w:rsid w:val="005E54F5"/>
    <w:rsid w:val="005E57EC"/>
    <w:rsid w:val="005F02E6"/>
    <w:rsid w:val="005F3552"/>
    <w:rsid w:val="00603DE5"/>
    <w:rsid w:val="00611F8C"/>
    <w:rsid w:val="00613A96"/>
    <w:rsid w:val="00630AFA"/>
    <w:rsid w:val="0063553E"/>
    <w:rsid w:val="0063684B"/>
    <w:rsid w:val="006645F7"/>
    <w:rsid w:val="006746F8"/>
    <w:rsid w:val="006931ED"/>
    <w:rsid w:val="00693B85"/>
    <w:rsid w:val="006A2F1D"/>
    <w:rsid w:val="006A6573"/>
    <w:rsid w:val="006B6162"/>
    <w:rsid w:val="006C0AD0"/>
    <w:rsid w:val="006C2A7B"/>
    <w:rsid w:val="006C334F"/>
    <w:rsid w:val="006C5F6F"/>
    <w:rsid w:val="006D0B53"/>
    <w:rsid w:val="006D1972"/>
    <w:rsid w:val="006D6950"/>
    <w:rsid w:val="006F103C"/>
    <w:rsid w:val="00705721"/>
    <w:rsid w:val="00707C30"/>
    <w:rsid w:val="00707F19"/>
    <w:rsid w:val="00720281"/>
    <w:rsid w:val="00723232"/>
    <w:rsid w:val="00731F14"/>
    <w:rsid w:val="00732B1B"/>
    <w:rsid w:val="007441D1"/>
    <w:rsid w:val="00755731"/>
    <w:rsid w:val="0076011B"/>
    <w:rsid w:val="00763491"/>
    <w:rsid w:val="0076513F"/>
    <w:rsid w:val="007725EC"/>
    <w:rsid w:val="00772DC4"/>
    <w:rsid w:val="00784DCF"/>
    <w:rsid w:val="007862E6"/>
    <w:rsid w:val="00794D0E"/>
    <w:rsid w:val="007C2AB4"/>
    <w:rsid w:val="007D2F33"/>
    <w:rsid w:val="007D4AD1"/>
    <w:rsid w:val="007F0221"/>
    <w:rsid w:val="007F6217"/>
    <w:rsid w:val="007F63B5"/>
    <w:rsid w:val="008011EF"/>
    <w:rsid w:val="00804DA6"/>
    <w:rsid w:val="00813DDC"/>
    <w:rsid w:val="00813EB0"/>
    <w:rsid w:val="00823336"/>
    <w:rsid w:val="00831034"/>
    <w:rsid w:val="00837DD9"/>
    <w:rsid w:val="0084566D"/>
    <w:rsid w:val="00850195"/>
    <w:rsid w:val="00853F25"/>
    <w:rsid w:val="008573EC"/>
    <w:rsid w:val="00860A7E"/>
    <w:rsid w:val="00860E24"/>
    <w:rsid w:val="008753E4"/>
    <w:rsid w:val="00876C13"/>
    <w:rsid w:val="00896484"/>
    <w:rsid w:val="00897358"/>
    <w:rsid w:val="008B09E9"/>
    <w:rsid w:val="008B2028"/>
    <w:rsid w:val="008C1A32"/>
    <w:rsid w:val="008C2194"/>
    <w:rsid w:val="008C3194"/>
    <w:rsid w:val="008C4A53"/>
    <w:rsid w:val="008D0400"/>
    <w:rsid w:val="008D7270"/>
    <w:rsid w:val="008F483A"/>
    <w:rsid w:val="00913D6F"/>
    <w:rsid w:val="00914620"/>
    <w:rsid w:val="009176D4"/>
    <w:rsid w:val="00925736"/>
    <w:rsid w:val="0093648A"/>
    <w:rsid w:val="009434EB"/>
    <w:rsid w:val="00947CAC"/>
    <w:rsid w:val="009528BB"/>
    <w:rsid w:val="009A21ED"/>
    <w:rsid w:val="009A733F"/>
    <w:rsid w:val="009C1950"/>
    <w:rsid w:val="009C40B4"/>
    <w:rsid w:val="009C55A6"/>
    <w:rsid w:val="009D0F28"/>
    <w:rsid w:val="009D7163"/>
    <w:rsid w:val="009D7926"/>
    <w:rsid w:val="009E7599"/>
    <w:rsid w:val="009F1E1A"/>
    <w:rsid w:val="00A20316"/>
    <w:rsid w:val="00A33EE3"/>
    <w:rsid w:val="00A33F33"/>
    <w:rsid w:val="00A36454"/>
    <w:rsid w:val="00A36778"/>
    <w:rsid w:val="00A40CCA"/>
    <w:rsid w:val="00A50370"/>
    <w:rsid w:val="00A5400B"/>
    <w:rsid w:val="00A554C3"/>
    <w:rsid w:val="00A562C7"/>
    <w:rsid w:val="00A566B0"/>
    <w:rsid w:val="00A61BB3"/>
    <w:rsid w:val="00A662DD"/>
    <w:rsid w:val="00A67DEF"/>
    <w:rsid w:val="00A67F3F"/>
    <w:rsid w:val="00A719EA"/>
    <w:rsid w:val="00A74CC8"/>
    <w:rsid w:val="00A92347"/>
    <w:rsid w:val="00AA5EE1"/>
    <w:rsid w:val="00AA76FA"/>
    <w:rsid w:val="00AA7B94"/>
    <w:rsid w:val="00AC78AA"/>
    <w:rsid w:val="00AE365B"/>
    <w:rsid w:val="00B07CC1"/>
    <w:rsid w:val="00B10F43"/>
    <w:rsid w:val="00B20268"/>
    <w:rsid w:val="00B24F8B"/>
    <w:rsid w:val="00B25A8E"/>
    <w:rsid w:val="00B27C62"/>
    <w:rsid w:val="00B44E43"/>
    <w:rsid w:val="00B51EF7"/>
    <w:rsid w:val="00B62979"/>
    <w:rsid w:val="00B76324"/>
    <w:rsid w:val="00B81892"/>
    <w:rsid w:val="00B87455"/>
    <w:rsid w:val="00B902AA"/>
    <w:rsid w:val="00B92229"/>
    <w:rsid w:val="00B95098"/>
    <w:rsid w:val="00BA2B03"/>
    <w:rsid w:val="00BA3048"/>
    <w:rsid w:val="00BA383C"/>
    <w:rsid w:val="00BA3A8B"/>
    <w:rsid w:val="00BA52BC"/>
    <w:rsid w:val="00BB3BF4"/>
    <w:rsid w:val="00BD0874"/>
    <w:rsid w:val="00BD138C"/>
    <w:rsid w:val="00BD41C3"/>
    <w:rsid w:val="00BD550F"/>
    <w:rsid w:val="00BE3AAA"/>
    <w:rsid w:val="00BE5773"/>
    <w:rsid w:val="00BE772B"/>
    <w:rsid w:val="00C021E3"/>
    <w:rsid w:val="00C207DF"/>
    <w:rsid w:val="00C21DB4"/>
    <w:rsid w:val="00C32F00"/>
    <w:rsid w:val="00C63086"/>
    <w:rsid w:val="00C6650C"/>
    <w:rsid w:val="00C90DDD"/>
    <w:rsid w:val="00C94D26"/>
    <w:rsid w:val="00CA00C5"/>
    <w:rsid w:val="00CA2B8D"/>
    <w:rsid w:val="00CB4883"/>
    <w:rsid w:val="00CB56CC"/>
    <w:rsid w:val="00CB5B94"/>
    <w:rsid w:val="00CB74D0"/>
    <w:rsid w:val="00CC34DE"/>
    <w:rsid w:val="00CC54B2"/>
    <w:rsid w:val="00CD2F75"/>
    <w:rsid w:val="00CE4109"/>
    <w:rsid w:val="00CE67B1"/>
    <w:rsid w:val="00CF13F0"/>
    <w:rsid w:val="00CF62ED"/>
    <w:rsid w:val="00D0430F"/>
    <w:rsid w:val="00D055CC"/>
    <w:rsid w:val="00D216E4"/>
    <w:rsid w:val="00D27750"/>
    <w:rsid w:val="00D31366"/>
    <w:rsid w:val="00D35F67"/>
    <w:rsid w:val="00D43A71"/>
    <w:rsid w:val="00D55199"/>
    <w:rsid w:val="00D554C9"/>
    <w:rsid w:val="00D74DC2"/>
    <w:rsid w:val="00D94A3B"/>
    <w:rsid w:val="00D97830"/>
    <w:rsid w:val="00DA3E1D"/>
    <w:rsid w:val="00DA4232"/>
    <w:rsid w:val="00DA48EA"/>
    <w:rsid w:val="00DB0C6C"/>
    <w:rsid w:val="00DC5E05"/>
    <w:rsid w:val="00DD56FF"/>
    <w:rsid w:val="00DE1CB2"/>
    <w:rsid w:val="00DE293D"/>
    <w:rsid w:val="00DE5637"/>
    <w:rsid w:val="00DF0888"/>
    <w:rsid w:val="00DF1FAC"/>
    <w:rsid w:val="00E00D18"/>
    <w:rsid w:val="00E0443F"/>
    <w:rsid w:val="00E23767"/>
    <w:rsid w:val="00E3305B"/>
    <w:rsid w:val="00E446F6"/>
    <w:rsid w:val="00E46424"/>
    <w:rsid w:val="00E46F16"/>
    <w:rsid w:val="00E60240"/>
    <w:rsid w:val="00E605A7"/>
    <w:rsid w:val="00E61438"/>
    <w:rsid w:val="00E6322E"/>
    <w:rsid w:val="00E744FE"/>
    <w:rsid w:val="00E808F8"/>
    <w:rsid w:val="00E81C41"/>
    <w:rsid w:val="00E84A3A"/>
    <w:rsid w:val="00E92056"/>
    <w:rsid w:val="00E926F9"/>
    <w:rsid w:val="00E95901"/>
    <w:rsid w:val="00E97A9E"/>
    <w:rsid w:val="00EA3E89"/>
    <w:rsid w:val="00EA520C"/>
    <w:rsid w:val="00EB39A0"/>
    <w:rsid w:val="00EB5EC9"/>
    <w:rsid w:val="00EC4B1D"/>
    <w:rsid w:val="00EC5331"/>
    <w:rsid w:val="00ED588C"/>
    <w:rsid w:val="00ED6EA6"/>
    <w:rsid w:val="00EE3D6A"/>
    <w:rsid w:val="00EE682A"/>
    <w:rsid w:val="00EF451E"/>
    <w:rsid w:val="00F0030F"/>
    <w:rsid w:val="00F10013"/>
    <w:rsid w:val="00F118F5"/>
    <w:rsid w:val="00F23EC1"/>
    <w:rsid w:val="00F25F11"/>
    <w:rsid w:val="00F267C1"/>
    <w:rsid w:val="00F335F6"/>
    <w:rsid w:val="00F338AA"/>
    <w:rsid w:val="00F40E5E"/>
    <w:rsid w:val="00F466AA"/>
    <w:rsid w:val="00F56915"/>
    <w:rsid w:val="00F57CCC"/>
    <w:rsid w:val="00F61971"/>
    <w:rsid w:val="00F62A2E"/>
    <w:rsid w:val="00F677B4"/>
    <w:rsid w:val="00F940BF"/>
    <w:rsid w:val="00FB0C2B"/>
    <w:rsid w:val="00FB4D1B"/>
    <w:rsid w:val="00FD3B14"/>
    <w:rsid w:val="00FD5A0F"/>
    <w:rsid w:val="00FD5A86"/>
    <w:rsid w:val="00FE31CD"/>
    <w:rsid w:val="00FF3A7A"/>
    <w:rsid w:val="00FF63BC"/>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E56EFB"/>
  <w15:docId w15:val="{11D5EA1B-2883-4444-A2E4-6589AB96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DA6"/>
    <w:pPr>
      <w:spacing w:after="0" w:line="240" w:lineRule="auto"/>
    </w:pPr>
    <w:rPr>
      <w:rFonts w:ascii="Arial" w:eastAsia="Times New Roman" w:hAnsi="Arial" w:cs="Times New Roman"/>
      <w:sz w:val="24"/>
      <w:szCs w:val="24"/>
    </w:rPr>
  </w:style>
  <w:style w:type="paragraph" w:styleId="Heading1">
    <w:name w:val="heading 1"/>
    <w:basedOn w:val="Normal"/>
    <w:next w:val="BodyText"/>
    <w:link w:val="Heading1Char"/>
    <w:qFormat/>
    <w:rsid w:val="00707F19"/>
    <w:pPr>
      <w:keepNext/>
      <w:spacing w:before="240" w:after="160"/>
      <w:jc w:val="center"/>
      <w:outlineLvl w:val="0"/>
    </w:pPr>
    <w:rPr>
      <w:rFonts w:ascii="Arial Narrow" w:hAnsi="Arial Narrow" w:cs="Arial"/>
      <w:b/>
      <w:bCs/>
      <w:caps/>
      <w:color w:val="182853"/>
      <w:kern w:val="32"/>
      <w:sz w:val="38"/>
      <w:szCs w:val="38"/>
    </w:rPr>
  </w:style>
  <w:style w:type="paragraph" w:styleId="Heading2">
    <w:name w:val="heading 2"/>
    <w:basedOn w:val="Normal"/>
    <w:next w:val="Normal"/>
    <w:link w:val="Heading2Char"/>
    <w:qFormat/>
    <w:rsid w:val="00707F19"/>
    <w:pPr>
      <w:keepNext/>
      <w:spacing w:before="240" w:after="160"/>
      <w:outlineLvl w:val="1"/>
    </w:pPr>
    <w:rPr>
      <w:rFonts w:ascii="Arial Narrow" w:hAnsi="Arial Narrow" w:cs="Arial"/>
      <w:b/>
      <w:bCs/>
      <w:iCs/>
      <w:caps/>
      <w:color w:val="000080"/>
      <w:sz w:val="28"/>
      <w:szCs w:val="28"/>
    </w:rPr>
  </w:style>
  <w:style w:type="paragraph" w:styleId="Heading3">
    <w:name w:val="heading 3"/>
    <w:basedOn w:val="Normal"/>
    <w:next w:val="Normal"/>
    <w:link w:val="Heading3Char"/>
    <w:qFormat/>
    <w:rsid w:val="00C207DF"/>
    <w:pPr>
      <w:keepNext/>
      <w:spacing w:before="240" w:after="160"/>
      <w:outlineLvl w:val="2"/>
    </w:pPr>
    <w:rPr>
      <w:rFonts w:ascii="Arial Narrow" w:hAnsi="Arial Narrow" w:cs="Arial"/>
      <w:b/>
      <w:bCs/>
      <w:caps/>
      <w:color w:val="6F5614"/>
    </w:rPr>
  </w:style>
  <w:style w:type="paragraph" w:styleId="Heading4">
    <w:name w:val="heading 4"/>
    <w:basedOn w:val="Normal"/>
    <w:next w:val="Normal"/>
    <w:link w:val="Heading4Char"/>
    <w:uiPriority w:val="9"/>
    <w:unhideWhenUsed/>
    <w:qFormat/>
    <w:rsid w:val="00C207DF"/>
    <w:pPr>
      <w:keepNext/>
      <w:keepLines/>
      <w:spacing w:before="200"/>
      <w:outlineLvl w:val="3"/>
    </w:pPr>
    <w:rPr>
      <w:rFonts w:ascii="Arial Narrow" w:eastAsiaTheme="majorEastAsia" w:hAnsi="Arial Narrow" w:cstheme="majorBidi"/>
      <w:bCs/>
      <w:i/>
      <w:iCs/>
      <w:color w:val="6F5614"/>
    </w:rPr>
  </w:style>
  <w:style w:type="paragraph" w:styleId="Heading5">
    <w:name w:val="heading 5"/>
    <w:basedOn w:val="Normal"/>
    <w:next w:val="Normal"/>
    <w:link w:val="Heading5Char"/>
    <w:uiPriority w:val="9"/>
    <w:unhideWhenUsed/>
    <w:qFormat/>
    <w:rsid w:val="00CA2B8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7F19"/>
    <w:rPr>
      <w:rFonts w:ascii="Arial Narrow" w:eastAsia="Times New Roman" w:hAnsi="Arial Narrow" w:cs="Arial"/>
      <w:b/>
      <w:bCs/>
      <w:caps/>
      <w:color w:val="182853"/>
      <w:kern w:val="32"/>
      <w:sz w:val="38"/>
      <w:szCs w:val="38"/>
    </w:rPr>
  </w:style>
  <w:style w:type="character" w:customStyle="1" w:styleId="Heading2Char">
    <w:name w:val="Heading 2 Char"/>
    <w:basedOn w:val="DefaultParagraphFont"/>
    <w:link w:val="Heading2"/>
    <w:rsid w:val="00707F19"/>
    <w:rPr>
      <w:rFonts w:ascii="Arial Narrow" w:eastAsia="Times New Roman" w:hAnsi="Arial Narrow" w:cs="Arial"/>
      <w:b/>
      <w:bCs/>
      <w:iCs/>
      <w:caps/>
      <w:color w:val="000080"/>
      <w:sz w:val="28"/>
      <w:szCs w:val="28"/>
    </w:rPr>
  </w:style>
  <w:style w:type="character" w:customStyle="1" w:styleId="Heading3Char">
    <w:name w:val="Heading 3 Char"/>
    <w:basedOn w:val="DefaultParagraphFont"/>
    <w:link w:val="Heading3"/>
    <w:rsid w:val="00C207DF"/>
    <w:rPr>
      <w:rFonts w:ascii="Arial Narrow" w:eastAsia="Times New Roman" w:hAnsi="Arial Narrow" w:cs="Arial"/>
      <w:b/>
      <w:bCs/>
      <w:caps/>
      <w:color w:val="6F5614"/>
      <w:sz w:val="24"/>
      <w:szCs w:val="24"/>
    </w:rPr>
  </w:style>
  <w:style w:type="paragraph" w:styleId="Header">
    <w:name w:val="header"/>
    <w:basedOn w:val="Normal"/>
    <w:link w:val="HeaderChar"/>
    <w:rsid w:val="00D31366"/>
    <w:pPr>
      <w:tabs>
        <w:tab w:val="right" w:pos="9360"/>
      </w:tabs>
    </w:pPr>
    <w:rPr>
      <w:rFonts w:cs="Arial"/>
      <w:b/>
      <w:color w:val="000080"/>
      <w:sz w:val="20"/>
      <w:szCs w:val="20"/>
    </w:rPr>
  </w:style>
  <w:style w:type="character" w:customStyle="1" w:styleId="HeaderChar">
    <w:name w:val="Header Char"/>
    <w:basedOn w:val="DefaultParagraphFont"/>
    <w:link w:val="Header"/>
    <w:rsid w:val="00D31366"/>
    <w:rPr>
      <w:rFonts w:ascii="Arial" w:eastAsia="Times New Roman" w:hAnsi="Arial" w:cs="Arial"/>
      <w:b/>
      <w:color w:val="000080"/>
      <w:sz w:val="20"/>
      <w:szCs w:val="20"/>
    </w:rPr>
  </w:style>
  <w:style w:type="paragraph" w:styleId="Footer">
    <w:name w:val="footer"/>
    <w:basedOn w:val="Normal"/>
    <w:link w:val="FooterChar"/>
    <w:uiPriority w:val="99"/>
    <w:rsid w:val="00D31366"/>
    <w:pPr>
      <w:tabs>
        <w:tab w:val="center" w:pos="4320"/>
        <w:tab w:val="right" w:pos="8640"/>
      </w:tabs>
    </w:pPr>
  </w:style>
  <w:style w:type="character" w:customStyle="1" w:styleId="FooterChar">
    <w:name w:val="Footer Char"/>
    <w:basedOn w:val="DefaultParagraphFont"/>
    <w:link w:val="Footer"/>
    <w:uiPriority w:val="99"/>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rsid w:val="00D31366"/>
    <w:pPr>
      <w:spacing w:before="40" w:after="40"/>
    </w:pPr>
    <w:rPr>
      <w:sz w:val="20"/>
    </w:rPr>
  </w:style>
  <w:style w:type="paragraph" w:styleId="BodyText">
    <w:name w:val="Body Text"/>
    <w:basedOn w:val="Normal"/>
    <w:link w:val="BodyTextChar"/>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qFormat/>
    <w:rsid w:val="00D31366"/>
    <w:pPr>
      <w:spacing w:before="40" w:after="40"/>
      <w:jc w:val="center"/>
    </w:pPr>
    <w:rPr>
      <w:b/>
      <w:sz w:val="20"/>
    </w:rPr>
  </w:style>
  <w:style w:type="paragraph" w:styleId="Caption">
    <w:name w:val="caption"/>
    <w:basedOn w:val="Normal"/>
    <w:next w:val="Normal"/>
    <w:qFormat/>
    <w:rsid w:val="00D31366"/>
    <w:pPr>
      <w:keepNext/>
      <w:spacing w:after="120"/>
      <w:jc w:val="center"/>
    </w:pPr>
    <w:rPr>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B13DF"/>
    <w:rPr>
      <w:b/>
      <w:bCs/>
    </w:rPr>
  </w:style>
  <w:style w:type="character" w:customStyle="1" w:styleId="CommentSubjectChar">
    <w:name w:val="Comment Subject Char"/>
    <w:basedOn w:val="CommentTextChar"/>
    <w:link w:val="CommentSubject"/>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99"/>
    <w:qFormat/>
    <w:rsid w:val="00F677B4"/>
    <w:pPr>
      <w:ind w:left="720"/>
      <w:contextualSpacing/>
    </w:pPr>
  </w:style>
  <w:style w:type="paragraph" w:customStyle="1" w:styleId="NumberBullet">
    <w:name w:val="Number Bullet"/>
    <w:basedOn w:val="BodyText"/>
    <w:qFormat/>
    <w:rsid w:val="00925736"/>
    <w:pPr>
      <w:numPr>
        <w:numId w:val="2"/>
      </w:numPr>
    </w:pPr>
  </w:style>
  <w:style w:type="paragraph" w:styleId="Title">
    <w:name w:val="Title"/>
    <w:basedOn w:val="Normal"/>
    <w:link w:val="TitleChar"/>
    <w:uiPriority w:val="10"/>
    <w:qFormat/>
    <w:rsid w:val="006746F8"/>
    <w:pPr>
      <w:spacing w:before="240" w:after="60"/>
      <w:jc w:val="center"/>
      <w:outlineLvl w:val="0"/>
    </w:pPr>
    <w:rPr>
      <w:rFonts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uiPriority w:val="59"/>
    <w:rsid w:val="006746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6746F8"/>
    <w:pPr>
      <w:widowControl w:val="0"/>
      <w:numPr>
        <w:ilvl w:val="1"/>
      </w:numPr>
      <w:autoSpaceDE w:val="0"/>
      <w:autoSpaceDN w:val="0"/>
      <w:adjustRightInd w:val="0"/>
    </w:pPr>
    <w:rPr>
      <w:rFonts w:eastAsiaTheme="majorEastAsia"/>
      <w:iCs/>
      <w:color w:val="404040" w:themeColor="text1" w:themeTint="BF"/>
      <w:spacing w:val="15"/>
      <w:sz w:val="36"/>
      <w:szCs w:val="36"/>
    </w:rPr>
  </w:style>
  <w:style w:type="character" w:customStyle="1" w:styleId="SubtitleChar">
    <w:name w:val="Subtitle Char"/>
    <w:basedOn w:val="DefaultParagraphFont"/>
    <w:link w:val="Subtitle"/>
    <w:uiPriority w:val="11"/>
    <w:rsid w:val="006746F8"/>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9C1950"/>
    <w:pPr>
      <w:spacing w:before="120" w:after="240"/>
      <w:jc w:val="center"/>
    </w:pPr>
    <w:rPr>
      <w:bCs w:val="0"/>
      <w:color w:val="auto"/>
      <w:sz w:val="20"/>
      <w:szCs w:val="20"/>
    </w:rPr>
  </w:style>
  <w:style w:type="character" w:customStyle="1" w:styleId="Heading4Char">
    <w:name w:val="Heading 4 Char"/>
    <w:basedOn w:val="DefaultParagraphFont"/>
    <w:link w:val="Heading4"/>
    <w:uiPriority w:val="9"/>
    <w:rsid w:val="00C207DF"/>
    <w:rPr>
      <w:rFonts w:ascii="Arial Narrow" w:eastAsiaTheme="majorEastAsia" w:hAnsi="Arial Narrow" w:cstheme="majorBidi"/>
      <w:bCs/>
      <w:i/>
      <w:iCs/>
      <w:color w:val="6F5614"/>
      <w:sz w:val="24"/>
      <w:szCs w:val="24"/>
    </w:rPr>
  </w:style>
  <w:style w:type="character" w:customStyle="1" w:styleId="Heading5Char">
    <w:name w:val="Heading 5 Char"/>
    <w:basedOn w:val="DefaultParagraphFont"/>
    <w:link w:val="Heading5"/>
    <w:uiPriority w:val="9"/>
    <w:rsid w:val="00CA2B8D"/>
    <w:rPr>
      <w:rFonts w:asciiTheme="majorHAnsi" w:eastAsiaTheme="majorEastAsia" w:hAnsiTheme="majorHAnsi" w:cstheme="majorBidi"/>
      <w:color w:val="243F60" w:themeColor="accent1" w:themeShade="7F"/>
      <w:sz w:val="24"/>
      <w:szCs w:val="24"/>
    </w:rPr>
  </w:style>
  <w:style w:type="paragraph" w:styleId="ListBullet2">
    <w:name w:val="List Bullet 2"/>
    <w:basedOn w:val="Normal"/>
    <w:uiPriority w:val="99"/>
    <w:unhideWhenUsed/>
    <w:rsid w:val="00804DA6"/>
    <w:pPr>
      <w:numPr>
        <w:numId w:val="3"/>
      </w:numPr>
      <w:contextualSpacing/>
    </w:pPr>
  </w:style>
  <w:style w:type="paragraph" w:customStyle="1" w:styleId="Tablebullet">
    <w:name w:val="Table bullet"/>
    <w:basedOn w:val="Tabletext"/>
    <w:rsid w:val="008D7270"/>
    <w:pPr>
      <w:numPr>
        <w:numId w:val="4"/>
      </w:numPr>
    </w:pPr>
  </w:style>
  <w:style w:type="character" w:styleId="UnresolvedMention">
    <w:name w:val="Unresolved Mention"/>
    <w:basedOn w:val="DefaultParagraphFont"/>
    <w:uiPriority w:val="99"/>
    <w:semiHidden/>
    <w:unhideWhenUsed/>
    <w:rsid w:val="00192387"/>
    <w:rPr>
      <w:color w:val="605E5C"/>
      <w:shd w:val="clear" w:color="auto" w:fill="E1DFDD"/>
    </w:rPr>
  </w:style>
  <w:style w:type="paragraph" w:customStyle="1" w:styleId="NumberListText">
    <w:name w:val="Number List Text"/>
    <w:basedOn w:val="ListParagraph"/>
    <w:link w:val="NumberListTextChar"/>
    <w:qFormat/>
    <w:rsid w:val="006D0B53"/>
    <w:pPr>
      <w:numPr>
        <w:numId w:val="5"/>
      </w:numPr>
    </w:pPr>
    <w:rPr>
      <w:rFonts w:ascii="Times New Roman" w:hAnsi="Times New Roman"/>
    </w:rPr>
  </w:style>
  <w:style w:type="character" w:customStyle="1" w:styleId="NumberListTextChar">
    <w:name w:val="Number List Text Char"/>
    <w:basedOn w:val="DefaultParagraphFont"/>
    <w:link w:val="NumberListText"/>
    <w:rsid w:val="006D0B53"/>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6D0B53"/>
    <w:rPr>
      <w:rFonts w:ascii="Arial" w:eastAsia="Times New Roman" w:hAnsi="Arial" w:cs="Times New Roman"/>
      <w:sz w:val="24"/>
      <w:szCs w:val="24"/>
    </w:rPr>
  </w:style>
  <w:style w:type="paragraph" w:customStyle="1" w:styleId="BoldBodyText">
    <w:name w:val="Bold Body Text"/>
    <w:basedOn w:val="Normal"/>
    <w:link w:val="BoldBodyTextChar"/>
    <w:qFormat/>
    <w:rsid w:val="006D0B53"/>
    <w:pPr>
      <w:spacing w:after="120"/>
      <w:ind w:left="360"/>
    </w:pPr>
    <w:rPr>
      <w:rFonts w:ascii="Times New Roman" w:hAnsi="Times New Roman"/>
      <w:b/>
    </w:rPr>
  </w:style>
  <w:style w:type="character" w:customStyle="1" w:styleId="BoldBodyTextChar">
    <w:name w:val="Bold Body Text Char"/>
    <w:basedOn w:val="DefaultParagraphFont"/>
    <w:link w:val="BoldBodyText"/>
    <w:rsid w:val="006D0B53"/>
    <w:rPr>
      <w:rFonts w:ascii="Times New Roman" w:eastAsia="Times New Roman" w:hAnsi="Times New Roman" w:cs="Times New Roman"/>
      <w:b/>
      <w:sz w:val="24"/>
      <w:szCs w:val="24"/>
    </w:rPr>
  </w:style>
  <w:style w:type="paragraph" w:customStyle="1" w:styleId="TableText0">
    <w:name w:val="Table Text"/>
    <w:basedOn w:val="Normal"/>
    <w:link w:val="TableTextChar"/>
    <w:qFormat/>
    <w:rsid w:val="006D0B53"/>
    <w:pPr>
      <w:jc w:val="center"/>
    </w:pPr>
    <w:rPr>
      <w:rFonts w:ascii="Times New Roman" w:hAnsi="Times New Roman"/>
      <w:sz w:val="22"/>
      <w:szCs w:val="22"/>
    </w:rPr>
  </w:style>
  <w:style w:type="character" w:customStyle="1" w:styleId="TableTextChar">
    <w:name w:val="Table Text Char"/>
    <w:basedOn w:val="DefaultParagraphFont"/>
    <w:link w:val="TableText0"/>
    <w:rsid w:val="006D0B53"/>
    <w:rPr>
      <w:rFonts w:ascii="Times New Roman" w:eastAsia="Times New Roman" w:hAnsi="Times New Roman" w:cs="Times New Roman"/>
    </w:rPr>
  </w:style>
  <w:style w:type="table" w:customStyle="1" w:styleId="TableGrid1">
    <w:name w:val="Table Grid1"/>
    <w:basedOn w:val="TableNormal"/>
    <w:next w:val="TableGrid"/>
    <w:uiPriority w:val="59"/>
    <w:rsid w:val="00B07C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17F25"/>
    <w:rPr>
      <w:b/>
      <w:bCs/>
    </w:rPr>
  </w:style>
  <w:style w:type="paragraph" w:customStyle="1" w:styleId="ODPParaInd2">
    <w:name w:val="ODP: Para Ind2"/>
    <w:basedOn w:val="Normal"/>
    <w:link w:val="ODPParaInd2Char"/>
    <w:uiPriority w:val="99"/>
    <w:rsid w:val="00417F25"/>
    <w:pPr>
      <w:spacing w:before="60" w:after="180"/>
      <w:ind w:left="720"/>
      <w:jc w:val="both"/>
    </w:pPr>
    <w:rPr>
      <w:rFonts w:ascii="Joanna MT" w:hAnsi="Joanna MT"/>
      <w:bCs/>
      <w:szCs w:val="20"/>
    </w:rPr>
  </w:style>
  <w:style w:type="character" w:customStyle="1" w:styleId="ODPParaInd2Char">
    <w:name w:val="ODP: Para Ind2 Char"/>
    <w:link w:val="ODPParaInd2"/>
    <w:uiPriority w:val="99"/>
    <w:locked/>
    <w:rsid w:val="00417F25"/>
    <w:rPr>
      <w:rFonts w:ascii="Joanna MT" w:eastAsia="Times New Roman" w:hAnsi="Joanna MT"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917900">
      <w:bodyDiv w:val="1"/>
      <w:marLeft w:val="0"/>
      <w:marRight w:val="0"/>
      <w:marTop w:val="0"/>
      <w:marBottom w:val="0"/>
      <w:divBdr>
        <w:top w:val="none" w:sz="0" w:space="0" w:color="auto"/>
        <w:left w:val="none" w:sz="0" w:space="0" w:color="auto"/>
        <w:bottom w:val="none" w:sz="0" w:space="0" w:color="auto"/>
        <w:right w:val="none" w:sz="0" w:space="0" w:color="auto"/>
      </w:divBdr>
    </w:div>
    <w:div w:id="507523140">
      <w:bodyDiv w:val="1"/>
      <w:marLeft w:val="0"/>
      <w:marRight w:val="0"/>
      <w:marTop w:val="0"/>
      <w:marBottom w:val="0"/>
      <w:divBdr>
        <w:top w:val="none" w:sz="0" w:space="0" w:color="auto"/>
        <w:left w:val="none" w:sz="0" w:space="0" w:color="auto"/>
        <w:bottom w:val="none" w:sz="0" w:space="0" w:color="auto"/>
        <w:right w:val="none" w:sz="0" w:space="0" w:color="auto"/>
      </w:divBdr>
      <w:divsChild>
        <w:div w:id="18898766">
          <w:marLeft w:val="1800"/>
          <w:marRight w:val="0"/>
          <w:marTop w:val="0"/>
          <w:marBottom w:val="0"/>
          <w:divBdr>
            <w:top w:val="none" w:sz="0" w:space="0" w:color="auto"/>
            <w:left w:val="none" w:sz="0" w:space="0" w:color="auto"/>
            <w:bottom w:val="none" w:sz="0" w:space="0" w:color="auto"/>
            <w:right w:val="none" w:sz="0" w:space="0" w:color="auto"/>
          </w:divBdr>
        </w:div>
        <w:div w:id="205336607">
          <w:marLeft w:val="1800"/>
          <w:marRight w:val="0"/>
          <w:marTop w:val="0"/>
          <w:marBottom w:val="0"/>
          <w:divBdr>
            <w:top w:val="none" w:sz="0" w:space="0" w:color="auto"/>
            <w:left w:val="none" w:sz="0" w:space="0" w:color="auto"/>
            <w:bottom w:val="none" w:sz="0" w:space="0" w:color="auto"/>
            <w:right w:val="none" w:sz="0" w:space="0" w:color="auto"/>
          </w:divBdr>
        </w:div>
        <w:div w:id="227303917">
          <w:marLeft w:val="1800"/>
          <w:marRight w:val="0"/>
          <w:marTop w:val="0"/>
          <w:marBottom w:val="0"/>
          <w:divBdr>
            <w:top w:val="none" w:sz="0" w:space="0" w:color="auto"/>
            <w:left w:val="none" w:sz="0" w:space="0" w:color="auto"/>
            <w:bottom w:val="none" w:sz="0" w:space="0" w:color="auto"/>
            <w:right w:val="none" w:sz="0" w:space="0" w:color="auto"/>
          </w:divBdr>
        </w:div>
        <w:div w:id="558519836">
          <w:marLeft w:val="1800"/>
          <w:marRight w:val="0"/>
          <w:marTop w:val="0"/>
          <w:marBottom w:val="0"/>
          <w:divBdr>
            <w:top w:val="none" w:sz="0" w:space="0" w:color="auto"/>
            <w:left w:val="none" w:sz="0" w:space="0" w:color="auto"/>
            <w:bottom w:val="none" w:sz="0" w:space="0" w:color="auto"/>
            <w:right w:val="none" w:sz="0" w:space="0" w:color="auto"/>
          </w:divBdr>
        </w:div>
        <w:div w:id="1268851183">
          <w:marLeft w:val="1800"/>
          <w:marRight w:val="0"/>
          <w:marTop w:val="0"/>
          <w:marBottom w:val="0"/>
          <w:divBdr>
            <w:top w:val="none" w:sz="0" w:space="0" w:color="auto"/>
            <w:left w:val="none" w:sz="0" w:space="0" w:color="auto"/>
            <w:bottom w:val="none" w:sz="0" w:space="0" w:color="auto"/>
            <w:right w:val="none" w:sz="0" w:space="0" w:color="auto"/>
          </w:divBdr>
        </w:div>
        <w:div w:id="1409771326">
          <w:marLeft w:val="2520"/>
          <w:marRight w:val="0"/>
          <w:marTop w:val="0"/>
          <w:marBottom w:val="0"/>
          <w:divBdr>
            <w:top w:val="none" w:sz="0" w:space="0" w:color="auto"/>
            <w:left w:val="none" w:sz="0" w:space="0" w:color="auto"/>
            <w:bottom w:val="none" w:sz="0" w:space="0" w:color="auto"/>
            <w:right w:val="none" w:sz="0" w:space="0" w:color="auto"/>
          </w:divBdr>
        </w:div>
        <w:div w:id="1491099164">
          <w:marLeft w:val="1166"/>
          <w:marRight w:val="0"/>
          <w:marTop w:val="0"/>
          <w:marBottom w:val="0"/>
          <w:divBdr>
            <w:top w:val="none" w:sz="0" w:space="0" w:color="auto"/>
            <w:left w:val="none" w:sz="0" w:space="0" w:color="auto"/>
            <w:bottom w:val="none" w:sz="0" w:space="0" w:color="auto"/>
            <w:right w:val="none" w:sz="0" w:space="0" w:color="auto"/>
          </w:divBdr>
        </w:div>
        <w:div w:id="1601329223">
          <w:marLeft w:val="547"/>
          <w:marRight w:val="0"/>
          <w:marTop w:val="0"/>
          <w:marBottom w:val="0"/>
          <w:divBdr>
            <w:top w:val="none" w:sz="0" w:space="0" w:color="auto"/>
            <w:left w:val="none" w:sz="0" w:space="0" w:color="auto"/>
            <w:bottom w:val="none" w:sz="0" w:space="0" w:color="auto"/>
            <w:right w:val="none" w:sz="0" w:space="0" w:color="auto"/>
          </w:divBdr>
        </w:div>
        <w:div w:id="1617175065">
          <w:marLeft w:val="2520"/>
          <w:marRight w:val="0"/>
          <w:marTop w:val="0"/>
          <w:marBottom w:val="0"/>
          <w:divBdr>
            <w:top w:val="none" w:sz="0" w:space="0" w:color="auto"/>
            <w:left w:val="none" w:sz="0" w:space="0" w:color="auto"/>
            <w:bottom w:val="none" w:sz="0" w:space="0" w:color="auto"/>
            <w:right w:val="none" w:sz="0" w:space="0" w:color="auto"/>
          </w:divBdr>
        </w:div>
      </w:divsChild>
    </w:div>
    <w:div w:id="547491535">
      <w:bodyDiv w:val="1"/>
      <w:marLeft w:val="0"/>
      <w:marRight w:val="0"/>
      <w:marTop w:val="0"/>
      <w:marBottom w:val="0"/>
      <w:divBdr>
        <w:top w:val="none" w:sz="0" w:space="0" w:color="auto"/>
        <w:left w:val="none" w:sz="0" w:space="0" w:color="auto"/>
        <w:bottom w:val="none" w:sz="0" w:space="0" w:color="auto"/>
        <w:right w:val="none" w:sz="0" w:space="0" w:color="auto"/>
      </w:divBdr>
    </w:div>
    <w:div w:id="618031176">
      <w:bodyDiv w:val="1"/>
      <w:marLeft w:val="0"/>
      <w:marRight w:val="0"/>
      <w:marTop w:val="0"/>
      <w:marBottom w:val="0"/>
      <w:divBdr>
        <w:top w:val="none" w:sz="0" w:space="0" w:color="auto"/>
        <w:left w:val="none" w:sz="0" w:space="0" w:color="auto"/>
        <w:bottom w:val="none" w:sz="0" w:space="0" w:color="auto"/>
        <w:right w:val="none" w:sz="0" w:space="0" w:color="auto"/>
      </w:divBdr>
    </w:div>
    <w:div w:id="630018137">
      <w:bodyDiv w:val="1"/>
      <w:marLeft w:val="0"/>
      <w:marRight w:val="0"/>
      <w:marTop w:val="0"/>
      <w:marBottom w:val="0"/>
      <w:divBdr>
        <w:top w:val="none" w:sz="0" w:space="0" w:color="auto"/>
        <w:left w:val="none" w:sz="0" w:space="0" w:color="auto"/>
        <w:bottom w:val="none" w:sz="0" w:space="0" w:color="auto"/>
        <w:right w:val="none" w:sz="0" w:space="0" w:color="auto"/>
      </w:divBdr>
    </w:div>
    <w:div w:id="834540149">
      <w:bodyDiv w:val="1"/>
      <w:marLeft w:val="0"/>
      <w:marRight w:val="0"/>
      <w:marTop w:val="0"/>
      <w:marBottom w:val="0"/>
      <w:divBdr>
        <w:top w:val="none" w:sz="0" w:space="0" w:color="auto"/>
        <w:left w:val="none" w:sz="0" w:space="0" w:color="auto"/>
        <w:bottom w:val="none" w:sz="0" w:space="0" w:color="auto"/>
        <w:right w:val="none" w:sz="0" w:space="0" w:color="auto"/>
      </w:divBdr>
    </w:div>
    <w:div w:id="989746387">
      <w:bodyDiv w:val="1"/>
      <w:marLeft w:val="0"/>
      <w:marRight w:val="0"/>
      <w:marTop w:val="0"/>
      <w:marBottom w:val="0"/>
      <w:divBdr>
        <w:top w:val="none" w:sz="0" w:space="0" w:color="auto"/>
        <w:left w:val="none" w:sz="0" w:space="0" w:color="auto"/>
        <w:bottom w:val="none" w:sz="0" w:space="0" w:color="auto"/>
        <w:right w:val="none" w:sz="0" w:space="0" w:color="auto"/>
      </w:divBdr>
    </w:div>
    <w:div w:id="1337540241">
      <w:bodyDiv w:val="1"/>
      <w:marLeft w:val="0"/>
      <w:marRight w:val="0"/>
      <w:marTop w:val="0"/>
      <w:marBottom w:val="0"/>
      <w:divBdr>
        <w:top w:val="none" w:sz="0" w:space="0" w:color="auto"/>
        <w:left w:val="none" w:sz="0" w:space="0" w:color="auto"/>
        <w:bottom w:val="none" w:sz="0" w:space="0" w:color="auto"/>
        <w:right w:val="none" w:sz="0" w:space="0" w:color="auto"/>
      </w:divBdr>
    </w:div>
    <w:div w:id="1350791553">
      <w:bodyDiv w:val="1"/>
      <w:marLeft w:val="0"/>
      <w:marRight w:val="0"/>
      <w:marTop w:val="0"/>
      <w:marBottom w:val="0"/>
      <w:divBdr>
        <w:top w:val="none" w:sz="0" w:space="0" w:color="auto"/>
        <w:left w:val="none" w:sz="0" w:space="0" w:color="auto"/>
        <w:bottom w:val="none" w:sz="0" w:space="0" w:color="auto"/>
        <w:right w:val="none" w:sz="0" w:space="0" w:color="auto"/>
      </w:divBdr>
    </w:div>
    <w:div w:id="163414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ema.gov/HSEE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fema.gov/pdf/prepared/nps_descript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fema.gov/national-preparedness-go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fema.gov/national-exercise-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330887E21974479E608AA8DC46B57A" ma:contentTypeVersion="10" ma:contentTypeDescription="Create a new document." ma:contentTypeScope="" ma:versionID="282b981007f18fa4119462e1f19320fc">
  <xsd:schema xmlns:xsd="http://www.w3.org/2001/XMLSchema" xmlns:xs="http://www.w3.org/2001/XMLSchema" xmlns:p="http://schemas.microsoft.com/office/2006/metadata/properties" xmlns:ns2="c7b34785-b061-4001-a5b2-7128a0877772" xmlns:ns3="74e635cf-825a-4c7a-98e4-3665b51795e7" targetNamespace="http://schemas.microsoft.com/office/2006/metadata/properties" ma:root="true" ma:fieldsID="a5140e13004d7506b34772f751b4b831" ns2:_="" ns3:_="">
    <xsd:import namespace="c7b34785-b061-4001-a5b2-7128a0877772"/>
    <xsd:import namespace="74e635cf-825a-4c7a-98e4-3665b51795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34785-b061-4001-a5b2-7128a0877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635cf-825a-4c7a-98e4-3665b51795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CC54D-7C7A-4A99-B64A-DD344EC277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932BDC-BB37-4838-82F1-CAC08B5AB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34785-b061-4001-a5b2-7128a0877772"/>
    <ds:schemaRef ds:uri="74e635cf-825a-4c7a-98e4-3665b5179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3677B-86EF-4A2C-9AD0-46FE584BFB9E}">
  <ds:schemaRefs>
    <ds:schemaRef ds:uri="http://schemas.microsoft.com/sharepoint/v3/contenttype/forms"/>
  </ds:schemaRefs>
</ds:datastoreItem>
</file>

<file path=customXml/itemProps4.xml><?xml version="1.0" encoding="utf-8"?>
<ds:datastoreItem xmlns:ds="http://schemas.openxmlformats.org/officeDocument/2006/customXml" ds:itemID="{F3F55E06-82CB-4521-8869-86503C5A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16</Pages>
  <Words>3665</Words>
  <Characters>20892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After-Action Report/Improvement Plan Template</vt:lpstr>
    </vt:vector>
  </TitlesOfParts>
  <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After-Action Report/Improvement Plan Template</dc:title>
  <dc:subject/>
  <dc:creator>HSEEP Support Team</dc:creator>
  <cp:keywords>HSEEP, Template, After-Action, Improvement Plan, AAR, Evaluation</cp:keywords>
  <dc:description/>
  <cp:lastModifiedBy>Baldwin, Ashley</cp:lastModifiedBy>
  <cp:revision>37</cp:revision>
  <cp:lastPrinted>2012-11-07T20:40:00Z</cp:lastPrinted>
  <dcterms:created xsi:type="dcterms:W3CDTF">2020-10-08T13:23:00Z</dcterms:created>
  <dcterms:modified xsi:type="dcterms:W3CDTF">2020-10-21T18:24:00Z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0x010100E7330887E21974479E608AA8DC46B57A</vt:lpwstr>
  </property>
</Properties>
</file>