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E1F6" w14:textId="77777777" w:rsidR="00732D9D" w:rsidRDefault="00732D9D" w:rsidP="00732D9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Pr="00835C69">
        <w:rPr>
          <w:rStyle w:val="Emphasis"/>
          <w:b/>
        </w:rPr>
        <w:t>Family Preservation Services</w:t>
      </w:r>
    </w:p>
    <w:p w14:paraId="00ED5DBB" w14:textId="77777777" w:rsidR="00732D9D" w:rsidRPr="00835C69" w:rsidRDefault="00732D9D" w:rsidP="00732D9D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2D318DBA" w14:textId="6F537210" w:rsidR="00732D9D" w:rsidRPr="00431F25" w:rsidRDefault="00732D9D" w:rsidP="00732D9D">
      <w:pPr>
        <w:pStyle w:val="NoSpacing"/>
        <w:jc w:val="center"/>
        <w:rPr>
          <w:b/>
          <w:i/>
          <w:iCs/>
        </w:rPr>
      </w:pPr>
      <w:r>
        <w:rPr>
          <w:rStyle w:val="Emphasis"/>
          <w:b/>
        </w:rPr>
        <w:t>December 17</w:t>
      </w:r>
      <w:r w:rsidRPr="00835C69">
        <w:rPr>
          <w:rStyle w:val="Emphasis"/>
          <w:b/>
        </w:rPr>
        <w:t>, 202</w:t>
      </w:r>
      <w:r>
        <w:rPr>
          <w:rStyle w:val="Emphasis"/>
          <w:b/>
        </w:rPr>
        <w:t>1</w:t>
      </w:r>
      <w:r w:rsidRPr="00835C69">
        <w:rPr>
          <w:rStyle w:val="Emphasis"/>
          <w:b/>
        </w:rPr>
        <w:t xml:space="preserve"> </w:t>
      </w:r>
    </w:p>
    <w:p w14:paraId="6116D44A" w14:textId="77777777" w:rsidR="00732D9D" w:rsidRDefault="00732D9D" w:rsidP="00732D9D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43DAF74F" w14:textId="5E39F4CA" w:rsidR="00732D9D" w:rsidRDefault="00732D9D" w:rsidP="00732D9D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Brian Goodwin to provide evaluation update.</w:t>
      </w:r>
    </w:p>
    <w:p w14:paraId="7070D86D" w14:textId="35E8B8C1" w:rsidR="000E0D12" w:rsidRDefault="002772FC" w:rsidP="000E0D12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No updates regarding evaluation</w:t>
      </w:r>
    </w:p>
    <w:p w14:paraId="424E5A61" w14:textId="77777777" w:rsidR="00732D9D" w:rsidRDefault="00732D9D" w:rsidP="00732D9D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168B9E11" w14:textId="270578C3" w:rsidR="002772FC" w:rsidRDefault="00732D9D" w:rsidP="002772FC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 w:rsidRPr="001A6DC7">
        <w:rPr>
          <w:rFonts w:eastAsia="Times New Roman"/>
          <w:i/>
          <w:iCs/>
        </w:rPr>
        <w:t xml:space="preserve">Crystal Whitis to provide updates on </w:t>
      </w:r>
      <w:r>
        <w:rPr>
          <w:rFonts w:eastAsia="Times New Roman"/>
          <w:i/>
          <w:iCs/>
        </w:rPr>
        <w:t>Services Hub</w:t>
      </w:r>
      <w:r w:rsidRPr="001A6DC7">
        <w:rPr>
          <w:rFonts w:eastAsia="Times New Roman"/>
          <w:i/>
          <w:iCs/>
        </w:rPr>
        <w:t xml:space="preserve">. </w:t>
      </w:r>
      <w:r w:rsidRPr="001A6DC7">
        <w:rPr>
          <w:rFonts w:eastAsia="Times New Roman"/>
          <w:i/>
          <w:iCs/>
        </w:rPr>
        <w:tab/>
      </w:r>
    </w:p>
    <w:p w14:paraId="17F69E65" w14:textId="1E77F14B" w:rsidR="002772FC" w:rsidRDefault="002772FC" w:rsidP="002772F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</w:rPr>
      </w:pPr>
      <w:r w:rsidRPr="002772FC">
        <w:rPr>
          <w:rFonts w:eastAsia="Times New Roman"/>
        </w:rPr>
        <w:t xml:space="preserve">Feedback </w:t>
      </w:r>
      <w:r>
        <w:rPr>
          <w:rFonts w:eastAsia="Times New Roman"/>
        </w:rPr>
        <w:t xml:space="preserve">from FCMs </w:t>
      </w:r>
      <w:r w:rsidRPr="002772FC">
        <w:rPr>
          <w:rFonts w:eastAsia="Times New Roman"/>
        </w:rPr>
        <w:t>is positive</w:t>
      </w:r>
    </w:p>
    <w:p w14:paraId="7A708E81" w14:textId="785E8622" w:rsidR="002772FC" w:rsidRDefault="002772FC" w:rsidP="002772F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</w:rPr>
      </w:pPr>
      <w:r>
        <w:rPr>
          <w:rFonts w:eastAsia="Times New Roman"/>
        </w:rPr>
        <w:t>Sharing often with field so they become familiar with it</w:t>
      </w:r>
    </w:p>
    <w:p w14:paraId="5D4CC607" w14:textId="2C777B3F" w:rsidR="002772FC" w:rsidRDefault="002772FC" w:rsidP="002772F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</w:rPr>
      </w:pPr>
      <w:r>
        <w:rPr>
          <w:rFonts w:eastAsia="Times New Roman"/>
        </w:rPr>
        <w:t>Placement pieces are now available</w:t>
      </w:r>
    </w:p>
    <w:p w14:paraId="7EBFE33E" w14:textId="20E4485E" w:rsidR="002772FC" w:rsidRDefault="002772FC" w:rsidP="002772F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</w:rPr>
      </w:pPr>
      <w:r>
        <w:rPr>
          <w:rFonts w:eastAsia="Times New Roman"/>
        </w:rPr>
        <w:t xml:space="preserve">Remember to update your census! </w:t>
      </w:r>
    </w:p>
    <w:p w14:paraId="70B90B19" w14:textId="310353BD" w:rsidR="002772FC" w:rsidRDefault="002772FC" w:rsidP="002772FC">
      <w:pPr>
        <w:pStyle w:val="ListParagraph"/>
        <w:numPr>
          <w:ilvl w:val="2"/>
          <w:numId w:val="1"/>
        </w:numPr>
        <w:spacing w:before="100" w:beforeAutospacing="1" w:after="165"/>
        <w:rPr>
          <w:rFonts w:eastAsia="Times New Roman"/>
        </w:rPr>
      </w:pPr>
      <w:r>
        <w:rPr>
          <w:rFonts w:eastAsia="Times New Roman"/>
        </w:rPr>
        <w:t>Some have had 0 availability for several weeks – make sure you keep that current so you can get referrals</w:t>
      </w:r>
    </w:p>
    <w:p w14:paraId="67B03CA5" w14:textId="1684D1FD" w:rsidR="002772FC" w:rsidRPr="002772FC" w:rsidRDefault="002772FC" w:rsidP="002772FC">
      <w:pPr>
        <w:pStyle w:val="ListParagraph"/>
        <w:numPr>
          <w:ilvl w:val="2"/>
          <w:numId w:val="1"/>
        </w:numPr>
        <w:spacing w:before="100" w:beforeAutospacing="1" w:after="165"/>
        <w:rPr>
          <w:rFonts w:eastAsia="Times New Roman"/>
        </w:rPr>
      </w:pPr>
      <w:r>
        <w:rPr>
          <w:rFonts w:eastAsia="Times New Roman"/>
        </w:rPr>
        <w:t>Automated email reminders may be in the future</w:t>
      </w:r>
    </w:p>
    <w:p w14:paraId="13C52544" w14:textId="77777777" w:rsidR="00732D9D" w:rsidRPr="00431F25" w:rsidRDefault="00732D9D" w:rsidP="00732D9D">
      <w:pPr>
        <w:rPr>
          <w:i/>
          <w:iCs/>
          <w:sz w:val="22"/>
          <w:szCs w:val="22"/>
        </w:rPr>
      </w:pPr>
    </w:p>
    <w:p w14:paraId="0D3366DE" w14:textId="77777777" w:rsidR="00732D9D" w:rsidRDefault="00732D9D" w:rsidP="00732D9D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5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6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07FDF8DE" w14:textId="007897BA" w:rsidR="00732D9D" w:rsidRDefault="00732D9D" w:rsidP="00732D9D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7" w:history="1">
        <w:r w:rsidRPr="00402068">
          <w:rPr>
            <w:rStyle w:val="Hyperlink"/>
          </w:rPr>
          <w:t>https://www.in.gov/dcs/files/Expense-Tracking-Agencies.xlsx</w:t>
        </w:r>
      </w:hyperlink>
      <w:r>
        <w:rPr>
          <w:rStyle w:val="Emphasis"/>
        </w:rPr>
        <w:t xml:space="preserve"> </w:t>
      </w:r>
    </w:p>
    <w:p w14:paraId="2D61729E" w14:textId="21AE97C6" w:rsidR="002772FC" w:rsidRDefault="002772FC" w:rsidP="002772F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Continue sending these to Bridget McIntyre or Child Welfare Plan</w:t>
      </w:r>
    </w:p>
    <w:p w14:paraId="35410230" w14:textId="77777777" w:rsidR="00732D9D" w:rsidRDefault="00732D9D" w:rsidP="00732D9D">
      <w:pPr>
        <w:pStyle w:val="NoSpacing"/>
        <w:ind w:left="1080"/>
        <w:rPr>
          <w:rStyle w:val="Emphasis"/>
        </w:rPr>
      </w:pPr>
    </w:p>
    <w:p w14:paraId="19FDC55B" w14:textId="7FEF7778" w:rsidR="00732D9D" w:rsidRDefault="00732D9D" w:rsidP="00732D9D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>Current referral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of 12/1</w:t>
      </w:r>
      <w:r w:rsidR="002C31B1">
        <w:rPr>
          <w:i/>
          <w:iCs/>
        </w:rPr>
        <w:t>6</w:t>
      </w:r>
      <w:r>
        <w:rPr>
          <w:i/>
          <w:iCs/>
        </w:rPr>
        <w:t>/21)</w:t>
      </w:r>
    </w:p>
    <w:tbl>
      <w:tblPr>
        <w:tblW w:w="34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936"/>
      </w:tblGrid>
      <w:tr w:rsidR="00732D9D" w14:paraId="2C75B3DB" w14:textId="77777777" w:rsidTr="00732D9D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76649" w14:textId="77777777" w:rsidR="00732D9D" w:rsidRDefault="00732D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Regions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BFD01" w14:textId="77777777" w:rsidR="00732D9D" w:rsidRDefault="00732D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732D9D" w14:paraId="4C48593F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19DA5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9888D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</w:tr>
      <w:tr w:rsidR="00732D9D" w14:paraId="171EA05A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49F6E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4F4C2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32D9D" w14:paraId="1959CA78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A6980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E0DF1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732D9D" w14:paraId="632B3E01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91112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0B135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732D9D" w14:paraId="5FBC648F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6A108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C5C43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32D9D" w14:paraId="00C45D8C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AA348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6D91F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732D9D" w14:paraId="52FB1F0C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56AE7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2C562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732D9D" w14:paraId="7AD88138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2FACF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C9CCF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732D9D" w14:paraId="4A3B981A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2413F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DEA20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732D9D" w14:paraId="5B253F5B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70C69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418B9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732D9D" w14:paraId="28EC3334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C7135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FCE59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732D9D" w14:paraId="6C080452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529EF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679B6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732D9D" w14:paraId="28767F5F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AA964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10E82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732D9D" w14:paraId="2CEE81E2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139CC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34297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732D9D" w14:paraId="3B7420A8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98BA6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F4343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32D9D" w14:paraId="2D116BCC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59329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B8CB2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732D9D" w14:paraId="21C2C944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13080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E6B99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732D9D" w14:paraId="49A089FF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FF2C5" w14:textId="77777777" w:rsidR="00732D9D" w:rsidRDefault="00732D9D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14AD5" w14:textId="77777777" w:rsidR="00732D9D" w:rsidRDefault="00732D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732D9D" w14:paraId="35DA109E" w14:textId="77777777" w:rsidTr="00732D9D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AD374" w14:textId="77777777" w:rsidR="00732D9D" w:rsidRDefault="00732D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EDE7D" w14:textId="77777777" w:rsidR="00732D9D" w:rsidRDefault="00732D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1780</w:t>
            </w:r>
          </w:p>
        </w:tc>
      </w:tr>
    </w:tbl>
    <w:p w14:paraId="2329323B" w14:textId="77777777" w:rsidR="00732D9D" w:rsidRDefault="00732D9D" w:rsidP="00732D9D">
      <w:pPr>
        <w:pStyle w:val="ListParagraph"/>
        <w:ind w:left="1080"/>
        <w:rPr>
          <w:i/>
          <w:iCs/>
        </w:rPr>
      </w:pPr>
    </w:p>
    <w:p w14:paraId="7E78B68E" w14:textId="77777777" w:rsidR="00732D9D" w:rsidRPr="001C46F3" w:rsidRDefault="00732D9D" w:rsidP="00732D9D">
      <w:pPr>
        <w:pStyle w:val="ListParagraph"/>
        <w:spacing w:before="100" w:beforeAutospacing="1" w:after="165"/>
        <w:ind w:left="1800"/>
        <w:rPr>
          <w:rFonts w:eastAsia="Times New Roman"/>
          <w:i/>
          <w:iCs/>
        </w:rPr>
      </w:pPr>
    </w:p>
    <w:p w14:paraId="778AFF7A" w14:textId="77777777" w:rsidR="002772FC" w:rsidRDefault="00732D9D" w:rsidP="002772FC">
      <w:pPr>
        <w:pStyle w:val="ListParagraph"/>
        <w:numPr>
          <w:ilvl w:val="0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“</w:t>
      </w:r>
      <w:r w:rsidRPr="001C46F3">
        <w:rPr>
          <w:rFonts w:eastAsia="Times New Roman"/>
          <w:i/>
          <w:iCs/>
        </w:rPr>
        <w:t>Family Pres Fridays</w:t>
      </w:r>
      <w:r>
        <w:rPr>
          <w:rFonts w:eastAsia="Times New Roman"/>
          <w:i/>
          <w:iCs/>
        </w:rPr>
        <w:t>”</w:t>
      </w:r>
      <w:r w:rsidRPr="001C46F3">
        <w:rPr>
          <w:rFonts w:eastAsia="Times New Roman"/>
          <w:i/>
          <w:iCs/>
        </w:rPr>
        <w:t xml:space="preserve"> for DCS staff</w:t>
      </w:r>
      <w:r>
        <w:rPr>
          <w:rFonts w:eastAsia="Times New Roman"/>
          <w:i/>
          <w:iCs/>
        </w:rPr>
        <w:t xml:space="preserve"> update</w:t>
      </w:r>
    </w:p>
    <w:p w14:paraId="0B5ABB21" w14:textId="427E0F8B" w:rsidR="00732D9D" w:rsidRPr="002772FC" w:rsidRDefault="00732D9D" w:rsidP="002772FC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2772FC">
        <w:rPr>
          <w:rFonts w:eastAsia="Times New Roman"/>
        </w:rPr>
        <w:t>Next FCM meeting is 1/21/2022</w:t>
      </w:r>
    </w:p>
    <w:p w14:paraId="79271F89" w14:textId="3DC2F0DA" w:rsidR="002772FC" w:rsidRPr="002772FC" w:rsidRDefault="002772FC" w:rsidP="002772FC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Good questions and discussion during today’s meeting</w:t>
      </w:r>
    </w:p>
    <w:p w14:paraId="7A9EA9A4" w14:textId="4ECA981B" w:rsidR="002772FC" w:rsidRPr="008518B0" w:rsidRDefault="002772FC" w:rsidP="002772FC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Reminded FCMs to ONLY refer for children who are formally involved via CHINS petition or IA agreement, also including caregivers in the home</w:t>
      </w:r>
    </w:p>
    <w:p w14:paraId="4D3A2DC2" w14:textId="29AC4CB3" w:rsidR="008518B0" w:rsidRPr="008518B0" w:rsidRDefault="008518B0" w:rsidP="008518B0">
      <w:pPr>
        <w:pStyle w:val="ListParagraph"/>
        <w:numPr>
          <w:ilvl w:val="2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Will be included in the next weekly newsletter for DCS staff</w:t>
      </w:r>
    </w:p>
    <w:p w14:paraId="520734DC" w14:textId="3F3A4E29" w:rsidR="008518B0" w:rsidRPr="008518B0" w:rsidRDefault="008518B0" w:rsidP="008518B0">
      <w:pPr>
        <w:pStyle w:val="ListParagraph"/>
        <w:numPr>
          <w:ilvl w:val="2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 xml:space="preserve">Keep asking FCMs to confirm which children are formally involved </w:t>
      </w:r>
    </w:p>
    <w:p w14:paraId="3AD54992" w14:textId="29DF0E13" w:rsidR="008518B0" w:rsidRPr="008518B0" w:rsidRDefault="008518B0" w:rsidP="008518B0">
      <w:pPr>
        <w:pStyle w:val="ListParagraph"/>
        <w:numPr>
          <w:ilvl w:val="2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Adults living in the home can be on the referral, even if they are not part of the CHINS/IA involvement</w:t>
      </w:r>
    </w:p>
    <w:p w14:paraId="6D2BAD51" w14:textId="771AC97B" w:rsidR="008518B0" w:rsidRPr="008518B0" w:rsidRDefault="008518B0" w:rsidP="008518B0">
      <w:pPr>
        <w:pStyle w:val="ListParagraph"/>
        <w:numPr>
          <w:ilvl w:val="3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Per Diem is not based on adults in the home, so their formal involvement is not critical</w:t>
      </w:r>
    </w:p>
    <w:p w14:paraId="59B05B9C" w14:textId="13E1D468" w:rsidR="008518B0" w:rsidRPr="008518B0" w:rsidRDefault="008518B0" w:rsidP="008518B0">
      <w:pPr>
        <w:pStyle w:val="ListParagraph"/>
        <w:numPr>
          <w:ilvl w:val="3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 xml:space="preserve">Can also be included in Special Instructions or Other Pertinent Information </w:t>
      </w:r>
    </w:p>
    <w:p w14:paraId="0EE54B4D" w14:textId="1D920259" w:rsidR="008518B0" w:rsidRPr="008518B0" w:rsidRDefault="008518B0" w:rsidP="008518B0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Referral ENDS when the child is formally and indefinitely removed, or case is closed</w:t>
      </w:r>
    </w:p>
    <w:p w14:paraId="0570E0BC" w14:textId="6EDD0757" w:rsidR="008518B0" w:rsidRPr="008518B0" w:rsidRDefault="008518B0" w:rsidP="008518B0">
      <w:pPr>
        <w:pStyle w:val="ListParagraph"/>
        <w:numPr>
          <w:ilvl w:val="2"/>
          <w:numId w:val="2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Referrals cannot continue if the court orders removal</w:t>
      </w:r>
    </w:p>
    <w:p w14:paraId="306F7723" w14:textId="3A0A652E" w:rsidR="008518B0" w:rsidRPr="00F808DB" w:rsidRDefault="00DE24BE" w:rsidP="008518B0">
      <w:pPr>
        <w:pStyle w:val="ListParagraph"/>
        <w:numPr>
          <w:ilvl w:val="0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F808DB">
        <w:rPr>
          <w:rFonts w:eastAsia="Times New Roman"/>
        </w:rPr>
        <w:t>Safety Checks</w:t>
      </w:r>
    </w:p>
    <w:p w14:paraId="3BD856AD" w14:textId="4170302A" w:rsidR="00DE24BE" w:rsidRPr="00F808DB" w:rsidRDefault="00DE24BE" w:rsidP="00DE24BE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F808DB">
        <w:rPr>
          <w:rFonts w:eastAsia="Times New Roman"/>
        </w:rPr>
        <w:t>Should occur one time per week</w:t>
      </w:r>
    </w:p>
    <w:p w14:paraId="5751973E" w14:textId="51B50B1F" w:rsidR="00DE24BE" w:rsidRPr="00F808DB" w:rsidRDefault="00DE24BE" w:rsidP="00DE24BE">
      <w:pPr>
        <w:pStyle w:val="ListParagraph"/>
        <w:numPr>
          <w:ilvl w:val="2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F808DB">
        <w:rPr>
          <w:rFonts w:eastAsia="Times New Roman"/>
        </w:rPr>
        <w:t xml:space="preserve">You can go on Monday one week and </w:t>
      </w:r>
      <w:proofErr w:type="gramStart"/>
      <w:r w:rsidRPr="00F808DB">
        <w:rPr>
          <w:rFonts w:eastAsia="Times New Roman"/>
        </w:rPr>
        <w:t>Wednesday</w:t>
      </w:r>
      <w:proofErr w:type="gramEnd"/>
      <w:r w:rsidRPr="00F808DB">
        <w:rPr>
          <w:rFonts w:eastAsia="Times New Roman"/>
        </w:rPr>
        <w:t xml:space="preserve"> next week; this would be more than 7 days but is allowable because it is also ‘weekly’</w:t>
      </w:r>
    </w:p>
    <w:p w14:paraId="29789255" w14:textId="1B678D14" w:rsidR="00DE24BE" w:rsidRPr="00F808DB" w:rsidRDefault="00DE24BE" w:rsidP="00DE24BE">
      <w:pPr>
        <w:pStyle w:val="ListParagraph"/>
        <w:numPr>
          <w:ilvl w:val="2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F808DB">
        <w:rPr>
          <w:rFonts w:eastAsia="Times New Roman"/>
        </w:rPr>
        <w:t>If a week is split between months, it may cause confusion in billing – note that in your weekly report to avoid billing denial</w:t>
      </w:r>
    </w:p>
    <w:p w14:paraId="6941EB86" w14:textId="2890CF90" w:rsidR="00DE24BE" w:rsidRPr="00F808DB" w:rsidRDefault="00DE24BE" w:rsidP="00DE24BE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F808DB">
        <w:rPr>
          <w:rFonts w:eastAsia="Times New Roman"/>
        </w:rPr>
        <w:t xml:space="preserve">If billing is denied for this and you think it’s an error, email </w:t>
      </w:r>
      <w:hyperlink r:id="rId8" w:history="1">
        <w:r w:rsidR="00F808DB" w:rsidRPr="00F808DB">
          <w:rPr>
            <w:rStyle w:val="Hyperlink"/>
            <w:rFonts w:eastAsia="Times New Roman"/>
          </w:rPr>
          <w:t>DCSpaymentresearchunit@dcs.in.gov</w:t>
        </w:r>
      </w:hyperlink>
      <w:r w:rsidR="00F808DB" w:rsidRPr="00F808DB">
        <w:rPr>
          <w:rFonts w:eastAsia="Times New Roman"/>
        </w:rPr>
        <w:t xml:space="preserve"> </w:t>
      </w:r>
    </w:p>
    <w:p w14:paraId="56778607" w14:textId="77777777" w:rsidR="00F808DB" w:rsidRPr="00F808DB" w:rsidRDefault="00F808DB" w:rsidP="00F808DB">
      <w:pPr>
        <w:pStyle w:val="ListParagraph"/>
        <w:spacing w:before="100" w:beforeAutospacing="1" w:after="165"/>
        <w:ind w:left="2160"/>
        <w:rPr>
          <w:rFonts w:eastAsia="Times New Roman"/>
          <w:i/>
          <w:iCs/>
        </w:rPr>
      </w:pPr>
    </w:p>
    <w:p w14:paraId="6450A59B" w14:textId="51E2369F" w:rsidR="00DE24BE" w:rsidRPr="00F808DB" w:rsidRDefault="00671077" w:rsidP="00DE24BE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  <w:i/>
          <w:iCs/>
        </w:rPr>
      </w:pPr>
      <w:r w:rsidRPr="00F808DB">
        <w:rPr>
          <w:rFonts w:eastAsia="Times New Roman"/>
        </w:rPr>
        <w:t>Providers must submit their initial assessment and safety plan within 7 days of the first face-to-face visit</w:t>
      </w:r>
    </w:p>
    <w:p w14:paraId="7BF23826" w14:textId="77777777" w:rsidR="00732D9D" w:rsidRDefault="00732D9D" w:rsidP="00732D9D">
      <w:pPr>
        <w:pStyle w:val="ListParagraph"/>
        <w:ind w:left="1080"/>
        <w:rPr>
          <w:rStyle w:val="Emphasis"/>
        </w:rPr>
      </w:pPr>
    </w:p>
    <w:p w14:paraId="2885F603" w14:textId="77777777" w:rsidR="00DE24BE" w:rsidRDefault="00732D9D" w:rsidP="00DE24BE">
      <w:pPr>
        <w:pStyle w:val="ListParagraph"/>
        <w:numPr>
          <w:ilvl w:val="0"/>
          <w:numId w:val="2"/>
        </w:numPr>
        <w:rPr>
          <w:rStyle w:val="Emphasis"/>
        </w:rPr>
      </w:pPr>
      <w:r>
        <w:rPr>
          <w:rStyle w:val="Emphasis"/>
        </w:rPr>
        <w:t>Questions received:</w:t>
      </w:r>
    </w:p>
    <w:p w14:paraId="6FEEBB56" w14:textId="363BA1DD" w:rsidR="00DE24BE" w:rsidRPr="00DE24BE" w:rsidRDefault="00DE24BE" w:rsidP="00DE24BE">
      <w:pPr>
        <w:pStyle w:val="ListParagraph"/>
        <w:numPr>
          <w:ilvl w:val="1"/>
          <w:numId w:val="2"/>
        </w:numPr>
        <w:rPr>
          <w:i/>
          <w:iCs/>
        </w:rPr>
      </w:pPr>
      <w:r w:rsidRPr="00DE24BE">
        <w:rPr>
          <w:rFonts w:eastAsia="Times New Roman"/>
        </w:rPr>
        <w:t xml:space="preserve">What do we do if the FCM is denying more </w:t>
      </w:r>
      <w:proofErr w:type="gramStart"/>
      <w:r w:rsidRPr="00DE24BE">
        <w:rPr>
          <w:rFonts w:eastAsia="Times New Roman"/>
        </w:rPr>
        <w:t>units</w:t>
      </w:r>
      <w:proofErr w:type="gramEnd"/>
      <w:r w:rsidRPr="00DE24BE">
        <w:rPr>
          <w:rFonts w:eastAsia="Times New Roman"/>
        </w:rPr>
        <w:t xml:space="preserve"> but the case is still open? Being the staff continues to engage with </w:t>
      </w:r>
      <w:proofErr w:type="spellStart"/>
      <w:proofErr w:type="gramStart"/>
      <w:r w:rsidRPr="00DE24BE">
        <w:rPr>
          <w:rFonts w:eastAsia="Times New Roman"/>
        </w:rPr>
        <w:t>non compliant</w:t>
      </w:r>
      <w:proofErr w:type="spellEnd"/>
      <w:proofErr w:type="gramEnd"/>
      <w:r w:rsidRPr="00DE24BE">
        <w:rPr>
          <w:rFonts w:eastAsia="Times New Roman"/>
        </w:rPr>
        <w:t xml:space="preserve"> client and the courts, but have not closed, but there are no more units.</w:t>
      </w:r>
    </w:p>
    <w:p w14:paraId="28BD6DC8" w14:textId="5013CD44" w:rsidR="00DE24BE" w:rsidRPr="00DE24BE" w:rsidRDefault="00DE24BE" w:rsidP="00DE24BE">
      <w:pPr>
        <w:pStyle w:val="ListParagraph"/>
        <w:numPr>
          <w:ilvl w:val="2"/>
          <w:numId w:val="2"/>
        </w:numPr>
        <w:rPr>
          <w:i/>
          <w:iCs/>
        </w:rPr>
      </w:pPr>
      <w:r>
        <w:rPr>
          <w:rFonts w:eastAsia="Times New Roman"/>
        </w:rPr>
        <w:t xml:space="preserve">Submit to </w:t>
      </w:r>
      <w:hyperlink r:id="rId9" w:history="1">
        <w:r w:rsidRPr="00072DAC">
          <w:rPr>
            <w:rStyle w:val="Hyperlink"/>
            <w:rFonts w:eastAsia="Times New Roman"/>
          </w:rPr>
          <w:t>referral@dcs.in.gov</w:t>
        </w:r>
      </w:hyperlink>
      <w:r>
        <w:rPr>
          <w:rFonts w:eastAsia="Times New Roman"/>
        </w:rPr>
        <w:t xml:space="preserve"> </w:t>
      </w:r>
    </w:p>
    <w:p w14:paraId="22B68904" w14:textId="01AD423C" w:rsidR="00DE24BE" w:rsidRPr="00DE24BE" w:rsidRDefault="00DE24BE" w:rsidP="00DE24BE">
      <w:pPr>
        <w:pStyle w:val="ListParagraph"/>
        <w:numPr>
          <w:ilvl w:val="3"/>
          <w:numId w:val="2"/>
        </w:numPr>
        <w:rPr>
          <w:i/>
          <w:iCs/>
        </w:rPr>
      </w:pPr>
      <w:r>
        <w:rPr>
          <w:rFonts w:eastAsia="Times New Roman"/>
        </w:rPr>
        <w:t>Our team can research with FCM</w:t>
      </w:r>
    </w:p>
    <w:p w14:paraId="6ED2B8E8" w14:textId="007B3BCA" w:rsidR="00DE24BE" w:rsidRPr="00DE24BE" w:rsidRDefault="00DE24BE" w:rsidP="00DE24BE">
      <w:pPr>
        <w:pStyle w:val="ListParagraph"/>
        <w:numPr>
          <w:ilvl w:val="3"/>
          <w:numId w:val="2"/>
        </w:numPr>
        <w:rPr>
          <w:i/>
          <w:iCs/>
        </w:rPr>
      </w:pPr>
      <w:r>
        <w:rPr>
          <w:rFonts w:eastAsia="Times New Roman"/>
        </w:rPr>
        <w:t>If the family is not engaged and the referral is six months old (out of units) – there is a bigger question for the team.</w:t>
      </w:r>
    </w:p>
    <w:p w14:paraId="12B1616B" w14:textId="7A628840" w:rsidR="00DE24BE" w:rsidRPr="00DE24BE" w:rsidRDefault="00DE24BE" w:rsidP="00DE24BE">
      <w:pPr>
        <w:pStyle w:val="ListParagraph"/>
        <w:numPr>
          <w:ilvl w:val="4"/>
          <w:numId w:val="2"/>
        </w:numPr>
        <w:rPr>
          <w:i/>
          <w:iCs/>
        </w:rPr>
      </w:pPr>
      <w:r>
        <w:rPr>
          <w:rFonts w:eastAsia="Times New Roman"/>
        </w:rPr>
        <w:t>Purpose of involvement?</w:t>
      </w:r>
    </w:p>
    <w:p w14:paraId="3111E8FA" w14:textId="4C960CE9" w:rsidR="00DE24BE" w:rsidRPr="00DE24BE" w:rsidRDefault="00DE24BE" w:rsidP="00DE24BE">
      <w:pPr>
        <w:pStyle w:val="ListParagraph"/>
        <w:numPr>
          <w:ilvl w:val="1"/>
          <w:numId w:val="2"/>
        </w:numPr>
        <w:rPr>
          <w:i/>
          <w:iCs/>
        </w:rPr>
      </w:pPr>
      <w:r>
        <w:rPr>
          <w:rFonts w:eastAsia="Times New Roman"/>
        </w:rPr>
        <w:lastRenderedPageBreak/>
        <w:t>On monthly report – do you just need to see dates of service/contact with families, or do you want daily per diem activity?</w:t>
      </w:r>
    </w:p>
    <w:p w14:paraId="337A219C" w14:textId="2EE45FE3" w:rsidR="00DE24BE" w:rsidRPr="00DE24BE" w:rsidRDefault="00DE24BE" w:rsidP="00DE24BE">
      <w:pPr>
        <w:pStyle w:val="ListParagraph"/>
        <w:numPr>
          <w:ilvl w:val="2"/>
          <w:numId w:val="2"/>
        </w:numPr>
        <w:rPr>
          <w:i/>
          <w:iCs/>
        </w:rPr>
      </w:pPr>
      <w:r>
        <w:rPr>
          <w:rFonts w:eastAsia="Times New Roman"/>
        </w:rPr>
        <w:t>Daily per diem activity might include days that the family is not served</w:t>
      </w:r>
    </w:p>
    <w:p w14:paraId="0A3F4B21" w14:textId="02FC7804" w:rsidR="00DE24BE" w:rsidRPr="00DE24BE" w:rsidRDefault="00DE24BE" w:rsidP="00DE24BE">
      <w:pPr>
        <w:pStyle w:val="ListParagraph"/>
        <w:numPr>
          <w:ilvl w:val="2"/>
          <w:numId w:val="2"/>
        </w:numPr>
        <w:rPr>
          <w:i/>
          <w:iCs/>
        </w:rPr>
      </w:pPr>
      <w:r>
        <w:rPr>
          <w:rFonts w:eastAsia="Times New Roman"/>
        </w:rPr>
        <w:t>It is not ideal to include non-contact days in your grid</w:t>
      </w:r>
    </w:p>
    <w:p w14:paraId="26830B5C" w14:textId="5D1A0791" w:rsidR="00DE24BE" w:rsidRPr="00DE24BE" w:rsidRDefault="00DE24BE" w:rsidP="00DE24BE">
      <w:pPr>
        <w:pStyle w:val="ListParagraph"/>
        <w:numPr>
          <w:ilvl w:val="2"/>
          <w:numId w:val="2"/>
        </w:numPr>
        <w:rPr>
          <w:i/>
          <w:iCs/>
        </w:rPr>
      </w:pPr>
      <w:r>
        <w:rPr>
          <w:rFonts w:eastAsia="Times New Roman"/>
        </w:rPr>
        <w:t>Only include activities completed with the family, whenever possible within your EMR</w:t>
      </w:r>
    </w:p>
    <w:p w14:paraId="4AA13CD0" w14:textId="77777777" w:rsidR="00DE24BE" w:rsidRPr="00DE24BE" w:rsidRDefault="00DE24BE" w:rsidP="00DE24BE">
      <w:pPr>
        <w:pStyle w:val="ListParagraph"/>
        <w:numPr>
          <w:ilvl w:val="2"/>
          <w:numId w:val="2"/>
        </w:numPr>
        <w:rPr>
          <w:i/>
          <w:iCs/>
        </w:rPr>
      </w:pPr>
    </w:p>
    <w:p w14:paraId="2251C827" w14:textId="77777777" w:rsidR="00732D9D" w:rsidRDefault="00732D9D" w:rsidP="00732D9D">
      <w:pPr>
        <w:pStyle w:val="ListParagraph"/>
        <w:ind w:left="1440"/>
        <w:rPr>
          <w:rStyle w:val="Emphasis"/>
        </w:rPr>
      </w:pPr>
    </w:p>
    <w:p w14:paraId="36783DC3" w14:textId="77777777" w:rsidR="00732D9D" w:rsidRPr="009E4767" w:rsidRDefault="00732D9D" w:rsidP="00732D9D">
      <w:pPr>
        <w:pStyle w:val="ListParagraph"/>
        <w:ind w:left="1440"/>
        <w:rPr>
          <w:rStyle w:val="Emphasis"/>
        </w:rPr>
      </w:pPr>
    </w:p>
    <w:p w14:paraId="3DE62128" w14:textId="77777777" w:rsidR="00732D9D" w:rsidRPr="009E4767" w:rsidRDefault="00732D9D" w:rsidP="00732D9D">
      <w:pPr>
        <w:pStyle w:val="ListParagraph"/>
        <w:numPr>
          <w:ilvl w:val="0"/>
          <w:numId w:val="2"/>
        </w:numPr>
        <w:rPr>
          <w:i/>
          <w:iCs/>
        </w:rPr>
      </w:pPr>
      <w:r w:rsidRPr="009E4767">
        <w:rPr>
          <w:rStyle w:val="Emphasis"/>
        </w:rPr>
        <w:t>Anything else?</w:t>
      </w:r>
      <w:r w:rsidRPr="009E4767">
        <w:rPr>
          <w:i/>
          <w:iCs/>
        </w:rPr>
        <w:tab/>
      </w:r>
    </w:p>
    <w:p w14:paraId="4092C1AA" w14:textId="77777777" w:rsidR="00732D9D" w:rsidRPr="009E4767" w:rsidRDefault="00732D9D" w:rsidP="00732D9D">
      <w:pPr>
        <w:pStyle w:val="ListParagraph"/>
        <w:ind w:left="1440"/>
        <w:rPr>
          <w:i/>
          <w:iCs/>
          <w:sz w:val="22"/>
          <w:szCs w:val="22"/>
        </w:rPr>
      </w:pPr>
    </w:p>
    <w:p w14:paraId="591C7132" w14:textId="0EFFCB81" w:rsidR="00732D9D" w:rsidRPr="009E4767" w:rsidRDefault="00732D9D" w:rsidP="00732D9D">
      <w:pPr>
        <w:ind w:left="360" w:firstLine="720"/>
        <w:rPr>
          <w:rStyle w:val="Emphasis"/>
        </w:rPr>
      </w:pPr>
      <w:r w:rsidRPr="009E4767">
        <w:rPr>
          <w:rStyle w:val="Emphasis"/>
        </w:rPr>
        <w:t xml:space="preserve">Next meeting </w:t>
      </w:r>
      <w:r>
        <w:rPr>
          <w:rStyle w:val="Emphasis"/>
        </w:rPr>
        <w:t>1/07/</w:t>
      </w:r>
      <w:r w:rsidRPr="009E4767">
        <w:rPr>
          <w:rStyle w:val="Emphasis"/>
        </w:rPr>
        <w:t>202</w:t>
      </w:r>
      <w:r>
        <w:rPr>
          <w:rStyle w:val="Emphasis"/>
        </w:rPr>
        <w:t>2</w:t>
      </w:r>
      <w:r w:rsidRPr="009E4767">
        <w:rPr>
          <w:rStyle w:val="Emphasis"/>
        </w:rPr>
        <w:t xml:space="preserve"> @ 1:00 E</w:t>
      </w:r>
      <w:r>
        <w:rPr>
          <w:rStyle w:val="Emphasis"/>
        </w:rPr>
        <w:t>S</w:t>
      </w:r>
      <w:r w:rsidRPr="009E4767">
        <w:rPr>
          <w:rStyle w:val="Emphasis"/>
        </w:rPr>
        <w:t xml:space="preserve">T      </w:t>
      </w:r>
    </w:p>
    <w:p w14:paraId="332F6E38" w14:textId="77777777" w:rsidR="00732D9D" w:rsidRDefault="00732D9D" w:rsidP="00732D9D">
      <w:pPr>
        <w:rPr>
          <w:rStyle w:val="Emphasis"/>
        </w:rPr>
      </w:pPr>
    </w:p>
    <w:p w14:paraId="3DA43921" w14:textId="77777777" w:rsidR="00732D9D" w:rsidRDefault="00732D9D" w:rsidP="00732D9D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60307835" w14:textId="77777777" w:rsidR="00732D9D" w:rsidRDefault="00732D9D" w:rsidP="00732D9D">
      <w:pPr>
        <w:jc w:val="center"/>
        <w:rPr>
          <w:rStyle w:val="Emphasis"/>
        </w:rPr>
      </w:pPr>
    </w:p>
    <w:p w14:paraId="3E80858F" w14:textId="77777777" w:rsidR="00732D9D" w:rsidRDefault="00732D9D" w:rsidP="00732D9D">
      <w:pPr>
        <w:jc w:val="center"/>
        <w:rPr>
          <w:rStyle w:val="Emphasis"/>
        </w:rPr>
      </w:pPr>
    </w:p>
    <w:p w14:paraId="38E73473" w14:textId="77777777" w:rsidR="0033243D" w:rsidRDefault="0033243D"/>
    <w:sectPr w:rsidR="00332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1189"/>
    <w:multiLevelType w:val="hybridMultilevel"/>
    <w:tmpl w:val="6882D4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6524C7F"/>
    <w:multiLevelType w:val="hybridMultilevel"/>
    <w:tmpl w:val="87543916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9D"/>
    <w:rsid w:val="000E0D12"/>
    <w:rsid w:val="002772FC"/>
    <w:rsid w:val="002C31B1"/>
    <w:rsid w:val="0033243D"/>
    <w:rsid w:val="00671077"/>
    <w:rsid w:val="00732D9D"/>
    <w:rsid w:val="008518B0"/>
    <w:rsid w:val="00DE24BE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398"/>
  <w15:chartTrackingRefBased/>
  <w15:docId w15:val="{2027512B-C225-4725-9468-0F4935AF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32D9D"/>
    <w:rPr>
      <w:i/>
      <w:iCs/>
    </w:rPr>
  </w:style>
  <w:style w:type="paragraph" w:styleId="NoSpacing">
    <w:name w:val="No Spacing"/>
    <w:uiPriority w:val="1"/>
    <w:qFormat/>
    <w:rsid w:val="00732D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2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D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Spaymentresearchunit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/dcs/files/Expense-Tracking-Agencies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ldWelfarePlan@dcs.in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idget.McIntyre@dcs.in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ferral@dc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Bridget</dc:creator>
  <cp:keywords/>
  <dc:description/>
  <cp:lastModifiedBy>Richardson, Erin</cp:lastModifiedBy>
  <cp:revision>2</cp:revision>
  <dcterms:created xsi:type="dcterms:W3CDTF">2021-12-21T20:29:00Z</dcterms:created>
  <dcterms:modified xsi:type="dcterms:W3CDTF">2021-12-21T20:29:00Z</dcterms:modified>
</cp:coreProperties>
</file>