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ADB4B9" w14:textId="77777777" w:rsidR="0029568E" w:rsidRPr="00835C69" w:rsidRDefault="0029568E" w:rsidP="00AC5485">
      <w:pPr>
        <w:pStyle w:val="NoSpacing"/>
        <w:jc w:val="center"/>
        <w:rPr>
          <w:rStyle w:val="Emphasis"/>
          <w:b/>
        </w:rPr>
      </w:pPr>
      <w:r w:rsidRPr="00835C69">
        <w:rPr>
          <w:rStyle w:val="Emphasis"/>
          <w:b/>
        </w:rPr>
        <w:t>Family Preservation Services</w:t>
      </w:r>
    </w:p>
    <w:p w14:paraId="1FADB4BA" w14:textId="1F291B1D" w:rsidR="0029568E" w:rsidRPr="00835C69" w:rsidRDefault="00B246ED" w:rsidP="0029568E">
      <w:pPr>
        <w:pStyle w:val="NoSpacing"/>
        <w:jc w:val="center"/>
        <w:rPr>
          <w:rStyle w:val="Emphasis"/>
          <w:b/>
        </w:rPr>
      </w:pPr>
      <w:r>
        <w:rPr>
          <w:rStyle w:val="Emphasis"/>
          <w:b/>
        </w:rPr>
        <w:t xml:space="preserve">February </w:t>
      </w:r>
      <w:r w:rsidR="001432EA">
        <w:rPr>
          <w:rStyle w:val="Emphasis"/>
          <w:b/>
        </w:rPr>
        <w:t>26</w:t>
      </w:r>
      <w:r w:rsidR="0029568E" w:rsidRPr="00835C69">
        <w:rPr>
          <w:rStyle w:val="Emphasis"/>
          <w:b/>
        </w:rPr>
        <w:t>, 202</w:t>
      </w:r>
      <w:r>
        <w:rPr>
          <w:rStyle w:val="Emphasis"/>
          <w:b/>
        </w:rPr>
        <w:t>1</w:t>
      </w:r>
      <w:r w:rsidR="0029568E" w:rsidRPr="00835C69">
        <w:rPr>
          <w:rStyle w:val="Emphasis"/>
          <w:b/>
        </w:rPr>
        <w:t xml:space="preserve"> Provider Call</w:t>
      </w:r>
    </w:p>
    <w:p w14:paraId="1FADB4BB" w14:textId="77777777" w:rsidR="0029568E" w:rsidRDefault="0029568E" w:rsidP="0029568E">
      <w:pPr>
        <w:pStyle w:val="NoSpacing"/>
        <w:jc w:val="center"/>
        <w:rPr>
          <w:rStyle w:val="Emphasis"/>
          <w:b/>
        </w:rPr>
      </w:pPr>
      <w:r w:rsidRPr="00835C69">
        <w:rPr>
          <w:rStyle w:val="Emphasis"/>
          <w:b/>
        </w:rPr>
        <w:t>Agenda and Questions</w:t>
      </w:r>
    </w:p>
    <w:p w14:paraId="1FADB4BD" w14:textId="77777777" w:rsidR="00B2674A" w:rsidRPr="009D6AA9" w:rsidRDefault="00B2674A" w:rsidP="004D3C86">
      <w:pPr>
        <w:rPr>
          <w:rStyle w:val="Emphasis"/>
        </w:rPr>
      </w:pPr>
    </w:p>
    <w:p w14:paraId="70B500A7" w14:textId="3AF1742D" w:rsidR="00F50457" w:rsidRDefault="001432EA" w:rsidP="00AF3C1C">
      <w:pPr>
        <w:pStyle w:val="ListParagraph"/>
        <w:numPr>
          <w:ilvl w:val="0"/>
          <w:numId w:val="1"/>
        </w:numPr>
        <w:rPr>
          <w:rStyle w:val="Emphasis"/>
        </w:rPr>
      </w:pPr>
      <w:r>
        <w:rPr>
          <w:rStyle w:val="Emphasis"/>
        </w:rPr>
        <w:t>Recap of INFPS Roundtable</w:t>
      </w:r>
      <w:r w:rsidR="00BD625A">
        <w:rPr>
          <w:rStyle w:val="Emphasis"/>
        </w:rPr>
        <w:t xml:space="preserve">—Questions and responses are posted on the INFPS page (here: </w:t>
      </w:r>
      <w:hyperlink r:id="rId5" w:history="1">
        <w:r w:rsidR="00EF5B5A" w:rsidRPr="007A16DA">
          <w:rPr>
            <w:rStyle w:val="Hyperlink"/>
          </w:rPr>
          <w:t>https://www.in.gov/dcs/4102.htm</w:t>
        </w:r>
      </w:hyperlink>
      <w:r w:rsidR="00EF5B5A">
        <w:rPr>
          <w:rStyle w:val="Emphasis"/>
        </w:rPr>
        <w:t xml:space="preserve"> </w:t>
      </w:r>
      <w:r w:rsidR="002202AC">
        <w:rPr>
          <w:rStyle w:val="Emphasis"/>
        </w:rPr>
        <w:t>)</w:t>
      </w:r>
    </w:p>
    <w:p w14:paraId="723A7B82" w14:textId="1EA3E121" w:rsidR="000B41F6" w:rsidRPr="000B41F6" w:rsidRDefault="00EF6CED" w:rsidP="000B41F6">
      <w:pPr>
        <w:pStyle w:val="ListParagraph"/>
        <w:numPr>
          <w:ilvl w:val="0"/>
          <w:numId w:val="17"/>
        </w:numPr>
        <w:rPr>
          <w:rStyle w:val="Emphasis"/>
        </w:rPr>
      </w:pPr>
      <w:r>
        <w:rPr>
          <w:rStyle w:val="Emphasis"/>
          <w:i w:val="0"/>
        </w:rPr>
        <w:t>We will</w:t>
      </w:r>
      <w:r w:rsidR="00CF2265">
        <w:rPr>
          <w:rStyle w:val="Emphasis"/>
          <w:i w:val="0"/>
        </w:rPr>
        <w:t xml:space="preserve"> ensure that future panels better reflect the</w:t>
      </w:r>
      <w:r>
        <w:rPr>
          <w:rStyle w:val="Emphasis"/>
          <w:i w:val="0"/>
        </w:rPr>
        <w:t xml:space="preserve"> diversity</w:t>
      </w:r>
      <w:r w:rsidR="00CF2265">
        <w:rPr>
          <w:rStyle w:val="Emphasis"/>
          <w:i w:val="0"/>
        </w:rPr>
        <w:t xml:space="preserve"> of </w:t>
      </w:r>
      <w:proofErr w:type="spellStart"/>
      <w:r w:rsidR="00CF2265">
        <w:rPr>
          <w:rStyle w:val="Emphasis"/>
          <w:i w:val="0"/>
        </w:rPr>
        <w:t>our</w:t>
      </w:r>
      <w:proofErr w:type="spellEnd"/>
      <w:r w:rsidR="00CF2265">
        <w:rPr>
          <w:rStyle w:val="Emphasis"/>
          <w:i w:val="0"/>
        </w:rPr>
        <w:t xml:space="preserve"> providers, which we highly value.  We want these services to be an intentional step toward resolving the disproportionate representation of families and children of color being involved with the Department, and our panels need to reflect this commitment. We failed to demonstrate that during the 1/27 roundtable and will ensure that this mistake isn’t made again in future roundtables/trainings.</w:t>
      </w:r>
    </w:p>
    <w:p w14:paraId="6C405FE3" w14:textId="1C6E3C37" w:rsidR="000B41F6" w:rsidRDefault="000B41F6" w:rsidP="000B41F6">
      <w:pPr>
        <w:pStyle w:val="ListParagraph"/>
        <w:numPr>
          <w:ilvl w:val="0"/>
          <w:numId w:val="17"/>
        </w:numPr>
        <w:rPr>
          <w:rStyle w:val="Emphasis"/>
        </w:rPr>
      </w:pPr>
      <w:r>
        <w:rPr>
          <w:rStyle w:val="Emphasis"/>
          <w:i w:val="0"/>
        </w:rPr>
        <w:t>The entire roundtable</w:t>
      </w:r>
      <w:r w:rsidR="00CF2265">
        <w:rPr>
          <w:rStyle w:val="Emphasis"/>
          <w:i w:val="0"/>
        </w:rPr>
        <w:t xml:space="preserve"> should</w:t>
      </w:r>
      <w:r>
        <w:rPr>
          <w:rStyle w:val="Emphasis"/>
          <w:i w:val="0"/>
        </w:rPr>
        <w:t xml:space="preserve"> be posted soon</w:t>
      </w:r>
      <w:r w:rsidR="00CF2265">
        <w:rPr>
          <w:rStyle w:val="Emphasis"/>
          <w:i w:val="0"/>
        </w:rPr>
        <w:t xml:space="preserve"> on the INFPS page</w:t>
      </w:r>
      <w:r>
        <w:rPr>
          <w:rStyle w:val="Emphasis"/>
          <w:i w:val="0"/>
        </w:rPr>
        <w:t>.</w:t>
      </w:r>
    </w:p>
    <w:p w14:paraId="145A5884" w14:textId="77777777" w:rsidR="00397F4B" w:rsidRDefault="00397F4B" w:rsidP="00397F4B">
      <w:pPr>
        <w:pStyle w:val="ListParagraph"/>
        <w:ind w:left="1080"/>
        <w:rPr>
          <w:rStyle w:val="Emphasis"/>
        </w:rPr>
      </w:pPr>
    </w:p>
    <w:p w14:paraId="3FE6643F" w14:textId="50941F68" w:rsidR="00397F4B" w:rsidRPr="00F14C2C" w:rsidRDefault="00397F4B" w:rsidP="00AC5485">
      <w:pPr>
        <w:pStyle w:val="ListParagraph"/>
        <w:numPr>
          <w:ilvl w:val="0"/>
          <w:numId w:val="1"/>
        </w:numPr>
        <w:spacing w:before="100" w:beforeAutospacing="1" w:after="165"/>
        <w:rPr>
          <w:rFonts w:eastAsia="Times New Roman"/>
          <w:i/>
          <w:iCs/>
        </w:rPr>
      </w:pPr>
      <w:r w:rsidRPr="00F14C2C">
        <w:rPr>
          <w:rFonts w:eastAsia="Times New Roman"/>
          <w:i/>
          <w:iCs/>
        </w:rPr>
        <w:t xml:space="preserve">Dates of </w:t>
      </w:r>
      <w:r w:rsidR="003F6F52" w:rsidRPr="00F14C2C">
        <w:rPr>
          <w:rFonts w:eastAsia="Times New Roman"/>
          <w:i/>
          <w:iCs/>
        </w:rPr>
        <w:t xml:space="preserve">upcoming </w:t>
      </w:r>
      <w:r w:rsidRPr="00F14C2C">
        <w:rPr>
          <w:rFonts w:eastAsia="Times New Roman"/>
          <w:i/>
          <w:iCs/>
        </w:rPr>
        <w:t>INFPS Office Hours</w:t>
      </w:r>
      <w:r w:rsidR="00F14C2C" w:rsidRPr="00F14C2C">
        <w:rPr>
          <w:rFonts w:eastAsia="Times New Roman"/>
          <w:i/>
          <w:iCs/>
        </w:rPr>
        <w:t xml:space="preserve"> (info here: </w:t>
      </w:r>
      <w:hyperlink r:id="rId6" w:history="1">
        <w:r w:rsidR="00F14C2C" w:rsidRPr="00F14C2C">
          <w:rPr>
            <w:rStyle w:val="Hyperlink"/>
            <w:rFonts w:eastAsia="Times New Roman"/>
            <w:i/>
            <w:iCs/>
          </w:rPr>
          <w:t>https://www.in.gov/dcs/files/INFPS_Office_Hours_Guidelines_2021_02_01.pdf</w:t>
        </w:r>
      </w:hyperlink>
      <w:r w:rsidR="00F14C2C" w:rsidRPr="00F14C2C">
        <w:rPr>
          <w:rFonts w:eastAsia="Times New Roman"/>
          <w:i/>
          <w:iCs/>
        </w:rPr>
        <w:t xml:space="preserve"> </w:t>
      </w:r>
    </w:p>
    <w:p w14:paraId="227FE587" w14:textId="77777777" w:rsidR="00397F4B" w:rsidRPr="00397F4B" w:rsidRDefault="00397F4B" w:rsidP="00C427DE">
      <w:pPr>
        <w:pStyle w:val="NoSpacing"/>
        <w:ind w:left="360" w:firstLine="720"/>
        <w:rPr>
          <w:rFonts w:ascii="Segoe UI" w:hAnsi="Segoe UI" w:cs="Segoe UI"/>
          <w:sz w:val="21"/>
          <w:szCs w:val="21"/>
        </w:rPr>
      </w:pPr>
      <w:r w:rsidRPr="00397F4B">
        <w:t>March 3</w:t>
      </w:r>
      <w:r w:rsidRPr="00397F4B">
        <w:rPr>
          <w:vertAlign w:val="superscript"/>
        </w:rPr>
        <w:t>rd</w:t>
      </w:r>
      <w:r w:rsidRPr="00397F4B">
        <w:t xml:space="preserve"> 2pm Eastern: Aubrey Kearney</w:t>
      </w:r>
      <w:r w:rsidRPr="00397F4B">
        <w:rPr>
          <w:rFonts w:ascii="Segoe UI" w:hAnsi="Segoe UI" w:cs="Segoe UI"/>
          <w:sz w:val="21"/>
          <w:szCs w:val="21"/>
        </w:rPr>
        <w:t xml:space="preserve"> </w:t>
      </w:r>
    </w:p>
    <w:p w14:paraId="1F9529F0" w14:textId="77777777" w:rsidR="00397F4B" w:rsidRPr="00397F4B" w:rsidRDefault="00397F4B" w:rsidP="00C427DE">
      <w:pPr>
        <w:pStyle w:val="NoSpacing"/>
        <w:ind w:left="360" w:firstLine="720"/>
        <w:rPr>
          <w:rFonts w:ascii="Segoe UI" w:hAnsi="Segoe UI" w:cs="Segoe UI"/>
          <w:sz w:val="21"/>
          <w:szCs w:val="21"/>
        </w:rPr>
      </w:pPr>
      <w:r w:rsidRPr="00397F4B">
        <w:t>March 17</w:t>
      </w:r>
      <w:r w:rsidRPr="00397F4B">
        <w:rPr>
          <w:vertAlign w:val="superscript"/>
        </w:rPr>
        <w:t>th</w:t>
      </w:r>
      <w:r w:rsidRPr="00397F4B">
        <w:t xml:space="preserve"> 2pm Eastern: Elisabeth Wilson </w:t>
      </w:r>
    </w:p>
    <w:p w14:paraId="38769103" w14:textId="77777777" w:rsidR="00397F4B" w:rsidRPr="00397F4B" w:rsidRDefault="00397F4B" w:rsidP="00C427DE">
      <w:pPr>
        <w:pStyle w:val="NoSpacing"/>
        <w:ind w:left="360" w:firstLine="720"/>
        <w:rPr>
          <w:rFonts w:ascii="Segoe UI" w:hAnsi="Segoe UI" w:cs="Segoe UI"/>
          <w:sz w:val="21"/>
          <w:szCs w:val="21"/>
        </w:rPr>
      </w:pPr>
      <w:r w:rsidRPr="00397F4B">
        <w:t>March 31</w:t>
      </w:r>
      <w:r w:rsidRPr="00397F4B">
        <w:rPr>
          <w:vertAlign w:val="superscript"/>
        </w:rPr>
        <w:t xml:space="preserve">st </w:t>
      </w:r>
      <w:r w:rsidRPr="00397F4B">
        <w:t>2pm Eastern: Brian Goodwin</w:t>
      </w:r>
      <w:r w:rsidRPr="00397F4B">
        <w:rPr>
          <w:rFonts w:ascii="Segoe UI" w:hAnsi="Segoe UI" w:cs="Segoe UI"/>
          <w:sz w:val="21"/>
          <w:szCs w:val="21"/>
        </w:rPr>
        <w:t xml:space="preserve"> </w:t>
      </w:r>
    </w:p>
    <w:p w14:paraId="37A5FC1A" w14:textId="77777777" w:rsidR="00397F4B" w:rsidRPr="00397F4B" w:rsidRDefault="00397F4B" w:rsidP="00C427DE">
      <w:pPr>
        <w:pStyle w:val="NoSpacing"/>
        <w:ind w:left="360" w:firstLine="720"/>
        <w:rPr>
          <w:rFonts w:ascii="Segoe UI" w:hAnsi="Segoe UI" w:cs="Segoe UI"/>
          <w:sz w:val="21"/>
          <w:szCs w:val="21"/>
        </w:rPr>
      </w:pPr>
      <w:r w:rsidRPr="00397F4B">
        <w:t>April 14</w:t>
      </w:r>
      <w:r w:rsidRPr="00397F4B">
        <w:rPr>
          <w:vertAlign w:val="superscript"/>
        </w:rPr>
        <w:t>th</w:t>
      </w:r>
      <w:r w:rsidRPr="00397F4B">
        <w:t xml:space="preserve"> 2pm Eastern: Aubrey Kearney</w:t>
      </w:r>
      <w:r w:rsidRPr="00397F4B">
        <w:rPr>
          <w:rFonts w:ascii="Segoe UI" w:hAnsi="Segoe UI" w:cs="Segoe UI"/>
          <w:sz w:val="21"/>
          <w:szCs w:val="21"/>
        </w:rPr>
        <w:t xml:space="preserve"> </w:t>
      </w:r>
    </w:p>
    <w:p w14:paraId="75C54D61" w14:textId="77777777" w:rsidR="00397F4B" w:rsidRPr="00397F4B" w:rsidRDefault="00397F4B" w:rsidP="00C427DE">
      <w:pPr>
        <w:pStyle w:val="NoSpacing"/>
        <w:ind w:left="360" w:firstLine="720"/>
        <w:rPr>
          <w:rFonts w:ascii="Segoe UI" w:hAnsi="Segoe UI" w:cs="Segoe UI"/>
          <w:sz w:val="21"/>
          <w:szCs w:val="21"/>
        </w:rPr>
      </w:pPr>
      <w:r w:rsidRPr="00397F4B">
        <w:t>April 28</w:t>
      </w:r>
      <w:r w:rsidRPr="00397F4B">
        <w:rPr>
          <w:vertAlign w:val="superscript"/>
        </w:rPr>
        <w:t>th</w:t>
      </w:r>
      <w:r w:rsidRPr="00397F4B">
        <w:t xml:space="preserve"> 2pm Eastern: Elisabeth Wilson </w:t>
      </w:r>
    </w:p>
    <w:p w14:paraId="2D367D92" w14:textId="77777777" w:rsidR="00397F4B" w:rsidRPr="00397F4B" w:rsidRDefault="00397F4B" w:rsidP="00C427DE">
      <w:pPr>
        <w:pStyle w:val="NoSpacing"/>
        <w:ind w:left="360" w:firstLine="720"/>
        <w:rPr>
          <w:rFonts w:ascii="Segoe UI" w:hAnsi="Segoe UI" w:cs="Segoe UI"/>
          <w:sz w:val="21"/>
          <w:szCs w:val="21"/>
        </w:rPr>
      </w:pPr>
      <w:r w:rsidRPr="00397F4B">
        <w:t>May 12</w:t>
      </w:r>
      <w:r w:rsidRPr="00397F4B">
        <w:rPr>
          <w:vertAlign w:val="superscript"/>
        </w:rPr>
        <w:t>th</w:t>
      </w:r>
      <w:r w:rsidRPr="00397F4B">
        <w:t xml:space="preserve"> 2pm Eastern: Brian Goodwin</w:t>
      </w:r>
      <w:r w:rsidRPr="00397F4B">
        <w:rPr>
          <w:rFonts w:ascii="Segoe UI" w:hAnsi="Segoe UI" w:cs="Segoe UI"/>
          <w:sz w:val="21"/>
          <w:szCs w:val="21"/>
        </w:rPr>
        <w:t xml:space="preserve"> </w:t>
      </w:r>
    </w:p>
    <w:p w14:paraId="1E7C2348" w14:textId="77777777" w:rsidR="00397F4B" w:rsidRPr="00397F4B" w:rsidRDefault="00397F4B" w:rsidP="00C427DE">
      <w:pPr>
        <w:pStyle w:val="NoSpacing"/>
        <w:ind w:left="360" w:firstLine="720"/>
        <w:rPr>
          <w:rFonts w:ascii="Segoe UI" w:hAnsi="Segoe UI" w:cs="Segoe UI"/>
          <w:sz w:val="21"/>
          <w:szCs w:val="21"/>
        </w:rPr>
      </w:pPr>
      <w:r w:rsidRPr="00397F4B">
        <w:t>May 26</w:t>
      </w:r>
      <w:r w:rsidRPr="00397F4B">
        <w:rPr>
          <w:vertAlign w:val="superscript"/>
        </w:rPr>
        <w:t>th</w:t>
      </w:r>
      <w:r w:rsidRPr="00397F4B">
        <w:t xml:space="preserve"> 2pm Eastern: Aubrey Kearney</w:t>
      </w:r>
      <w:r w:rsidRPr="00397F4B">
        <w:rPr>
          <w:rFonts w:ascii="Segoe UI" w:hAnsi="Segoe UI" w:cs="Segoe UI"/>
          <w:sz w:val="21"/>
          <w:szCs w:val="21"/>
        </w:rPr>
        <w:t xml:space="preserve"> </w:t>
      </w:r>
    </w:p>
    <w:p w14:paraId="5E9896A3" w14:textId="26858872" w:rsidR="00BD625A" w:rsidRDefault="00397F4B" w:rsidP="00C427DE">
      <w:pPr>
        <w:pStyle w:val="NoSpacing"/>
        <w:ind w:left="360" w:firstLine="720"/>
      </w:pPr>
      <w:r w:rsidRPr="00397F4B">
        <w:t>June 9</w:t>
      </w:r>
      <w:r w:rsidRPr="00397F4B">
        <w:rPr>
          <w:vertAlign w:val="superscript"/>
        </w:rPr>
        <w:t>th</w:t>
      </w:r>
      <w:r w:rsidRPr="00397F4B">
        <w:t xml:space="preserve"> 2pm Eastern: Elisabeth Wilson</w:t>
      </w:r>
    </w:p>
    <w:p w14:paraId="7E2D8337" w14:textId="77777777" w:rsidR="000B41F6" w:rsidRDefault="000B41F6" w:rsidP="00C427DE">
      <w:pPr>
        <w:pStyle w:val="NoSpacing"/>
        <w:ind w:left="360" w:firstLine="720"/>
      </w:pPr>
    </w:p>
    <w:p w14:paraId="330FCA78" w14:textId="03F5298D" w:rsidR="000B41F6" w:rsidRDefault="000B41F6" w:rsidP="000B41F6">
      <w:pPr>
        <w:pStyle w:val="NoSpacing"/>
        <w:numPr>
          <w:ilvl w:val="0"/>
          <w:numId w:val="18"/>
        </w:numPr>
      </w:pPr>
      <w:r>
        <w:t xml:space="preserve">As you have questions regarding the evaluation please utilize the above schedules for further conversation. </w:t>
      </w:r>
    </w:p>
    <w:p w14:paraId="569456A1" w14:textId="5F09976E" w:rsidR="000B41F6" w:rsidRDefault="000B41F6" w:rsidP="000B41F6">
      <w:pPr>
        <w:pStyle w:val="NoSpacing"/>
        <w:numPr>
          <w:ilvl w:val="0"/>
          <w:numId w:val="18"/>
        </w:numPr>
      </w:pPr>
      <w:r>
        <w:t>Open for anyone to come in and answer any questions you may have.</w:t>
      </w:r>
    </w:p>
    <w:p w14:paraId="0E033DD7" w14:textId="1BFE2883" w:rsidR="000B41F6" w:rsidRDefault="000B41F6" w:rsidP="000B41F6">
      <w:pPr>
        <w:pStyle w:val="NoSpacing"/>
        <w:numPr>
          <w:ilvl w:val="0"/>
          <w:numId w:val="18"/>
        </w:numPr>
      </w:pPr>
      <w:r>
        <w:t xml:space="preserve">We are starting to look at the survey, this will be a critical component of the evaluation. We want to make sure the models are being used to fidelity. </w:t>
      </w:r>
    </w:p>
    <w:p w14:paraId="13040345" w14:textId="343970DA" w:rsidR="000B41F6" w:rsidRDefault="000B41F6" w:rsidP="000B41F6">
      <w:pPr>
        <w:pStyle w:val="NoSpacing"/>
        <w:numPr>
          <w:ilvl w:val="0"/>
          <w:numId w:val="18"/>
        </w:numPr>
      </w:pPr>
      <w:r>
        <w:t xml:space="preserve">We have been able to match 193 out of 360 referrals in January, </w:t>
      </w:r>
      <w:proofErr w:type="gramStart"/>
      <w:r>
        <w:t>Even</w:t>
      </w:r>
      <w:proofErr w:type="gramEnd"/>
      <w:r>
        <w:t xml:space="preserve"> if you didn’t make the deadline we would still like that information. This is designed for all referrals starting 1/1/2021. Please make sure to use accurate information such as referral ID/Date/names. We are also tracking timely responses. </w:t>
      </w:r>
      <w:r w:rsidR="00CF2265">
        <w:t>A</w:t>
      </w:r>
      <w:r>
        <w:t xml:space="preserve">bout 60 % </w:t>
      </w:r>
      <w:r w:rsidR="00CF2265">
        <w:t xml:space="preserve">of cases demonstrated </w:t>
      </w:r>
      <w:r>
        <w:t>timely contact</w:t>
      </w:r>
      <w:r w:rsidR="00CF2265">
        <w:t xml:space="preserve"> (within 3 days of receipt of referral)</w:t>
      </w:r>
      <w:r>
        <w:t xml:space="preserve">. We are seeing good fidelity to the models. </w:t>
      </w:r>
    </w:p>
    <w:p w14:paraId="4E1895F1" w14:textId="1EF98518" w:rsidR="00205B54" w:rsidRDefault="00205B54" w:rsidP="000B41F6">
      <w:pPr>
        <w:pStyle w:val="NoSpacing"/>
        <w:numPr>
          <w:ilvl w:val="0"/>
          <w:numId w:val="18"/>
        </w:numPr>
      </w:pPr>
      <w:r w:rsidRPr="00205B54">
        <w:t>California Evidence-Based Clearinghouse for Child Welfare: </w:t>
      </w:r>
      <w:hyperlink r:id="rId7" w:tgtFrame="_blank" w:tooltip="https://www.cebc4cw.org/" w:history="1">
        <w:r w:rsidRPr="00205B54">
          <w:t>https://www.cebc4cw.org/</w:t>
        </w:r>
      </w:hyperlink>
    </w:p>
    <w:p w14:paraId="1D3D99A1" w14:textId="0E7089F6" w:rsidR="00EF6CED" w:rsidRDefault="00EF6CED" w:rsidP="008D42C7">
      <w:pPr>
        <w:pStyle w:val="NoSpacing"/>
        <w:numPr>
          <w:ilvl w:val="0"/>
          <w:numId w:val="18"/>
        </w:numPr>
      </w:pPr>
      <w:r>
        <w:t>CBT: there are different versions of CBT on the Clearinghouse. This must be at least a promising practice. Be more specific about the type of CBT you are delivering</w:t>
      </w:r>
      <w:r w:rsidR="00CF2265">
        <w:t xml:space="preserve"> as just “CBT” isn’t a model on the CEBC</w:t>
      </w:r>
    </w:p>
    <w:p w14:paraId="41F6B4C5" w14:textId="369200B1" w:rsidR="000B41F6" w:rsidRDefault="00EF6CED" w:rsidP="000B41F6">
      <w:pPr>
        <w:pStyle w:val="NoSpacing"/>
        <w:numPr>
          <w:ilvl w:val="0"/>
          <w:numId w:val="18"/>
        </w:numPr>
      </w:pPr>
      <w:r>
        <w:t xml:space="preserve">Q: </w:t>
      </w:r>
      <w:r w:rsidR="000B41F6">
        <w:t xml:space="preserve">Will you or someone from the team reach out to the providers if there is a confusion about the missed referrals/information that you’re addressing? </w:t>
      </w:r>
    </w:p>
    <w:p w14:paraId="6573B16C" w14:textId="2E7B6551" w:rsidR="00205B54" w:rsidRDefault="00205B54" w:rsidP="00205B54">
      <w:pPr>
        <w:pStyle w:val="NoSpacing"/>
        <w:ind w:left="1800"/>
      </w:pPr>
      <w:r>
        <w:lastRenderedPageBreak/>
        <w:t xml:space="preserve">A: Right now, no known plan – if there is confusion please reach out to us. We can track which surveys are missing. </w:t>
      </w:r>
    </w:p>
    <w:p w14:paraId="1667F72B" w14:textId="1A315E0B" w:rsidR="000B41F6" w:rsidRDefault="00EF6CED" w:rsidP="000B41F6">
      <w:pPr>
        <w:pStyle w:val="NoSpacing"/>
        <w:numPr>
          <w:ilvl w:val="0"/>
          <w:numId w:val="18"/>
        </w:numPr>
      </w:pPr>
      <w:r>
        <w:t xml:space="preserve">Q: </w:t>
      </w:r>
      <w:r w:rsidR="000B41F6">
        <w:t xml:space="preserve">Do we need to complete the survey for a new referral made for a family who was already in FP (prior to Jan). The new referral was just to update due to new adults in the home. </w:t>
      </w:r>
    </w:p>
    <w:p w14:paraId="0A7EC3B0" w14:textId="15BE54C3" w:rsidR="00205B54" w:rsidRDefault="00205B54" w:rsidP="00205B54">
      <w:pPr>
        <w:pStyle w:val="NoSpacing"/>
        <w:ind w:left="1800"/>
      </w:pPr>
      <w:r>
        <w:t xml:space="preserve">A: If it is a new referral, yes, please enter the information in. Any new referral beginning after 1/1/2021 please track the models and contacts. This does not apply before 1/1/2021. If the services have already been started, this is specifically for NEW referrals. </w:t>
      </w:r>
    </w:p>
    <w:p w14:paraId="16ABC509" w14:textId="72F19A5E" w:rsidR="00205B54" w:rsidRDefault="00EF6CED" w:rsidP="000B41F6">
      <w:pPr>
        <w:pStyle w:val="NoSpacing"/>
        <w:numPr>
          <w:ilvl w:val="0"/>
          <w:numId w:val="18"/>
        </w:numPr>
      </w:pPr>
      <w:r>
        <w:t xml:space="preserve">Q: </w:t>
      </w:r>
      <w:r w:rsidR="00205B54">
        <w:t>Will we receive receipts for the surveys?</w:t>
      </w:r>
    </w:p>
    <w:p w14:paraId="4EEA9CCE" w14:textId="096533BE" w:rsidR="00205B54" w:rsidRDefault="00205B54" w:rsidP="00205B54">
      <w:pPr>
        <w:pStyle w:val="NoSpacing"/>
        <w:ind w:left="1800"/>
      </w:pPr>
      <w:r>
        <w:t xml:space="preserve">A: Yes, you will, the flow is being worked on now. Should receive the receipts in 1 to 2 weeks. </w:t>
      </w:r>
    </w:p>
    <w:p w14:paraId="419C6009" w14:textId="0E6968E1" w:rsidR="00205B54" w:rsidRDefault="00EF6CED" w:rsidP="00205B54">
      <w:pPr>
        <w:pStyle w:val="NoSpacing"/>
        <w:numPr>
          <w:ilvl w:val="0"/>
          <w:numId w:val="18"/>
        </w:numPr>
      </w:pPr>
      <w:r>
        <w:t xml:space="preserve">Q: </w:t>
      </w:r>
      <w:r w:rsidR="00205B54">
        <w:t>For this past month we did surveys on all active FP cases. Do we need to do anything to rectify this?</w:t>
      </w:r>
      <w:r w:rsidR="00205B54">
        <w:br/>
        <w:t xml:space="preserve">A: If that’s something you did, that’s fine, you didn’t do anything wrong. </w:t>
      </w:r>
    </w:p>
    <w:p w14:paraId="044EBD75" w14:textId="639219E1" w:rsidR="00205B54" w:rsidRDefault="00EF6CED" w:rsidP="00205B54">
      <w:pPr>
        <w:pStyle w:val="NoSpacing"/>
        <w:numPr>
          <w:ilvl w:val="0"/>
          <w:numId w:val="18"/>
        </w:numPr>
      </w:pPr>
      <w:r>
        <w:t xml:space="preserve">Q: </w:t>
      </w:r>
      <w:r w:rsidR="00205B54">
        <w:t>Father’s Engagement is not listed on the California Evidence-Based Clearing House, is this not an acceptable service to provide for Family Preservation?</w:t>
      </w:r>
    </w:p>
    <w:p w14:paraId="293FF699" w14:textId="09CFCCAF" w:rsidR="006834E0" w:rsidRDefault="006834E0" w:rsidP="006834E0">
      <w:pPr>
        <w:pStyle w:val="NoSpacing"/>
        <w:ind w:left="1800"/>
      </w:pPr>
      <w:r>
        <w:t xml:space="preserve">A: This is not an evidence based practice, it is a service standard. You can utilize EBP’s within that standard. In case you don’t see a program listed on the survey, if you use something not listed please provide a link to the Clearinghouse for that EBP. We have broadened the definition of concrete supports, this does not need to be listed in the survey, </w:t>
      </w:r>
      <w:r w:rsidR="00EF6CED">
        <w:t>it’s</w:t>
      </w:r>
      <w:r>
        <w:t xml:space="preserve"> separate and apart from the EBP you are using. </w:t>
      </w:r>
    </w:p>
    <w:p w14:paraId="3F00E81C" w14:textId="12ED14D6" w:rsidR="006834E0" w:rsidRDefault="00EF6CED" w:rsidP="006834E0">
      <w:pPr>
        <w:pStyle w:val="NoSpacing"/>
        <w:numPr>
          <w:ilvl w:val="0"/>
          <w:numId w:val="18"/>
        </w:numPr>
      </w:pPr>
      <w:r>
        <w:t xml:space="preserve">Q: </w:t>
      </w:r>
      <w:r w:rsidR="006834E0" w:rsidRPr="006834E0">
        <w:t>Can we discuss expectations for providing services for children not listed on the referral? For example</w:t>
      </w:r>
      <w:r>
        <w:t>,</w:t>
      </w:r>
      <w:r w:rsidR="006834E0" w:rsidRPr="006834E0">
        <w:t xml:space="preserve"> some are requesting transportation for children to and from daycare and to a babysitter Monday-Friday for children who aren't even referred. Is that something we would do? </w:t>
      </w:r>
    </w:p>
    <w:p w14:paraId="1A92E820" w14:textId="0F1E7310" w:rsidR="006834E0" w:rsidRDefault="006834E0" w:rsidP="006834E0">
      <w:pPr>
        <w:pStyle w:val="NoSpacing"/>
        <w:ind w:left="1800"/>
      </w:pPr>
      <w:r>
        <w:t xml:space="preserve">A: This should be discussed with the Child and Family Team. </w:t>
      </w:r>
    </w:p>
    <w:p w14:paraId="1E30D640" w14:textId="0E4049F7" w:rsidR="006834E0" w:rsidRDefault="00EF6CED" w:rsidP="006834E0">
      <w:pPr>
        <w:pStyle w:val="NoSpacing"/>
        <w:numPr>
          <w:ilvl w:val="0"/>
          <w:numId w:val="18"/>
        </w:numPr>
      </w:pPr>
      <w:r>
        <w:t xml:space="preserve">Q: </w:t>
      </w:r>
      <w:r w:rsidR="006834E0" w:rsidRPr="006834E0">
        <w:t xml:space="preserve">For February do we complete surveys for both </w:t>
      </w:r>
      <w:r w:rsidR="00CF2265">
        <w:t>case</w:t>
      </w:r>
      <w:r w:rsidR="006834E0" w:rsidRPr="006834E0">
        <w:t>s referred in January and February or just those referred in February?</w:t>
      </w:r>
    </w:p>
    <w:p w14:paraId="30A4F05E" w14:textId="45802BC4" w:rsidR="006834E0" w:rsidRDefault="006834E0" w:rsidP="006834E0">
      <w:pPr>
        <w:pStyle w:val="NoSpacing"/>
        <w:ind w:left="1800"/>
      </w:pPr>
      <w:r>
        <w:t xml:space="preserve">A: </w:t>
      </w:r>
      <w:r w:rsidRPr="006834E0">
        <w:t>Yes,</w:t>
      </w:r>
      <w:r w:rsidR="00CF2265">
        <w:t xml:space="preserve"> both. We</w:t>
      </w:r>
      <w:r w:rsidRPr="006834E0">
        <w:t xml:space="preserve"> want to track model fidelity during the life of the referral</w:t>
      </w:r>
      <w:r w:rsidR="00CF2265">
        <w:t xml:space="preserve"> for all cases with referrals in January, February, and </w:t>
      </w:r>
      <w:proofErr w:type="gramStart"/>
      <w:r w:rsidR="00CF2265">
        <w:t>March,</w:t>
      </w:r>
      <w:proofErr w:type="gramEnd"/>
      <w:r w:rsidR="00CF2265">
        <w:t xml:space="preserve"> 2021</w:t>
      </w:r>
      <w:r w:rsidRPr="006834E0">
        <w:t>.</w:t>
      </w:r>
    </w:p>
    <w:p w14:paraId="381D4565" w14:textId="40DF7050" w:rsidR="006834E0" w:rsidRPr="006834E0" w:rsidRDefault="00EF6CED" w:rsidP="006834E0">
      <w:pPr>
        <w:pStyle w:val="NoSpacing"/>
        <w:numPr>
          <w:ilvl w:val="0"/>
          <w:numId w:val="18"/>
        </w:numPr>
      </w:pPr>
      <w:r>
        <w:t xml:space="preserve">Q: </w:t>
      </w:r>
      <w:r w:rsidR="006834E0" w:rsidRPr="006834E0">
        <w:t>We are getting referrals for educational neglect (i.e.  children who are not logging on for e-learning).  What are expectations for EBP.  We have been doing some parenting education.  Mainly problem is parenting being unable to navigate the e-learning system.</w:t>
      </w:r>
    </w:p>
    <w:p w14:paraId="2011A250" w14:textId="5F8CA510" w:rsidR="006834E0" w:rsidRPr="006834E0" w:rsidRDefault="006834E0" w:rsidP="00EF6CED">
      <w:pPr>
        <w:pStyle w:val="NoSpacing"/>
        <w:ind w:left="1800"/>
      </w:pPr>
      <w:r w:rsidRPr="006834E0">
        <w:t xml:space="preserve">A: This sounds very case specific. Please work with your Regional Service Coordinator and Child and Family Team. </w:t>
      </w:r>
    </w:p>
    <w:p w14:paraId="73F013E2" w14:textId="56E492D0" w:rsidR="006834E0" w:rsidRPr="006834E0" w:rsidRDefault="00EF6CED" w:rsidP="006834E0">
      <w:pPr>
        <w:pStyle w:val="NoSpacing"/>
        <w:numPr>
          <w:ilvl w:val="0"/>
          <w:numId w:val="18"/>
        </w:numPr>
      </w:pPr>
      <w:r>
        <w:t xml:space="preserve">Q: </w:t>
      </w:r>
      <w:r w:rsidR="006834E0" w:rsidRPr="006834E0">
        <w:t>We have a family that was recently identified as a CHINS 6 before any treatment plan was completed. The child will be placed in residential this week. How should we complete the survey and identify the EBP?</w:t>
      </w:r>
    </w:p>
    <w:p w14:paraId="63563EF4" w14:textId="3BBD313A" w:rsidR="006834E0" w:rsidRPr="006834E0" w:rsidRDefault="006834E0" w:rsidP="00EF6CED">
      <w:pPr>
        <w:pStyle w:val="NoSpacing"/>
        <w:ind w:left="1800"/>
      </w:pPr>
      <w:r w:rsidRPr="006834E0">
        <w:t xml:space="preserve">A: These are services that are designed to keep kids safely together with their families. This is not a prevention of a CHINS 6.  Please send this case information so that we can review it to see if it meets the evaluation parameters. </w:t>
      </w:r>
    </w:p>
    <w:p w14:paraId="3F7662E8" w14:textId="19E12908" w:rsidR="006834E0" w:rsidRDefault="00EF6CED" w:rsidP="006834E0">
      <w:pPr>
        <w:pStyle w:val="NoSpacing"/>
        <w:numPr>
          <w:ilvl w:val="0"/>
          <w:numId w:val="18"/>
        </w:numPr>
      </w:pPr>
      <w:r>
        <w:lastRenderedPageBreak/>
        <w:t xml:space="preserve">Q: </w:t>
      </w:r>
      <w:r w:rsidR="006834E0">
        <w:t xml:space="preserve">So to be clear we fill out every month for the same family (considering they were referred in Jan 2021)? </w:t>
      </w:r>
    </w:p>
    <w:p w14:paraId="31A53406" w14:textId="29C9A286" w:rsidR="006834E0" w:rsidRDefault="006834E0" w:rsidP="006834E0">
      <w:pPr>
        <w:pStyle w:val="NoSpacing"/>
        <w:ind w:left="1800"/>
      </w:pPr>
      <w:r>
        <w:t>A: Yes that is correct.</w:t>
      </w:r>
    </w:p>
    <w:p w14:paraId="376CA813" w14:textId="6DEFC7DC" w:rsidR="006834E0" w:rsidRPr="006834E0" w:rsidRDefault="00EF6CED" w:rsidP="006834E0">
      <w:pPr>
        <w:pStyle w:val="NoSpacing"/>
        <w:numPr>
          <w:ilvl w:val="0"/>
          <w:numId w:val="18"/>
        </w:numPr>
      </w:pPr>
      <w:r>
        <w:t xml:space="preserve">Q: </w:t>
      </w:r>
      <w:r w:rsidR="006834E0" w:rsidRPr="006834E0">
        <w:t>If there is a caseworker and a therapist using EBPs with the family, do both workers complete the survey?</w:t>
      </w:r>
    </w:p>
    <w:p w14:paraId="48EB4E40" w14:textId="56D2C03B" w:rsidR="006834E0" w:rsidRPr="006834E0" w:rsidRDefault="006834E0" w:rsidP="006834E0">
      <w:pPr>
        <w:pStyle w:val="NoSpacing"/>
        <w:ind w:left="1800"/>
      </w:pPr>
      <w:r w:rsidRPr="006834E0">
        <w:t xml:space="preserve">A: If there is coordination between these workers, we would only need one survey entry. </w:t>
      </w:r>
      <w:r w:rsidR="00A33C75">
        <w:t>Make sure that you are reflecting that the model is being done to fidelity.</w:t>
      </w:r>
    </w:p>
    <w:p w14:paraId="1CFCA69F" w14:textId="22D3265B" w:rsidR="006834E0" w:rsidRDefault="00EF6CED" w:rsidP="006834E0">
      <w:pPr>
        <w:pStyle w:val="NoSpacing"/>
        <w:numPr>
          <w:ilvl w:val="0"/>
          <w:numId w:val="18"/>
        </w:numPr>
      </w:pPr>
      <w:r>
        <w:t xml:space="preserve">Q: </w:t>
      </w:r>
      <w:r w:rsidR="006834E0" w:rsidRPr="006834E0">
        <w:t>I am guessing that if a case has closed since January, that we would just no longer do a survey for that case. Is that correct?</w:t>
      </w:r>
    </w:p>
    <w:p w14:paraId="5FECA740" w14:textId="77777777" w:rsidR="00EF6CED" w:rsidRDefault="006834E0" w:rsidP="00EF6CED">
      <w:pPr>
        <w:pStyle w:val="NoSpacing"/>
        <w:ind w:left="1800"/>
      </w:pPr>
      <w:r>
        <w:t xml:space="preserve">A: </w:t>
      </w:r>
      <w:r w:rsidRPr="006834E0">
        <w:t>If the January referral/case closed since the end of January, but a model was utilized at some point in February, we would like to track that information. However, for that specific referral/case, March 12 would be the final time you would submit a survey for that family </w:t>
      </w:r>
    </w:p>
    <w:p w14:paraId="44B228E0" w14:textId="1205AD59" w:rsidR="006834E0" w:rsidRDefault="00EF6CED" w:rsidP="00EF6CED">
      <w:pPr>
        <w:pStyle w:val="NoSpacing"/>
        <w:numPr>
          <w:ilvl w:val="0"/>
          <w:numId w:val="18"/>
        </w:numPr>
      </w:pPr>
      <w:r>
        <w:t xml:space="preserve">Q: </w:t>
      </w:r>
      <w:r w:rsidR="006834E0" w:rsidRPr="006834E0">
        <w:t>I recall that you have stated that providers can use additional EBPs to the one chosen on the initial contract. Are providers able to change the preferred EBP altogether if we think a different EBP is more appropriate as long it's still on the CCH?</w:t>
      </w:r>
    </w:p>
    <w:p w14:paraId="6E258773" w14:textId="266DFA6D" w:rsidR="00A33C75" w:rsidRDefault="00A33C75" w:rsidP="00A33C75">
      <w:pPr>
        <w:pStyle w:val="NoSpacing"/>
        <w:ind w:left="1800"/>
      </w:pPr>
      <w:r>
        <w:t>A: Please list every EBP you are using with the family. Family Preservation does give the provider the flexibility to change to meet the family’s needs. Remember the survey is per child. List each of the EBP’s that the child is involved in.</w:t>
      </w:r>
    </w:p>
    <w:p w14:paraId="481345EA" w14:textId="7ED7F77C" w:rsidR="00A33C75" w:rsidRDefault="00EF6CED" w:rsidP="00A33C75">
      <w:pPr>
        <w:pStyle w:val="NoSpacing"/>
        <w:numPr>
          <w:ilvl w:val="0"/>
          <w:numId w:val="18"/>
        </w:numPr>
      </w:pPr>
      <w:r>
        <w:t xml:space="preserve">Q: </w:t>
      </w:r>
      <w:r w:rsidR="00A33C75" w:rsidRPr="00A33C75">
        <w:t>We have been instructed by certain counties that if we are unable to provide therapy at this time, we should not reject the referral, rather we should accept it and then find an outside therapist for this family. This seems like it is in opposition with the plan that FP will decrease the number of agencies working with a family. Can you please provide some insight?</w:t>
      </w:r>
    </w:p>
    <w:p w14:paraId="52B15353" w14:textId="56597C27" w:rsidR="00874F20" w:rsidRDefault="00A33C75" w:rsidP="00A33C75">
      <w:pPr>
        <w:pStyle w:val="NoSpacing"/>
        <w:ind w:left="1800"/>
      </w:pPr>
      <w:r>
        <w:t xml:space="preserve">A: That is not the guidance that </w:t>
      </w:r>
      <w:r w:rsidR="00A57096">
        <w:t xml:space="preserve">they </w:t>
      </w:r>
      <w:r>
        <w:t xml:space="preserve">should be providing.  We want providers to accept referrals that they are reasonably confident that they are able to serve. If you are unable to meet the family’s needs then you should reject the referral or discuss the situation with the DCS worker. </w:t>
      </w:r>
      <w:r w:rsidR="00A57096">
        <w:t>For help with this, please contact your Regional Services Coordinator.</w:t>
      </w:r>
    </w:p>
    <w:p w14:paraId="77D66C6B" w14:textId="3E3E4D2D" w:rsidR="00874F20" w:rsidRPr="006834E0" w:rsidRDefault="00A57096" w:rsidP="00874F20">
      <w:pPr>
        <w:pStyle w:val="NoSpacing"/>
        <w:numPr>
          <w:ilvl w:val="0"/>
          <w:numId w:val="18"/>
        </w:numPr>
      </w:pPr>
      <w:hyperlink r:id="rId8" w:tgtFrame="_blank" w:tooltip="mailto:dcsresearchofficehours@dcs.in.gov" w:history="1">
        <w:r w:rsidR="00874F20" w:rsidRPr="00874F20">
          <w:t>DCSResearchOfficeHours@dcs.IN.gov</w:t>
        </w:r>
      </w:hyperlink>
      <w:r w:rsidR="00874F20" w:rsidRPr="00874F20">
        <w:t> </w:t>
      </w:r>
      <w:r w:rsidR="00EF6CED">
        <w:t xml:space="preserve">- </w:t>
      </w:r>
      <w:r w:rsidR="00874F20" w:rsidRPr="00874F20">
        <w:t>Any evaluation/office hour questions can be sent to the above email. We are very happy to help/answer questions.</w:t>
      </w:r>
    </w:p>
    <w:p w14:paraId="6BD0541B" w14:textId="32376FB8" w:rsidR="0056146F" w:rsidRDefault="0056146F" w:rsidP="00874F20">
      <w:pPr>
        <w:pStyle w:val="NoSpacing"/>
        <w:ind w:left="1800"/>
      </w:pPr>
    </w:p>
    <w:p w14:paraId="1303378D" w14:textId="77777777" w:rsidR="00A33C75" w:rsidRDefault="00A33C75" w:rsidP="00A33C75">
      <w:pPr>
        <w:pStyle w:val="NoSpacing"/>
      </w:pPr>
    </w:p>
    <w:p w14:paraId="13C5AC81" w14:textId="75014F37" w:rsidR="0056146F" w:rsidRDefault="0056146F" w:rsidP="0056146F">
      <w:pPr>
        <w:pStyle w:val="NoSpacing"/>
        <w:numPr>
          <w:ilvl w:val="0"/>
          <w:numId w:val="1"/>
        </w:numPr>
        <w:rPr>
          <w:i/>
          <w:iCs/>
        </w:rPr>
      </w:pPr>
      <w:r w:rsidRPr="0056146F">
        <w:rPr>
          <w:i/>
          <w:iCs/>
        </w:rPr>
        <w:t xml:space="preserve">INFPS formal evaluation is posted on the INFPS page! Here is the direct link: </w:t>
      </w:r>
      <w:hyperlink r:id="rId9" w:history="1">
        <w:r w:rsidRPr="008A43CB">
          <w:rPr>
            <w:rStyle w:val="Hyperlink"/>
            <w:i/>
            <w:iCs/>
          </w:rPr>
          <w:t>https://www.in.gov/dcs/files/ProviderSummary_INFPS_Evaluation_2021_02_22.pdf</w:t>
        </w:r>
      </w:hyperlink>
      <w:r>
        <w:rPr>
          <w:i/>
          <w:iCs/>
        </w:rPr>
        <w:t xml:space="preserve"> </w:t>
      </w:r>
    </w:p>
    <w:p w14:paraId="20F77C4C" w14:textId="77777777" w:rsidR="000B41F6" w:rsidRPr="000B41F6" w:rsidRDefault="000B41F6" w:rsidP="00A33C75">
      <w:pPr>
        <w:pStyle w:val="NoSpacing"/>
        <w:rPr>
          <w:iCs/>
        </w:rPr>
      </w:pPr>
    </w:p>
    <w:p w14:paraId="7B0366B2" w14:textId="4C87B552" w:rsidR="00E21FE0" w:rsidRDefault="00E21FE0" w:rsidP="00397F4B">
      <w:pPr>
        <w:pStyle w:val="NoSpacing"/>
      </w:pPr>
    </w:p>
    <w:p w14:paraId="43876B9E" w14:textId="4FAD54F4" w:rsidR="000E4E90" w:rsidRDefault="00E21FE0" w:rsidP="00F33D95">
      <w:pPr>
        <w:pStyle w:val="NoSpacing"/>
        <w:numPr>
          <w:ilvl w:val="0"/>
          <w:numId w:val="1"/>
        </w:numPr>
        <w:rPr>
          <w:rStyle w:val="Emphasis"/>
          <w:rFonts w:ascii="Segoe UI" w:hAnsi="Segoe UI" w:cs="Segoe UI"/>
          <w:sz w:val="21"/>
          <w:szCs w:val="21"/>
        </w:rPr>
      </w:pPr>
      <w:r w:rsidRPr="00E21FE0">
        <w:rPr>
          <w:i/>
          <w:iCs/>
        </w:rPr>
        <w:t>INFPS and Batter’s Intervention Services</w:t>
      </w:r>
      <w:r w:rsidR="000E4E90" w:rsidRPr="00F33D95">
        <w:rPr>
          <w:rStyle w:val="Emphasis"/>
          <w:rFonts w:ascii="Segoe UI" w:hAnsi="Segoe UI" w:cs="Segoe UI"/>
          <w:sz w:val="21"/>
          <w:szCs w:val="21"/>
        </w:rPr>
        <w:t xml:space="preserve"> </w:t>
      </w:r>
    </w:p>
    <w:p w14:paraId="2E529233" w14:textId="77777777" w:rsidR="000B41F6" w:rsidRDefault="000B41F6" w:rsidP="000B41F6">
      <w:pPr>
        <w:pStyle w:val="ListParagraph"/>
        <w:rPr>
          <w:rStyle w:val="Emphasis"/>
          <w:rFonts w:ascii="Segoe UI" w:hAnsi="Segoe UI" w:cs="Segoe UI"/>
          <w:sz w:val="21"/>
          <w:szCs w:val="21"/>
        </w:rPr>
      </w:pPr>
    </w:p>
    <w:p w14:paraId="6F47BE0B" w14:textId="0DB8FFDC" w:rsidR="000B41F6" w:rsidRDefault="00A33C75" w:rsidP="000B41F6">
      <w:pPr>
        <w:pStyle w:val="NoSpacing"/>
        <w:numPr>
          <w:ilvl w:val="0"/>
          <w:numId w:val="18"/>
        </w:numPr>
        <w:rPr>
          <w:rStyle w:val="Emphasis"/>
          <w:rFonts w:ascii="Segoe UI" w:hAnsi="Segoe UI" w:cs="Segoe UI"/>
          <w:i w:val="0"/>
          <w:sz w:val="21"/>
          <w:szCs w:val="21"/>
        </w:rPr>
      </w:pPr>
      <w:r>
        <w:rPr>
          <w:rStyle w:val="Emphasis"/>
          <w:rFonts w:ascii="Segoe UI" w:hAnsi="Segoe UI" w:cs="Segoe UI"/>
          <w:i w:val="0"/>
          <w:sz w:val="21"/>
          <w:szCs w:val="21"/>
        </w:rPr>
        <w:t>If F</w:t>
      </w:r>
      <w:r w:rsidR="00EF6CED">
        <w:rPr>
          <w:rStyle w:val="Emphasis"/>
          <w:rFonts w:ascii="Segoe UI" w:hAnsi="Segoe UI" w:cs="Segoe UI"/>
          <w:i w:val="0"/>
          <w:sz w:val="21"/>
          <w:szCs w:val="21"/>
        </w:rPr>
        <w:t xml:space="preserve">amily </w:t>
      </w:r>
      <w:r>
        <w:rPr>
          <w:rStyle w:val="Emphasis"/>
          <w:rFonts w:ascii="Segoe UI" w:hAnsi="Segoe UI" w:cs="Segoe UI"/>
          <w:i w:val="0"/>
          <w:sz w:val="21"/>
          <w:szCs w:val="21"/>
        </w:rPr>
        <w:t>P</w:t>
      </w:r>
      <w:r w:rsidR="00EF6CED">
        <w:rPr>
          <w:rStyle w:val="Emphasis"/>
          <w:rFonts w:ascii="Segoe UI" w:hAnsi="Segoe UI" w:cs="Segoe UI"/>
          <w:i w:val="0"/>
          <w:sz w:val="21"/>
          <w:szCs w:val="21"/>
        </w:rPr>
        <w:t>reservation</w:t>
      </w:r>
      <w:r>
        <w:rPr>
          <w:rStyle w:val="Emphasis"/>
          <w:rFonts w:ascii="Segoe UI" w:hAnsi="Segoe UI" w:cs="Segoe UI"/>
          <w:i w:val="0"/>
          <w:sz w:val="21"/>
          <w:szCs w:val="21"/>
        </w:rPr>
        <w:t xml:space="preserve"> is in place and D</w:t>
      </w:r>
      <w:r w:rsidR="00EF6CED">
        <w:rPr>
          <w:rStyle w:val="Emphasis"/>
          <w:rFonts w:ascii="Segoe UI" w:hAnsi="Segoe UI" w:cs="Segoe UI"/>
          <w:i w:val="0"/>
          <w:sz w:val="21"/>
          <w:szCs w:val="21"/>
        </w:rPr>
        <w:t xml:space="preserve">omestic </w:t>
      </w:r>
      <w:r>
        <w:rPr>
          <w:rStyle w:val="Emphasis"/>
          <w:rFonts w:ascii="Segoe UI" w:hAnsi="Segoe UI" w:cs="Segoe UI"/>
          <w:i w:val="0"/>
          <w:sz w:val="21"/>
          <w:szCs w:val="21"/>
        </w:rPr>
        <w:t>V</w:t>
      </w:r>
      <w:r w:rsidR="00EF6CED">
        <w:rPr>
          <w:rStyle w:val="Emphasis"/>
          <w:rFonts w:ascii="Segoe UI" w:hAnsi="Segoe UI" w:cs="Segoe UI"/>
          <w:i w:val="0"/>
          <w:sz w:val="21"/>
          <w:szCs w:val="21"/>
        </w:rPr>
        <w:t>iolence</w:t>
      </w:r>
      <w:r>
        <w:rPr>
          <w:rStyle w:val="Emphasis"/>
          <w:rFonts w:ascii="Segoe UI" w:hAnsi="Segoe UI" w:cs="Segoe UI"/>
          <w:i w:val="0"/>
          <w:sz w:val="21"/>
          <w:szCs w:val="21"/>
        </w:rPr>
        <w:t xml:space="preserve"> is present it’s appropriate to bring in another provider to address this. </w:t>
      </w:r>
      <w:r w:rsidR="00874F20">
        <w:rPr>
          <w:rStyle w:val="Emphasis"/>
          <w:rFonts w:ascii="Segoe UI" w:hAnsi="Segoe UI" w:cs="Segoe UI"/>
          <w:i w:val="0"/>
          <w:sz w:val="21"/>
          <w:szCs w:val="21"/>
        </w:rPr>
        <w:t xml:space="preserve">If you have the expertise or </w:t>
      </w:r>
      <w:r w:rsidR="00874F20">
        <w:rPr>
          <w:rStyle w:val="Emphasis"/>
          <w:rFonts w:ascii="Segoe UI" w:hAnsi="Segoe UI" w:cs="Segoe UI"/>
          <w:i w:val="0"/>
          <w:sz w:val="21"/>
          <w:szCs w:val="21"/>
        </w:rPr>
        <w:lastRenderedPageBreak/>
        <w:t xml:space="preserve">certification to provide this service then you can but we need to make sure the correct services are being provided. </w:t>
      </w:r>
    </w:p>
    <w:p w14:paraId="7C252F8E" w14:textId="44784DAB" w:rsidR="00874F20" w:rsidRDefault="00874F20" w:rsidP="000B41F6">
      <w:pPr>
        <w:pStyle w:val="NoSpacing"/>
        <w:numPr>
          <w:ilvl w:val="0"/>
          <w:numId w:val="18"/>
        </w:numPr>
        <w:rPr>
          <w:rStyle w:val="Emphasis"/>
          <w:rFonts w:ascii="Segoe UI" w:hAnsi="Segoe UI" w:cs="Segoe UI"/>
          <w:i w:val="0"/>
          <w:sz w:val="21"/>
          <w:szCs w:val="21"/>
        </w:rPr>
      </w:pPr>
      <w:r>
        <w:rPr>
          <w:rStyle w:val="Emphasis"/>
          <w:rFonts w:ascii="Segoe UI" w:hAnsi="Segoe UI" w:cs="Segoe UI"/>
          <w:i w:val="0"/>
          <w:sz w:val="21"/>
          <w:szCs w:val="21"/>
        </w:rPr>
        <w:t xml:space="preserve">Feel free to use your community resources for Batterer’s intervention and you can reach out to your Regional Service Coordinator to have further conversation about this. </w:t>
      </w:r>
    </w:p>
    <w:p w14:paraId="7E41FC48" w14:textId="0D3C4EB3" w:rsidR="00874F20" w:rsidRDefault="00EF6CED" w:rsidP="000B41F6">
      <w:pPr>
        <w:pStyle w:val="NoSpacing"/>
        <w:numPr>
          <w:ilvl w:val="0"/>
          <w:numId w:val="18"/>
        </w:numPr>
        <w:rPr>
          <w:rStyle w:val="Emphasis"/>
          <w:rFonts w:ascii="Segoe UI" w:hAnsi="Segoe UI" w:cs="Segoe UI"/>
          <w:i w:val="0"/>
          <w:sz w:val="21"/>
          <w:szCs w:val="21"/>
        </w:rPr>
      </w:pPr>
      <w:r>
        <w:rPr>
          <w:rStyle w:val="Emphasis"/>
          <w:rFonts w:ascii="Segoe UI" w:hAnsi="Segoe UI" w:cs="Segoe UI"/>
          <w:i w:val="0"/>
          <w:sz w:val="21"/>
          <w:szCs w:val="21"/>
        </w:rPr>
        <w:t xml:space="preserve">Q: </w:t>
      </w:r>
      <w:r w:rsidR="00874F20">
        <w:rPr>
          <w:rStyle w:val="Emphasis"/>
          <w:rFonts w:ascii="Segoe UI" w:hAnsi="Segoe UI" w:cs="Segoe UI"/>
          <w:i w:val="0"/>
          <w:sz w:val="21"/>
          <w:szCs w:val="21"/>
        </w:rPr>
        <w:t xml:space="preserve">Will batterer’s Intervention services be added to the carve-out in the service standard? </w:t>
      </w:r>
    </w:p>
    <w:p w14:paraId="0D3C8D36" w14:textId="2D3A63C6" w:rsidR="00874F20" w:rsidRPr="000B41F6" w:rsidRDefault="00874F20" w:rsidP="00874F20">
      <w:pPr>
        <w:pStyle w:val="NoSpacing"/>
        <w:ind w:left="1800"/>
        <w:rPr>
          <w:rStyle w:val="Emphasis"/>
          <w:rFonts w:ascii="Segoe UI" w:hAnsi="Segoe UI" w:cs="Segoe UI"/>
          <w:i w:val="0"/>
          <w:sz w:val="21"/>
          <w:szCs w:val="21"/>
        </w:rPr>
      </w:pPr>
      <w:r>
        <w:rPr>
          <w:rStyle w:val="Emphasis"/>
          <w:rFonts w:ascii="Segoe UI" w:hAnsi="Segoe UI" w:cs="Segoe UI"/>
          <w:i w:val="0"/>
          <w:sz w:val="21"/>
          <w:szCs w:val="21"/>
        </w:rPr>
        <w:t xml:space="preserve">A: It’s not excluded even though it’s not specifically mentioned in the service standard. </w:t>
      </w:r>
      <w:r w:rsidR="00EF6CED">
        <w:rPr>
          <w:rStyle w:val="Emphasis"/>
          <w:rFonts w:ascii="Segoe UI" w:hAnsi="Segoe UI" w:cs="Segoe UI"/>
          <w:i w:val="0"/>
          <w:sz w:val="21"/>
          <w:szCs w:val="21"/>
        </w:rPr>
        <w:t>The list in the service standard is not all-inclusive.</w:t>
      </w:r>
      <w:r w:rsidR="00A57096">
        <w:rPr>
          <w:rStyle w:val="Emphasis"/>
          <w:rFonts w:ascii="Segoe UI" w:hAnsi="Segoe UI" w:cs="Segoe UI"/>
          <w:i w:val="0"/>
          <w:sz w:val="21"/>
          <w:szCs w:val="21"/>
        </w:rPr>
        <w:t xml:space="preserve"> When there is a clear need (and appropriate intervention services for DV would be a good example), additional referrals can be made.  Child and family teams should talk about this.</w:t>
      </w:r>
    </w:p>
    <w:p w14:paraId="1B9D54BD" w14:textId="77777777" w:rsidR="00A60F46" w:rsidRPr="009D6AA9" w:rsidRDefault="00A60F46" w:rsidP="00B2674A">
      <w:pPr>
        <w:rPr>
          <w:rStyle w:val="Emphasis"/>
        </w:rPr>
      </w:pPr>
    </w:p>
    <w:p w14:paraId="2C39B548" w14:textId="6D449B35" w:rsidR="00020C45" w:rsidRDefault="001C7E3A" w:rsidP="00020C45">
      <w:pPr>
        <w:pStyle w:val="ListParagraph"/>
        <w:numPr>
          <w:ilvl w:val="0"/>
          <w:numId w:val="1"/>
        </w:numPr>
        <w:rPr>
          <w:rStyle w:val="Emphasis"/>
        </w:rPr>
      </w:pPr>
      <w:r w:rsidRPr="009D6AA9">
        <w:rPr>
          <w:rStyle w:val="Emphasis"/>
        </w:rPr>
        <w:t>Referral updates</w:t>
      </w:r>
      <w:r w:rsidR="00E06B7F">
        <w:rPr>
          <w:rStyle w:val="Emphasis"/>
        </w:rPr>
        <w:t xml:space="preserve"> (as of </w:t>
      </w:r>
      <w:r w:rsidR="00EC1C0D">
        <w:rPr>
          <w:rStyle w:val="Emphasis"/>
        </w:rPr>
        <w:t>2</w:t>
      </w:r>
      <w:r w:rsidR="009B5F9B">
        <w:rPr>
          <w:rStyle w:val="Emphasis"/>
        </w:rPr>
        <w:t>/</w:t>
      </w:r>
      <w:r w:rsidR="005A5B69">
        <w:rPr>
          <w:rStyle w:val="Emphasis"/>
        </w:rPr>
        <w:t>25</w:t>
      </w:r>
      <w:r w:rsidR="008D23CD">
        <w:rPr>
          <w:rStyle w:val="Emphasis"/>
        </w:rPr>
        <w:t>/2</w:t>
      </w:r>
      <w:r w:rsidR="00E45182">
        <w:rPr>
          <w:rStyle w:val="Emphasis"/>
        </w:rPr>
        <w:t>1</w:t>
      </w:r>
      <w:r w:rsidR="008D23CD">
        <w:rPr>
          <w:rStyle w:val="Emphasis"/>
        </w:rPr>
        <w:t>)</w:t>
      </w:r>
      <w:r w:rsidRPr="009D6AA9">
        <w:rPr>
          <w:rStyle w:val="Emphasis"/>
        </w:rPr>
        <w:t xml:space="preserve">: </w:t>
      </w:r>
    </w:p>
    <w:p w14:paraId="21207908" w14:textId="77777777" w:rsidR="005A5B69" w:rsidRDefault="005A5B69" w:rsidP="005A5B69">
      <w:pPr>
        <w:pStyle w:val="ListParagraph"/>
        <w:rPr>
          <w:rStyle w:val="Emphasis"/>
        </w:rPr>
      </w:pPr>
    </w:p>
    <w:p w14:paraId="40A7F274" w14:textId="77777777" w:rsidR="00D4031E" w:rsidRPr="00AF0566" w:rsidRDefault="00D4031E" w:rsidP="00D4031E">
      <w:pPr>
        <w:pStyle w:val="ListParagraph"/>
        <w:ind w:left="1080"/>
        <w:rPr>
          <w:rStyle w:val="Emphasis"/>
          <w:b/>
          <w:bCs/>
          <w:i w:val="0"/>
          <w:iCs w:val="0"/>
        </w:rPr>
      </w:pPr>
      <w:r w:rsidRPr="00AF0566">
        <w:rPr>
          <w:rStyle w:val="Emphasis"/>
          <w:b/>
          <w:bCs/>
          <w:i w:val="0"/>
          <w:iCs w:val="0"/>
        </w:rPr>
        <w:t>Region</w:t>
      </w:r>
      <w:r w:rsidRPr="00AF0566">
        <w:rPr>
          <w:rStyle w:val="Emphasis"/>
          <w:b/>
          <w:bCs/>
          <w:i w:val="0"/>
          <w:iCs w:val="0"/>
        </w:rPr>
        <w:tab/>
        <w:t>Family Pres -Current Open Cases</w:t>
      </w:r>
    </w:p>
    <w:p w14:paraId="060D1B32" w14:textId="196D49EE" w:rsidR="00D4031E" w:rsidRPr="00AF0566" w:rsidRDefault="00D4031E" w:rsidP="00D4031E">
      <w:pPr>
        <w:pStyle w:val="ListParagraph"/>
        <w:ind w:left="1080"/>
        <w:rPr>
          <w:rStyle w:val="Emphasis"/>
          <w:b/>
          <w:bCs/>
          <w:i w:val="0"/>
          <w:iCs w:val="0"/>
        </w:rPr>
      </w:pPr>
      <w:r w:rsidRPr="00AF0566">
        <w:rPr>
          <w:rStyle w:val="Emphasis"/>
          <w:b/>
          <w:bCs/>
          <w:i w:val="0"/>
          <w:iCs w:val="0"/>
        </w:rPr>
        <w:t>1</w:t>
      </w:r>
      <w:r w:rsidR="00313AD2" w:rsidRPr="00AF0566">
        <w:rPr>
          <w:rStyle w:val="Emphasis"/>
          <w:b/>
          <w:bCs/>
          <w:i w:val="0"/>
          <w:iCs w:val="0"/>
        </w:rPr>
        <w:t>)</w:t>
      </w:r>
      <w:r w:rsidRPr="00AF0566">
        <w:rPr>
          <w:rStyle w:val="Emphasis"/>
          <w:b/>
          <w:bCs/>
          <w:i w:val="0"/>
          <w:iCs w:val="0"/>
        </w:rPr>
        <w:tab/>
      </w:r>
      <w:r w:rsidR="00E47A53" w:rsidRPr="00AF0566">
        <w:rPr>
          <w:rStyle w:val="Emphasis"/>
          <w:b/>
          <w:bCs/>
          <w:i w:val="0"/>
          <w:iCs w:val="0"/>
        </w:rPr>
        <w:tab/>
      </w:r>
      <w:r w:rsidRPr="00AF0566">
        <w:rPr>
          <w:rStyle w:val="Emphasis"/>
          <w:b/>
          <w:bCs/>
          <w:i w:val="0"/>
          <w:iCs w:val="0"/>
        </w:rPr>
        <w:t>188</w:t>
      </w:r>
    </w:p>
    <w:p w14:paraId="3FD8F27B" w14:textId="10B9EE54" w:rsidR="00D4031E" w:rsidRPr="00AF0566" w:rsidRDefault="00D4031E" w:rsidP="00D4031E">
      <w:pPr>
        <w:pStyle w:val="ListParagraph"/>
        <w:ind w:left="1080"/>
        <w:rPr>
          <w:rStyle w:val="Emphasis"/>
          <w:b/>
          <w:bCs/>
          <w:i w:val="0"/>
          <w:iCs w:val="0"/>
        </w:rPr>
      </w:pPr>
      <w:r w:rsidRPr="00AF0566">
        <w:rPr>
          <w:rStyle w:val="Emphasis"/>
          <w:b/>
          <w:bCs/>
          <w:i w:val="0"/>
          <w:iCs w:val="0"/>
        </w:rPr>
        <w:t>2</w:t>
      </w:r>
      <w:r w:rsidR="00313AD2" w:rsidRPr="00AF0566">
        <w:rPr>
          <w:rStyle w:val="Emphasis"/>
          <w:b/>
          <w:bCs/>
          <w:i w:val="0"/>
          <w:iCs w:val="0"/>
        </w:rPr>
        <w:t>)</w:t>
      </w:r>
      <w:r w:rsidRPr="00AF0566">
        <w:rPr>
          <w:rStyle w:val="Emphasis"/>
          <w:b/>
          <w:bCs/>
          <w:i w:val="0"/>
          <w:iCs w:val="0"/>
        </w:rPr>
        <w:tab/>
      </w:r>
      <w:r w:rsidR="00E47A53" w:rsidRPr="00AF0566">
        <w:rPr>
          <w:rStyle w:val="Emphasis"/>
          <w:b/>
          <w:bCs/>
          <w:i w:val="0"/>
          <w:iCs w:val="0"/>
        </w:rPr>
        <w:tab/>
      </w:r>
      <w:r w:rsidRPr="00AF0566">
        <w:rPr>
          <w:rStyle w:val="Emphasis"/>
          <w:b/>
          <w:bCs/>
          <w:i w:val="0"/>
          <w:iCs w:val="0"/>
        </w:rPr>
        <w:t>80</w:t>
      </w:r>
    </w:p>
    <w:p w14:paraId="00DB1DB2" w14:textId="47F8CF34" w:rsidR="00D4031E" w:rsidRPr="00AF0566" w:rsidRDefault="00D4031E" w:rsidP="00D4031E">
      <w:pPr>
        <w:pStyle w:val="ListParagraph"/>
        <w:ind w:left="1080"/>
        <w:rPr>
          <w:rStyle w:val="Emphasis"/>
          <w:b/>
          <w:bCs/>
          <w:i w:val="0"/>
          <w:iCs w:val="0"/>
        </w:rPr>
      </w:pPr>
      <w:r w:rsidRPr="00AF0566">
        <w:rPr>
          <w:rStyle w:val="Emphasis"/>
          <w:b/>
          <w:bCs/>
          <w:i w:val="0"/>
          <w:iCs w:val="0"/>
        </w:rPr>
        <w:t>3</w:t>
      </w:r>
      <w:r w:rsidR="00313AD2" w:rsidRPr="00AF0566">
        <w:rPr>
          <w:rStyle w:val="Emphasis"/>
          <w:b/>
          <w:bCs/>
          <w:i w:val="0"/>
          <w:iCs w:val="0"/>
        </w:rPr>
        <w:t>)</w:t>
      </w:r>
      <w:r w:rsidRPr="00AF0566">
        <w:rPr>
          <w:rStyle w:val="Emphasis"/>
          <w:b/>
          <w:bCs/>
          <w:i w:val="0"/>
          <w:iCs w:val="0"/>
        </w:rPr>
        <w:tab/>
      </w:r>
      <w:r w:rsidR="00E47A53" w:rsidRPr="00AF0566">
        <w:rPr>
          <w:rStyle w:val="Emphasis"/>
          <w:b/>
          <w:bCs/>
          <w:i w:val="0"/>
          <w:iCs w:val="0"/>
        </w:rPr>
        <w:tab/>
      </w:r>
      <w:r w:rsidRPr="00AF0566">
        <w:rPr>
          <w:rStyle w:val="Emphasis"/>
          <w:b/>
          <w:bCs/>
          <w:i w:val="0"/>
          <w:iCs w:val="0"/>
        </w:rPr>
        <w:t>109</w:t>
      </w:r>
    </w:p>
    <w:p w14:paraId="710EF44D" w14:textId="2F31CAB2" w:rsidR="00D4031E" w:rsidRPr="00AF0566" w:rsidRDefault="00D4031E" w:rsidP="00D4031E">
      <w:pPr>
        <w:pStyle w:val="ListParagraph"/>
        <w:ind w:left="1080"/>
        <w:rPr>
          <w:rStyle w:val="Emphasis"/>
          <w:b/>
          <w:bCs/>
          <w:i w:val="0"/>
          <w:iCs w:val="0"/>
        </w:rPr>
      </w:pPr>
      <w:r w:rsidRPr="00AF0566">
        <w:rPr>
          <w:rStyle w:val="Emphasis"/>
          <w:b/>
          <w:bCs/>
          <w:i w:val="0"/>
          <w:iCs w:val="0"/>
        </w:rPr>
        <w:t>4</w:t>
      </w:r>
      <w:r w:rsidR="00313AD2" w:rsidRPr="00AF0566">
        <w:rPr>
          <w:rStyle w:val="Emphasis"/>
          <w:b/>
          <w:bCs/>
          <w:i w:val="0"/>
          <w:iCs w:val="0"/>
        </w:rPr>
        <w:t>)</w:t>
      </w:r>
      <w:r w:rsidRPr="00AF0566">
        <w:rPr>
          <w:rStyle w:val="Emphasis"/>
          <w:b/>
          <w:bCs/>
          <w:i w:val="0"/>
          <w:iCs w:val="0"/>
        </w:rPr>
        <w:tab/>
      </w:r>
      <w:r w:rsidR="00E47A53" w:rsidRPr="00AF0566">
        <w:rPr>
          <w:rStyle w:val="Emphasis"/>
          <w:b/>
          <w:bCs/>
          <w:i w:val="0"/>
          <w:iCs w:val="0"/>
        </w:rPr>
        <w:tab/>
      </w:r>
      <w:r w:rsidRPr="00AF0566">
        <w:rPr>
          <w:rStyle w:val="Emphasis"/>
          <w:b/>
          <w:bCs/>
          <w:i w:val="0"/>
          <w:iCs w:val="0"/>
        </w:rPr>
        <w:t>93</w:t>
      </w:r>
    </w:p>
    <w:p w14:paraId="65BF287B" w14:textId="2439C91C" w:rsidR="00D4031E" w:rsidRPr="00AF0566" w:rsidRDefault="00D4031E" w:rsidP="00D4031E">
      <w:pPr>
        <w:pStyle w:val="ListParagraph"/>
        <w:ind w:left="1080"/>
        <w:rPr>
          <w:rStyle w:val="Emphasis"/>
          <w:b/>
          <w:bCs/>
          <w:i w:val="0"/>
          <w:iCs w:val="0"/>
        </w:rPr>
      </w:pPr>
      <w:r w:rsidRPr="00AF0566">
        <w:rPr>
          <w:rStyle w:val="Emphasis"/>
          <w:b/>
          <w:bCs/>
          <w:i w:val="0"/>
          <w:iCs w:val="0"/>
        </w:rPr>
        <w:t>5</w:t>
      </w:r>
      <w:r w:rsidR="00313AD2" w:rsidRPr="00AF0566">
        <w:rPr>
          <w:rStyle w:val="Emphasis"/>
          <w:b/>
          <w:bCs/>
          <w:i w:val="0"/>
          <w:iCs w:val="0"/>
        </w:rPr>
        <w:t>)</w:t>
      </w:r>
      <w:r w:rsidRPr="00AF0566">
        <w:rPr>
          <w:rStyle w:val="Emphasis"/>
          <w:b/>
          <w:bCs/>
          <w:i w:val="0"/>
          <w:iCs w:val="0"/>
        </w:rPr>
        <w:tab/>
      </w:r>
      <w:r w:rsidR="00E47A53" w:rsidRPr="00AF0566">
        <w:rPr>
          <w:rStyle w:val="Emphasis"/>
          <w:b/>
          <w:bCs/>
          <w:i w:val="0"/>
          <w:iCs w:val="0"/>
        </w:rPr>
        <w:tab/>
      </w:r>
      <w:r w:rsidRPr="00AF0566">
        <w:rPr>
          <w:rStyle w:val="Emphasis"/>
          <w:b/>
          <w:bCs/>
          <w:i w:val="0"/>
          <w:iCs w:val="0"/>
        </w:rPr>
        <w:t>62</w:t>
      </w:r>
    </w:p>
    <w:p w14:paraId="7180DB76" w14:textId="57E504B9" w:rsidR="00D4031E" w:rsidRPr="00AF0566" w:rsidRDefault="00D4031E" w:rsidP="00D4031E">
      <w:pPr>
        <w:pStyle w:val="ListParagraph"/>
        <w:ind w:left="1080"/>
        <w:rPr>
          <w:rStyle w:val="Emphasis"/>
          <w:b/>
          <w:bCs/>
          <w:i w:val="0"/>
          <w:iCs w:val="0"/>
        </w:rPr>
      </w:pPr>
      <w:r w:rsidRPr="00AF0566">
        <w:rPr>
          <w:rStyle w:val="Emphasis"/>
          <w:b/>
          <w:bCs/>
          <w:i w:val="0"/>
          <w:iCs w:val="0"/>
        </w:rPr>
        <w:t>6</w:t>
      </w:r>
      <w:r w:rsidR="00313AD2" w:rsidRPr="00AF0566">
        <w:rPr>
          <w:rStyle w:val="Emphasis"/>
          <w:b/>
          <w:bCs/>
          <w:i w:val="0"/>
          <w:iCs w:val="0"/>
        </w:rPr>
        <w:t>)</w:t>
      </w:r>
      <w:r w:rsidRPr="00AF0566">
        <w:rPr>
          <w:rStyle w:val="Emphasis"/>
          <w:b/>
          <w:bCs/>
          <w:i w:val="0"/>
          <w:iCs w:val="0"/>
        </w:rPr>
        <w:tab/>
      </w:r>
      <w:r w:rsidR="00E47A53" w:rsidRPr="00AF0566">
        <w:rPr>
          <w:rStyle w:val="Emphasis"/>
          <w:b/>
          <w:bCs/>
          <w:i w:val="0"/>
          <w:iCs w:val="0"/>
        </w:rPr>
        <w:tab/>
      </w:r>
      <w:r w:rsidRPr="00AF0566">
        <w:rPr>
          <w:rStyle w:val="Emphasis"/>
          <w:b/>
          <w:bCs/>
          <w:i w:val="0"/>
          <w:iCs w:val="0"/>
        </w:rPr>
        <w:t>87</w:t>
      </w:r>
    </w:p>
    <w:p w14:paraId="77702378" w14:textId="07F306FA" w:rsidR="00D4031E" w:rsidRPr="00AF0566" w:rsidRDefault="00D4031E" w:rsidP="00D4031E">
      <w:pPr>
        <w:pStyle w:val="ListParagraph"/>
        <w:ind w:left="1080"/>
        <w:rPr>
          <w:rStyle w:val="Emphasis"/>
          <w:b/>
          <w:bCs/>
          <w:i w:val="0"/>
          <w:iCs w:val="0"/>
        </w:rPr>
      </w:pPr>
      <w:r w:rsidRPr="00AF0566">
        <w:rPr>
          <w:rStyle w:val="Emphasis"/>
          <w:b/>
          <w:bCs/>
          <w:i w:val="0"/>
          <w:iCs w:val="0"/>
        </w:rPr>
        <w:t>7</w:t>
      </w:r>
      <w:r w:rsidR="00313AD2" w:rsidRPr="00AF0566">
        <w:rPr>
          <w:rStyle w:val="Emphasis"/>
          <w:b/>
          <w:bCs/>
          <w:i w:val="0"/>
          <w:iCs w:val="0"/>
        </w:rPr>
        <w:t>)</w:t>
      </w:r>
      <w:r w:rsidRPr="00AF0566">
        <w:rPr>
          <w:rStyle w:val="Emphasis"/>
          <w:b/>
          <w:bCs/>
          <w:i w:val="0"/>
          <w:iCs w:val="0"/>
        </w:rPr>
        <w:tab/>
      </w:r>
      <w:r w:rsidR="00E47A53" w:rsidRPr="00AF0566">
        <w:rPr>
          <w:rStyle w:val="Emphasis"/>
          <w:b/>
          <w:bCs/>
          <w:i w:val="0"/>
          <w:iCs w:val="0"/>
        </w:rPr>
        <w:tab/>
      </w:r>
      <w:r w:rsidRPr="00AF0566">
        <w:rPr>
          <w:rStyle w:val="Emphasis"/>
          <w:b/>
          <w:bCs/>
          <w:i w:val="0"/>
          <w:iCs w:val="0"/>
        </w:rPr>
        <w:t>116</w:t>
      </w:r>
    </w:p>
    <w:p w14:paraId="240D9820" w14:textId="115F492A" w:rsidR="00D4031E" w:rsidRPr="00AF0566" w:rsidRDefault="00D4031E" w:rsidP="00D4031E">
      <w:pPr>
        <w:pStyle w:val="ListParagraph"/>
        <w:ind w:left="1080"/>
        <w:rPr>
          <w:rStyle w:val="Emphasis"/>
          <w:b/>
          <w:bCs/>
          <w:i w:val="0"/>
          <w:iCs w:val="0"/>
        </w:rPr>
      </w:pPr>
      <w:r w:rsidRPr="00AF0566">
        <w:rPr>
          <w:rStyle w:val="Emphasis"/>
          <w:b/>
          <w:bCs/>
          <w:i w:val="0"/>
          <w:iCs w:val="0"/>
        </w:rPr>
        <w:t>8</w:t>
      </w:r>
      <w:r w:rsidR="00313AD2" w:rsidRPr="00AF0566">
        <w:rPr>
          <w:rStyle w:val="Emphasis"/>
          <w:b/>
          <w:bCs/>
          <w:i w:val="0"/>
          <w:iCs w:val="0"/>
        </w:rPr>
        <w:t>)</w:t>
      </w:r>
      <w:r w:rsidRPr="00AF0566">
        <w:rPr>
          <w:rStyle w:val="Emphasis"/>
          <w:b/>
          <w:bCs/>
          <w:i w:val="0"/>
          <w:iCs w:val="0"/>
        </w:rPr>
        <w:tab/>
      </w:r>
      <w:r w:rsidR="00E47A53" w:rsidRPr="00AF0566">
        <w:rPr>
          <w:rStyle w:val="Emphasis"/>
          <w:b/>
          <w:bCs/>
          <w:i w:val="0"/>
          <w:iCs w:val="0"/>
        </w:rPr>
        <w:tab/>
      </w:r>
      <w:r w:rsidRPr="00AF0566">
        <w:rPr>
          <w:rStyle w:val="Emphasis"/>
          <w:b/>
          <w:bCs/>
          <w:i w:val="0"/>
          <w:iCs w:val="0"/>
        </w:rPr>
        <w:t>126</w:t>
      </w:r>
    </w:p>
    <w:p w14:paraId="3891BBE6" w14:textId="0F868769" w:rsidR="00D4031E" w:rsidRPr="00AF0566" w:rsidRDefault="00D4031E" w:rsidP="00D4031E">
      <w:pPr>
        <w:pStyle w:val="ListParagraph"/>
        <w:ind w:left="1080"/>
        <w:rPr>
          <w:rStyle w:val="Emphasis"/>
          <w:b/>
          <w:bCs/>
          <w:i w:val="0"/>
          <w:iCs w:val="0"/>
        </w:rPr>
      </w:pPr>
      <w:r w:rsidRPr="00AF0566">
        <w:rPr>
          <w:rStyle w:val="Emphasis"/>
          <w:b/>
          <w:bCs/>
          <w:i w:val="0"/>
          <w:iCs w:val="0"/>
        </w:rPr>
        <w:t>9</w:t>
      </w:r>
      <w:r w:rsidR="00313AD2" w:rsidRPr="00AF0566">
        <w:rPr>
          <w:rStyle w:val="Emphasis"/>
          <w:b/>
          <w:bCs/>
          <w:i w:val="0"/>
          <w:iCs w:val="0"/>
        </w:rPr>
        <w:t>)</w:t>
      </w:r>
      <w:r w:rsidRPr="00AF0566">
        <w:rPr>
          <w:rStyle w:val="Emphasis"/>
          <w:b/>
          <w:bCs/>
          <w:i w:val="0"/>
          <w:iCs w:val="0"/>
        </w:rPr>
        <w:tab/>
      </w:r>
      <w:r w:rsidR="00E47A53" w:rsidRPr="00AF0566">
        <w:rPr>
          <w:rStyle w:val="Emphasis"/>
          <w:b/>
          <w:bCs/>
          <w:i w:val="0"/>
          <w:iCs w:val="0"/>
        </w:rPr>
        <w:tab/>
      </w:r>
      <w:r w:rsidRPr="00AF0566">
        <w:rPr>
          <w:rStyle w:val="Emphasis"/>
          <w:b/>
          <w:bCs/>
          <w:i w:val="0"/>
          <w:iCs w:val="0"/>
        </w:rPr>
        <w:t>72</w:t>
      </w:r>
    </w:p>
    <w:p w14:paraId="49E229D7" w14:textId="37056EA2" w:rsidR="00D4031E" w:rsidRPr="00AF0566" w:rsidRDefault="00D4031E" w:rsidP="00D4031E">
      <w:pPr>
        <w:pStyle w:val="ListParagraph"/>
        <w:ind w:left="1080"/>
        <w:rPr>
          <w:rStyle w:val="Emphasis"/>
          <w:b/>
          <w:bCs/>
          <w:i w:val="0"/>
          <w:iCs w:val="0"/>
        </w:rPr>
      </w:pPr>
      <w:r w:rsidRPr="00AF0566">
        <w:rPr>
          <w:rStyle w:val="Emphasis"/>
          <w:b/>
          <w:bCs/>
          <w:i w:val="0"/>
          <w:iCs w:val="0"/>
        </w:rPr>
        <w:t>10</w:t>
      </w:r>
      <w:r w:rsidR="00313AD2" w:rsidRPr="00AF0566">
        <w:rPr>
          <w:rStyle w:val="Emphasis"/>
          <w:b/>
          <w:bCs/>
          <w:i w:val="0"/>
          <w:iCs w:val="0"/>
        </w:rPr>
        <w:t>)</w:t>
      </w:r>
      <w:r w:rsidRPr="00AF0566">
        <w:rPr>
          <w:rStyle w:val="Emphasis"/>
          <w:b/>
          <w:bCs/>
          <w:i w:val="0"/>
          <w:iCs w:val="0"/>
        </w:rPr>
        <w:tab/>
      </w:r>
      <w:r w:rsidR="00E47A53" w:rsidRPr="00AF0566">
        <w:rPr>
          <w:rStyle w:val="Emphasis"/>
          <w:b/>
          <w:bCs/>
          <w:i w:val="0"/>
          <w:iCs w:val="0"/>
        </w:rPr>
        <w:tab/>
      </w:r>
      <w:r w:rsidRPr="00AF0566">
        <w:rPr>
          <w:rStyle w:val="Emphasis"/>
          <w:b/>
          <w:bCs/>
          <w:i w:val="0"/>
          <w:iCs w:val="0"/>
        </w:rPr>
        <w:t>209</w:t>
      </w:r>
    </w:p>
    <w:p w14:paraId="046BFB4B" w14:textId="66720C20" w:rsidR="00D4031E" w:rsidRPr="00AF0566" w:rsidRDefault="00D4031E" w:rsidP="00D4031E">
      <w:pPr>
        <w:pStyle w:val="ListParagraph"/>
        <w:ind w:left="1080"/>
        <w:rPr>
          <w:rStyle w:val="Emphasis"/>
          <w:b/>
          <w:bCs/>
          <w:i w:val="0"/>
          <w:iCs w:val="0"/>
        </w:rPr>
      </w:pPr>
      <w:r w:rsidRPr="00AF0566">
        <w:rPr>
          <w:rStyle w:val="Emphasis"/>
          <w:b/>
          <w:bCs/>
          <w:i w:val="0"/>
          <w:iCs w:val="0"/>
        </w:rPr>
        <w:t>11</w:t>
      </w:r>
      <w:r w:rsidR="00313AD2" w:rsidRPr="00AF0566">
        <w:rPr>
          <w:rStyle w:val="Emphasis"/>
          <w:b/>
          <w:bCs/>
          <w:i w:val="0"/>
          <w:iCs w:val="0"/>
        </w:rPr>
        <w:t>)</w:t>
      </w:r>
      <w:r w:rsidRPr="00AF0566">
        <w:rPr>
          <w:rStyle w:val="Emphasis"/>
          <w:b/>
          <w:bCs/>
          <w:i w:val="0"/>
          <w:iCs w:val="0"/>
        </w:rPr>
        <w:tab/>
      </w:r>
      <w:r w:rsidR="00E47A53" w:rsidRPr="00AF0566">
        <w:rPr>
          <w:rStyle w:val="Emphasis"/>
          <w:b/>
          <w:bCs/>
          <w:i w:val="0"/>
          <w:iCs w:val="0"/>
        </w:rPr>
        <w:tab/>
      </w:r>
      <w:r w:rsidRPr="00AF0566">
        <w:rPr>
          <w:rStyle w:val="Emphasis"/>
          <w:b/>
          <w:bCs/>
          <w:i w:val="0"/>
          <w:iCs w:val="0"/>
        </w:rPr>
        <w:t>144</w:t>
      </w:r>
    </w:p>
    <w:p w14:paraId="3D942C16" w14:textId="40480835" w:rsidR="00D4031E" w:rsidRPr="00AF0566" w:rsidRDefault="00D4031E" w:rsidP="00D4031E">
      <w:pPr>
        <w:pStyle w:val="ListParagraph"/>
        <w:ind w:left="1080"/>
        <w:rPr>
          <w:rStyle w:val="Emphasis"/>
          <w:b/>
          <w:bCs/>
          <w:i w:val="0"/>
          <w:iCs w:val="0"/>
        </w:rPr>
      </w:pPr>
      <w:r w:rsidRPr="00AF0566">
        <w:rPr>
          <w:rStyle w:val="Emphasis"/>
          <w:b/>
          <w:bCs/>
          <w:i w:val="0"/>
          <w:iCs w:val="0"/>
        </w:rPr>
        <w:t>12</w:t>
      </w:r>
      <w:r w:rsidR="00313AD2" w:rsidRPr="00AF0566">
        <w:rPr>
          <w:rStyle w:val="Emphasis"/>
          <w:b/>
          <w:bCs/>
          <w:i w:val="0"/>
          <w:iCs w:val="0"/>
        </w:rPr>
        <w:t>)</w:t>
      </w:r>
      <w:r w:rsidRPr="00AF0566">
        <w:rPr>
          <w:rStyle w:val="Emphasis"/>
          <w:b/>
          <w:bCs/>
          <w:i w:val="0"/>
          <w:iCs w:val="0"/>
        </w:rPr>
        <w:tab/>
      </w:r>
      <w:r w:rsidR="00E47A53" w:rsidRPr="00AF0566">
        <w:rPr>
          <w:rStyle w:val="Emphasis"/>
          <w:b/>
          <w:bCs/>
          <w:i w:val="0"/>
          <w:iCs w:val="0"/>
        </w:rPr>
        <w:tab/>
      </w:r>
      <w:r w:rsidRPr="00AF0566">
        <w:rPr>
          <w:rStyle w:val="Emphasis"/>
          <w:b/>
          <w:bCs/>
          <w:i w:val="0"/>
          <w:iCs w:val="0"/>
        </w:rPr>
        <w:t>77</w:t>
      </w:r>
    </w:p>
    <w:p w14:paraId="786C1889" w14:textId="266FB844" w:rsidR="00D4031E" w:rsidRPr="00AF0566" w:rsidRDefault="00D4031E" w:rsidP="00D4031E">
      <w:pPr>
        <w:pStyle w:val="ListParagraph"/>
        <w:ind w:left="1080"/>
        <w:rPr>
          <w:rStyle w:val="Emphasis"/>
          <w:b/>
          <w:bCs/>
          <w:i w:val="0"/>
          <w:iCs w:val="0"/>
        </w:rPr>
      </w:pPr>
      <w:r w:rsidRPr="00AF0566">
        <w:rPr>
          <w:rStyle w:val="Emphasis"/>
          <w:b/>
          <w:bCs/>
          <w:i w:val="0"/>
          <w:iCs w:val="0"/>
        </w:rPr>
        <w:t>13</w:t>
      </w:r>
      <w:r w:rsidR="00313AD2" w:rsidRPr="00AF0566">
        <w:rPr>
          <w:rStyle w:val="Emphasis"/>
          <w:b/>
          <w:bCs/>
          <w:i w:val="0"/>
          <w:iCs w:val="0"/>
        </w:rPr>
        <w:t>)</w:t>
      </w:r>
      <w:r w:rsidRPr="00AF0566">
        <w:rPr>
          <w:rStyle w:val="Emphasis"/>
          <w:b/>
          <w:bCs/>
          <w:i w:val="0"/>
          <w:iCs w:val="0"/>
        </w:rPr>
        <w:tab/>
      </w:r>
      <w:r w:rsidR="00E47A53" w:rsidRPr="00AF0566">
        <w:rPr>
          <w:rStyle w:val="Emphasis"/>
          <w:b/>
          <w:bCs/>
          <w:i w:val="0"/>
          <w:iCs w:val="0"/>
        </w:rPr>
        <w:tab/>
      </w:r>
      <w:r w:rsidRPr="00AF0566">
        <w:rPr>
          <w:rStyle w:val="Emphasis"/>
          <w:b/>
          <w:bCs/>
          <w:i w:val="0"/>
          <w:iCs w:val="0"/>
        </w:rPr>
        <w:t>63</w:t>
      </w:r>
    </w:p>
    <w:p w14:paraId="65F64A16" w14:textId="26FCC878" w:rsidR="00D4031E" w:rsidRPr="00AF0566" w:rsidRDefault="00D4031E" w:rsidP="00D4031E">
      <w:pPr>
        <w:pStyle w:val="ListParagraph"/>
        <w:ind w:left="1080"/>
        <w:rPr>
          <w:rStyle w:val="Emphasis"/>
          <w:b/>
          <w:bCs/>
          <w:i w:val="0"/>
          <w:iCs w:val="0"/>
        </w:rPr>
      </w:pPr>
      <w:r w:rsidRPr="00AF0566">
        <w:rPr>
          <w:rStyle w:val="Emphasis"/>
          <w:b/>
          <w:bCs/>
          <w:i w:val="0"/>
          <w:iCs w:val="0"/>
        </w:rPr>
        <w:t>14</w:t>
      </w:r>
      <w:r w:rsidR="00313AD2" w:rsidRPr="00AF0566">
        <w:rPr>
          <w:rStyle w:val="Emphasis"/>
          <w:b/>
          <w:bCs/>
          <w:i w:val="0"/>
          <w:iCs w:val="0"/>
        </w:rPr>
        <w:t>)</w:t>
      </w:r>
      <w:r w:rsidRPr="00AF0566">
        <w:rPr>
          <w:rStyle w:val="Emphasis"/>
          <w:b/>
          <w:bCs/>
          <w:i w:val="0"/>
          <w:iCs w:val="0"/>
        </w:rPr>
        <w:tab/>
      </w:r>
      <w:r w:rsidR="00E47A53" w:rsidRPr="00AF0566">
        <w:rPr>
          <w:rStyle w:val="Emphasis"/>
          <w:b/>
          <w:bCs/>
          <w:i w:val="0"/>
          <w:iCs w:val="0"/>
        </w:rPr>
        <w:tab/>
      </w:r>
      <w:r w:rsidRPr="00AF0566">
        <w:rPr>
          <w:rStyle w:val="Emphasis"/>
          <w:b/>
          <w:bCs/>
          <w:i w:val="0"/>
          <w:iCs w:val="0"/>
        </w:rPr>
        <w:t>48</w:t>
      </w:r>
    </w:p>
    <w:p w14:paraId="348513D2" w14:textId="4AA36D2C" w:rsidR="00D4031E" w:rsidRPr="00AF0566" w:rsidRDefault="00D4031E" w:rsidP="00D4031E">
      <w:pPr>
        <w:pStyle w:val="ListParagraph"/>
        <w:ind w:left="1080"/>
        <w:rPr>
          <w:rStyle w:val="Emphasis"/>
          <w:b/>
          <w:bCs/>
          <w:i w:val="0"/>
          <w:iCs w:val="0"/>
        </w:rPr>
      </w:pPr>
      <w:r w:rsidRPr="00AF0566">
        <w:rPr>
          <w:rStyle w:val="Emphasis"/>
          <w:b/>
          <w:bCs/>
          <w:i w:val="0"/>
          <w:iCs w:val="0"/>
        </w:rPr>
        <w:t>15</w:t>
      </w:r>
      <w:r w:rsidR="00313AD2" w:rsidRPr="00AF0566">
        <w:rPr>
          <w:rStyle w:val="Emphasis"/>
          <w:b/>
          <w:bCs/>
          <w:i w:val="0"/>
          <w:iCs w:val="0"/>
        </w:rPr>
        <w:t>)</w:t>
      </w:r>
      <w:r w:rsidRPr="00AF0566">
        <w:rPr>
          <w:rStyle w:val="Emphasis"/>
          <w:b/>
          <w:bCs/>
          <w:i w:val="0"/>
          <w:iCs w:val="0"/>
        </w:rPr>
        <w:tab/>
      </w:r>
      <w:r w:rsidR="00E47A53" w:rsidRPr="00AF0566">
        <w:rPr>
          <w:rStyle w:val="Emphasis"/>
          <w:b/>
          <w:bCs/>
          <w:i w:val="0"/>
          <w:iCs w:val="0"/>
        </w:rPr>
        <w:tab/>
      </w:r>
      <w:r w:rsidRPr="00AF0566">
        <w:rPr>
          <w:rStyle w:val="Emphasis"/>
          <w:b/>
          <w:bCs/>
          <w:i w:val="0"/>
          <w:iCs w:val="0"/>
        </w:rPr>
        <w:t>96</w:t>
      </w:r>
    </w:p>
    <w:p w14:paraId="7056335B" w14:textId="7AA0190E" w:rsidR="00D4031E" w:rsidRPr="00AF0566" w:rsidRDefault="00D4031E" w:rsidP="00D4031E">
      <w:pPr>
        <w:pStyle w:val="ListParagraph"/>
        <w:ind w:left="1080"/>
        <w:rPr>
          <w:rStyle w:val="Emphasis"/>
          <w:b/>
          <w:bCs/>
          <w:i w:val="0"/>
          <w:iCs w:val="0"/>
        </w:rPr>
      </w:pPr>
      <w:r w:rsidRPr="00AF0566">
        <w:rPr>
          <w:rStyle w:val="Emphasis"/>
          <w:b/>
          <w:bCs/>
          <w:i w:val="0"/>
          <w:iCs w:val="0"/>
        </w:rPr>
        <w:t>16</w:t>
      </w:r>
      <w:r w:rsidR="00313AD2" w:rsidRPr="00AF0566">
        <w:rPr>
          <w:rStyle w:val="Emphasis"/>
          <w:b/>
          <w:bCs/>
          <w:i w:val="0"/>
          <w:iCs w:val="0"/>
        </w:rPr>
        <w:t>)</w:t>
      </w:r>
      <w:r w:rsidRPr="00AF0566">
        <w:rPr>
          <w:rStyle w:val="Emphasis"/>
          <w:b/>
          <w:bCs/>
          <w:i w:val="0"/>
          <w:iCs w:val="0"/>
        </w:rPr>
        <w:tab/>
      </w:r>
      <w:r w:rsidR="00E47A53" w:rsidRPr="00AF0566">
        <w:rPr>
          <w:rStyle w:val="Emphasis"/>
          <w:b/>
          <w:bCs/>
          <w:i w:val="0"/>
          <w:iCs w:val="0"/>
        </w:rPr>
        <w:tab/>
      </w:r>
      <w:r w:rsidRPr="00AF0566">
        <w:rPr>
          <w:rStyle w:val="Emphasis"/>
          <w:b/>
          <w:bCs/>
          <w:i w:val="0"/>
          <w:iCs w:val="0"/>
        </w:rPr>
        <w:t>128</w:t>
      </w:r>
    </w:p>
    <w:p w14:paraId="35FD229F" w14:textId="6AEE39C0" w:rsidR="00D4031E" w:rsidRPr="00AF0566" w:rsidRDefault="00D4031E" w:rsidP="00D4031E">
      <w:pPr>
        <w:pStyle w:val="ListParagraph"/>
        <w:ind w:left="1080"/>
        <w:rPr>
          <w:rStyle w:val="Emphasis"/>
          <w:b/>
          <w:bCs/>
          <w:i w:val="0"/>
          <w:iCs w:val="0"/>
        </w:rPr>
      </w:pPr>
      <w:r w:rsidRPr="00AF0566">
        <w:rPr>
          <w:rStyle w:val="Emphasis"/>
          <w:b/>
          <w:bCs/>
          <w:i w:val="0"/>
          <w:iCs w:val="0"/>
        </w:rPr>
        <w:t>17</w:t>
      </w:r>
      <w:r w:rsidR="00313AD2" w:rsidRPr="00AF0566">
        <w:rPr>
          <w:rStyle w:val="Emphasis"/>
          <w:b/>
          <w:bCs/>
          <w:i w:val="0"/>
          <w:iCs w:val="0"/>
        </w:rPr>
        <w:t>)</w:t>
      </w:r>
      <w:r w:rsidRPr="00AF0566">
        <w:rPr>
          <w:rStyle w:val="Emphasis"/>
          <w:b/>
          <w:bCs/>
          <w:i w:val="0"/>
          <w:iCs w:val="0"/>
        </w:rPr>
        <w:tab/>
      </w:r>
      <w:r w:rsidR="00E47A53" w:rsidRPr="00AF0566">
        <w:rPr>
          <w:rStyle w:val="Emphasis"/>
          <w:b/>
          <w:bCs/>
          <w:i w:val="0"/>
          <w:iCs w:val="0"/>
        </w:rPr>
        <w:tab/>
      </w:r>
      <w:r w:rsidRPr="00AF0566">
        <w:rPr>
          <w:rStyle w:val="Emphasis"/>
          <w:b/>
          <w:bCs/>
          <w:i w:val="0"/>
          <w:iCs w:val="0"/>
        </w:rPr>
        <w:t>93</w:t>
      </w:r>
    </w:p>
    <w:p w14:paraId="4B25EB47" w14:textId="502A6AC4" w:rsidR="00D4031E" w:rsidRPr="00AF0566" w:rsidRDefault="00D4031E" w:rsidP="00D4031E">
      <w:pPr>
        <w:pStyle w:val="ListParagraph"/>
        <w:ind w:left="1080"/>
        <w:rPr>
          <w:rStyle w:val="Emphasis"/>
          <w:b/>
          <w:bCs/>
          <w:i w:val="0"/>
          <w:iCs w:val="0"/>
        </w:rPr>
      </w:pPr>
      <w:r w:rsidRPr="00AF0566">
        <w:rPr>
          <w:rStyle w:val="Emphasis"/>
          <w:b/>
          <w:bCs/>
          <w:i w:val="0"/>
          <w:iCs w:val="0"/>
        </w:rPr>
        <w:t>18</w:t>
      </w:r>
      <w:r w:rsidR="002A3992" w:rsidRPr="00AF0566">
        <w:rPr>
          <w:rStyle w:val="Emphasis"/>
          <w:b/>
          <w:bCs/>
          <w:i w:val="0"/>
          <w:iCs w:val="0"/>
        </w:rPr>
        <w:t xml:space="preserve">) </w:t>
      </w:r>
      <w:r w:rsidR="00E47A53" w:rsidRPr="00AF0566">
        <w:rPr>
          <w:rStyle w:val="Emphasis"/>
          <w:b/>
          <w:bCs/>
          <w:i w:val="0"/>
          <w:iCs w:val="0"/>
        </w:rPr>
        <w:tab/>
      </w:r>
      <w:r w:rsidR="002A3992" w:rsidRPr="00AF0566">
        <w:rPr>
          <w:rStyle w:val="Emphasis"/>
          <w:b/>
          <w:bCs/>
          <w:i w:val="0"/>
          <w:iCs w:val="0"/>
        </w:rPr>
        <w:t>8</w:t>
      </w:r>
      <w:r w:rsidRPr="00AF0566">
        <w:rPr>
          <w:rStyle w:val="Emphasis"/>
          <w:b/>
          <w:bCs/>
          <w:i w:val="0"/>
          <w:iCs w:val="0"/>
        </w:rPr>
        <w:t>8</w:t>
      </w:r>
    </w:p>
    <w:p w14:paraId="7C032E9F" w14:textId="2F67AB52" w:rsidR="005A5B69" w:rsidRPr="00AF0566" w:rsidRDefault="00D4031E" w:rsidP="00D4031E">
      <w:pPr>
        <w:pStyle w:val="ListParagraph"/>
        <w:ind w:left="1080"/>
        <w:rPr>
          <w:rStyle w:val="Emphasis"/>
          <w:b/>
          <w:bCs/>
          <w:i w:val="0"/>
          <w:iCs w:val="0"/>
        </w:rPr>
      </w:pPr>
      <w:r w:rsidRPr="00AF0566">
        <w:rPr>
          <w:rStyle w:val="Emphasis"/>
          <w:b/>
          <w:bCs/>
          <w:i w:val="0"/>
          <w:iCs w:val="0"/>
        </w:rPr>
        <w:t>Grand Total</w:t>
      </w:r>
      <w:r w:rsidR="002A3992" w:rsidRPr="00AF0566">
        <w:rPr>
          <w:rStyle w:val="Emphasis"/>
          <w:b/>
          <w:bCs/>
          <w:i w:val="0"/>
          <w:iCs w:val="0"/>
        </w:rPr>
        <w:t>:</w:t>
      </w:r>
      <w:r w:rsidRPr="00AF0566">
        <w:rPr>
          <w:rStyle w:val="Emphasis"/>
          <w:b/>
          <w:bCs/>
          <w:i w:val="0"/>
          <w:iCs w:val="0"/>
        </w:rPr>
        <w:t>1879</w:t>
      </w:r>
    </w:p>
    <w:p w14:paraId="1FADB51C" w14:textId="77777777" w:rsidR="009D6AA9" w:rsidRPr="00874F20" w:rsidRDefault="009D6AA9" w:rsidP="00874F20">
      <w:pPr>
        <w:rPr>
          <w:rStyle w:val="Emphasis"/>
          <w:i w:val="0"/>
        </w:rPr>
      </w:pPr>
    </w:p>
    <w:p w14:paraId="35851741" w14:textId="43575F58" w:rsidR="00874F20" w:rsidRPr="00874F20" w:rsidRDefault="00874F20" w:rsidP="00874F20">
      <w:pPr>
        <w:pStyle w:val="ListParagraph"/>
        <w:numPr>
          <w:ilvl w:val="0"/>
          <w:numId w:val="20"/>
        </w:numPr>
        <w:rPr>
          <w:rStyle w:val="Emphasis"/>
          <w:i w:val="0"/>
        </w:rPr>
      </w:pPr>
      <w:r w:rsidRPr="00874F20">
        <w:rPr>
          <w:rStyle w:val="Emphasis"/>
          <w:i w:val="0"/>
        </w:rPr>
        <w:t>Email David (</w:t>
      </w:r>
      <w:hyperlink r:id="rId10" w:history="1">
        <w:r w:rsidRPr="00874F20">
          <w:rPr>
            <w:rStyle w:val="Hyperlink"/>
            <w:i/>
          </w:rPr>
          <w:t>david.reed@dcs.in.gov</w:t>
        </w:r>
      </w:hyperlink>
      <w:r w:rsidRPr="00874F20">
        <w:rPr>
          <w:rStyle w:val="Emphasis"/>
          <w:i w:val="0"/>
        </w:rPr>
        <w:t xml:space="preserve">) separately to receive a breakdown per county.  </w:t>
      </w:r>
    </w:p>
    <w:p w14:paraId="1BEF7530" w14:textId="22FC74D2" w:rsidR="003A29C2" w:rsidRDefault="003A29C2" w:rsidP="005B0773">
      <w:pPr>
        <w:pStyle w:val="ListParagraph"/>
        <w:ind w:left="1080"/>
        <w:rPr>
          <w:rStyle w:val="Emphasis"/>
        </w:rPr>
      </w:pPr>
    </w:p>
    <w:p w14:paraId="1FC4C499" w14:textId="77777777" w:rsidR="002A15F1" w:rsidRDefault="002A15F1" w:rsidP="00CF3775">
      <w:pPr>
        <w:rPr>
          <w:rStyle w:val="Emphasis"/>
        </w:rPr>
      </w:pPr>
    </w:p>
    <w:p w14:paraId="2D2D9A51" w14:textId="19DE9C67" w:rsidR="007639CA" w:rsidRPr="00A57096" w:rsidRDefault="007639CA" w:rsidP="001C7E3A">
      <w:pPr>
        <w:pStyle w:val="ListParagraph"/>
        <w:numPr>
          <w:ilvl w:val="0"/>
          <w:numId w:val="1"/>
        </w:numPr>
        <w:rPr>
          <w:rStyle w:val="Emphasis"/>
        </w:rPr>
      </w:pPr>
      <w:r w:rsidRPr="00A57096">
        <w:rPr>
          <w:rStyle w:val="Emphasis"/>
        </w:rPr>
        <w:t>Questions submitted:</w:t>
      </w:r>
    </w:p>
    <w:p w14:paraId="013E431D" w14:textId="0FCE143E" w:rsidR="00874F20" w:rsidRPr="00A57096" w:rsidRDefault="00874F20" w:rsidP="00874F20">
      <w:pPr>
        <w:pStyle w:val="ListParagraph"/>
        <w:numPr>
          <w:ilvl w:val="0"/>
          <w:numId w:val="19"/>
        </w:numPr>
        <w:rPr>
          <w:iCs/>
        </w:rPr>
      </w:pPr>
      <w:r w:rsidRPr="00A57096">
        <w:rPr>
          <w:i/>
          <w:iCs/>
        </w:rPr>
        <w:tab/>
      </w:r>
      <w:r w:rsidRPr="00A57096">
        <w:rPr>
          <w:iCs/>
        </w:rPr>
        <w:t xml:space="preserve">If we are providing Healthy Families to a family and it becomes a FP by another provider how do we get paid for </w:t>
      </w:r>
    </w:p>
    <w:p w14:paraId="09F1797B" w14:textId="10CBC8E3" w:rsidR="00874F20" w:rsidRPr="00A57096" w:rsidRDefault="00874F20" w:rsidP="00874F20">
      <w:pPr>
        <w:pStyle w:val="ListParagraph"/>
        <w:ind w:left="1440"/>
        <w:rPr>
          <w:iCs/>
        </w:rPr>
      </w:pPr>
      <w:r w:rsidRPr="00A57096">
        <w:rPr>
          <w:iCs/>
        </w:rPr>
        <w:t xml:space="preserve">A: Ideally in this case the same provider who is providing Healthy Families could get the referral for Family Preservation and the Healthy Families referral could cancel. If that’s not possible </w:t>
      </w:r>
      <w:r w:rsidR="00A57096">
        <w:rPr>
          <w:iCs/>
        </w:rPr>
        <w:t xml:space="preserve">and there is a clear need to keep both HFI in place while the family is participating in INFPS, </w:t>
      </w:r>
      <w:r w:rsidRPr="00A57096">
        <w:rPr>
          <w:iCs/>
        </w:rPr>
        <w:t>this can be billed separately.</w:t>
      </w:r>
      <w:r w:rsidR="00A57096">
        <w:rPr>
          <w:iCs/>
        </w:rPr>
        <w:t xml:space="preserve"> Again, however, we would prefer that only one provider be working with a family at a </w:t>
      </w:r>
      <w:r w:rsidR="00A57096">
        <w:rPr>
          <w:iCs/>
        </w:rPr>
        <w:lastRenderedPageBreak/>
        <w:t>time, so, ideally if a family is receiving HFI and they become an in-home CHINS or IA, efforts should be made to have the HFI provider receive the INFPS referral so that there would only be one provider agency involved with the family, and the family can receive HFI through INFPS.</w:t>
      </w:r>
      <w:r w:rsidRPr="00A57096">
        <w:rPr>
          <w:iCs/>
        </w:rPr>
        <w:t xml:space="preserve"> </w:t>
      </w:r>
    </w:p>
    <w:p w14:paraId="35C1221C" w14:textId="6BBF553E" w:rsidR="000C1032" w:rsidRPr="00A57096" w:rsidRDefault="000C1032" w:rsidP="00A57096">
      <w:pPr>
        <w:pStyle w:val="ListParagraph"/>
        <w:numPr>
          <w:ilvl w:val="0"/>
          <w:numId w:val="19"/>
        </w:numPr>
        <w:rPr>
          <w:iCs/>
        </w:rPr>
      </w:pPr>
      <w:r w:rsidRPr="00A57096">
        <w:rPr>
          <w:iCs/>
        </w:rPr>
        <w:t>Should we accept an FP case that speaks a different language and use a translator service? Or reject it for the FCM to search for another agency that speaks that language?</w:t>
      </w:r>
    </w:p>
    <w:p w14:paraId="7FEC2DC6" w14:textId="05B24AA1" w:rsidR="000C1032" w:rsidRDefault="000C1032" w:rsidP="000C1032">
      <w:pPr>
        <w:pStyle w:val="ListParagraph"/>
        <w:ind w:left="1440"/>
        <w:rPr>
          <w:iCs/>
        </w:rPr>
      </w:pPr>
      <w:r w:rsidRPr="00A57096">
        <w:rPr>
          <w:iCs/>
        </w:rPr>
        <w:t>A: Service Standard for Family Preservation has the same translation service caused as all other service standards.  Interpreter services can be included on the referral.</w:t>
      </w:r>
      <w:r w:rsidRPr="000C1032">
        <w:rPr>
          <w:iCs/>
        </w:rPr>
        <w:t xml:space="preserve"> </w:t>
      </w:r>
    </w:p>
    <w:p w14:paraId="23E5A375" w14:textId="4A206CBA" w:rsidR="000C1032" w:rsidRDefault="000C1032" w:rsidP="000C1032">
      <w:pPr>
        <w:pStyle w:val="ListParagraph"/>
        <w:numPr>
          <w:ilvl w:val="0"/>
          <w:numId w:val="19"/>
        </w:numPr>
        <w:rPr>
          <w:iCs/>
        </w:rPr>
      </w:pPr>
      <w:r w:rsidRPr="000C1032">
        <w:rPr>
          <w:iCs/>
        </w:rPr>
        <w:t>I know you have addressed this in previous meetings as well - but providers are not required to upload weekly assessments/notes in KT, correct?</w:t>
      </w:r>
    </w:p>
    <w:p w14:paraId="13311ED1" w14:textId="2FD9047C" w:rsidR="000C1032" w:rsidRPr="000C1032" w:rsidRDefault="000C1032" w:rsidP="000C1032">
      <w:pPr>
        <w:pStyle w:val="ListParagraph"/>
        <w:ind w:left="1440"/>
        <w:rPr>
          <w:iCs/>
        </w:rPr>
      </w:pPr>
      <w:r>
        <w:rPr>
          <w:iCs/>
        </w:rPr>
        <w:t xml:space="preserve">A: That’s correct.  This does not have to be uploaded individually but this should be documented in the monthly report. </w:t>
      </w:r>
    </w:p>
    <w:p w14:paraId="58F7EB85" w14:textId="0ABB27C0" w:rsidR="000C1032" w:rsidRPr="000C1032" w:rsidRDefault="000C1032" w:rsidP="000C1032">
      <w:pPr>
        <w:pStyle w:val="ListParagraph"/>
        <w:numPr>
          <w:ilvl w:val="0"/>
          <w:numId w:val="19"/>
        </w:numPr>
        <w:rPr>
          <w:iCs/>
        </w:rPr>
      </w:pPr>
      <w:r w:rsidRPr="000C1032">
        <w:rPr>
          <w:iCs/>
        </w:rPr>
        <w:t>If we have a family that is resistant and we are only getting in one meeting a month we were told that we would need special permission from you or Austin for billing, is that accurate?</w:t>
      </w:r>
    </w:p>
    <w:p w14:paraId="3A131FE3" w14:textId="26361613" w:rsidR="000C1032" w:rsidRPr="00874F20" w:rsidRDefault="000C1032" w:rsidP="000C1032">
      <w:pPr>
        <w:pStyle w:val="ListParagraph"/>
        <w:ind w:left="1440"/>
        <w:rPr>
          <w:iCs/>
        </w:rPr>
      </w:pPr>
      <w:r w:rsidRPr="000C1032">
        <w:rPr>
          <w:iCs/>
        </w:rPr>
        <w:t xml:space="preserve">A: We know some families will be resistant. We want providers to keep trying. Call the FCM every week after making multiple contact attempts and documenting them. Then there shouldn’t be a problem with reimbursement. Send David the specific monthly report that was submitted with the invoice so we can look into giving that approval. </w:t>
      </w:r>
    </w:p>
    <w:p w14:paraId="08CE31B0" w14:textId="77777777" w:rsidR="0026549F" w:rsidRPr="000C1032" w:rsidRDefault="0026549F" w:rsidP="000C1032">
      <w:pPr>
        <w:pStyle w:val="ListParagraph"/>
        <w:ind w:left="1440"/>
        <w:rPr>
          <w:i/>
        </w:rPr>
      </w:pPr>
    </w:p>
    <w:p w14:paraId="1FADB51D" w14:textId="38F88D4A" w:rsidR="001C7E3A" w:rsidRPr="009D6AA9" w:rsidRDefault="001C7E3A" w:rsidP="00A52366">
      <w:pPr>
        <w:pStyle w:val="ListParagraph"/>
        <w:numPr>
          <w:ilvl w:val="0"/>
          <w:numId w:val="1"/>
        </w:numPr>
        <w:rPr>
          <w:rStyle w:val="Emphasis"/>
        </w:rPr>
      </w:pPr>
      <w:r w:rsidRPr="009D6AA9">
        <w:rPr>
          <w:rStyle w:val="Emphasis"/>
        </w:rPr>
        <w:t>Anything else?</w:t>
      </w:r>
    </w:p>
    <w:p w14:paraId="1FADB51E" w14:textId="77777777" w:rsidR="001C7E3A" w:rsidRPr="009D6AA9" w:rsidRDefault="001C7E3A" w:rsidP="001C7E3A">
      <w:pPr>
        <w:pStyle w:val="ListParagraph"/>
        <w:ind w:left="1080"/>
        <w:rPr>
          <w:rStyle w:val="Emphasis"/>
        </w:rPr>
      </w:pPr>
    </w:p>
    <w:p w14:paraId="1FADB51F" w14:textId="47A10110" w:rsidR="001C7E3A" w:rsidRDefault="001C7E3A" w:rsidP="00A52366">
      <w:pPr>
        <w:pStyle w:val="ListParagraph"/>
        <w:numPr>
          <w:ilvl w:val="0"/>
          <w:numId w:val="1"/>
        </w:numPr>
        <w:rPr>
          <w:rStyle w:val="Emphasis"/>
        </w:rPr>
      </w:pPr>
      <w:r w:rsidRPr="009D6AA9">
        <w:rPr>
          <w:rStyle w:val="Emphasis"/>
        </w:rPr>
        <w:t>Next m</w:t>
      </w:r>
      <w:r w:rsidR="007D76B7">
        <w:rPr>
          <w:rStyle w:val="Emphasis"/>
        </w:rPr>
        <w:t xml:space="preserve">eeting </w:t>
      </w:r>
      <w:r w:rsidR="00CF3775">
        <w:rPr>
          <w:rStyle w:val="Emphasis"/>
        </w:rPr>
        <w:t>3</w:t>
      </w:r>
      <w:r w:rsidR="00AF0566">
        <w:rPr>
          <w:rStyle w:val="Emphasis"/>
        </w:rPr>
        <w:t>/</w:t>
      </w:r>
      <w:r w:rsidR="007312FB">
        <w:rPr>
          <w:rStyle w:val="Emphasis"/>
        </w:rPr>
        <w:t>12</w:t>
      </w:r>
      <w:r w:rsidR="00DD0B6E">
        <w:rPr>
          <w:rStyle w:val="Emphasis"/>
        </w:rPr>
        <w:t>/</w:t>
      </w:r>
      <w:r w:rsidR="00850970">
        <w:rPr>
          <w:rStyle w:val="Emphasis"/>
        </w:rPr>
        <w:t>2021</w:t>
      </w:r>
      <w:r w:rsidRPr="009D6AA9">
        <w:rPr>
          <w:rStyle w:val="Emphasis"/>
        </w:rPr>
        <w:t xml:space="preserve"> @ 1:00 E</w:t>
      </w:r>
      <w:r w:rsidR="00DD0B6E">
        <w:rPr>
          <w:rStyle w:val="Emphasis"/>
        </w:rPr>
        <w:t>S</w:t>
      </w:r>
      <w:r w:rsidRPr="009D6AA9">
        <w:rPr>
          <w:rStyle w:val="Emphasis"/>
        </w:rPr>
        <w:t>T</w:t>
      </w:r>
      <w:r w:rsidR="002F38EB">
        <w:rPr>
          <w:rStyle w:val="Emphasis"/>
        </w:rPr>
        <w:t xml:space="preserve"> </w:t>
      </w:r>
    </w:p>
    <w:p w14:paraId="323EB11A" w14:textId="77777777" w:rsidR="00A22FAC" w:rsidRDefault="00A22FAC" w:rsidP="00A22FAC">
      <w:pPr>
        <w:pStyle w:val="ListParagraph"/>
        <w:rPr>
          <w:rStyle w:val="Emphasis"/>
        </w:rPr>
      </w:pPr>
    </w:p>
    <w:p w14:paraId="653B6280" w14:textId="7F6E226C" w:rsidR="00A22FAC" w:rsidRDefault="00A22FAC" w:rsidP="00A22FAC">
      <w:pPr>
        <w:rPr>
          <w:rStyle w:val="Emphasis"/>
        </w:rPr>
      </w:pPr>
    </w:p>
    <w:p w14:paraId="1FADB522" w14:textId="68BDDA38" w:rsidR="001C7E3A" w:rsidRPr="009D6AA9" w:rsidRDefault="002F38EB" w:rsidP="00A22FAC">
      <w:pPr>
        <w:rPr>
          <w:rStyle w:val="Emphasis"/>
        </w:rPr>
      </w:pPr>
      <w:r>
        <w:rPr>
          <w:rStyle w:val="Emphasis"/>
        </w:rPr>
        <w:t>THANK YOU!</w:t>
      </w:r>
    </w:p>
    <w:sectPr w:rsidR="001C7E3A" w:rsidRPr="009D6A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456E8"/>
    <w:multiLevelType w:val="hybridMultilevel"/>
    <w:tmpl w:val="F7A2AC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ADF2D73"/>
    <w:multiLevelType w:val="hybridMultilevel"/>
    <w:tmpl w:val="9F0E4718"/>
    <w:lvl w:ilvl="0" w:tplc="CAACC26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AF223CE"/>
    <w:multiLevelType w:val="hybridMultilevel"/>
    <w:tmpl w:val="9EBAB5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B83495B"/>
    <w:multiLevelType w:val="hybridMultilevel"/>
    <w:tmpl w:val="C86A484E"/>
    <w:lvl w:ilvl="0" w:tplc="45B82B26">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0E261FD"/>
    <w:multiLevelType w:val="hybridMultilevel"/>
    <w:tmpl w:val="EA02FFB6"/>
    <w:lvl w:ilvl="0" w:tplc="014E4866">
      <w:start w:val="1"/>
      <w:numFmt w:val="decimal"/>
      <w:lvlText w:val="%1."/>
      <w:lvlJc w:val="left"/>
      <w:pPr>
        <w:ind w:left="1440" w:hanging="360"/>
      </w:pPr>
      <w:rPr>
        <w:rFonts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B91F0F"/>
    <w:multiLevelType w:val="hybridMultilevel"/>
    <w:tmpl w:val="4F5252AE"/>
    <w:lvl w:ilvl="0" w:tplc="89223DF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AF42ED2"/>
    <w:multiLevelType w:val="hybridMultilevel"/>
    <w:tmpl w:val="F07AF75A"/>
    <w:lvl w:ilvl="0" w:tplc="ED4AF60C">
      <w:start w:val="6"/>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EC92EBD"/>
    <w:multiLevelType w:val="multilevel"/>
    <w:tmpl w:val="A8C0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994DA0"/>
    <w:multiLevelType w:val="hybridMultilevel"/>
    <w:tmpl w:val="B014A638"/>
    <w:lvl w:ilvl="0" w:tplc="474815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3B65F4D"/>
    <w:multiLevelType w:val="hybridMultilevel"/>
    <w:tmpl w:val="B6B849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4A2473A"/>
    <w:multiLevelType w:val="hybridMultilevel"/>
    <w:tmpl w:val="678E3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8604A4"/>
    <w:multiLevelType w:val="hybridMultilevel"/>
    <w:tmpl w:val="A9384DE0"/>
    <w:lvl w:ilvl="0" w:tplc="06D09A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8A06621"/>
    <w:multiLevelType w:val="hybridMultilevel"/>
    <w:tmpl w:val="B13CF4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A643206"/>
    <w:multiLevelType w:val="hybridMultilevel"/>
    <w:tmpl w:val="218A18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3E05BC5"/>
    <w:multiLevelType w:val="hybridMultilevel"/>
    <w:tmpl w:val="3E3A9958"/>
    <w:lvl w:ilvl="0" w:tplc="3D30AB3A">
      <w:start w:val="1"/>
      <w:numFmt w:val="upperRoman"/>
      <w:lvlText w:val="%1."/>
      <w:lvlJc w:val="left"/>
      <w:pPr>
        <w:ind w:left="1080" w:hanging="72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553090"/>
    <w:multiLevelType w:val="hybridMultilevel"/>
    <w:tmpl w:val="729A17C0"/>
    <w:lvl w:ilvl="0" w:tplc="C26E759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4E015F0"/>
    <w:multiLevelType w:val="hybridMultilevel"/>
    <w:tmpl w:val="4F5288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FD67D61"/>
    <w:multiLevelType w:val="hybridMultilevel"/>
    <w:tmpl w:val="DA766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FF7046D"/>
    <w:multiLevelType w:val="hybridMultilevel"/>
    <w:tmpl w:val="A3DE14F0"/>
    <w:lvl w:ilvl="0" w:tplc="7FDA4AA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
  </w:num>
  <w:num w:numId="3">
    <w:abstractNumId w:val="10"/>
  </w:num>
  <w:num w:numId="4">
    <w:abstractNumId w:val="6"/>
  </w:num>
  <w:num w:numId="5">
    <w:abstractNumId w:val="18"/>
  </w:num>
  <w:num w:numId="6">
    <w:abstractNumId w:val="8"/>
  </w:num>
  <w:num w:numId="7">
    <w:abstractNumId w:val="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7"/>
  </w:num>
  <w:num w:numId="16">
    <w:abstractNumId w:val="0"/>
  </w:num>
  <w:num w:numId="17">
    <w:abstractNumId w:val="12"/>
  </w:num>
  <w:num w:numId="18">
    <w:abstractNumId w:val="17"/>
  </w:num>
  <w:num w:numId="19">
    <w:abstractNumId w:val="16"/>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DD3"/>
    <w:rsid w:val="00020C45"/>
    <w:rsid w:val="000659E9"/>
    <w:rsid w:val="000B41F6"/>
    <w:rsid w:val="000C1032"/>
    <w:rsid w:val="000E4E90"/>
    <w:rsid w:val="00106505"/>
    <w:rsid w:val="00115C2B"/>
    <w:rsid w:val="001204B4"/>
    <w:rsid w:val="001408D7"/>
    <w:rsid w:val="001432EA"/>
    <w:rsid w:val="00174BCA"/>
    <w:rsid w:val="00194165"/>
    <w:rsid w:val="001974DA"/>
    <w:rsid w:val="001C6C39"/>
    <w:rsid w:val="001C7E3A"/>
    <w:rsid w:val="001F0682"/>
    <w:rsid w:val="00205B54"/>
    <w:rsid w:val="002202AC"/>
    <w:rsid w:val="00224C8A"/>
    <w:rsid w:val="0026549F"/>
    <w:rsid w:val="0029568E"/>
    <w:rsid w:val="002A15F1"/>
    <w:rsid w:val="002A3992"/>
    <w:rsid w:val="002A39F9"/>
    <w:rsid w:val="002D6063"/>
    <w:rsid w:val="002E26EB"/>
    <w:rsid w:val="002F38EB"/>
    <w:rsid w:val="00305C4D"/>
    <w:rsid w:val="003103F6"/>
    <w:rsid w:val="00313AD2"/>
    <w:rsid w:val="003524B0"/>
    <w:rsid w:val="00362E04"/>
    <w:rsid w:val="00397F4B"/>
    <w:rsid w:val="003A29C2"/>
    <w:rsid w:val="003F6F52"/>
    <w:rsid w:val="004028F6"/>
    <w:rsid w:val="00410425"/>
    <w:rsid w:val="00427D55"/>
    <w:rsid w:val="00454D4D"/>
    <w:rsid w:val="00473A3B"/>
    <w:rsid w:val="004965EC"/>
    <w:rsid w:val="004A78BE"/>
    <w:rsid w:val="004D3C86"/>
    <w:rsid w:val="004E10B5"/>
    <w:rsid w:val="00513539"/>
    <w:rsid w:val="005443AE"/>
    <w:rsid w:val="00554A40"/>
    <w:rsid w:val="0056146F"/>
    <w:rsid w:val="00562482"/>
    <w:rsid w:val="00575228"/>
    <w:rsid w:val="005A5B69"/>
    <w:rsid w:val="005A5F81"/>
    <w:rsid w:val="005B0773"/>
    <w:rsid w:val="006047B4"/>
    <w:rsid w:val="00622966"/>
    <w:rsid w:val="00663480"/>
    <w:rsid w:val="006832FC"/>
    <w:rsid w:val="006834E0"/>
    <w:rsid w:val="006B4B9F"/>
    <w:rsid w:val="006D794A"/>
    <w:rsid w:val="006E4562"/>
    <w:rsid w:val="006F26A8"/>
    <w:rsid w:val="006F7D1E"/>
    <w:rsid w:val="0070098D"/>
    <w:rsid w:val="007066CC"/>
    <w:rsid w:val="00707FAA"/>
    <w:rsid w:val="007114C8"/>
    <w:rsid w:val="007312FB"/>
    <w:rsid w:val="00745E2B"/>
    <w:rsid w:val="007639CA"/>
    <w:rsid w:val="007643FA"/>
    <w:rsid w:val="007745F0"/>
    <w:rsid w:val="007B5471"/>
    <w:rsid w:val="007D76B7"/>
    <w:rsid w:val="007E7B16"/>
    <w:rsid w:val="00830553"/>
    <w:rsid w:val="00850970"/>
    <w:rsid w:val="008623A1"/>
    <w:rsid w:val="00871757"/>
    <w:rsid w:val="00874F20"/>
    <w:rsid w:val="00885FCA"/>
    <w:rsid w:val="0089392A"/>
    <w:rsid w:val="008D23CD"/>
    <w:rsid w:val="009066B3"/>
    <w:rsid w:val="00920DD3"/>
    <w:rsid w:val="00974275"/>
    <w:rsid w:val="009838D1"/>
    <w:rsid w:val="00993549"/>
    <w:rsid w:val="009B5F9B"/>
    <w:rsid w:val="009D6AA9"/>
    <w:rsid w:val="00A17ED9"/>
    <w:rsid w:val="00A22FAC"/>
    <w:rsid w:val="00A33C75"/>
    <w:rsid w:val="00A4307A"/>
    <w:rsid w:val="00A52366"/>
    <w:rsid w:val="00A57096"/>
    <w:rsid w:val="00A60F46"/>
    <w:rsid w:val="00A915BF"/>
    <w:rsid w:val="00A95B37"/>
    <w:rsid w:val="00AC5485"/>
    <w:rsid w:val="00AD6EB8"/>
    <w:rsid w:val="00AF0566"/>
    <w:rsid w:val="00AF3C1C"/>
    <w:rsid w:val="00B246ED"/>
    <w:rsid w:val="00B2674A"/>
    <w:rsid w:val="00B472D7"/>
    <w:rsid w:val="00BA4C1E"/>
    <w:rsid w:val="00BC719F"/>
    <w:rsid w:val="00BD625A"/>
    <w:rsid w:val="00BE3491"/>
    <w:rsid w:val="00C17897"/>
    <w:rsid w:val="00C21D6D"/>
    <w:rsid w:val="00C427DE"/>
    <w:rsid w:val="00C457E2"/>
    <w:rsid w:val="00C535F0"/>
    <w:rsid w:val="00C71BE2"/>
    <w:rsid w:val="00CB1C6A"/>
    <w:rsid w:val="00CF2265"/>
    <w:rsid w:val="00CF3775"/>
    <w:rsid w:val="00D12AD0"/>
    <w:rsid w:val="00D4031E"/>
    <w:rsid w:val="00D456AE"/>
    <w:rsid w:val="00D519D0"/>
    <w:rsid w:val="00D65614"/>
    <w:rsid w:val="00D70E88"/>
    <w:rsid w:val="00DB7A16"/>
    <w:rsid w:val="00DC31BF"/>
    <w:rsid w:val="00DD0B6E"/>
    <w:rsid w:val="00DE40E2"/>
    <w:rsid w:val="00DF20D5"/>
    <w:rsid w:val="00E0554A"/>
    <w:rsid w:val="00E06B7F"/>
    <w:rsid w:val="00E114A9"/>
    <w:rsid w:val="00E21FE0"/>
    <w:rsid w:val="00E45182"/>
    <w:rsid w:val="00E47A53"/>
    <w:rsid w:val="00E801B7"/>
    <w:rsid w:val="00EC1C0D"/>
    <w:rsid w:val="00EF5B5A"/>
    <w:rsid w:val="00EF6CED"/>
    <w:rsid w:val="00F14C2C"/>
    <w:rsid w:val="00F14DA8"/>
    <w:rsid w:val="00F33D95"/>
    <w:rsid w:val="00F44E06"/>
    <w:rsid w:val="00F46A07"/>
    <w:rsid w:val="00F50457"/>
    <w:rsid w:val="00F57041"/>
    <w:rsid w:val="00F75D50"/>
    <w:rsid w:val="00F87186"/>
    <w:rsid w:val="00FB242B"/>
    <w:rsid w:val="00FC1015"/>
    <w:rsid w:val="00FF36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DB4B9"/>
  <w15:chartTrackingRefBased/>
  <w15:docId w15:val="{239DC36C-4D68-4557-B737-336F5CA2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DD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568E"/>
    <w:rPr>
      <w:i/>
      <w:iCs/>
    </w:rPr>
  </w:style>
  <w:style w:type="paragraph" w:styleId="NoSpacing">
    <w:name w:val="No Spacing"/>
    <w:uiPriority w:val="1"/>
    <w:qFormat/>
    <w:rsid w:val="0029568E"/>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9568E"/>
    <w:pPr>
      <w:ind w:left="720"/>
      <w:contextualSpacing/>
    </w:pPr>
  </w:style>
  <w:style w:type="table" w:styleId="TableGrid">
    <w:name w:val="Table Grid"/>
    <w:basedOn w:val="TableNormal"/>
    <w:uiPriority w:val="39"/>
    <w:rsid w:val="001C7E3A"/>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B5471"/>
    <w:rPr>
      <w:color w:val="0563C1" w:themeColor="hyperlink"/>
      <w:u w:val="single"/>
    </w:rPr>
  </w:style>
  <w:style w:type="paragraph" w:styleId="BalloonText">
    <w:name w:val="Balloon Text"/>
    <w:basedOn w:val="Normal"/>
    <w:link w:val="BalloonTextChar"/>
    <w:uiPriority w:val="99"/>
    <w:semiHidden/>
    <w:unhideWhenUsed/>
    <w:rsid w:val="007009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98D"/>
    <w:rPr>
      <w:rFonts w:ascii="Segoe UI" w:hAnsi="Segoe UI" w:cs="Segoe UI"/>
      <w:sz w:val="18"/>
      <w:szCs w:val="18"/>
    </w:rPr>
  </w:style>
  <w:style w:type="paragraph" w:styleId="PlainText">
    <w:name w:val="Plain Text"/>
    <w:basedOn w:val="Normal"/>
    <w:link w:val="PlainTextChar"/>
    <w:uiPriority w:val="99"/>
    <w:unhideWhenUsed/>
    <w:rsid w:val="00A95B37"/>
    <w:rPr>
      <w:rFonts w:ascii="Calibri" w:hAnsi="Calibri" w:cstheme="minorBidi"/>
      <w:sz w:val="22"/>
      <w:szCs w:val="21"/>
    </w:rPr>
  </w:style>
  <w:style w:type="character" w:customStyle="1" w:styleId="PlainTextChar">
    <w:name w:val="Plain Text Char"/>
    <w:basedOn w:val="DefaultParagraphFont"/>
    <w:link w:val="PlainText"/>
    <w:uiPriority w:val="99"/>
    <w:rsid w:val="00A95B37"/>
    <w:rPr>
      <w:rFonts w:ascii="Calibri" w:hAnsi="Calibri"/>
      <w:szCs w:val="21"/>
    </w:rPr>
  </w:style>
  <w:style w:type="character" w:customStyle="1" w:styleId="UnresolvedMention1">
    <w:name w:val="Unresolved Mention1"/>
    <w:basedOn w:val="DefaultParagraphFont"/>
    <w:uiPriority w:val="99"/>
    <w:semiHidden/>
    <w:unhideWhenUsed/>
    <w:rsid w:val="00830553"/>
    <w:rPr>
      <w:color w:val="605E5C"/>
      <w:shd w:val="clear" w:color="auto" w:fill="E1DFDD"/>
    </w:rPr>
  </w:style>
  <w:style w:type="paragraph" w:styleId="NormalWeb">
    <w:name w:val="Normal (Web)"/>
    <w:basedOn w:val="Normal"/>
    <w:uiPriority w:val="99"/>
    <w:semiHidden/>
    <w:unhideWhenUsed/>
    <w:rsid w:val="00397F4B"/>
    <w:pPr>
      <w:spacing w:before="100" w:beforeAutospacing="1" w:after="100" w:afterAutospacing="1"/>
    </w:pPr>
    <w:rPr>
      <w:rFonts w:eastAsia="Times New Roman"/>
    </w:rPr>
  </w:style>
  <w:style w:type="character" w:customStyle="1" w:styleId="ui-text">
    <w:name w:val="ui-text"/>
    <w:basedOn w:val="DefaultParagraphFont"/>
    <w:rsid w:val="006834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762883">
      <w:bodyDiv w:val="1"/>
      <w:marLeft w:val="0"/>
      <w:marRight w:val="0"/>
      <w:marTop w:val="0"/>
      <w:marBottom w:val="0"/>
      <w:divBdr>
        <w:top w:val="none" w:sz="0" w:space="0" w:color="auto"/>
        <w:left w:val="none" w:sz="0" w:space="0" w:color="auto"/>
        <w:bottom w:val="none" w:sz="0" w:space="0" w:color="auto"/>
        <w:right w:val="none" w:sz="0" w:space="0" w:color="auto"/>
      </w:divBdr>
    </w:div>
    <w:div w:id="80221892">
      <w:bodyDiv w:val="1"/>
      <w:marLeft w:val="0"/>
      <w:marRight w:val="0"/>
      <w:marTop w:val="0"/>
      <w:marBottom w:val="0"/>
      <w:divBdr>
        <w:top w:val="none" w:sz="0" w:space="0" w:color="auto"/>
        <w:left w:val="none" w:sz="0" w:space="0" w:color="auto"/>
        <w:bottom w:val="none" w:sz="0" w:space="0" w:color="auto"/>
        <w:right w:val="none" w:sz="0" w:space="0" w:color="auto"/>
      </w:divBdr>
    </w:div>
    <w:div w:id="243344241">
      <w:bodyDiv w:val="1"/>
      <w:marLeft w:val="0"/>
      <w:marRight w:val="0"/>
      <w:marTop w:val="0"/>
      <w:marBottom w:val="0"/>
      <w:divBdr>
        <w:top w:val="none" w:sz="0" w:space="0" w:color="auto"/>
        <w:left w:val="none" w:sz="0" w:space="0" w:color="auto"/>
        <w:bottom w:val="none" w:sz="0" w:space="0" w:color="auto"/>
        <w:right w:val="none" w:sz="0" w:space="0" w:color="auto"/>
      </w:divBdr>
    </w:div>
    <w:div w:id="356196364">
      <w:bodyDiv w:val="1"/>
      <w:marLeft w:val="0"/>
      <w:marRight w:val="0"/>
      <w:marTop w:val="0"/>
      <w:marBottom w:val="0"/>
      <w:divBdr>
        <w:top w:val="none" w:sz="0" w:space="0" w:color="auto"/>
        <w:left w:val="none" w:sz="0" w:space="0" w:color="auto"/>
        <w:bottom w:val="none" w:sz="0" w:space="0" w:color="auto"/>
        <w:right w:val="none" w:sz="0" w:space="0" w:color="auto"/>
      </w:divBdr>
    </w:div>
    <w:div w:id="397410357">
      <w:bodyDiv w:val="1"/>
      <w:marLeft w:val="0"/>
      <w:marRight w:val="0"/>
      <w:marTop w:val="0"/>
      <w:marBottom w:val="0"/>
      <w:divBdr>
        <w:top w:val="none" w:sz="0" w:space="0" w:color="auto"/>
        <w:left w:val="none" w:sz="0" w:space="0" w:color="auto"/>
        <w:bottom w:val="none" w:sz="0" w:space="0" w:color="auto"/>
        <w:right w:val="none" w:sz="0" w:space="0" w:color="auto"/>
      </w:divBdr>
    </w:div>
    <w:div w:id="434205525">
      <w:bodyDiv w:val="1"/>
      <w:marLeft w:val="0"/>
      <w:marRight w:val="0"/>
      <w:marTop w:val="0"/>
      <w:marBottom w:val="0"/>
      <w:divBdr>
        <w:top w:val="none" w:sz="0" w:space="0" w:color="auto"/>
        <w:left w:val="none" w:sz="0" w:space="0" w:color="auto"/>
        <w:bottom w:val="none" w:sz="0" w:space="0" w:color="auto"/>
        <w:right w:val="none" w:sz="0" w:space="0" w:color="auto"/>
      </w:divBdr>
    </w:div>
    <w:div w:id="474029518">
      <w:bodyDiv w:val="1"/>
      <w:marLeft w:val="0"/>
      <w:marRight w:val="0"/>
      <w:marTop w:val="0"/>
      <w:marBottom w:val="0"/>
      <w:divBdr>
        <w:top w:val="none" w:sz="0" w:space="0" w:color="auto"/>
        <w:left w:val="none" w:sz="0" w:space="0" w:color="auto"/>
        <w:bottom w:val="none" w:sz="0" w:space="0" w:color="auto"/>
        <w:right w:val="none" w:sz="0" w:space="0" w:color="auto"/>
      </w:divBdr>
    </w:div>
    <w:div w:id="503015307">
      <w:bodyDiv w:val="1"/>
      <w:marLeft w:val="0"/>
      <w:marRight w:val="0"/>
      <w:marTop w:val="0"/>
      <w:marBottom w:val="0"/>
      <w:divBdr>
        <w:top w:val="none" w:sz="0" w:space="0" w:color="auto"/>
        <w:left w:val="none" w:sz="0" w:space="0" w:color="auto"/>
        <w:bottom w:val="none" w:sz="0" w:space="0" w:color="auto"/>
        <w:right w:val="none" w:sz="0" w:space="0" w:color="auto"/>
      </w:divBdr>
    </w:div>
    <w:div w:id="559444428">
      <w:bodyDiv w:val="1"/>
      <w:marLeft w:val="0"/>
      <w:marRight w:val="0"/>
      <w:marTop w:val="0"/>
      <w:marBottom w:val="0"/>
      <w:divBdr>
        <w:top w:val="none" w:sz="0" w:space="0" w:color="auto"/>
        <w:left w:val="none" w:sz="0" w:space="0" w:color="auto"/>
        <w:bottom w:val="none" w:sz="0" w:space="0" w:color="auto"/>
        <w:right w:val="none" w:sz="0" w:space="0" w:color="auto"/>
      </w:divBdr>
      <w:divsChild>
        <w:div w:id="1274022336">
          <w:marLeft w:val="0"/>
          <w:marRight w:val="0"/>
          <w:marTop w:val="0"/>
          <w:marBottom w:val="0"/>
          <w:divBdr>
            <w:top w:val="none" w:sz="0" w:space="0" w:color="auto"/>
            <w:left w:val="none" w:sz="0" w:space="0" w:color="auto"/>
            <w:bottom w:val="none" w:sz="0" w:space="0" w:color="auto"/>
            <w:right w:val="none" w:sz="0" w:space="0" w:color="auto"/>
          </w:divBdr>
        </w:div>
      </w:divsChild>
    </w:div>
    <w:div w:id="762070532">
      <w:bodyDiv w:val="1"/>
      <w:marLeft w:val="0"/>
      <w:marRight w:val="0"/>
      <w:marTop w:val="0"/>
      <w:marBottom w:val="0"/>
      <w:divBdr>
        <w:top w:val="none" w:sz="0" w:space="0" w:color="auto"/>
        <w:left w:val="none" w:sz="0" w:space="0" w:color="auto"/>
        <w:bottom w:val="none" w:sz="0" w:space="0" w:color="auto"/>
        <w:right w:val="none" w:sz="0" w:space="0" w:color="auto"/>
      </w:divBdr>
    </w:div>
    <w:div w:id="795173301">
      <w:bodyDiv w:val="1"/>
      <w:marLeft w:val="0"/>
      <w:marRight w:val="0"/>
      <w:marTop w:val="0"/>
      <w:marBottom w:val="0"/>
      <w:divBdr>
        <w:top w:val="none" w:sz="0" w:space="0" w:color="auto"/>
        <w:left w:val="none" w:sz="0" w:space="0" w:color="auto"/>
        <w:bottom w:val="none" w:sz="0" w:space="0" w:color="auto"/>
        <w:right w:val="none" w:sz="0" w:space="0" w:color="auto"/>
      </w:divBdr>
    </w:div>
    <w:div w:id="891234443">
      <w:bodyDiv w:val="1"/>
      <w:marLeft w:val="0"/>
      <w:marRight w:val="0"/>
      <w:marTop w:val="0"/>
      <w:marBottom w:val="0"/>
      <w:divBdr>
        <w:top w:val="none" w:sz="0" w:space="0" w:color="auto"/>
        <w:left w:val="none" w:sz="0" w:space="0" w:color="auto"/>
        <w:bottom w:val="none" w:sz="0" w:space="0" w:color="auto"/>
        <w:right w:val="none" w:sz="0" w:space="0" w:color="auto"/>
      </w:divBdr>
    </w:div>
    <w:div w:id="1113937717">
      <w:bodyDiv w:val="1"/>
      <w:marLeft w:val="0"/>
      <w:marRight w:val="0"/>
      <w:marTop w:val="0"/>
      <w:marBottom w:val="0"/>
      <w:divBdr>
        <w:top w:val="none" w:sz="0" w:space="0" w:color="auto"/>
        <w:left w:val="none" w:sz="0" w:space="0" w:color="auto"/>
        <w:bottom w:val="none" w:sz="0" w:space="0" w:color="auto"/>
        <w:right w:val="none" w:sz="0" w:space="0" w:color="auto"/>
      </w:divBdr>
    </w:div>
    <w:div w:id="1247879752">
      <w:bodyDiv w:val="1"/>
      <w:marLeft w:val="0"/>
      <w:marRight w:val="0"/>
      <w:marTop w:val="0"/>
      <w:marBottom w:val="0"/>
      <w:divBdr>
        <w:top w:val="none" w:sz="0" w:space="0" w:color="auto"/>
        <w:left w:val="none" w:sz="0" w:space="0" w:color="auto"/>
        <w:bottom w:val="none" w:sz="0" w:space="0" w:color="auto"/>
        <w:right w:val="none" w:sz="0" w:space="0" w:color="auto"/>
      </w:divBdr>
    </w:div>
    <w:div w:id="1256281004">
      <w:bodyDiv w:val="1"/>
      <w:marLeft w:val="0"/>
      <w:marRight w:val="0"/>
      <w:marTop w:val="0"/>
      <w:marBottom w:val="0"/>
      <w:divBdr>
        <w:top w:val="none" w:sz="0" w:space="0" w:color="auto"/>
        <w:left w:val="none" w:sz="0" w:space="0" w:color="auto"/>
        <w:bottom w:val="none" w:sz="0" w:space="0" w:color="auto"/>
        <w:right w:val="none" w:sz="0" w:space="0" w:color="auto"/>
      </w:divBdr>
    </w:div>
    <w:div w:id="1344405757">
      <w:bodyDiv w:val="1"/>
      <w:marLeft w:val="0"/>
      <w:marRight w:val="0"/>
      <w:marTop w:val="0"/>
      <w:marBottom w:val="0"/>
      <w:divBdr>
        <w:top w:val="none" w:sz="0" w:space="0" w:color="auto"/>
        <w:left w:val="none" w:sz="0" w:space="0" w:color="auto"/>
        <w:bottom w:val="none" w:sz="0" w:space="0" w:color="auto"/>
        <w:right w:val="none" w:sz="0" w:space="0" w:color="auto"/>
      </w:divBdr>
    </w:div>
    <w:div w:id="1448036827">
      <w:bodyDiv w:val="1"/>
      <w:marLeft w:val="0"/>
      <w:marRight w:val="0"/>
      <w:marTop w:val="0"/>
      <w:marBottom w:val="0"/>
      <w:divBdr>
        <w:top w:val="none" w:sz="0" w:space="0" w:color="auto"/>
        <w:left w:val="none" w:sz="0" w:space="0" w:color="auto"/>
        <w:bottom w:val="none" w:sz="0" w:space="0" w:color="auto"/>
        <w:right w:val="none" w:sz="0" w:space="0" w:color="auto"/>
      </w:divBdr>
    </w:div>
    <w:div w:id="1563058048">
      <w:bodyDiv w:val="1"/>
      <w:marLeft w:val="0"/>
      <w:marRight w:val="0"/>
      <w:marTop w:val="0"/>
      <w:marBottom w:val="0"/>
      <w:divBdr>
        <w:top w:val="none" w:sz="0" w:space="0" w:color="auto"/>
        <w:left w:val="none" w:sz="0" w:space="0" w:color="auto"/>
        <w:bottom w:val="none" w:sz="0" w:space="0" w:color="auto"/>
        <w:right w:val="none" w:sz="0" w:space="0" w:color="auto"/>
      </w:divBdr>
    </w:div>
    <w:div w:id="1646816743">
      <w:bodyDiv w:val="1"/>
      <w:marLeft w:val="0"/>
      <w:marRight w:val="0"/>
      <w:marTop w:val="0"/>
      <w:marBottom w:val="0"/>
      <w:divBdr>
        <w:top w:val="none" w:sz="0" w:space="0" w:color="auto"/>
        <w:left w:val="none" w:sz="0" w:space="0" w:color="auto"/>
        <w:bottom w:val="none" w:sz="0" w:space="0" w:color="auto"/>
        <w:right w:val="none" w:sz="0" w:space="0" w:color="auto"/>
      </w:divBdr>
    </w:div>
    <w:div w:id="1773434285">
      <w:bodyDiv w:val="1"/>
      <w:marLeft w:val="0"/>
      <w:marRight w:val="0"/>
      <w:marTop w:val="0"/>
      <w:marBottom w:val="0"/>
      <w:divBdr>
        <w:top w:val="none" w:sz="0" w:space="0" w:color="auto"/>
        <w:left w:val="none" w:sz="0" w:space="0" w:color="auto"/>
        <w:bottom w:val="none" w:sz="0" w:space="0" w:color="auto"/>
        <w:right w:val="none" w:sz="0" w:space="0" w:color="auto"/>
      </w:divBdr>
    </w:div>
    <w:div w:id="1894731560">
      <w:bodyDiv w:val="1"/>
      <w:marLeft w:val="0"/>
      <w:marRight w:val="0"/>
      <w:marTop w:val="0"/>
      <w:marBottom w:val="0"/>
      <w:divBdr>
        <w:top w:val="none" w:sz="0" w:space="0" w:color="auto"/>
        <w:left w:val="none" w:sz="0" w:space="0" w:color="auto"/>
        <w:bottom w:val="none" w:sz="0" w:space="0" w:color="auto"/>
        <w:right w:val="none" w:sz="0" w:space="0" w:color="auto"/>
      </w:divBdr>
    </w:div>
    <w:div w:id="1974940649">
      <w:bodyDiv w:val="1"/>
      <w:marLeft w:val="0"/>
      <w:marRight w:val="0"/>
      <w:marTop w:val="0"/>
      <w:marBottom w:val="0"/>
      <w:divBdr>
        <w:top w:val="none" w:sz="0" w:space="0" w:color="auto"/>
        <w:left w:val="none" w:sz="0" w:space="0" w:color="auto"/>
        <w:bottom w:val="none" w:sz="0" w:space="0" w:color="auto"/>
        <w:right w:val="none" w:sz="0" w:space="0" w:color="auto"/>
      </w:divBdr>
    </w:div>
    <w:div w:id="1999338545">
      <w:bodyDiv w:val="1"/>
      <w:marLeft w:val="0"/>
      <w:marRight w:val="0"/>
      <w:marTop w:val="0"/>
      <w:marBottom w:val="0"/>
      <w:divBdr>
        <w:top w:val="none" w:sz="0" w:space="0" w:color="auto"/>
        <w:left w:val="none" w:sz="0" w:space="0" w:color="auto"/>
        <w:bottom w:val="none" w:sz="0" w:space="0" w:color="auto"/>
        <w:right w:val="none" w:sz="0" w:space="0" w:color="auto"/>
      </w:divBdr>
    </w:div>
    <w:div w:id="2038461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SResearchOfficeHours@dcs.IN.gov" TargetMode="External"/><Relationship Id="rId3" Type="http://schemas.openxmlformats.org/officeDocument/2006/relationships/settings" Target="settings.xml"/><Relationship Id="rId7" Type="http://schemas.openxmlformats.org/officeDocument/2006/relationships/hyperlink" Target="https://www.cebc4cw.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gov/dcs/files/INFPS_Office_Hours_Guidelines_2021_02_01.pdf" TargetMode="External"/><Relationship Id="rId11" Type="http://schemas.openxmlformats.org/officeDocument/2006/relationships/fontTable" Target="fontTable.xml"/><Relationship Id="rId5" Type="http://schemas.openxmlformats.org/officeDocument/2006/relationships/hyperlink" Target="https://www.in.gov/dcs/4102.htm" TargetMode="External"/><Relationship Id="rId10" Type="http://schemas.openxmlformats.org/officeDocument/2006/relationships/hyperlink" Target="mailto:david.reed@dcs.in.gov" TargetMode="External"/><Relationship Id="rId4" Type="http://schemas.openxmlformats.org/officeDocument/2006/relationships/webSettings" Target="webSettings.xml"/><Relationship Id="rId9" Type="http://schemas.openxmlformats.org/officeDocument/2006/relationships/hyperlink" Target="https://www.in.gov/dcs/files/ProviderSummary_INFPS_Evaluation_2021_02_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1693</Words>
  <Characters>9651</Characters>
  <Application>Microsoft Office Word</Application>
  <DocSecurity>4</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11322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David L</dc:creator>
  <cp:keywords/>
  <dc:description/>
  <cp:lastModifiedBy>Reed, David L</cp:lastModifiedBy>
  <cp:revision>2</cp:revision>
  <cp:lastPrinted>2020-10-29T19:06:00Z</cp:lastPrinted>
  <dcterms:created xsi:type="dcterms:W3CDTF">2021-03-03T19:16:00Z</dcterms:created>
  <dcterms:modified xsi:type="dcterms:W3CDTF">2021-03-03T19:16:00Z</dcterms:modified>
</cp:coreProperties>
</file>