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324D30D8" w:rsidR="0029568E" w:rsidRDefault="00573679" w:rsidP="00605A62">
      <w:pPr>
        <w:pStyle w:val="NoSpacing"/>
        <w:ind w:firstLine="720"/>
        <w:jc w:val="center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139EF4D3" w14:textId="7BDFBDF4" w:rsidR="00B40F2F" w:rsidRPr="00605A62" w:rsidRDefault="007D30F9" w:rsidP="00605A62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August 19</w:t>
      </w:r>
      <w:r w:rsidR="0029568E" w:rsidRPr="00835C69">
        <w:rPr>
          <w:rStyle w:val="Emphasis"/>
          <w:b/>
        </w:rPr>
        <w:t>, 202</w:t>
      </w:r>
      <w:r w:rsidR="00AF5E5C">
        <w:rPr>
          <w:rStyle w:val="Emphasis"/>
          <w:b/>
        </w:rPr>
        <w:t>2</w:t>
      </w:r>
      <w:r w:rsidR="0029568E" w:rsidRPr="00835C69">
        <w:rPr>
          <w:rStyle w:val="Emphasis"/>
          <w:b/>
        </w:rPr>
        <w:t xml:space="preserve"> </w:t>
      </w:r>
    </w:p>
    <w:p w14:paraId="2F00B75E" w14:textId="78589082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562C1D5B" w14:textId="0A830C27" w:rsidR="00AC2244" w:rsidRDefault="00527F3C" w:rsidP="007829A6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6075FC1A" w14:textId="29554A4D" w:rsidR="005A0290" w:rsidRDefault="005A0290" w:rsidP="007829A6">
      <w:pPr>
        <w:pStyle w:val="NoSpacing"/>
        <w:ind w:left="1080"/>
        <w:rPr>
          <w:rStyle w:val="Emphasis"/>
        </w:rPr>
      </w:pPr>
    </w:p>
    <w:p w14:paraId="481046DC" w14:textId="0DCE4168" w:rsidR="005A0290" w:rsidRPr="00C35961" w:rsidRDefault="005A0290" w:rsidP="005A0290">
      <w:pPr>
        <w:pStyle w:val="NoSpacing"/>
        <w:numPr>
          <w:ilvl w:val="0"/>
          <w:numId w:val="1"/>
        </w:numPr>
        <w:rPr>
          <w:rStyle w:val="Emphasis"/>
          <w:b/>
          <w:bCs/>
          <w:u w:val="single"/>
        </w:rPr>
      </w:pPr>
      <w:r>
        <w:rPr>
          <w:rStyle w:val="Emphasis"/>
        </w:rPr>
        <w:t xml:space="preserve">DCS received formal approval of our 5-year Title IV-E Prevention Plan on </w:t>
      </w:r>
      <w:r w:rsidR="00FB1CAC">
        <w:rPr>
          <w:rStyle w:val="Emphasis"/>
        </w:rPr>
        <w:t xml:space="preserve">June 30. While the specific models that were approved include the following, </w:t>
      </w:r>
      <w:r w:rsidR="00FB1CAC" w:rsidRPr="00C35961">
        <w:rPr>
          <w:rStyle w:val="Emphasis"/>
          <w:b/>
          <w:bCs/>
          <w:u w:val="single"/>
        </w:rPr>
        <w:t>providers delivering INFPS should continue to deliver this service as they have been with no change needed…</w:t>
      </w:r>
    </w:p>
    <w:p w14:paraId="3CAFF7DE" w14:textId="7B6C2D91" w:rsidR="00FB1CAC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Motivational Interviewing</w:t>
      </w:r>
    </w:p>
    <w:p w14:paraId="001D1B00" w14:textId="7C6147C2" w:rsidR="005915B9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Parents as Teachers</w:t>
      </w:r>
    </w:p>
    <w:p w14:paraId="3B0ADFB4" w14:textId="6203B0C9" w:rsidR="005915B9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Functional Family Therapy</w:t>
      </w:r>
    </w:p>
    <w:p w14:paraId="42D9F0D8" w14:textId="63F37CBC" w:rsidR="00AC2244" w:rsidRDefault="00276372" w:rsidP="00AF55B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Healthy Families America/Indiana</w:t>
      </w:r>
    </w:p>
    <w:p w14:paraId="0F051FED" w14:textId="3578DF3D" w:rsidR="00DD5B08" w:rsidRDefault="00DD5B08" w:rsidP="00AF55B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TF-CBT</w:t>
      </w:r>
    </w:p>
    <w:p w14:paraId="5EF33248" w14:textId="77777777" w:rsidR="00FB776A" w:rsidRDefault="00FB776A" w:rsidP="003268AE">
      <w:pPr>
        <w:pStyle w:val="NoSpacing"/>
        <w:ind w:left="1080"/>
        <w:rPr>
          <w:rStyle w:val="Emphasis"/>
        </w:rPr>
      </w:pPr>
    </w:p>
    <w:p w14:paraId="0B2C5B99" w14:textId="632896DF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7D30F9">
        <w:rPr>
          <w:i/>
          <w:iCs/>
        </w:rPr>
        <w:t>8</w:t>
      </w:r>
      <w:r w:rsidR="00FD65E2">
        <w:rPr>
          <w:i/>
          <w:iCs/>
        </w:rPr>
        <w:t>/</w:t>
      </w:r>
      <w:r w:rsidR="007D30F9">
        <w:rPr>
          <w:i/>
          <w:iCs/>
        </w:rPr>
        <w:t>18</w:t>
      </w:r>
      <w:r w:rsidR="007E6ABE">
        <w:rPr>
          <w:i/>
          <w:iCs/>
        </w:rPr>
        <w:t>/2</w:t>
      </w:r>
      <w:r w:rsidR="00AF5E5C">
        <w:rPr>
          <w:i/>
          <w:iCs/>
        </w:rPr>
        <w:t>2</w:t>
      </w:r>
      <w:r>
        <w:rPr>
          <w:i/>
          <w:iCs/>
        </w:rPr>
        <w:t>)</w:t>
      </w:r>
    </w:p>
    <w:tbl>
      <w:tblPr>
        <w:tblW w:w="3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936"/>
      </w:tblGrid>
      <w:tr w:rsidR="00B83E44" w14:paraId="720066B7" w14:textId="77777777" w:rsidTr="00B83E4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45B13" w14:textId="77777777" w:rsidR="00B83E44" w:rsidRDefault="00B83E4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6D4D9" w14:textId="77777777" w:rsidR="00B83E44" w:rsidRDefault="00B83E4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B83E44" w14:paraId="732273E8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16B2D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95804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</w:tr>
      <w:tr w:rsidR="00B83E44" w14:paraId="67C7D340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57F0D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7BB43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B83E44" w14:paraId="34469BDA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03D40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ABBE2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B83E44" w14:paraId="0A7F684D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5D05E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75548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B83E44" w14:paraId="4D930EEC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10DD7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CCFF6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83E44" w14:paraId="650C23E1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045A2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C1FC9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B83E44" w14:paraId="651E0603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961FB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9B98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B83E44" w14:paraId="0A036F4F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97B3A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94D9D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B83E44" w14:paraId="579D00DB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1D323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DAA59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B83E44" w14:paraId="5A21BE33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6BA4F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63FFD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B83E44" w14:paraId="5BA98CD1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A9CF1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3B166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B83E44" w14:paraId="5CFDAB3B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C0406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30258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B83E44" w14:paraId="45F20423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ED84B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C7144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B83E44" w14:paraId="6BA824F2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582A9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28654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B83E44" w14:paraId="336F3CF7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E4F5A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6F7DA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B83E44" w14:paraId="6D92AB76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2903E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4836D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83E44" w14:paraId="50179288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8B6EB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E2252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B83E44" w14:paraId="70A6E050" w14:textId="77777777" w:rsidTr="00B83E44">
        <w:trPr>
          <w:trHeight w:val="300"/>
        </w:trPr>
        <w:tc>
          <w:tcPr>
            <w:tcW w:w="2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D5714" w14:textId="77777777" w:rsidR="00B83E44" w:rsidRDefault="00B83E44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274C8" w14:textId="77777777" w:rsidR="00B83E44" w:rsidRDefault="00B83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B83E44" w14:paraId="487947CE" w14:textId="77777777" w:rsidTr="00B83E44">
        <w:trPr>
          <w:trHeight w:val="300"/>
        </w:trPr>
        <w:tc>
          <w:tcPr>
            <w:tcW w:w="2820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85E17" w14:textId="77777777" w:rsidR="00B83E44" w:rsidRDefault="00B83E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664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E6A1A" w14:textId="77777777" w:rsidR="00B83E44" w:rsidRDefault="00B83E4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1421</w:t>
            </w:r>
          </w:p>
        </w:tc>
      </w:tr>
    </w:tbl>
    <w:p w14:paraId="0A0BB825" w14:textId="0C3B2237" w:rsidR="00F01546" w:rsidRDefault="00F01546" w:rsidP="00F01546">
      <w:pPr>
        <w:pStyle w:val="ListParagraph"/>
        <w:ind w:left="1080"/>
        <w:rPr>
          <w:i/>
          <w:iCs/>
        </w:rPr>
      </w:pPr>
    </w:p>
    <w:p w14:paraId="54EF6194" w14:textId="599CFDB0" w:rsidR="00F45978" w:rsidRDefault="00B83E44" w:rsidP="00F01546">
      <w:pPr>
        <w:pStyle w:val="ListParagraph"/>
        <w:ind w:left="1080"/>
        <w:rPr>
          <w:i/>
          <w:iCs/>
        </w:rPr>
      </w:pPr>
      <w:r>
        <w:rPr>
          <w:i/>
          <w:iCs/>
        </w:rPr>
        <w:t>Same as last meeting.</w:t>
      </w:r>
    </w:p>
    <w:p w14:paraId="05E93216" w14:textId="77777777" w:rsidR="00F01546" w:rsidRDefault="00F01546" w:rsidP="00F01546">
      <w:pPr>
        <w:pStyle w:val="ListParagraph"/>
        <w:ind w:left="1080"/>
        <w:rPr>
          <w:i/>
          <w:iCs/>
        </w:rPr>
      </w:pPr>
    </w:p>
    <w:p w14:paraId="666D5D06" w14:textId="57562E50" w:rsidR="00754ADB" w:rsidRDefault="00754ADB" w:rsidP="005466C9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lastRenderedPageBreak/>
        <w:t>INFPS and probation-involved youth</w:t>
      </w:r>
    </w:p>
    <w:p w14:paraId="203BA0AF" w14:textId="77777777" w:rsidR="00754ADB" w:rsidRDefault="00754ADB" w:rsidP="00754ADB">
      <w:pPr>
        <w:pStyle w:val="ListParagraph"/>
        <w:rPr>
          <w:rStyle w:val="Emphasis"/>
        </w:rPr>
      </w:pPr>
    </w:p>
    <w:p w14:paraId="45601E48" w14:textId="19323D0C" w:rsidR="00F41BFD" w:rsidRDefault="00F41BFD" w:rsidP="005466C9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Services Hub </w:t>
      </w:r>
      <w:r w:rsidR="007D30F9">
        <w:rPr>
          <w:rStyle w:val="Emphasis"/>
        </w:rPr>
        <w:t>reminder</w:t>
      </w:r>
      <w:r>
        <w:rPr>
          <w:rStyle w:val="Emphasis"/>
        </w:rPr>
        <w:t>.</w:t>
      </w:r>
    </w:p>
    <w:p w14:paraId="7BE22796" w14:textId="77777777" w:rsidR="003E2EB6" w:rsidRDefault="003E2EB6" w:rsidP="003E2EB6">
      <w:pPr>
        <w:pStyle w:val="ListParagraph"/>
        <w:rPr>
          <w:rStyle w:val="Emphasis"/>
        </w:rPr>
      </w:pPr>
    </w:p>
    <w:p w14:paraId="375CBD97" w14:textId="32442BE0" w:rsidR="003E2EB6" w:rsidRDefault="003E2EB6" w:rsidP="003E2EB6">
      <w:pPr>
        <w:pStyle w:val="ListParagraph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Please make sure to update your information regularly and let us know if you have any difficulties.</w:t>
      </w:r>
    </w:p>
    <w:p w14:paraId="28B56ABC" w14:textId="77777777" w:rsidR="001E6DB1" w:rsidRDefault="001E6DB1" w:rsidP="001E6DB1">
      <w:pPr>
        <w:pStyle w:val="ListParagraph"/>
        <w:rPr>
          <w:rStyle w:val="Emphasis"/>
        </w:rPr>
      </w:pPr>
    </w:p>
    <w:p w14:paraId="7A4A7ABF" w14:textId="532DF9DC" w:rsidR="001E6DB1" w:rsidRDefault="001E6DB1" w:rsidP="005466C9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Family Pres Friday for DCS—next meeting for FCMs is Friday, </w:t>
      </w:r>
      <w:r w:rsidR="00B83E44">
        <w:rPr>
          <w:rStyle w:val="Emphasis"/>
        </w:rPr>
        <w:t>9/30</w:t>
      </w:r>
      <w:r>
        <w:rPr>
          <w:rStyle w:val="Emphasis"/>
        </w:rPr>
        <w:t>. Please encourage FCMs to attend!</w:t>
      </w:r>
    </w:p>
    <w:p w14:paraId="7F6A486B" w14:textId="77777777" w:rsidR="005A3CCB" w:rsidRDefault="005A3CCB" w:rsidP="005A3CCB">
      <w:pPr>
        <w:pStyle w:val="ListParagraph"/>
        <w:rPr>
          <w:rStyle w:val="Emphasis"/>
        </w:rPr>
      </w:pPr>
    </w:p>
    <w:p w14:paraId="3D5E9337" w14:textId="77777777" w:rsidR="00AD4F13" w:rsidRDefault="00AD4F13" w:rsidP="008908C2">
      <w:pPr>
        <w:rPr>
          <w:rStyle w:val="Emphasis"/>
        </w:rPr>
      </w:pPr>
    </w:p>
    <w:p w14:paraId="1388EC42" w14:textId="3F18BDFE" w:rsidR="004462A3" w:rsidRDefault="003B704A" w:rsidP="007E4F39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received:</w:t>
      </w:r>
      <w:r w:rsidR="004462A3">
        <w:rPr>
          <w:rStyle w:val="Emphasis"/>
        </w:rPr>
        <w:t xml:space="preserve"> </w:t>
      </w:r>
    </w:p>
    <w:p w14:paraId="333DA1B9" w14:textId="77777777" w:rsidR="00201E23" w:rsidRDefault="00201E23" w:rsidP="00201E23">
      <w:pPr>
        <w:pStyle w:val="ListParagraph"/>
        <w:ind w:left="1080"/>
        <w:rPr>
          <w:rStyle w:val="Emphasis"/>
        </w:rPr>
      </w:pPr>
    </w:p>
    <w:p w14:paraId="34BE3FE4" w14:textId="53BA12EC" w:rsidR="00967249" w:rsidRPr="00967249" w:rsidRDefault="001E6DB1" w:rsidP="00E97CA0">
      <w:pPr>
        <w:pStyle w:val="ListParagraph"/>
        <w:ind w:left="1440"/>
        <w:rPr>
          <w:sz w:val="22"/>
          <w:szCs w:val="22"/>
        </w:rPr>
      </w:pPr>
      <w:r>
        <w:t>THERE WERE NO QUESTIONS SUBMITTED FOR THIS MEETING</w:t>
      </w:r>
    </w:p>
    <w:p w14:paraId="4B7ACDB6" w14:textId="77777777" w:rsidR="00A238F0" w:rsidRDefault="00A238F0" w:rsidP="004462A3">
      <w:pPr>
        <w:pStyle w:val="ListParagraph"/>
        <w:ind w:left="1080"/>
        <w:rPr>
          <w:rStyle w:val="Emphasis"/>
        </w:rPr>
      </w:pPr>
    </w:p>
    <w:p w14:paraId="684F4C7A" w14:textId="77777777" w:rsidR="00C10BE0" w:rsidRPr="009E4767" w:rsidRDefault="00C10BE0" w:rsidP="00B51643">
      <w:pPr>
        <w:pStyle w:val="ListParagraph"/>
        <w:ind w:left="1440"/>
        <w:rPr>
          <w:rStyle w:val="Emphasis"/>
        </w:rPr>
      </w:pPr>
    </w:p>
    <w:p w14:paraId="2E7D693D" w14:textId="7C540D0F" w:rsidR="00DC49D1" w:rsidRDefault="001C7E3A" w:rsidP="00201E23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73658265" w14:textId="77777777" w:rsidR="003E2EB6" w:rsidRDefault="003E2EB6" w:rsidP="003E2EB6">
      <w:pPr>
        <w:pStyle w:val="ListParagraph"/>
        <w:numPr>
          <w:ilvl w:val="0"/>
          <w:numId w:val="17"/>
        </w:numPr>
        <w:rPr>
          <w:rStyle w:val="Emphasis"/>
        </w:rPr>
      </w:pPr>
      <w:r>
        <w:rPr>
          <w:rStyle w:val="Emphasis"/>
        </w:rPr>
        <w:t>A family has a young autistic son with some behaviors, not the reason for involvement. Using EBP for reason for involvement. Would like to help family with support outside of an EBP for this.</w:t>
      </w:r>
    </w:p>
    <w:p w14:paraId="18484020" w14:textId="77777777" w:rsidR="003E2EB6" w:rsidRDefault="003E2EB6" w:rsidP="003E2EB6">
      <w:pPr>
        <w:pStyle w:val="ListParagraph"/>
        <w:numPr>
          <w:ilvl w:val="1"/>
          <w:numId w:val="17"/>
        </w:numPr>
        <w:rPr>
          <w:rStyle w:val="Emphasis"/>
        </w:rPr>
      </w:pPr>
      <w:r>
        <w:rPr>
          <w:rStyle w:val="Emphasis"/>
        </w:rPr>
        <w:t xml:space="preserve">Absolutely, you have to use at least one EBP per the Service </w:t>
      </w:r>
      <w:proofErr w:type="gramStart"/>
      <w:r>
        <w:rPr>
          <w:rStyle w:val="Emphasis"/>
        </w:rPr>
        <w:t>Standard</w:t>
      </w:r>
      <w:proofErr w:type="gramEnd"/>
      <w:r>
        <w:rPr>
          <w:rStyle w:val="Emphasis"/>
        </w:rPr>
        <w:t xml:space="preserve"> but you are able to use other intervention programs to meet the family’s needs.</w:t>
      </w:r>
    </w:p>
    <w:p w14:paraId="26D0C09A" w14:textId="77777777" w:rsidR="003E2EB6" w:rsidRDefault="003E2EB6" w:rsidP="003E2EB6">
      <w:pPr>
        <w:pStyle w:val="ListParagraph"/>
        <w:numPr>
          <w:ilvl w:val="0"/>
          <w:numId w:val="17"/>
        </w:numPr>
        <w:rPr>
          <w:rStyle w:val="Emphasis"/>
        </w:rPr>
      </w:pPr>
      <w:r>
        <w:rPr>
          <w:rStyle w:val="Emphasis"/>
        </w:rPr>
        <w:t xml:space="preserve">Can you please remind </w:t>
      </w:r>
      <w:proofErr w:type="gramStart"/>
      <w:r>
        <w:rPr>
          <w:rStyle w:val="Emphasis"/>
        </w:rPr>
        <w:t>us</w:t>
      </w:r>
      <w:proofErr w:type="gramEnd"/>
      <w:r>
        <w:rPr>
          <w:rStyle w:val="Emphasis"/>
        </w:rPr>
        <w:t xml:space="preserve"> who to send the updated EBP list to?</w:t>
      </w:r>
    </w:p>
    <w:p w14:paraId="31799788" w14:textId="77777777" w:rsidR="003E2EB6" w:rsidRDefault="003E2EB6" w:rsidP="003E2EB6">
      <w:pPr>
        <w:pStyle w:val="ListParagraph"/>
        <w:numPr>
          <w:ilvl w:val="1"/>
          <w:numId w:val="17"/>
        </w:numPr>
        <w:rPr>
          <w:rStyle w:val="Emphasis"/>
        </w:rPr>
      </w:pPr>
      <w:r>
        <w:rPr>
          <w:rStyle w:val="Emphasis"/>
        </w:rPr>
        <w:t>You can send them to the Services Hub and the Child Welfare plan inbox.</w:t>
      </w:r>
    </w:p>
    <w:p w14:paraId="20B7101A" w14:textId="77777777" w:rsidR="003E2EB6" w:rsidRDefault="003E2EB6" w:rsidP="003E2EB6">
      <w:pPr>
        <w:pStyle w:val="ListParagraph"/>
        <w:numPr>
          <w:ilvl w:val="0"/>
          <w:numId w:val="17"/>
        </w:numPr>
        <w:rPr>
          <w:rStyle w:val="Emphasis"/>
        </w:rPr>
      </w:pPr>
      <w:r>
        <w:rPr>
          <w:rStyle w:val="Emphasis"/>
        </w:rPr>
        <w:t>L</w:t>
      </w:r>
      <w:r w:rsidRPr="00D856E0">
        <w:rPr>
          <w:rStyle w:val="Emphasis"/>
        </w:rPr>
        <w:t xml:space="preserve">ifeline has two counties that we update availability for the </w:t>
      </w:r>
      <w:proofErr w:type="gramStart"/>
      <w:r w:rsidRPr="00D856E0">
        <w:rPr>
          <w:rStyle w:val="Emphasis"/>
        </w:rPr>
        <w:t>app ,but</w:t>
      </w:r>
      <w:proofErr w:type="gramEnd"/>
      <w:r w:rsidRPr="00D856E0">
        <w:rPr>
          <w:rStyle w:val="Emphasis"/>
        </w:rPr>
        <w:t xml:space="preserve"> then also get emails that they have not been updated. Clark county and Bartholomew. What should we do on this?</w:t>
      </w:r>
      <w:r>
        <w:rPr>
          <w:rStyle w:val="Emphasis"/>
        </w:rPr>
        <w:t xml:space="preserve"> </w:t>
      </w:r>
    </w:p>
    <w:p w14:paraId="29F18B2A" w14:textId="77777777" w:rsidR="003E2EB6" w:rsidRDefault="003E2EB6" w:rsidP="003E2EB6">
      <w:pPr>
        <w:pStyle w:val="ListParagraph"/>
        <w:numPr>
          <w:ilvl w:val="1"/>
          <w:numId w:val="17"/>
        </w:numPr>
        <w:rPr>
          <w:rStyle w:val="Emphasis"/>
        </w:rPr>
      </w:pPr>
      <w:r>
        <w:rPr>
          <w:rStyle w:val="Emphasis"/>
        </w:rPr>
        <w:t xml:space="preserve">We will </w:t>
      </w:r>
      <w:proofErr w:type="gramStart"/>
      <w:r>
        <w:rPr>
          <w:rStyle w:val="Emphasis"/>
        </w:rPr>
        <w:t>look into</w:t>
      </w:r>
      <w:proofErr w:type="gramEnd"/>
      <w:r>
        <w:rPr>
          <w:rStyle w:val="Emphasis"/>
        </w:rPr>
        <w:t xml:space="preserve"> this. </w:t>
      </w:r>
    </w:p>
    <w:p w14:paraId="32749C4E" w14:textId="77777777" w:rsidR="003E2EB6" w:rsidRDefault="003E2EB6" w:rsidP="003E2EB6">
      <w:pPr>
        <w:pStyle w:val="ListParagraph"/>
        <w:numPr>
          <w:ilvl w:val="0"/>
          <w:numId w:val="17"/>
        </w:numPr>
        <w:rPr>
          <w:rStyle w:val="Emphasis"/>
        </w:rPr>
      </w:pPr>
      <w:r w:rsidRPr="00BC35E7">
        <w:rPr>
          <w:rStyle w:val="Emphasis"/>
        </w:rPr>
        <w:t xml:space="preserve">Has anyone else had cases where the family </w:t>
      </w:r>
      <w:proofErr w:type="gramStart"/>
      <w:r w:rsidRPr="00BC35E7">
        <w:rPr>
          <w:rStyle w:val="Emphasis"/>
        </w:rPr>
        <w:t>doesn't</w:t>
      </w:r>
      <w:proofErr w:type="gramEnd"/>
      <w:r w:rsidRPr="00BC35E7">
        <w:rPr>
          <w:rStyle w:val="Emphasis"/>
        </w:rPr>
        <w:t xml:space="preserve"> really engage, and actively tries to avoid services, but nothing seems to come of it? We've noted concerns with the FCM about lack of engagement and inability to assess for </w:t>
      </w:r>
      <w:proofErr w:type="gramStart"/>
      <w:r w:rsidRPr="00BC35E7">
        <w:rPr>
          <w:rStyle w:val="Emphasis"/>
        </w:rPr>
        <w:t>safety</w:t>
      </w:r>
      <w:proofErr w:type="gramEnd"/>
      <w:r w:rsidRPr="00BC35E7">
        <w:rPr>
          <w:rStyle w:val="Emphasis"/>
        </w:rPr>
        <w:t xml:space="preserve"> but it seems like there's no real change/movement with the family. Any recommendations for what we can do at this point?</w:t>
      </w:r>
    </w:p>
    <w:p w14:paraId="3E9D3234" w14:textId="77777777" w:rsidR="003E2EB6" w:rsidRDefault="003E2EB6" w:rsidP="003E2EB6">
      <w:pPr>
        <w:pStyle w:val="ListParagraph"/>
        <w:numPr>
          <w:ilvl w:val="1"/>
          <w:numId w:val="17"/>
        </w:numPr>
        <w:rPr>
          <w:rStyle w:val="Emphasis"/>
        </w:rPr>
      </w:pPr>
      <w:r>
        <w:rPr>
          <w:rStyle w:val="Emphasis"/>
        </w:rPr>
        <w:t>Suggestion: CFTM to discuss how to move forward</w:t>
      </w:r>
    </w:p>
    <w:p w14:paraId="3F85ECBD" w14:textId="77777777" w:rsidR="003E2EB6" w:rsidRDefault="003E2EB6" w:rsidP="00201E23">
      <w:pPr>
        <w:rPr>
          <w:rStyle w:val="Emphasis"/>
        </w:rPr>
      </w:pPr>
    </w:p>
    <w:p w14:paraId="61559C03" w14:textId="77777777" w:rsidR="001C7E3A" w:rsidRPr="009E4767" w:rsidRDefault="001C7E3A" w:rsidP="00464143">
      <w:pPr>
        <w:pStyle w:val="ListParagraph"/>
        <w:ind w:left="1440"/>
        <w:rPr>
          <w:i/>
          <w:iCs/>
          <w:sz w:val="22"/>
          <w:szCs w:val="22"/>
        </w:rPr>
      </w:pPr>
    </w:p>
    <w:p w14:paraId="2C4F037F" w14:textId="2BE57BE2" w:rsidR="00853CEC" w:rsidRPr="009E4767" w:rsidRDefault="001C7E3A" w:rsidP="00A75110">
      <w:pPr>
        <w:ind w:left="360" w:firstLine="720"/>
        <w:rPr>
          <w:rStyle w:val="Emphasis"/>
        </w:rPr>
      </w:pPr>
      <w:r w:rsidRPr="009E4767">
        <w:rPr>
          <w:rStyle w:val="Emphasis"/>
        </w:rPr>
        <w:t>Next m</w:t>
      </w:r>
      <w:r w:rsidR="007D76B7" w:rsidRPr="009E4767">
        <w:rPr>
          <w:rStyle w:val="Emphasis"/>
        </w:rPr>
        <w:t xml:space="preserve">eeting </w:t>
      </w:r>
      <w:r w:rsidR="005A3CCB">
        <w:rPr>
          <w:rStyle w:val="Emphasis"/>
        </w:rPr>
        <w:t>9/</w:t>
      </w:r>
      <w:r w:rsidR="00B83E44">
        <w:rPr>
          <w:rStyle w:val="Emphasis"/>
        </w:rPr>
        <w:t>30</w:t>
      </w:r>
      <w:r w:rsidR="00427A75">
        <w:rPr>
          <w:rStyle w:val="Emphasis"/>
        </w:rPr>
        <w:t>/</w:t>
      </w:r>
      <w:r w:rsidR="00850970" w:rsidRPr="009E4767">
        <w:rPr>
          <w:rStyle w:val="Emphasis"/>
        </w:rPr>
        <w:t>202</w:t>
      </w:r>
      <w:r w:rsidR="00A13318">
        <w:rPr>
          <w:rStyle w:val="Emphasis"/>
        </w:rPr>
        <w:t>2</w:t>
      </w:r>
      <w:r w:rsidRPr="009E4767">
        <w:rPr>
          <w:rStyle w:val="Emphasis"/>
        </w:rPr>
        <w:t xml:space="preserve"> @ 1:00 E</w:t>
      </w:r>
      <w:r w:rsidR="009E53A9">
        <w:rPr>
          <w:rStyle w:val="Emphasis"/>
        </w:rPr>
        <w:t>S</w:t>
      </w:r>
      <w:r w:rsidRPr="009E4767">
        <w:rPr>
          <w:rStyle w:val="Emphasis"/>
        </w:rPr>
        <w:t>T</w:t>
      </w:r>
      <w:r w:rsidR="002132E4" w:rsidRPr="009E4767">
        <w:rPr>
          <w:rStyle w:val="Emphasis"/>
        </w:rPr>
        <w:t xml:space="preserve">      </w:t>
      </w:r>
    </w:p>
    <w:p w14:paraId="6E45E1E5" w14:textId="77777777" w:rsidR="00853CEC" w:rsidRDefault="00853CEC" w:rsidP="002132E4">
      <w:pPr>
        <w:rPr>
          <w:rStyle w:val="Emphasis"/>
        </w:rPr>
      </w:pPr>
    </w:p>
    <w:p w14:paraId="09F80854" w14:textId="77777777" w:rsidR="001C7E3A" w:rsidRDefault="002F38EB" w:rsidP="00853CEC">
      <w:pPr>
        <w:jc w:val="center"/>
        <w:rPr>
          <w:rStyle w:val="Emphasis"/>
        </w:rPr>
      </w:pPr>
      <w:r>
        <w:rPr>
          <w:rStyle w:val="Emphasis"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BA60" w14:textId="77777777" w:rsidR="009331AA" w:rsidRDefault="009331AA" w:rsidP="007E4F39">
      <w:r>
        <w:separator/>
      </w:r>
    </w:p>
  </w:endnote>
  <w:endnote w:type="continuationSeparator" w:id="0">
    <w:p w14:paraId="3ED70485" w14:textId="77777777" w:rsidR="009331AA" w:rsidRDefault="009331AA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7EB3" w14:textId="77777777" w:rsidR="009331AA" w:rsidRDefault="009331AA" w:rsidP="007E4F39">
      <w:r>
        <w:separator/>
      </w:r>
    </w:p>
  </w:footnote>
  <w:footnote w:type="continuationSeparator" w:id="0">
    <w:p w14:paraId="6D7CFEF4" w14:textId="77777777" w:rsidR="009331AA" w:rsidRDefault="009331AA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3CA1D0D"/>
    <w:multiLevelType w:val="hybridMultilevel"/>
    <w:tmpl w:val="1A74406E"/>
    <w:lvl w:ilvl="0" w:tplc="615C7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759552">
    <w:abstractNumId w:val="14"/>
  </w:num>
  <w:num w:numId="2" w16cid:durableId="565074411">
    <w:abstractNumId w:val="13"/>
  </w:num>
  <w:num w:numId="3" w16cid:durableId="495220848">
    <w:abstractNumId w:val="0"/>
  </w:num>
  <w:num w:numId="4" w16cid:durableId="1602640161">
    <w:abstractNumId w:val="2"/>
  </w:num>
  <w:num w:numId="5" w16cid:durableId="1595894584">
    <w:abstractNumId w:val="5"/>
  </w:num>
  <w:num w:numId="6" w16cid:durableId="610623042">
    <w:abstractNumId w:val="7"/>
  </w:num>
  <w:num w:numId="7" w16cid:durableId="1565795400">
    <w:abstractNumId w:val="15"/>
  </w:num>
  <w:num w:numId="8" w16cid:durableId="558320378">
    <w:abstractNumId w:val="1"/>
  </w:num>
  <w:num w:numId="9" w16cid:durableId="2051415696">
    <w:abstractNumId w:val="12"/>
  </w:num>
  <w:num w:numId="10" w16cid:durableId="1114787589">
    <w:abstractNumId w:val="9"/>
  </w:num>
  <w:num w:numId="11" w16cid:durableId="2098163828">
    <w:abstractNumId w:val="11"/>
  </w:num>
  <w:num w:numId="12" w16cid:durableId="40910890">
    <w:abstractNumId w:val="4"/>
  </w:num>
  <w:num w:numId="13" w16cid:durableId="534120507">
    <w:abstractNumId w:val="8"/>
  </w:num>
  <w:num w:numId="14" w16cid:durableId="507523153">
    <w:abstractNumId w:val="10"/>
  </w:num>
  <w:num w:numId="15" w16cid:durableId="614606246">
    <w:abstractNumId w:val="16"/>
  </w:num>
  <w:num w:numId="16" w16cid:durableId="872888141">
    <w:abstractNumId w:val="3"/>
  </w:num>
  <w:num w:numId="17" w16cid:durableId="87589018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C45"/>
    <w:rsid w:val="0002554D"/>
    <w:rsid w:val="00026D6A"/>
    <w:rsid w:val="00027AD3"/>
    <w:rsid w:val="00030D8E"/>
    <w:rsid w:val="0003181B"/>
    <w:rsid w:val="000324C8"/>
    <w:rsid w:val="00033B3B"/>
    <w:rsid w:val="0004105E"/>
    <w:rsid w:val="00041403"/>
    <w:rsid w:val="0004775E"/>
    <w:rsid w:val="0005051A"/>
    <w:rsid w:val="0005083F"/>
    <w:rsid w:val="00053A4E"/>
    <w:rsid w:val="000555FB"/>
    <w:rsid w:val="00055B2B"/>
    <w:rsid w:val="00056A63"/>
    <w:rsid w:val="000576D1"/>
    <w:rsid w:val="00057C1E"/>
    <w:rsid w:val="00061416"/>
    <w:rsid w:val="000616DF"/>
    <w:rsid w:val="000621E4"/>
    <w:rsid w:val="00065759"/>
    <w:rsid w:val="000659E9"/>
    <w:rsid w:val="00065B57"/>
    <w:rsid w:val="00067196"/>
    <w:rsid w:val="00076057"/>
    <w:rsid w:val="00076DC4"/>
    <w:rsid w:val="000770EC"/>
    <w:rsid w:val="000809CA"/>
    <w:rsid w:val="00081409"/>
    <w:rsid w:val="00082720"/>
    <w:rsid w:val="00084552"/>
    <w:rsid w:val="00092AF5"/>
    <w:rsid w:val="000A07B7"/>
    <w:rsid w:val="000A1E19"/>
    <w:rsid w:val="000A3286"/>
    <w:rsid w:val="000A5120"/>
    <w:rsid w:val="000A53E6"/>
    <w:rsid w:val="000A7027"/>
    <w:rsid w:val="000A71CC"/>
    <w:rsid w:val="000A7D3A"/>
    <w:rsid w:val="000B08BF"/>
    <w:rsid w:val="000B1358"/>
    <w:rsid w:val="000B202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E1034"/>
    <w:rsid w:val="000E2BA3"/>
    <w:rsid w:val="000E2E49"/>
    <w:rsid w:val="000E4E90"/>
    <w:rsid w:val="000E5432"/>
    <w:rsid w:val="000F02D7"/>
    <w:rsid w:val="000F1747"/>
    <w:rsid w:val="000F2EEF"/>
    <w:rsid w:val="000F4283"/>
    <w:rsid w:val="000F4E2B"/>
    <w:rsid w:val="000F6BEB"/>
    <w:rsid w:val="000F7C8C"/>
    <w:rsid w:val="000F7ED6"/>
    <w:rsid w:val="00103C93"/>
    <w:rsid w:val="00106505"/>
    <w:rsid w:val="00107077"/>
    <w:rsid w:val="0011342C"/>
    <w:rsid w:val="00114562"/>
    <w:rsid w:val="00115C2B"/>
    <w:rsid w:val="0011627A"/>
    <w:rsid w:val="001204B4"/>
    <w:rsid w:val="00120C61"/>
    <w:rsid w:val="00122212"/>
    <w:rsid w:val="00123DCE"/>
    <w:rsid w:val="00124429"/>
    <w:rsid w:val="00126721"/>
    <w:rsid w:val="00131CF9"/>
    <w:rsid w:val="001408D7"/>
    <w:rsid w:val="001432EA"/>
    <w:rsid w:val="00145DDA"/>
    <w:rsid w:val="00145FB0"/>
    <w:rsid w:val="00147313"/>
    <w:rsid w:val="00147D70"/>
    <w:rsid w:val="00150889"/>
    <w:rsid w:val="00150D9C"/>
    <w:rsid w:val="00153795"/>
    <w:rsid w:val="001539AC"/>
    <w:rsid w:val="001606F7"/>
    <w:rsid w:val="00161AEF"/>
    <w:rsid w:val="001622C2"/>
    <w:rsid w:val="001625B9"/>
    <w:rsid w:val="00163248"/>
    <w:rsid w:val="00164C20"/>
    <w:rsid w:val="001717F9"/>
    <w:rsid w:val="00174BCA"/>
    <w:rsid w:val="00176272"/>
    <w:rsid w:val="001803C5"/>
    <w:rsid w:val="00182B81"/>
    <w:rsid w:val="00183050"/>
    <w:rsid w:val="00183609"/>
    <w:rsid w:val="00185744"/>
    <w:rsid w:val="0019320B"/>
    <w:rsid w:val="00194165"/>
    <w:rsid w:val="00195DF4"/>
    <w:rsid w:val="001974DA"/>
    <w:rsid w:val="001A056C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4580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6EAC"/>
    <w:rsid w:val="001E4576"/>
    <w:rsid w:val="001E6DB1"/>
    <w:rsid w:val="001E73D2"/>
    <w:rsid w:val="001E7510"/>
    <w:rsid w:val="001F03CA"/>
    <w:rsid w:val="001F0682"/>
    <w:rsid w:val="001F26D9"/>
    <w:rsid w:val="001F2E5F"/>
    <w:rsid w:val="001F4002"/>
    <w:rsid w:val="001F72DA"/>
    <w:rsid w:val="001F7D71"/>
    <w:rsid w:val="00201E23"/>
    <w:rsid w:val="00202271"/>
    <w:rsid w:val="002053D4"/>
    <w:rsid w:val="00206761"/>
    <w:rsid w:val="00206DF4"/>
    <w:rsid w:val="00211CB0"/>
    <w:rsid w:val="002129A2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31BA6"/>
    <w:rsid w:val="00232F76"/>
    <w:rsid w:val="002335AD"/>
    <w:rsid w:val="002343E0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0EDE"/>
    <w:rsid w:val="00254CE2"/>
    <w:rsid w:val="002558C3"/>
    <w:rsid w:val="00256F1B"/>
    <w:rsid w:val="002578FC"/>
    <w:rsid w:val="0026015C"/>
    <w:rsid w:val="002606D5"/>
    <w:rsid w:val="00264A4F"/>
    <w:rsid w:val="0026549F"/>
    <w:rsid w:val="00272C33"/>
    <w:rsid w:val="00272E43"/>
    <w:rsid w:val="00275D3B"/>
    <w:rsid w:val="00276372"/>
    <w:rsid w:val="00276EBF"/>
    <w:rsid w:val="00277D2F"/>
    <w:rsid w:val="002807E3"/>
    <w:rsid w:val="00285C4B"/>
    <w:rsid w:val="00293AEA"/>
    <w:rsid w:val="0029568E"/>
    <w:rsid w:val="002A15F1"/>
    <w:rsid w:val="002A2D36"/>
    <w:rsid w:val="002A37AC"/>
    <w:rsid w:val="002A3992"/>
    <w:rsid w:val="002A39F9"/>
    <w:rsid w:val="002A5B21"/>
    <w:rsid w:val="002B1F66"/>
    <w:rsid w:val="002C2D0C"/>
    <w:rsid w:val="002C5358"/>
    <w:rsid w:val="002C6FB0"/>
    <w:rsid w:val="002D07C8"/>
    <w:rsid w:val="002D091B"/>
    <w:rsid w:val="002D4408"/>
    <w:rsid w:val="002D6063"/>
    <w:rsid w:val="002D6F0C"/>
    <w:rsid w:val="002D79AA"/>
    <w:rsid w:val="002E0DE5"/>
    <w:rsid w:val="002E26EB"/>
    <w:rsid w:val="002E3141"/>
    <w:rsid w:val="002E4FB0"/>
    <w:rsid w:val="002E7999"/>
    <w:rsid w:val="002F10B6"/>
    <w:rsid w:val="002F15D8"/>
    <w:rsid w:val="002F38EB"/>
    <w:rsid w:val="002F5F27"/>
    <w:rsid w:val="002F7983"/>
    <w:rsid w:val="0030515D"/>
    <w:rsid w:val="00305C4D"/>
    <w:rsid w:val="003073D6"/>
    <w:rsid w:val="003103F6"/>
    <w:rsid w:val="00313AD2"/>
    <w:rsid w:val="00315D25"/>
    <w:rsid w:val="0031698B"/>
    <w:rsid w:val="0031704A"/>
    <w:rsid w:val="00320BC8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A7D"/>
    <w:rsid w:val="00334AC5"/>
    <w:rsid w:val="00336467"/>
    <w:rsid w:val="00336FEA"/>
    <w:rsid w:val="00340110"/>
    <w:rsid w:val="00340AEA"/>
    <w:rsid w:val="00341D5A"/>
    <w:rsid w:val="0034257E"/>
    <w:rsid w:val="003442C9"/>
    <w:rsid w:val="00346A21"/>
    <w:rsid w:val="0035107C"/>
    <w:rsid w:val="003524B0"/>
    <w:rsid w:val="003525C1"/>
    <w:rsid w:val="003536BE"/>
    <w:rsid w:val="00353EB1"/>
    <w:rsid w:val="00354713"/>
    <w:rsid w:val="00355141"/>
    <w:rsid w:val="0035592C"/>
    <w:rsid w:val="00355B77"/>
    <w:rsid w:val="00357580"/>
    <w:rsid w:val="00360A4F"/>
    <w:rsid w:val="00361544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4A7B"/>
    <w:rsid w:val="00377540"/>
    <w:rsid w:val="00380449"/>
    <w:rsid w:val="00380DB1"/>
    <w:rsid w:val="00383799"/>
    <w:rsid w:val="003846D8"/>
    <w:rsid w:val="00386BE8"/>
    <w:rsid w:val="00390485"/>
    <w:rsid w:val="00391FB5"/>
    <w:rsid w:val="00393D64"/>
    <w:rsid w:val="00396D46"/>
    <w:rsid w:val="0039725A"/>
    <w:rsid w:val="0039764A"/>
    <w:rsid w:val="00397F4B"/>
    <w:rsid w:val="003A29C2"/>
    <w:rsid w:val="003A3FB1"/>
    <w:rsid w:val="003A48D2"/>
    <w:rsid w:val="003A49E9"/>
    <w:rsid w:val="003A612D"/>
    <w:rsid w:val="003B2B71"/>
    <w:rsid w:val="003B46E9"/>
    <w:rsid w:val="003B5DC9"/>
    <w:rsid w:val="003B704A"/>
    <w:rsid w:val="003B7747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E2EB6"/>
    <w:rsid w:val="003E56AF"/>
    <w:rsid w:val="003E751C"/>
    <w:rsid w:val="003E755B"/>
    <w:rsid w:val="003E765E"/>
    <w:rsid w:val="003F069D"/>
    <w:rsid w:val="003F25C3"/>
    <w:rsid w:val="003F2DC1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4018F"/>
    <w:rsid w:val="00440BA8"/>
    <w:rsid w:val="00444CDA"/>
    <w:rsid w:val="00445DB6"/>
    <w:rsid w:val="004462A3"/>
    <w:rsid w:val="00447296"/>
    <w:rsid w:val="00447394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4530"/>
    <w:rsid w:val="00480D19"/>
    <w:rsid w:val="00480DD3"/>
    <w:rsid w:val="00481FF9"/>
    <w:rsid w:val="00483878"/>
    <w:rsid w:val="00485325"/>
    <w:rsid w:val="0048645A"/>
    <w:rsid w:val="00486EE0"/>
    <w:rsid w:val="00487A84"/>
    <w:rsid w:val="00490BE6"/>
    <w:rsid w:val="004965EC"/>
    <w:rsid w:val="00496F39"/>
    <w:rsid w:val="004A1ACD"/>
    <w:rsid w:val="004A2AB1"/>
    <w:rsid w:val="004A4BBE"/>
    <w:rsid w:val="004A6E5C"/>
    <w:rsid w:val="004A7191"/>
    <w:rsid w:val="004A78BE"/>
    <w:rsid w:val="004B075E"/>
    <w:rsid w:val="004B0D5E"/>
    <w:rsid w:val="004B1A62"/>
    <w:rsid w:val="004B2135"/>
    <w:rsid w:val="004B5C3B"/>
    <w:rsid w:val="004B6D65"/>
    <w:rsid w:val="004C0FB1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F02B1"/>
    <w:rsid w:val="004F055D"/>
    <w:rsid w:val="004F06FB"/>
    <w:rsid w:val="004F5956"/>
    <w:rsid w:val="004F5A58"/>
    <w:rsid w:val="005037EC"/>
    <w:rsid w:val="00506222"/>
    <w:rsid w:val="00511378"/>
    <w:rsid w:val="0051338F"/>
    <w:rsid w:val="00513539"/>
    <w:rsid w:val="0052177E"/>
    <w:rsid w:val="005217BD"/>
    <w:rsid w:val="00523230"/>
    <w:rsid w:val="0052411C"/>
    <w:rsid w:val="00527AD3"/>
    <w:rsid w:val="00527F3C"/>
    <w:rsid w:val="00530D48"/>
    <w:rsid w:val="005348C3"/>
    <w:rsid w:val="005406A8"/>
    <w:rsid w:val="005443AE"/>
    <w:rsid w:val="005466C9"/>
    <w:rsid w:val="00551C70"/>
    <w:rsid w:val="0055361C"/>
    <w:rsid w:val="00553AF2"/>
    <w:rsid w:val="00554A40"/>
    <w:rsid w:val="005579AC"/>
    <w:rsid w:val="00557CD5"/>
    <w:rsid w:val="00557D15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4EE9"/>
    <w:rsid w:val="00575120"/>
    <w:rsid w:val="00575228"/>
    <w:rsid w:val="0058394B"/>
    <w:rsid w:val="00587589"/>
    <w:rsid w:val="005904BD"/>
    <w:rsid w:val="005915B9"/>
    <w:rsid w:val="0059312C"/>
    <w:rsid w:val="005A0290"/>
    <w:rsid w:val="005A0608"/>
    <w:rsid w:val="005A3CCB"/>
    <w:rsid w:val="005A3E51"/>
    <w:rsid w:val="005A5B69"/>
    <w:rsid w:val="005A5F81"/>
    <w:rsid w:val="005A61D1"/>
    <w:rsid w:val="005B0092"/>
    <w:rsid w:val="005B0773"/>
    <w:rsid w:val="005B0F56"/>
    <w:rsid w:val="005B21A0"/>
    <w:rsid w:val="005B404C"/>
    <w:rsid w:val="005B40A7"/>
    <w:rsid w:val="005B6685"/>
    <w:rsid w:val="005C41CA"/>
    <w:rsid w:val="005C4A36"/>
    <w:rsid w:val="005C5749"/>
    <w:rsid w:val="005C62CD"/>
    <w:rsid w:val="005C6CCF"/>
    <w:rsid w:val="005C7358"/>
    <w:rsid w:val="005D0607"/>
    <w:rsid w:val="005D095E"/>
    <w:rsid w:val="005D1586"/>
    <w:rsid w:val="005D4E8D"/>
    <w:rsid w:val="005E2ECA"/>
    <w:rsid w:val="005E741D"/>
    <w:rsid w:val="005F28AA"/>
    <w:rsid w:val="005F458B"/>
    <w:rsid w:val="005F5531"/>
    <w:rsid w:val="005F7F43"/>
    <w:rsid w:val="00600615"/>
    <w:rsid w:val="00601674"/>
    <w:rsid w:val="006047B4"/>
    <w:rsid w:val="00604C2C"/>
    <w:rsid w:val="00605A62"/>
    <w:rsid w:val="0060672F"/>
    <w:rsid w:val="00610A2A"/>
    <w:rsid w:val="00611836"/>
    <w:rsid w:val="00612CB2"/>
    <w:rsid w:val="00613881"/>
    <w:rsid w:val="0061452B"/>
    <w:rsid w:val="00622533"/>
    <w:rsid w:val="00622966"/>
    <w:rsid w:val="006242BC"/>
    <w:rsid w:val="00631050"/>
    <w:rsid w:val="00631654"/>
    <w:rsid w:val="00635E5A"/>
    <w:rsid w:val="00635E9A"/>
    <w:rsid w:val="00637653"/>
    <w:rsid w:val="0064447A"/>
    <w:rsid w:val="00645083"/>
    <w:rsid w:val="006463A4"/>
    <w:rsid w:val="00646D15"/>
    <w:rsid w:val="00654791"/>
    <w:rsid w:val="006609E9"/>
    <w:rsid w:val="00662FF5"/>
    <w:rsid w:val="00663480"/>
    <w:rsid w:val="00663DA2"/>
    <w:rsid w:val="0066510D"/>
    <w:rsid w:val="00670154"/>
    <w:rsid w:val="00673346"/>
    <w:rsid w:val="00674209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961A2"/>
    <w:rsid w:val="006A40AC"/>
    <w:rsid w:val="006A4F0C"/>
    <w:rsid w:val="006A5835"/>
    <w:rsid w:val="006B4B9F"/>
    <w:rsid w:val="006B7484"/>
    <w:rsid w:val="006C43ED"/>
    <w:rsid w:val="006C60E8"/>
    <w:rsid w:val="006D4EF3"/>
    <w:rsid w:val="006D794A"/>
    <w:rsid w:val="006E0C65"/>
    <w:rsid w:val="006E0EDF"/>
    <w:rsid w:val="006E4562"/>
    <w:rsid w:val="006E4BF5"/>
    <w:rsid w:val="006E764F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9"/>
    <w:rsid w:val="00715742"/>
    <w:rsid w:val="00716AA0"/>
    <w:rsid w:val="00717BE0"/>
    <w:rsid w:val="00717BEA"/>
    <w:rsid w:val="00720215"/>
    <w:rsid w:val="00721A42"/>
    <w:rsid w:val="00727E42"/>
    <w:rsid w:val="007312FB"/>
    <w:rsid w:val="00735658"/>
    <w:rsid w:val="0074003A"/>
    <w:rsid w:val="00741938"/>
    <w:rsid w:val="007421C8"/>
    <w:rsid w:val="007431B6"/>
    <w:rsid w:val="00745E2B"/>
    <w:rsid w:val="00746C28"/>
    <w:rsid w:val="00750082"/>
    <w:rsid w:val="00754ADB"/>
    <w:rsid w:val="007553B3"/>
    <w:rsid w:val="0076256C"/>
    <w:rsid w:val="007639CA"/>
    <w:rsid w:val="007643FA"/>
    <w:rsid w:val="00765D19"/>
    <w:rsid w:val="0077058E"/>
    <w:rsid w:val="007714C4"/>
    <w:rsid w:val="0077211D"/>
    <w:rsid w:val="007745F0"/>
    <w:rsid w:val="0077548D"/>
    <w:rsid w:val="00775D34"/>
    <w:rsid w:val="00776CAE"/>
    <w:rsid w:val="007774B1"/>
    <w:rsid w:val="00777B23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C3FFF"/>
    <w:rsid w:val="007C418A"/>
    <w:rsid w:val="007C5BD1"/>
    <w:rsid w:val="007D298B"/>
    <w:rsid w:val="007D30F9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306E"/>
    <w:rsid w:val="007E426F"/>
    <w:rsid w:val="007E44CF"/>
    <w:rsid w:val="007E4F39"/>
    <w:rsid w:val="007E5834"/>
    <w:rsid w:val="007E61BF"/>
    <w:rsid w:val="007E6ABE"/>
    <w:rsid w:val="007E7B16"/>
    <w:rsid w:val="008017E1"/>
    <w:rsid w:val="008027C9"/>
    <w:rsid w:val="00803284"/>
    <w:rsid w:val="008056EB"/>
    <w:rsid w:val="0081209F"/>
    <w:rsid w:val="00812768"/>
    <w:rsid w:val="00812ECF"/>
    <w:rsid w:val="00814506"/>
    <w:rsid w:val="00816520"/>
    <w:rsid w:val="00816AE7"/>
    <w:rsid w:val="00817726"/>
    <w:rsid w:val="00820AE0"/>
    <w:rsid w:val="00822A4F"/>
    <w:rsid w:val="00823352"/>
    <w:rsid w:val="00830553"/>
    <w:rsid w:val="0083075C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013D"/>
    <w:rsid w:val="00860934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87B35"/>
    <w:rsid w:val="008908C2"/>
    <w:rsid w:val="0089392A"/>
    <w:rsid w:val="008958AB"/>
    <w:rsid w:val="00895B0D"/>
    <w:rsid w:val="00897A02"/>
    <w:rsid w:val="008A08E4"/>
    <w:rsid w:val="008A2006"/>
    <w:rsid w:val="008A64F5"/>
    <w:rsid w:val="008A7972"/>
    <w:rsid w:val="008B3F6B"/>
    <w:rsid w:val="008B4AE5"/>
    <w:rsid w:val="008C7104"/>
    <w:rsid w:val="008D23CD"/>
    <w:rsid w:val="008D2B63"/>
    <w:rsid w:val="008D383D"/>
    <w:rsid w:val="008D4772"/>
    <w:rsid w:val="008D65EF"/>
    <w:rsid w:val="008E3BB9"/>
    <w:rsid w:val="008E5A97"/>
    <w:rsid w:val="0090252D"/>
    <w:rsid w:val="009066B3"/>
    <w:rsid w:val="009069A2"/>
    <w:rsid w:val="00912506"/>
    <w:rsid w:val="00920DD3"/>
    <w:rsid w:val="00922DE1"/>
    <w:rsid w:val="00923A57"/>
    <w:rsid w:val="00932BB1"/>
    <w:rsid w:val="009331AA"/>
    <w:rsid w:val="009347C9"/>
    <w:rsid w:val="009354FE"/>
    <w:rsid w:val="00935D3A"/>
    <w:rsid w:val="00937403"/>
    <w:rsid w:val="00946579"/>
    <w:rsid w:val="00946895"/>
    <w:rsid w:val="00947B86"/>
    <w:rsid w:val="00950AB8"/>
    <w:rsid w:val="00953C7B"/>
    <w:rsid w:val="0095400B"/>
    <w:rsid w:val="00957C72"/>
    <w:rsid w:val="00960176"/>
    <w:rsid w:val="00961635"/>
    <w:rsid w:val="00962331"/>
    <w:rsid w:val="00962517"/>
    <w:rsid w:val="00963178"/>
    <w:rsid w:val="00965948"/>
    <w:rsid w:val="00965B58"/>
    <w:rsid w:val="00967249"/>
    <w:rsid w:val="00971158"/>
    <w:rsid w:val="009712C5"/>
    <w:rsid w:val="009719C9"/>
    <w:rsid w:val="00972662"/>
    <w:rsid w:val="00972C52"/>
    <w:rsid w:val="0097334E"/>
    <w:rsid w:val="00974035"/>
    <w:rsid w:val="00974275"/>
    <w:rsid w:val="0097440B"/>
    <w:rsid w:val="00976145"/>
    <w:rsid w:val="009838D1"/>
    <w:rsid w:val="009843F8"/>
    <w:rsid w:val="00984991"/>
    <w:rsid w:val="00985B76"/>
    <w:rsid w:val="00985C6E"/>
    <w:rsid w:val="00991185"/>
    <w:rsid w:val="0099311F"/>
    <w:rsid w:val="00993549"/>
    <w:rsid w:val="00995BD2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D3C95"/>
    <w:rsid w:val="009D458D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6453"/>
    <w:rsid w:val="009F293C"/>
    <w:rsid w:val="009F2A4D"/>
    <w:rsid w:val="009F7F25"/>
    <w:rsid w:val="00A00813"/>
    <w:rsid w:val="00A0216D"/>
    <w:rsid w:val="00A04DDB"/>
    <w:rsid w:val="00A07AB6"/>
    <w:rsid w:val="00A1251F"/>
    <w:rsid w:val="00A13318"/>
    <w:rsid w:val="00A1363D"/>
    <w:rsid w:val="00A143E2"/>
    <w:rsid w:val="00A163E5"/>
    <w:rsid w:val="00A17ED9"/>
    <w:rsid w:val="00A228A3"/>
    <w:rsid w:val="00A22FAC"/>
    <w:rsid w:val="00A23528"/>
    <w:rsid w:val="00A238F0"/>
    <w:rsid w:val="00A25553"/>
    <w:rsid w:val="00A25D65"/>
    <w:rsid w:val="00A2770F"/>
    <w:rsid w:val="00A30C83"/>
    <w:rsid w:val="00A346CA"/>
    <w:rsid w:val="00A35A28"/>
    <w:rsid w:val="00A36D97"/>
    <w:rsid w:val="00A4128B"/>
    <w:rsid w:val="00A4307A"/>
    <w:rsid w:val="00A431CA"/>
    <w:rsid w:val="00A44090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39"/>
    <w:rsid w:val="00A75110"/>
    <w:rsid w:val="00A75CA8"/>
    <w:rsid w:val="00A777AF"/>
    <w:rsid w:val="00A84F9F"/>
    <w:rsid w:val="00A915BF"/>
    <w:rsid w:val="00A94D83"/>
    <w:rsid w:val="00A95B37"/>
    <w:rsid w:val="00A97F7E"/>
    <w:rsid w:val="00AA2D6E"/>
    <w:rsid w:val="00AA4668"/>
    <w:rsid w:val="00AA7DCD"/>
    <w:rsid w:val="00AB11B1"/>
    <w:rsid w:val="00AB56E0"/>
    <w:rsid w:val="00AB5814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F13"/>
    <w:rsid w:val="00AD6EB8"/>
    <w:rsid w:val="00AE045F"/>
    <w:rsid w:val="00AE0BC8"/>
    <w:rsid w:val="00AE5C8A"/>
    <w:rsid w:val="00AE6E64"/>
    <w:rsid w:val="00AE7FD3"/>
    <w:rsid w:val="00AF0566"/>
    <w:rsid w:val="00AF085C"/>
    <w:rsid w:val="00AF08AA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0E8F"/>
    <w:rsid w:val="00B1105D"/>
    <w:rsid w:val="00B16848"/>
    <w:rsid w:val="00B17170"/>
    <w:rsid w:val="00B20D2F"/>
    <w:rsid w:val="00B246ED"/>
    <w:rsid w:val="00B24C2C"/>
    <w:rsid w:val="00B2674A"/>
    <w:rsid w:val="00B30B51"/>
    <w:rsid w:val="00B32A53"/>
    <w:rsid w:val="00B332E4"/>
    <w:rsid w:val="00B3425A"/>
    <w:rsid w:val="00B35579"/>
    <w:rsid w:val="00B35AB8"/>
    <w:rsid w:val="00B363C2"/>
    <w:rsid w:val="00B36432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1426"/>
    <w:rsid w:val="00B5164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752"/>
    <w:rsid w:val="00B777D3"/>
    <w:rsid w:val="00B77902"/>
    <w:rsid w:val="00B77FD3"/>
    <w:rsid w:val="00B80E5B"/>
    <w:rsid w:val="00B821B3"/>
    <w:rsid w:val="00B83E44"/>
    <w:rsid w:val="00B854E8"/>
    <w:rsid w:val="00B85943"/>
    <w:rsid w:val="00B86286"/>
    <w:rsid w:val="00B86756"/>
    <w:rsid w:val="00B90B09"/>
    <w:rsid w:val="00B91E48"/>
    <w:rsid w:val="00B936D2"/>
    <w:rsid w:val="00B944B8"/>
    <w:rsid w:val="00B96324"/>
    <w:rsid w:val="00BA1296"/>
    <w:rsid w:val="00BA15F4"/>
    <w:rsid w:val="00BA33E2"/>
    <w:rsid w:val="00BA4846"/>
    <w:rsid w:val="00BA4C1E"/>
    <w:rsid w:val="00BA6894"/>
    <w:rsid w:val="00BB0770"/>
    <w:rsid w:val="00BB17B2"/>
    <w:rsid w:val="00BB2586"/>
    <w:rsid w:val="00BB2B93"/>
    <w:rsid w:val="00BB4EA5"/>
    <w:rsid w:val="00BC29A4"/>
    <w:rsid w:val="00BC3E80"/>
    <w:rsid w:val="00BC4C0D"/>
    <w:rsid w:val="00BC6B34"/>
    <w:rsid w:val="00BC719F"/>
    <w:rsid w:val="00BC78D4"/>
    <w:rsid w:val="00BC7CA4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2375"/>
    <w:rsid w:val="00C237D7"/>
    <w:rsid w:val="00C2444C"/>
    <w:rsid w:val="00C25B1D"/>
    <w:rsid w:val="00C265D6"/>
    <w:rsid w:val="00C3035F"/>
    <w:rsid w:val="00C33768"/>
    <w:rsid w:val="00C3444F"/>
    <w:rsid w:val="00C35961"/>
    <w:rsid w:val="00C36C7F"/>
    <w:rsid w:val="00C37394"/>
    <w:rsid w:val="00C41316"/>
    <w:rsid w:val="00C4177C"/>
    <w:rsid w:val="00C427DE"/>
    <w:rsid w:val="00C4426D"/>
    <w:rsid w:val="00C457E2"/>
    <w:rsid w:val="00C521FC"/>
    <w:rsid w:val="00C535F0"/>
    <w:rsid w:val="00C57ADB"/>
    <w:rsid w:val="00C603AA"/>
    <w:rsid w:val="00C60DDB"/>
    <w:rsid w:val="00C61A7A"/>
    <w:rsid w:val="00C62F83"/>
    <w:rsid w:val="00C643CA"/>
    <w:rsid w:val="00C668E4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ECF"/>
    <w:rsid w:val="00C85094"/>
    <w:rsid w:val="00C857E8"/>
    <w:rsid w:val="00C86371"/>
    <w:rsid w:val="00C877A1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67A3"/>
    <w:rsid w:val="00CB7F12"/>
    <w:rsid w:val="00CC1791"/>
    <w:rsid w:val="00CC2E06"/>
    <w:rsid w:val="00CC3CEC"/>
    <w:rsid w:val="00CC4489"/>
    <w:rsid w:val="00CC4D72"/>
    <w:rsid w:val="00CC78EA"/>
    <w:rsid w:val="00CC7DF4"/>
    <w:rsid w:val="00CD06AB"/>
    <w:rsid w:val="00CD0B85"/>
    <w:rsid w:val="00CD1111"/>
    <w:rsid w:val="00CD2442"/>
    <w:rsid w:val="00CD32F5"/>
    <w:rsid w:val="00CD7EC8"/>
    <w:rsid w:val="00CE54F4"/>
    <w:rsid w:val="00CE72B7"/>
    <w:rsid w:val="00CE7C62"/>
    <w:rsid w:val="00CF3668"/>
    <w:rsid w:val="00CF3775"/>
    <w:rsid w:val="00CF423D"/>
    <w:rsid w:val="00CF5267"/>
    <w:rsid w:val="00CF5CB2"/>
    <w:rsid w:val="00CF6709"/>
    <w:rsid w:val="00D00E2F"/>
    <w:rsid w:val="00D02633"/>
    <w:rsid w:val="00D02DD7"/>
    <w:rsid w:val="00D0506C"/>
    <w:rsid w:val="00D06211"/>
    <w:rsid w:val="00D066D8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365"/>
    <w:rsid w:val="00D232B0"/>
    <w:rsid w:val="00D23912"/>
    <w:rsid w:val="00D24695"/>
    <w:rsid w:val="00D30FDD"/>
    <w:rsid w:val="00D34D73"/>
    <w:rsid w:val="00D4031E"/>
    <w:rsid w:val="00D40E00"/>
    <w:rsid w:val="00D456AE"/>
    <w:rsid w:val="00D5049D"/>
    <w:rsid w:val="00D519D0"/>
    <w:rsid w:val="00D5270D"/>
    <w:rsid w:val="00D53020"/>
    <w:rsid w:val="00D548A2"/>
    <w:rsid w:val="00D5619B"/>
    <w:rsid w:val="00D57F1A"/>
    <w:rsid w:val="00D602E6"/>
    <w:rsid w:val="00D6035A"/>
    <w:rsid w:val="00D631F1"/>
    <w:rsid w:val="00D65614"/>
    <w:rsid w:val="00D70E88"/>
    <w:rsid w:val="00D743BE"/>
    <w:rsid w:val="00D75E7C"/>
    <w:rsid w:val="00D814E0"/>
    <w:rsid w:val="00D8440D"/>
    <w:rsid w:val="00D85E64"/>
    <w:rsid w:val="00D8692C"/>
    <w:rsid w:val="00D9143A"/>
    <w:rsid w:val="00D92AED"/>
    <w:rsid w:val="00D948C3"/>
    <w:rsid w:val="00D968A3"/>
    <w:rsid w:val="00DA650E"/>
    <w:rsid w:val="00DA6C0F"/>
    <w:rsid w:val="00DB3713"/>
    <w:rsid w:val="00DB475F"/>
    <w:rsid w:val="00DB615A"/>
    <w:rsid w:val="00DB7A16"/>
    <w:rsid w:val="00DB7E82"/>
    <w:rsid w:val="00DC1461"/>
    <w:rsid w:val="00DC31BF"/>
    <w:rsid w:val="00DC34EC"/>
    <w:rsid w:val="00DC3A63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5B08"/>
    <w:rsid w:val="00DD79A4"/>
    <w:rsid w:val="00DE0469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184E"/>
    <w:rsid w:val="00E3504F"/>
    <w:rsid w:val="00E35B6C"/>
    <w:rsid w:val="00E36332"/>
    <w:rsid w:val="00E4143A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4D62"/>
    <w:rsid w:val="00E71ADA"/>
    <w:rsid w:val="00E74177"/>
    <w:rsid w:val="00E801B7"/>
    <w:rsid w:val="00E83C2F"/>
    <w:rsid w:val="00E83C88"/>
    <w:rsid w:val="00E8400E"/>
    <w:rsid w:val="00E84248"/>
    <w:rsid w:val="00E85501"/>
    <w:rsid w:val="00E85B70"/>
    <w:rsid w:val="00E87A77"/>
    <w:rsid w:val="00E93304"/>
    <w:rsid w:val="00E93AA8"/>
    <w:rsid w:val="00E95F0F"/>
    <w:rsid w:val="00E96712"/>
    <w:rsid w:val="00E973CC"/>
    <w:rsid w:val="00E97CA0"/>
    <w:rsid w:val="00EA17E5"/>
    <w:rsid w:val="00EA4C77"/>
    <w:rsid w:val="00EB057A"/>
    <w:rsid w:val="00EB33DA"/>
    <w:rsid w:val="00EB3F31"/>
    <w:rsid w:val="00EB5F6E"/>
    <w:rsid w:val="00EB6005"/>
    <w:rsid w:val="00EC082D"/>
    <w:rsid w:val="00EC1C0D"/>
    <w:rsid w:val="00EC51F0"/>
    <w:rsid w:val="00ED0F6D"/>
    <w:rsid w:val="00ED5904"/>
    <w:rsid w:val="00EE0233"/>
    <w:rsid w:val="00EE0E73"/>
    <w:rsid w:val="00EE38EE"/>
    <w:rsid w:val="00EE54EF"/>
    <w:rsid w:val="00EE74EF"/>
    <w:rsid w:val="00EF052C"/>
    <w:rsid w:val="00EF1660"/>
    <w:rsid w:val="00EF19E5"/>
    <w:rsid w:val="00EF1DB0"/>
    <w:rsid w:val="00EF3A91"/>
    <w:rsid w:val="00EF44A5"/>
    <w:rsid w:val="00EF5B5A"/>
    <w:rsid w:val="00EF76AC"/>
    <w:rsid w:val="00F01546"/>
    <w:rsid w:val="00F023BC"/>
    <w:rsid w:val="00F042F9"/>
    <w:rsid w:val="00F05767"/>
    <w:rsid w:val="00F122DF"/>
    <w:rsid w:val="00F14C2C"/>
    <w:rsid w:val="00F14DA8"/>
    <w:rsid w:val="00F15532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86D"/>
    <w:rsid w:val="00F33D61"/>
    <w:rsid w:val="00F33D95"/>
    <w:rsid w:val="00F34AFB"/>
    <w:rsid w:val="00F365F0"/>
    <w:rsid w:val="00F403BC"/>
    <w:rsid w:val="00F41BFD"/>
    <w:rsid w:val="00F41F26"/>
    <w:rsid w:val="00F427DD"/>
    <w:rsid w:val="00F42919"/>
    <w:rsid w:val="00F444F4"/>
    <w:rsid w:val="00F44542"/>
    <w:rsid w:val="00F44E06"/>
    <w:rsid w:val="00F45978"/>
    <w:rsid w:val="00F46A07"/>
    <w:rsid w:val="00F50457"/>
    <w:rsid w:val="00F54473"/>
    <w:rsid w:val="00F553D7"/>
    <w:rsid w:val="00F57041"/>
    <w:rsid w:val="00F612F6"/>
    <w:rsid w:val="00F62A16"/>
    <w:rsid w:val="00F65E88"/>
    <w:rsid w:val="00F663F7"/>
    <w:rsid w:val="00F70978"/>
    <w:rsid w:val="00F75D50"/>
    <w:rsid w:val="00F764F8"/>
    <w:rsid w:val="00F76C01"/>
    <w:rsid w:val="00F770E0"/>
    <w:rsid w:val="00F80557"/>
    <w:rsid w:val="00F87186"/>
    <w:rsid w:val="00F87DAE"/>
    <w:rsid w:val="00F909D7"/>
    <w:rsid w:val="00F91F90"/>
    <w:rsid w:val="00F92DD9"/>
    <w:rsid w:val="00F957A1"/>
    <w:rsid w:val="00F95FA7"/>
    <w:rsid w:val="00F97A79"/>
    <w:rsid w:val="00F97F47"/>
    <w:rsid w:val="00FA05BC"/>
    <w:rsid w:val="00FA3AD4"/>
    <w:rsid w:val="00FA4E79"/>
    <w:rsid w:val="00FA5847"/>
    <w:rsid w:val="00FA5DA1"/>
    <w:rsid w:val="00FB1CAC"/>
    <w:rsid w:val="00FB242B"/>
    <w:rsid w:val="00FB776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65E2"/>
    <w:rsid w:val="00FE017E"/>
    <w:rsid w:val="00FE10E9"/>
    <w:rsid w:val="00FE204D"/>
    <w:rsid w:val="00FE5759"/>
    <w:rsid w:val="00FF06E4"/>
    <w:rsid w:val="00FF1741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Pence, Rebecca</cp:lastModifiedBy>
  <cp:revision>2</cp:revision>
  <cp:lastPrinted>2020-10-29T19:06:00Z</cp:lastPrinted>
  <dcterms:created xsi:type="dcterms:W3CDTF">2022-09-16T18:11:00Z</dcterms:created>
  <dcterms:modified xsi:type="dcterms:W3CDTF">2022-09-16T18:11:00Z</dcterms:modified>
</cp:coreProperties>
</file>