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5FDB3" w14:textId="5F897EC4" w:rsidR="0029568E" w:rsidRDefault="00573679" w:rsidP="00AC5485">
      <w:pPr>
        <w:pStyle w:val="NoSpacing"/>
        <w:jc w:val="center"/>
        <w:rPr>
          <w:rStyle w:val="Emphasis"/>
          <w:b/>
        </w:rPr>
      </w:pPr>
      <w:r>
        <w:rPr>
          <w:rStyle w:val="Emphasis"/>
          <w:b/>
        </w:rPr>
        <w:t xml:space="preserve"> Indiana </w:t>
      </w:r>
      <w:r w:rsidR="0029568E" w:rsidRPr="00835C69">
        <w:rPr>
          <w:rStyle w:val="Emphasis"/>
          <w:b/>
        </w:rPr>
        <w:t>Family Preservation Services</w:t>
      </w:r>
    </w:p>
    <w:p w14:paraId="38D12136" w14:textId="0CC55387" w:rsidR="00E278FE" w:rsidRPr="00835C69" w:rsidRDefault="00E278FE" w:rsidP="00E278FE">
      <w:pPr>
        <w:pStyle w:val="NoSpacing"/>
        <w:jc w:val="center"/>
        <w:rPr>
          <w:rStyle w:val="Emphasis"/>
          <w:b/>
        </w:rPr>
      </w:pPr>
      <w:r w:rsidRPr="00835C69">
        <w:rPr>
          <w:rStyle w:val="Emphasis"/>
          <w:b/>
        </w:rPr>
        <w:t>Agenda and Questions</w:t>
      </w:r>
    </w:p>
    <w:p w14:paraId="3153F329" w14:textId="27CDD4A3" w:rsidR="00A0216D" w:rsidRPr="00431F25" w:rsidRDefault="0022094B" w:rsidP="00431F25">
      <w:pPr>
        <w:pStyle w:val="NoSpacing"/>
        <w:jc w:val="center"/>
        <w:rPr>
          <w:b/>
          <w:i/>
          <w:iCs/>
        </w:rPr>
      </w:pPr>
      <w:r>
        <w:rPr>
          <w:rStyle w:val="Emphasis"/>
          <w:b/>
        </w:rPr>
        <w:t>December 3</w:t>
      </w:r>
      <w:r w:rsidR="0029568E" w:rsidRPr="00835C69">
        <w:rPr>
          <w:rStyle w:val="Emphasis"/>
          <w:b/>
        </w:rPr>
        <w:t>, 202</w:t>
      </w:r>
      <w:r w:rsidR="00B246ED">
        <w:rPr>
          <w:rStyle w:val="Emphasis"/>
          <w:b/>
        </w:rPr>
        <w:t>1</w:t>
      </w:r>
      <w:r w:rsidR="0029568E" w:rsidRPr="00835C69">
        <w:rPr>
          <w:rStyle w:val="Emphasis"/>
          <w:b/>
        </w:rPr>
        <w:t xml:space="preserve"> </w:t>
      </w:r>
    </w:p>
    <w:p w14:paraId="254C187D" w14:textId="77777777" w:rsidR="005C4A36" w:rsidRDefault="005C4A36" w:rsidP="005C4A36">
      <w:pPr>
        <w:pStyle w:val="ListParagraph"/>
        <w:spacing w:before="100" w:beforeAutospacing="1" w:after="165"/>
        <w:ind w:left="1080"/>
        <w:rPr>
          <w:rFonts w:eastAsia="Times New Roman"/>
          <w:i/>
          <w:iCs/>
        </w:rPr>
      </w:pPr>
    </w:p>
    <w:p w14:paraId="3F14AF18" w14:textId="20EA07F0" w:rsidR="00425543" w:rsidRDefault="00425543" w:rsidP="003B13AB">
      <w:pPr>
        <w:pStyle w:val="ListParagraph"/>
        <w:numPr>
          <w:ilvl w:val="0"/>
          <w:numId w:val="1"/>
        </w:numPr>
        <w:spacing w:before="100" w:beforeAutospacing="1" w:after="165"/>
        <w:rPr>
          <w:rFonts w:eastAsia="Times New Roman"/>
          <w:i/>
          <w:iCs/>
        </w:rPr>
      </w:pPr>
      <w:r>
        <w:rPr>
          <w:rFonts w:eastAsia="Times New Roman"/>
          <w:i/>
          <w:iCs/>
        </w:rPr>
        <w:t>Brian Goodwin to provide evaluation update.</w:t>
      </w:r>
    </w:p>
    <w:p w14:paraId="5028C424" w14:textId="02C8761D" w:rsidR="00A25D65" w:rsidRDefault="00A25D65" w:rsidP="00A25D65">
      <w:pPr>
        <w:pStyle w:val="ListParagraph"/>
        <w:numPr>
          <w:ilvl w:val="1"/>
          <w:numId w:val="1"/>
        </w:numPr>
        <w:spacing w:before="100" w:beforeAutospacing="1" w:after="165"/>
        <w:rPr>
          <w:rFonts w:eastAsia="Times New Roman"/>
          <w:i/>
          <w:iCs/>
        </w:rPr>
      </w:pPr>
      <w:r>
        <w:rPr>
          <w:rFonts w:eastAsia="Times New Roman"/>
          <w:i/>
          <w:iCs/>
        </w:rPr>
        <w:t>Just sent out another round of documents tied to the surveys. If you see anything inaccurate or the EBP was not used reach out to Brian to correct this.</w:t>
      </w:r>
    </w:p>
    <w:p w14:paraId="4D3F44E0" w14:textId="0BC0C025" w:rsidR="00A25D65" w:rsidRDefault="00A25D65" w:rsidP="00A25D65">
      <w:pPr>
        <w:pStyle w:val="ListParagraph"/>
        <w:numPr>
          <w:ilvl w:val="1"/>
          <w:numId w:val="1"/>
        </w:numPr>
        <w:spacing w:before="100" w:beforeAutospacing="1" w:after="165"/>
        <w:rPr>
          <w:rFonts w:eastAsia="Times New Roman"/>
          <w:i/>
          <w:iCs/>
        </w:rPr>
      </w:pPr>
      <w:r>
        <w:rPr>
          <w:rFonts w:eastAsia="Times New Roman"/>
          <w:i/>
          <w:iCs/>
        </w:rPr>
        <w:t xml:space="preserve">About 80% of all evaluation cases have been closed. </w:t>
      </w:r>
    </w:p>
    <w:p w14:paraId="220C2AA7" w14:textId="07661983" w:rsidR="00A25D65" w:rsidRDefault="00A25D65" w:rsidP="00A25D65">
      <w:pPr>
        <w:pStyle w:val="ListParagraph"/>
        <w:numPr>
          <w:ilvl w:val="1"/>
          <w:numId w:val="1"/>
        </w:numPr>
        <w:spacing w:before="100" w:beforeAutospacing="1" w:after="165"/>
        <w:rPr>
          <w:rFonts w:eastAsia="Times New Roman"/>
          <w:i/>
          <w:iCs/>
        </w:rPr>
      </w:pPr>
      <w:r>
        <w:rPr>
          <w:rFonts w:eastAsia="Times New Roman"/>
          <w:i/>
          <w:iCs/>
        </w:rPr>
        <w:t xml:space="preserve">If did not receive those </w:t>
      </w:r>
      <w:r w:rsidR="007774B1">
        <w:rPr>
          <w:rFonts w:eastAsia="Times New Roman"/>
          <w:i/>
          <w:iCs/>
        </w:rPr>
        <w:t xml:space="preserve">documents, </w:t>
      </w:r>
      <w:r w:rsidR="00120C61">
        <w:rPr>
          <w:rFonts w:eastAsia="Times New Roman"/>
          <w:i/>
          <w:iCs/>
        </w:rPr>
        <w:t xml:space="preserve">or if you have questions, </w:t>
      </w:r>
      <w:r w:rsidR="007774B1">
        <w:rPr>
          <w:rFonts w:eastAsia="Times New Roman"/>
          <w:i/>
          <w:iCs/>
        </w:rPr>
        <w:t>please email Brian</w:t>
      </w:r>
      <w:r>
        <w:rPr>
          <w:rFonts w:eastAsia="Times New Roman"/>
          <w:i/>
          <w:iCs/>
        </w:rPr>
        <w:t>.</w:t>
      </w:r>
    </w:p>
    <w:p w14:paraId="32E4EB9B" w14:textId="001D4F43" w:rsidR="00A25D65" w:rsidRDefault="00A25D65" w:rsidP="00A25D65">
      <w:pPr>
        <w:pStyle w:val="ListParagraph"/>
        <w:numPr>
          <w:ilvl w:val="1"/>
          <w:numId w:val="1"/>
        </w:numPr>
        <w:spacing w:before="100" w:beforeAutospacing="1" w:after="165"/>
        <w:rPr>
          <w:rFonts w:eastAsia="Times New Roman"/>
          <w:i/>
          <w:iCs/>
        </w:rPr>
      </w:pPr>
      <w:r>
        <w:rPr>
          <w:rFonts w:eastAsia="Times New Roman"/>
          <w:i/>
          <w:iCs/>
        </w:rPr>
        <w:t xml:space="preserve">Email: </w:t>
      </w:r>
      <w:hyperlink r:id="rId5" w:history="1">
        <w:r w:rsidR="007774B1" w:rsidRPr="00111DCE">
          <w:rPr>
            <w:rStyle w:val="Hyperlink"/>
            <w:rFonts w:eastAsia="Times New Roman"/>
            <w:i/>
            <w:iCs/>
          </w:rPr>
          <w:t>brian.goodwin@dcs.in.gov</w:t>
        </w:r>
      </w:hyperlink>
      <w:r w:rsidR="007774B1">
        <w:rPr>
          <w:rFonts w:eastAsia="Times New Roman"/>
          <w:i/>
          <w:iCs/>
        </w:rPr>
        <w:t xml:space="preserve"> </w:t>
      </w:r>
    </w:p>
    <w:p w14:paraId="7AE03B82" w14:textId="77777777" w:rsidR="00425543" w:rsidRDefault="00425543" w:rsidP="00425543">
      <w:pPr>
        <w:pStyle w:val="ListParagraph"/>
        <w:spacing w:before="100" w:beforeAutospacing="1" w:after="165"/>
        <w:ind w:left="1080"/>
        <w:rPr>
          <w:rFonts w:eastAsia="Times New Roman"/>
          <w:i/>
          <w:iCs/>
        </w:rPr>
      </w:pPr>
    </w:p>
    <w:p w14:paraId="3995981C" w14:textId="13B3A5FE" w:rsidR="00B4087C" w:rsidRDefault="00440BA8" w:rsidP="003B13AB">
      <w:pPr>
        <w:pStyle w:val="ListParagraph"/>
        <w:numPr>
          <w:ilvl w:val="0"/>
          <w:numId w:val="1"/>
        </w:numPr>
        <w:spacing w:before="100" w:beforeAutospacing="1" w:after="165"/>
        <w:rPr>
          <w:rFonts w:eastAsia="Times New Roman"/>
          <w:i/>
          <w:iCs/>
        </w:rPr>
      </w:pPr>
      <w:r w:rsidRPr="001A6DC7">
        <w:rPr>
          <w:rFonts w:eastAsia="Times New Roman"/>
          <w:i/>
          <w:iCs/>
        </w:rPr>
        <w:t>Cr</w:t>
      </w:r>
      <w:r w:rsidR="001A6DC7" w:rsidRPr="001A6DC7">
        <w:rPr>
          <w:rFonts w:eastAsia="Times New Roman"/>
          <w:i/>
          <w:iCs/>
        </w:rPr>
        <w:t xml:space="preserve">ystal Whitis to provide updates on </w:t>
      </w:r>
      <w:r w:rsidR="00A36D97">
        <w:rPr>
          <w:rFonts w:eastAsia="Times New Roman"/>
          <w:i/>
          <w:iCs/>
        </w:rPr>
        <w:t>Services Hub</w:t>
      </w:r>
      <w:r w:rsidR="001A6DC7" w:rsidRPr="001A6DC7">
        <w:rPr>
          <w:rFonts w:eastAsia="Times New Roman"/>
          <w:i/>
          <w:iCs/>
        </w:rPr>
        <w:t xml:space="preserve">. </w:t>
      </w:r>
      <w:r w:rsidR="00611836" w:rsidRPr="001A6DC7">
        <w:rPr>
          <w:rFonts w:eastAsia="Times New Roman"/>
          <w:i/>
          <w:iCs/>
        </w:rPr>
        <w:tab/>
      </w:r>
    </w:p>
    <w:p w14:paraId="6DF3BEB6" w14:textId="5FF855E0" w:rsidR="00A25D65" w:rsidRDefault="00A25D65" w:rsidP="00A25D65">
      <w:pPr>
        <w:pStyle w:val="ListParagraph"/>
        <w:numPr>
          <w:ilvl w:val="1"/>
          <w:numId w:val="1"/>
        </w:numPr>
        <w:spacing w:before="100" w:beforeAutospacing="1" w:after="165"/>
        <w:rPr>
          <w:rFonts w:eastAsia="Times New Roman"/>
          <w:i/>
          <w:iCs/>
        </w:rPr>
      </w:pPr>
      <w:r>
        <w:rPr>
          <w:rFonts w:eastAsia="Times New Roman"/>
          <w:i/>
          <w:iCs/>
        </w:rPr>
        <w:t xml:space="preserve">Reminder: Fill out your census regularly. FCM’s can see </w:t>
      </w:r>
      <w:r w:rsidR="007774B1">
        <w:rPr>
          <w:rFonts w:eastAsia="Times New Roman"/>
          <w:i/>
          <w:iCs/>
        </w:rPr>
        <w:t xml:space="preserve">a </w:t>
      </w:r>
      <w:r>
        <w:rPr>
          <w:rFonts w:eastAsia="Times New Roman"/>
          <w:i/>
          <w:iCs/>
        </w:rPr>
        <w:t>timestamp when t</w:t>
      </w:r>
      <w:r w:rsidR="007774B1">
        <w:rPr>
          <w:rFonts w:eastAsia="Times New Roman"/>
          <w:i/>
          <w:iCs/>
        </w:rPr>
        <w:t>his</w:t>
      </w:r>
      <w:r>
        <w:rPr>
          <w:rFonts w:eastAsia="Times New Roman"/>
          <w:i/>
          <w:iCs/>
        </w:rPr>
        <w:t xml:space="preserve"> is updated. Even if you don’t have changes update with no changes.</w:t>
      </w:r>
    </w:p>
    <w:p w14:paraId="56585573" w14:textId="512D428C" w:rsidR="00A25D65" w:rsidRDefault="00A25D65" w:rsidP="00A25D65">
      <w:pPr>
        <w:pStyle w:val="ListParagraph"/>
        <w:numPr>
          <w:ilvl w:val="1"/>
          <w:numId w:val="1"/>
        </w:numPr>
        <w:spacing w:before="100" w:beforeAutospacing="1" w:after="165"/>
        <w:rPr>
          <w:rFonts w:eastAsia="Times New Roman"/>
          <w:i/>
          <w:iCs/>
        </w:rPr>
      </w:pPr>
      <w:r w:rsidRPr="00A25D65">
        <w:rPr>
          <w:rFonts w:eastAsia="Times New Roman"/>
          <w:i/>
          <w:iCs/>
        </w:rPr>
        <w:t>Email</w:t>
      </w:r>
      <w:r>
        <w:rPr>
          <w:rFonts w:eastAsia="Times New Roman"/>
          <w:i/>
          <w:iCs/>
        </w:rPr>
        <w:t xml:space="preserve"> service hub (</w:t>
      </w:r>
      <w:hyperlink r:id="rId6" w:history="1">
        <w:r>
          <w:rPr>
            <w:rStyle w:val="Hyperlink"/>
            <w:rFonts w:eastAsia="Times New Roman"/>
            <w:i/>
            <w:iCs/>
          </w:rPr>
          <w:t>serviceshub@dcs.in.gov</w:t>
        </w:r>
      </w:hyperlink>
      <w:r>
        <w:t xml:space="preserve">) </w:t>
      </w:r>
      <w:r>
        <w:rPr>
          <w:rFonts w:eastAsia="Times New Roman"/>
          <w:i/>
          <w:iCs/>
        </w:rPr>
        <w:t xml:space="preserve">with any questions regarding entering information or if administrator needs to be updated. </w:t>
      </w:r>
    </w:p>
    <w:p w14:paraId="785C0CDB" w14:textId="38E4CA1C" w:rsidR="00A25D65" w:rsidRDefault="00A25D65" w:rsidP="00A25D65">
      <w:pPr>
        <w:pStyle w:val="ListParagraph"/>
        <w:numPr>
          <w:ilvl w:val="1"/>
          <w:numId w:val="1"/>
        </w:numPr>
        <w:spacing w:before="100" w:beforeAutospacing="1" w:after="165"/>
        <w:rPr>
          <w:rFonts w:eastAsia="Times New Roman"/>
          <w:i/>
          <w:iCs/>
        </w:rPr>
      </w:pPr>
      <w:r>
        <w:rPr>
          <w:rFonts w:eastAsia="Times New Roman"/>
          <w:i/>
          <w:iCs/>
        </w:rPr>
        <w:t>We were told that reminders would be sent (regarding the service hub). How often would those be sent?</w:t>
      </w:r>
    </w:p>
    <w:p w14:paraId="3C2A7175" w14:textId="473B38A0" w:rsidR="00A25D65" w:rsidRDefault="00A25D65" w:rsidP="00A25D65">
      <w:pPr>
        <w:pStyle w:val="ListParagraph"/>
        <w:numPr>
          <w:ilvl w:val="2"/>
          <w:numId w:val="1"/>
        </w:numPr>
        <w:spacing w:before="100" w:beforeAutospacing="1" w:after="165"/>
        <w:rPr>
          <w:rFonts w:eastAsia="Times New Roman"/>
          <w:i/>
          <w:iCs/>
        </w:rPr>
      </w:pPr>
      <w:r>
        <w:rPr>
          <w:rFonts w:eastAsia="Times New Roman"/>
          <w:i/>
          <w:iCs/>
        </w:rPr>
        <w:t xml:space="preserve">Have talked about whether we would be able to do this but have not started this yet. </w:t>
      </w:r>
    </w:p>
    <w:p w14:paraId="45F822E6" w14:textId="7F1D79DB" w:rsidR="00A25D65" w:rsidRDefault="007774B1" w:rsidP="00A25D65">
      <w:pPr>
        <w:pStyle w:val="ListParagraph"/>
        <w:numPr>
          <w:ilvl w:val="2"/>
          <w:numId w:val="1"/>
        </w:numPr>
        <w:spacing w:before="100" w:beforeAutospacing="1" w:after="165"/>
        <w:rPr>
          <w:rFonts w:eastAsia="Times New Roman"/>
          <w:i/>
          <w:iCs/>
        </w:rPr>
      </w:pPr>
      <w:r>
        <w:rPr>
          <w:rFonts w:eastAsia="Times New Roman"/>
          <w:i/>
          <w:iCs/>
        </w:rPr>
        <w:t xml:space="preserve">If we move forward with </w:t>
      </w:r>
      <w:proofErr w:type="gramStart"/>
      <w:r>
        <w:rPr>
          <w:rFonts w:eastAsia="Times New Roman"/>
          <w:i/>
          <w:iCs/>
        </w:rPr>
        <w:t>this</w:t>
      </w:r>
      <w:proofErr w:type="gramEnd"/>
      <w:r>
        <w:rPr>
          <w:rFonts w:eastAsia="Times New Roman"/>
          <w:i/>
          <w:iCs/>
        </w:rPr>
        <w:t xml:space="preserve"> we m</w:t>
      </w:r>
      <w:r w:rsidR="00A25D65">
        <w:rPr>
          <w:rFonts w:eastAsia="Times New Roman"/>
          <w:i/>
          <w:iCs/>
        </w:rPr>
        <w:t>ay need to test</w:t>
      </w:r>
      <w:r>
        <w:rPr>
          <w:rFonts w:eastAsia="Times New Roman"/>
          <w:i/>
          <w:iCs/>
        </w:rPr>
        <w:t xml:space="preserve"> this with a few providers.</w:t>
      </w:r>
    </w:p>
    <w:p w14:paraId="6D5EE874" w14:textId="736C823B" w:rsidR="00A25D65" w:rsidRPr="00EE0233" w:rsidRDefault="00A25D65" w:rsidP="00A25D65">
      <w:pPr>
        <w:pStyle w:val="ListParagraph"/>
        <w:numPr>
          <w:ilvl w:val="1"/>
          <w:numId w:val="1"/>
        </w:numPr>
        <w:spacing w:before="100" w:beforeAutospacing="1" w:after="165"/>
        <w:rPr>
          <w:rFonts w:eastAsia="Times New Roman"/>
          <w:i/>
          <w:iCs/>
        </w:rPr>
      </w:pPr>
      <w:r w:rsidRPr="00EE0233">
        <w:rPr>
          <w:rFonts w:eastAsia="Times New Roman"/>
          <w:i/>
          <w:iCs/>
        </w:rPr>
        <w:t>Is there anyway in the future that we would be able to enter all info for all regions and counties on one screen?</w:t>
      </w:r>
    </w:p>
    <w:p w14:paraId="24CCFDDB" w14:textId="251D95D1" w:rsidR="00A25D65" w:rsidRPr="00EE0233" w:rsidRDefault="00EE0233" w:rsidP="00A25D65">
      <w:pPr>
        <w:pStyle w:val="ListParagraph"/>
        <w:numPr>
          <w:ilvl w:val="2"/>
          <w:numId w:val="1"/>
        </w:numPr>
        <w:spacing w:before="100" w:beforeAutospacing="1" w:after="165"/>
        <w:rPr>
          <w:rFonts w:eastAsia="Times New Roman"/>
          <w:i/>
          <w:iCs/>
        </w:rPr>
      </w:pPr>
      <w:r w:rsidRPr="00EE0233">
        <w:rPr>
          <w:rFonts w:eastAsia="Times New Roman"/>
          <w:i/>
          <w:iCs/>
        </w:rPr>
        <w:t>The reporting mechanism for the hub is probably the most tedious from our perspective for us to tweak. We will keep working on it and see if we can make that work.</w:t>
      </w:r>
    </w:p>
    <w:p w14:paraId="54FEAA3D" w14:textId="77777777" w:rsidR="00153795" w:rsidRPr="00431F25" w:rsidRDefault="00153795" w:rsidP="00431F25">
      <w:pPr>
        <w:rPr>
          <w:i/>
          <w:iCs/>
          <w:sz w:val="22"/>
          <w:szCs w:val="22"/>
        </w:rPr>
      </w:pPr>
    </w:p>
    <w:p w14:paraId="2F00B75E" w14:textId="77777777" w:rsidR="003268AE" w:rsidRDefault="00527F3C" w:rsidP="00527F3C">
      <w:pPr>
        <w:pStyle w:val="NoSpacing"/>
        <w:numPr>
          <w:ilvl w:val="0"/>
          <w:numId w:val="1"/>
        </w:numPr>
        <w:rPr>
          <w:rStyle w:val="Emphasis"/>
        </w:rPr>
      </w:pPr>
      <w:r w:rsidRPr="009E4767">
        <w:rPr>
          <w:rStyle w:val="Emphasis"/>
        </w:rPr>
        <w:t>Concrete supports reminder—Please complete this form for any concrete spend, and send to Bridget McIntyre (</w:t>
      </w:r>
      <w:hyperlink r:id="rId7" w:history="1">
        <w:r w:rsidRPr="009E4767">
          <w:rPr>
            <w:rStyle w:val="Hyperlink"/>
            <w:i/>
            <w:iCs/>
          </w:rPr>
          <w:t>Bridget.McIntyre@dcs.in.gov</w:t>
        </w:r>
      </w:hyperlink>
      <w:r w:rsidRPr="009E4767">
        <w:rPr>
          <w:rStyle w:val="Emphasis"/>
        </w:rPr>
        <w:t>) or the Child Welfare Plan (</w:t>
      </w:r>
      <w:hyperlink r:id="rId8" w:history="1">
        <w:r w:rsidRPr="009E4767">
          <w:rPr>
            <w:rStyle w:val="Hyperlink"/>
            <w:i/>
            <w:iCs/>
          </w:rPr>
          <w:t>ChildWelfarePlan@dcs.in.gov</w:t>
        </w:r>
      </w:hyperlink>
      <w:r w:rsidRPr="009E4767">
        <w:rPr>
          <w:rStyle w:val="Emphasis"/>
        </w:rPr>
        <w:t>):</w:t>
      </w:r>
    </w:p>
    <w:p w14:paraId="48D5BAC1" w14:textId="0120B603" w:rsidR="00527F3C" w:rsidRDefault="00527F3C" w:rsidP="003268AE">
      <w:pPr>
        <w:pStyle w:val="NoSpacing"/>
        <w:ind w:left="1080"/>
        <w:rPr>
          <w:rStyle w:val="Emphasis"/>
        </w:rPr>
      </w:pPr>
      <w:r w:rsidRPr="009E4767">
        <w:rPr>
          <w:rStyle w:val="Emphasis"/>
        </w:rPr>
        <w:t xml:space="preserve"> </w:t>
      </w:r>
      <w:hyperlink r:id="rId9" w:history="1">
        <w:r w:rsidR="003268AE" w:rsidRPr="00402068">
          <w:rPr>
            <w:rStyle w:val="Hyperlink"/>
          </w:rPr>
          <w:t>https://www.in.gov/dcs/files/Expense-Tracking-Agencies.xlsx</w:t>
        </w:r>
      </w:hyperlink>
      <w:r w:rsidR="003268AE">
        <w:rPr>
          <w:rStyle w:val="Emphasis"/>
        </w:rPr>
        <w:t xml:space="preserve"> </w:t>
      </w:r>
    </w:p>
    <w:p w14:paraId="5EF33248" w14:textId="77777777" w:rsidR="00FB776A" w:rsidRDefault="00FB776A" w:rsidP="003268AE">
      <w:pPr>
        <w:pStyle w:val="NoSpacing"/>
        <w:ind w:left="1080"/>
        <w:rPr>
          <w:rStyle w:val="Emphasis"/>
        </w:rPr>
      </w:pPr>
    </w:p>
    <w:p w14:paraId="0B2C5B99" w14:textId="01B77663" w:rsidR="0051338F" w:rsidRDefault="0051338F" w:rsidP="0051338F">
      <w:pPr>
        <w:pStyle w:val="ListParagraph"/>
        <w:numPr>
          <w:ilvl w:val="0"/>
          <w:numId w:val="1"/>
        </w:numPr>
        <w:rPr>
          <w:i/>
          <w:iCs/>
        </w:rPr>
      </w:pPr>
      <w:r w:rsidRPr="009E4767">
        <w:rPr>
          <w:rStyle w:val="Emphasis"/>
        </w:rPr>
        <w:t>Current referral information:</w:t>
      </w:r>
      <w:r w:rsidRPr="00431F25">
        <w:rPr>
          <w:i/>
          <w:iCs/>
        </w:rPr>
        <w:t xml:space="preserve"> </w:t>
      </w:r>
      <w:r>
        <w:rPr>
          <w:i/>
          <w:iCs/>
        </w:rPr>
        <w:t xml:space="preserve">(as of </w:t>
      </w:r>
      <w:r w:rsidR="00C877A1">
        <w:rPr>
          <w:i/>
          <w:iCs/>
        </w:rPr>
        <w:t>1</w:t>
      </w:r>
      <w:r w:rsidR="002D79AA">
        <w:rPr>
          <w:i/>
          <w:iCs/>
        </w:rPr>
        <w:t>2</w:t>
      </w:r>
      <w:r w:rsidR="00FD65E2">
        <w:rPr>
          <w:i/>
          <w:iCs/>
        </w:rPr>
        <w:t>/</w:t>
      </w:r>
      <w:r w:rsidR="002D79AA">
        <w:rPr>
          <w:i/>
          <w:iCs/>
        </w:rPr>
        <w:t>2</w:t>
      </w:r>
      <w:r w:rsidR="007E6ABE">
        <w:rPr>
          <w:i/>
          <w:iCs/>
        </w:rPr>
        <w:t>/21</w:t>
      </w:r>
      <w:r>
        <w:rPr>
          <w:i/>
          <w:iCs/>
        </w:rPr>
        <w:t>)</w:t>
      </w:r>
    </w:p>
    <w:tbl>
      <w:tblPr>
        <w:tblW w:w="3870" w:type="dxa"/>
        <w:tblInd w:w="-180" w:type="dxa"/>
        <w:tblCellMar>
          <w:left w:w="0" w:type="dxa"/>
          <w:right w:w="0" w:type="dxa"/>
        </w:tblCellMar>
        <w:tblLook w:val="04A0" w:firstRow="1" w:lastRow="0" w:firstColumn="1" w:lastColumn="0" w:noHBand="0" w:noVBand="1"/>
      </w:tblPr>
      <w:tblGrid>
        <w:gridCol w:w="3000"/>
        <w:gridCol w:w="870"/>
      </w:tblGrid>
      <w:tr w:rsidR="00E973CC" w:rsidRPr="00E973CC" w14:paraId="1996DFEC" w14:textId="77777777" w:rsidTr="00E973CC">
        <w:trPr>
          <w:trHeight w:val="300"/>
        </w:trPr>
        <w:tc>
          <w:tcPr>
            <w:tcW w:w="30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83CDE95" w14:textId="77777777" w:rsidR="00E973CC" w:rsidRPr="00E973CC" w:rsidRDefault="00E973CC" w:rsidP="00E973CC">
            <w:pPr>
              <w:rPr>
                <w:rFonts w:ascii="Calibri" w:eastAsia="Calibri" w:hAnsi="Calibri" w:cs="Calibri"/>
                <w:b/>
                <w:bCs/>
                <w:color w:val="000000"/>
                <w:sz w:val="22"/>
                <w:szCs w:val="22"/>
              </w:rPr>
            </w:pPr>
            <w:r w:rsidRPr="00E973CC">
              <w:rPr>
                <w:rFonts w:ascii="Calibri" w:eastAsia="Calibri" w:hAnsi="Calibri" w:cs="Calibri"/>
                <w:b/>
                <w:bCs/>
                <w:color w:val="000000"/>
                <w:sz w:val="22"/>
                <w:szCs w:val="22"/>
              </w:rPr>
              <w:t>Regions</w:t>
            </w:r>
          </w:p>
        </w:tc>
        <w:tc>
          <w:tcPr>
            <w:tcW w:w="87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233D59F" w14:textId="77777777" w:rsidR="00E973CC" w:rsidRPr="00E973CC" w:rsidRDefault="00E973CC" w:rsidP="00E973CC">
            <w:pPr>
              <w:jc w:val="right"/>
              <w:rPr>
                <w:rFonts w:ascii="Calibri" w:eastAsia="Calibri" w:hAnsi="Calibri" w:cs="Calibri"/>
                <w:b/>
                <w:bCs/>
                <w:color w:val="000000"/>
                <w:sz w:val="22"/>
                <w:szCs w:val="22"/>
              </w:rPr>
            </w:pPr>
            <w:r w:rsidRPr="00E973CC">
              <w:rPr>
                <w:rFonts w:ascii="Calibri" w:eastAsia="Calibri" w:hAnsi="Calibri" w:cs="Calibri"/>
                <w:b/>
                <w:bCs/>
                <w:color w:val="000000"/>
                <w:sz w:val="22"/>
                <w:szCs w:val="22"/>
              </w:rPr>
              <w:t>Family Pres Case Count</w:t>
            </w:r>
          </w:p>
        </w:tc>
      </w:tr>
      <w:tr w:rsidR="00E973CC" w:rsidRPr="00E973CC" w14:paraId="17321E96"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C192C30"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CC11AE8"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182</w:t>
            </w:r>
          </w:p>
        </w:tc>
      </w:tr>
      <w:tr w:rsidR="00E973CC" w:rsidRPr="00E973CC" w14:paraId="20D53B7E"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8CC0DF8"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2</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740ED1D"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62</w:t>
            </w:r>
          </w:p>
        </w:tc>
      </w:tr>
      <w:tr w:rsidR="00E973CC" w:rsidRPr="00E973CC" w14:paraId="0228497E"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F580EF7"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3</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042EA6D"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100</w:t>
            </w:r>
          </w:p>
        </w:tc>
      </w:tr>
      <w:tr w:rsidR="00E973CC" w:rsidRPr="00E973CC" w14:paraId="69965AE0"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981DD8"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4</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0CBDD4B8"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107</w:t>
            </w:r>
          </w:p>
        </w:tc>
      </w:tr>
      <w:tr w:rsidR="00E973CC" w:rsidRPr="00E973CC" w14:paraId="42A3FC03"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482940E1"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5</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1AADB17"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60</w:t>
            </w:r>
          </w:p>
        </w:tc>
      </w:tr>
      <w:tr w:rsidR="00E973CC" w:rsidRPr="00E973CC" w14:paraId="3BAD3648"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807E645"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6</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199D1D"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62</w:t>
            </w:r>
          </w:p>
        </w:tc>
      </w:tr>
      <w:tr w:rsidR="00E973CC" w:rsidRPr="00E973CC" w14:paraId="66CD16C3"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082C56"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7</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799EAAE"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99</w:t>
            </w:r>
          </w:p>
        </w:tc>
      </w:tr>
      <w:tr w:rsidR="00E973CC" w:rsidRPr="00E973CC" w14:paraId="58EB8436"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4EF12ED"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lastRenderedPageBreak/>
              <w:t>8</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42B5F101"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71</w:t>
            </w:r>
          </w:p>
        </w:tc>
      </w:tr>
      <w:tr w:rsidR="00E973CC" w:rsidRPr="00E973CC" w14:paraId="5F2E0548"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E3BE514"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9</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AD02BD3"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73</w:t>
            </w:r>
          </w:p>
        </w:tc>
      </w:tr>
      <w:tr w:rsidR="00E973CC" w:rsidRPr="00E973CC" w14:paraId="57D7FFCA"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38D8DE0"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10</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888815F"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233</w:t>
            </w:r>
          </w:p>
        </w:tc>
      </w:tr>
      <w:tr w:rsidR="00E973CC" w:rsidRPr="00E973CC" w14:paraId="322D4E05"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47CBFE7"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11</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0DABA64"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125</w:t>
            </w:r>
          </w:p>
        </w:tc>
      </w:tr>
      <w:tr w:rsidR="00E973CC" w:rsidRPr="00E973CC" w14:paraId="2AD985AD"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F16D86E"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12</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7A79B9CA"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70</w:t>
            </w:r>
          </w:p>
        </w:tc>
      </w:tr>
      <w:tr w:rsidR="00E973CC" w:rsidRPr="00E973CC" w14:paraId="7C389894"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5EA0B19"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13</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EB8A256"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69</w:t>
            </w:r>
          </w:p>
        </w:tc>
      </w:tr>
      <w:tr w:rsidR="00E973CC" w:rsidRPr="00E973CC" w14:paraId="3D9B9ACF"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22424FB7"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14</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4F8F353"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55</w:t>
            </w:r>
          </w:p>
        </w:tc>
      </w:tr>
      <w:tr w:rsidR="00E973CC" w:rsidRPr="00E973CC" w14:paraId="2CE48B20"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158EC102"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15</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8F19FC"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78</w:t>
            </w:r>
          </w:p>
        </w:tc>
      </w:tr>
      <w:tr w:rsidR="00E973CC" w:rsidRPr="00E973CC" w14:paraId="4D66E549"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6BA1567"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16</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3BD3F4E6"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112</w:t>
            </w:r>
          </w:p>
        </w:tc>
      </w:tr>
      <w:tr w:rsidR="00E973CC" w:rsidRPr="00E973CC" w14:paraId="020E9322"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7F76F12A"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17</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110EDBAF"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65</w:t>
            </w:r>
          </w:p>
        </w:tc>
      </w:tr>
      <w:tr w:rsidR="00E973CC" w:rsidRPr="00E973CC" w14:paraId="03E7654E"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042F2891" w14:textId="77777777" w:rsidR="00E973CC" w:rsidRPr="00E973CC" w:rsidRDefault="00E973CC" w:rsidP="00E973CC">
            <w:pPr>
              <w:rPr>
                <w:rFonts w:ascii="Calibri" w:eastAsia="Calibri" w:hAnsi="Calibri" w:cs="Calibri"/>
                <w:color w:val="000000"/>
                <w:sz w:val="22"/>
                <w:szCs w:val="22"/>
              </w:rPr>
            </w:pPr>
            <w:r w:rsidRPr="00E973CC">
              <w:rPr>
                <w:rFonts w:ascii="Calibri" w:eastAsia="Calibri" w:hAnsi="Calibri" w:cs="Calibri"/>
                <w:color w:val="000000"/>
                <w:sz w:val="22"/>
                <w:szCs w:val="22"/>
              </w:rPr>
              <w:t>18</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2033F269" w14:textId="77777777" w:rsidR="00E973CC" w:rsidRPr="00E973CC" w:rsidRDefault="00E973CC" w:rsidP="00E973CC">
            <w:pPr>
              <w:jc w:val="right"/>
              <w:rPr>
                <w:rFonts w:ascii="Calibri" w:eastAsia="Calibri" w:hAnsi="Calibri" w:cs="Calibri"/>
                <w:color w:val="000000"/>
                <w:sz w:val="22"/>
                <w:szCs w:val="22"/>
              </w:rPr>
            </w:pPr>
            <w:r w:rsidRPr="00E973CC">
              <w:rPr>
                <w:rFonts w:ascii="Calibri" w:eastAsia="Calibri" w:hAnsi="Calibri" w:cs="Calibri"/>
                <w:color w:val="000000"/>
                <w:sz w:val="22"/>
                <w:szCs w:val="22"/>
              </w:rPr>
              <w:t>120</w:t>
            </w:r>
          </w:p>
        </w:tc>
      </w:tr>
      <w:tr w:rsidR="00E973CC" w:rsidRPr="00E973CC" w14:paraId="39A35683" w14:textId="77777777" w:rsidTr="00E973CC">
        <w:trPr>
          <w:trHeight w:val="300"/>
        </w:trPr>
        <w:tc>
          <w:tcPr>
            <w:tcW w:w="30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5F260A48" w14:textId="77777777" w:rsidR="00E973CC" w:rsidRPr="00E973CC" w:rsidRDefault="00E973CC" w:rsidP="00E973CC">
            <w:pPr>
              <w:rPr>
                <w:rFonts w:ascii="Calibri" w:eastAsia="Calibri" w:hAnsi="Calibri" w:cs="Calibri"/>
                <w:b/>
                <w:bCs/>
                <w:color w:val="000000"/>
                <w:sz w:val="22"/>
                <w:szCs w:val="22"/>
              </w:rPr>
            </w:pPr>
            <w:r w:rsidRPr="00E973CC">
              <w:rPr>
                <w:rFonts w:ascii="Calibri" w:eastAsia="Calibri" w:hAnsi="Calibri" w:cs="Calibri"/>
                <w:b/>
                <w:bCs/>
                <w:color w:val="000000"/>
                <w:sz w:val="22"/>
                <w:szCs w:val="22"/>
              </w:rPr>
              <w:t>Grand Total</w:t>
            </w:r>
          </w:p>
        </w:tc>
        <w:tc>
          <w:tcPr>
            <w:tcW w:w="87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1656367" w14:textId="77777777" w:rsidR="00E973CC" w:rsidRPr="00E973CC" w:rsidRDefault="00E973CC" w:rsidP="00E973CC">
            <w:pPr>
              <w:jc w:val="right"/>
              <w:rPr>
                <w:rFonts w:ascii="Calibri" w:eastAsia="Calibri" w:hAnsi="Calibri" w:cs="Calibri"/>
                <w:b/>
                <w:bCs/>
                <w:color w:val="000000"/>
                <w:sz w:val="22"/>
                <w:szCs w:val="22"/>
              </w:rPr>
            </w:pPr>
            <w:r w:rsidRPr="00E973CC">
              <w:rPr>
                <w:rFonts w:ascii="Calibri" w:eastAsia="Calibri" w:hAnsi="Calibri" w:cs="Calibri"/>
                <w:b/>
                <w:bCs/>
                <w:color w:val="000000"/>
                <w:sz w:val="22"/>
                <w:szCs w:val="22"/>
              </w:rPr>
              <w:t>1743</w:t>
            </w:r>
          </w:p>
        </w:tc>
      </w:tr>
    </w:tbl>
    <w:p w14:paraId="5795E3A0" w14:textId="44E895CE" w:rsidR="00496F39" w:rsidRDefault="00496F39" w:rsidP="00496F39">
      <w:pPr>
        <w:pStyle w:val="ListParagraph"/>
        <w:ind w:left="1080"/>
        <w:rPr>
          <w:i/>
          <w:iCs/>
        </w:rPr>
      </w:pPr>
    </w:p>
    <w:p w14:paraId="6DAA3FB7" w14:textId="77777777" w:rsidR="001C46F3" w:rsidRPr="001C46F3" w:rsidRDefault="001C46F3" w:rsidP="00646D15">
      <w:pPr>
        <w:pStyle w:val="ListParagraph"/>
        <w:spacing w:before="100" w:beforeAutospacing="1" w:after="165"/>
        <w:ind w:left="1800"/>
        <w:rPr>
          <w:rFonts w:eastAsia="Times New Roman"/>
          <w:i/>
          <w:iCs/>
        </w:rPr>
      </w:pPr>
    </w:p>
    <w:p w14:paraId="5D92E915" w14:textId="4AA1209F" w:rsidR="003A3FB1" w:rsidRDefault="00336467" w:rsidP="00646D15">
      <w:pPr>
        <w:pStyle w:val="ListParagraph"/>
        <w:numPr>
          <w:ilvl w:val="0"/>
          <w:numId w:val="38"/>
        </w:numPr>
        <w:spacing w:before="100" w:beforeAutospacing="1" w:after="165"/>
        <w:rPr>
          <w:rFonts w:eastAsia="Times New Roman"/>
          <w:i/>
          <w:iCs/>
        </w:rPr>
      </w:pPr>
      <w:r>
        <w:rPr>
          <w:rFonts w:eastAsia="Times New Roman"/>
          <w:i/>
          <w:iCs/>
        </w:rPr>
        <w:t>“</w:t>
      </w:r>
      <w:r w:rsidR="001C46F3" w:rsidRPr="001C46F3">
        <w:rPr>
          <w:rFonts w:eastAsia="Times New Roman"/>
          <w:i/>
          <w:iCs/>
        </w:rPr>
        <w:t>Family Pres Fridays</w:t>
      </w:r>
      <w:r>
        <w:rPr>
          <w:rFonts w:eastAsia="Times New Roman"/>
          <w:i/>
          <w:iCs/>
        </w:rPr>
        <w:t>”</w:t>
      </w:r>
      <w:r w:rsidR="001C46F3" w:rsidRPr="001C46F3">
        <w:rPr>
          <w:rFonts w:eastAsia="Times New Roman"/>
          <w:i/>
          <w:iCs/>
        </w:rPr>
        <w:t xml:space="preserve"> for DCS staff</w:t>
      </w:r>
      <w:r w:rsidR="007818B0">
        <w:rPr>
          <w:rFonts w:eastAsia="Times New Roman"/>
          <w:i/>
          <w:iCs/>
        </w:rPr>
        <w:t xml:space="preserve"> update</w:t>
      </w:r>
    </w:p>
    <w:p w14:paraId="180CF963" w14:textId="0D139BDF" w:rsidR="00A25D65" w:rsidRPr="00EE0233" w:rsidRDefault="000F6BEB" w:rsidP="00EE0233">
      <w:pPr>
        <w:pStyle w:val="ListParagraph"/>
        <w:numPr>
          <w:ilvl w:val="0"/>
          <w:numId w:val="49"/>
        </w:numPr>
        <w:spacing w:before="100" w:beforeAutospacing="1" w:after="165"/>
        <w:rPr>
          <w:rFonts w:eastAsia="Times New Roman"/>
          <w:i/>
          <w:iCs/>
        </w:rPr>
      </w:pPr>
      <w:r>
        <w:rPr>
          <w:rFonts w:eastAsia="Times New Roman"/>
          <w:i/>
          <w:iCs/>
        </w:rPr>
        <w:t>Next FCM meeting is 1</w:t>
      </w:r>
      <w:r w:rsidR="002D79AA">
        <w:rPr>
          <w:rFonts w:eastAsia="Times New Roman"/>
          <w:i/>
          <w:iCs/>
        </w:rPr>
        <w:t>2</w:t>
      </w:r>
      <w:r>
        <w:rPr>
          <w:rFonts w:eastAsia="Times New Roman"/>
          <w:i/>
          <w:iCs/>
        </w:rPr>
        <w:t>/1</w:t>
      </w:r>
      <w:r w:rsidR="002D79AA">
        <w:rPr>
          <w:rFonts w:eastAsia="Times New Roman"/>
          <w:i/>
          <w:iCs/>
        </w:rPr>
        <w:t>7</w:t>
      </w:r>
      <w:r>
        <w:rPr>
          <w:rFonts w:eastAsia="Times New Roman"/>
          <w:i/>
          <w:iCs/>
        </w:rPr>
        <w:t>/2021</w:t>
      </w:r>
    </w:p>
    <w:p w14:paraId="073528A9" w14:textId="77777777" w:rsidR="00F87DAE" w:rsidRDefault="00F87DAE" w:rsidP="00DA650E">
      <w:pPr>
        <w:pStyle w:val="NoSpacing"/>
        <w:rPr>
          <w:rStyle w:val="Emphasis"/>
        </w:rPr>
      </w:pPr>
    </w:p>
    <w:p w14:paraId="5223EE8A" w14:textId="29706618" w:rsidR="00DA650E" w:rsidRDefault="00490BE6" w:rsidP="006242BC">
      <w:pPr>
        <w:pStyle w:val="NoSpacing"/>
        <w:numPr>
          <w:ilvl w:val="0"/>
          <w:numId w:val="38"/>
        </w:numPr>
        <w:rPr>
          <w:rStyle w:val="Emphasis"/>
        </w:rPr>
      </w:pPr>
      <w:r>
        <w:rPr>
          <w:rStyle w:val="Emphasis"/>
        </w:rPr>
        <w:t xml:space="preserve">Analysis of impact of INFPS on Hoosier families </w:t>
      </w:r>
      <w:r w:rsidR="00BB17B2">
        <w:rPr>
          <w:rStyle w:val="Emphasis"/>
        </w:rPr>
        <w:t>of color.</w:t>
      </w:r>
    </w:p>
    <w:p w14:paraId="5D39BA4E" w14:textId="73C6D4F5" w:rsidR="00DA650E" w:rsidRDefault="00DA650E" w:rsidP="00DA650E">
      <w:pPr>
        <w:pStyle w:val="NoSpacing"/>
        <w:rPr>
          <w:rStyle w:val="Emphasis"/>
        </w:rPr>
      </w:pPr>
    </w:p>
    <w:p w14:paraId="2DE4AAA6" w14:textId="5A76130C" w:rsidR="008958AB" w:rsidRDefault="00406641" w:rsidP="008958AB">
      <w:pPr>
        <w:pStyle w:val="NoSpacing"/>
        <w:ind w:left="1080"/>
        <w:rPr>
          <w:rStyle w:val="Emphasis"/>
        </w:rPr>
      </w:pPr>
      <w:r>
        <w:rPr>
          <w:rStyle w:val="Emphasis"/>
        </w:rPr>
        <w:t xml:space="preserve">Removal </w:t>
      </w:r>
      <w:r w:rsidR="00D631F1">
        <w:rPr>
          <w:rStyle w:val="Emphasis"/>
        </w:rPr>
        <w:t>r</w:t>
      </w:r>
      <w:r>
        <w:rPr>
          <w:rStyle w:val="Emphasis"/>
        </w:rPr>
        <w:t>ates by race for children served &gt; 90 days:</w:t>
      </w:r>
    </w:p>
    <w:p w14:paraId="199E0758" w14:textId="4EFD9E92" w:rsidR="00406641" w:rsidRDefault="00406641" w:rsidP="008958AB">
      <w:pPr>
        <w:pStyle w:val="NoSpacing"/>
        <w:ind w:left="1080"/>
        <w:rPr>
          <w:rStyle w:val="Emphasis"/>
        </w:rPr>
      </w:pPr>
      <w:r>
        <w:rPr>
          <w:rStyle w:val="Emphasis"/>
        </w:rPr>
        <w:t>Black:</w:t>
      </w:r>
      <w:r>
        <w:rPr>
          <w:rStyle w:val="Emphasis"/>
        </w:rPr>
        <w:tab/>
      </w:r>
      <w:r w:rsidR="00654791">
        <w:rPr>
          <w:rStyle w:val="Emphasis"/>
        </w:rPr>
        <w:t>4.9</w:t>
      </w:r>
      <w:r w:rsidR="009354FE">
        <w:rPr>
          <w:rStyle w:val="Emphasis"/>
        </w:rPr>
        <w:t>0</w:t>
      </w:r>
      <w:r w:rsidR="00654791">
        <w:rPr>
          <w:rStyle w:val="Emphasis"/>
        </w:rPr>
        <w:t>%</w:t>
      </w:r>
    </w:p>
    <w:p w14:paraId="38A71A8B" w14:textId="551168D3" w:rsidR="00654791" w:rsidRDefault="00654791" w:rsidP="008958AB">
      <w:pPr>
        <w:pStyle w:val="NoSpacing"/>
        <w:ind w:left="1080"/>
        <w:rPr>
          <w:rStyle w:val="Emphasis"/>
        </w:rPr>
      </w:pPr>
      <w:r>
        <w:rPr>
          <w:rStyle w:val="Emphasis"/>
        </w:rPr>
        <w:t>Multi:</w:t>
      </w:r>
      <w:r>
        <w:rPr>
          <w:rStyle w:val="Emphasis"/>
        </w:rPr>
        <w:tab/>
      </w:r>
      <w:r w:rsidR="00A346CA">
        <w:rPr>
          <w:rStyle w:val="Emphasis"/>
        </w:rPr>
        <w:t>5.98%</w:t>
      </w:r>
    </w:p>
    <w:p w14:paraId="17EF53AD" w14:textId="1A840598" w:rsidR="00A346CA" w:rsidRDefault="00A346CA" w:rsidP="008958AB">
      <w:pPr>
        <w:pStyle w:val="NoSpacing"/>
        <w:ind w:left="1080"/>
        <w:rPr>
          <w:rStyle w:val="Emphasis"/>
        </w:rPr>
      </w:pPr>
      <w:r>
        <w:rPr>
          <w:rStyle w:val="Emphasis"/>
        </w:rPr>
        <w:t>Hispanic:</w:t>
      </w:r>
      <w:r>
        <w:rPr>
          <w:rStyle w:val="Emphasis"/>
        </w:rPr>
        <w:tab/>
        <w:t>5.27%</w:t>
      </w:r>
    </w:p>
    <w:p w14:paraId="55D7585B" w14:textId="22AE10A9" w:rsidR="00A346CA" w:rsidRDefault="00A346CA" w:rsidP="008958AB">
      <w:pPr>
        <w:pStyle w:val="NoSpacing"/>
        <w:ind w:left="1080"/>
        <w:rPr>
          <w:rStyle w:val="Emphasis"/>
        </w:rPr>
      </w:pPr>
      <w:r>
        <w:rPr>
          <w:rStyle w:val="Emphasis"/>
        </w:rPr>
        <w:t>White:</w:t>
      </w:r>
      <w:r>
        <w:rPr>
          <w:rStyle w:val="Emphasis"/>
        </w:rPr>
        <w:tab/>
        <w:t>7.42%</w:t>
      </w:r>
    </w:p>
    <w:p w14:paraId="0AC1D54D" w14:textId="4920A8E7" w:rsidR="00B600B7" w:rsidRDefault="00B600B7" w:rsidP="008958AB">
      <w:pPr>
        <w:pStyle w:val="NoSpacing"/>
        <w:ind w:left="1080"/>
        <w:rPr>
          <w:rStyle w:val="Emphasis"/>
        </w:rPr>
      </w:pPr>
    </w:p>
    <w:p w14:paraId="5FF10F56" w14:textId="77777777" w:rsidR="00D631F1" w:rsidRDefault="00B600B7" w:rsidP="008958AB">
      <w:pPr>
        <w:pStyle w:val="NoSpacing"/>
        <w:ind w:left="1080"/>
        <w:rPr>
          <w:rStyle w:val="Emphasis"/>
        </w:rPr>
      </w:pPr>
      <w:r>
        <w:rPr>
          <w:rStyle w:val="Emphasis"/>
        </w:rPr>
        <w:t xml:space="preserve">Overall INFPS population by </w:t>
      </w:r>
      <w:r w:rsidR="00D631F1">
        <w:rPr>
          <w:rStyle w:val="Emphasis"/>
        </w:rPr>
        <w:t>r</w:t>
      </w:r>
      <w:r>
        <w:rPr>
          <w:rStyle w:val="Emphasis"/>
        </w:rPr>
        <w:t>ace</w:t>
      </w:r>
      <w:r w:rsidR="00D631F1">
        <w:rPr>
          <w:rStyle w:val="Emphasis"/>
        </w:rPr>
        <w:t>:</w:t>
      </w:r>
    </w:p>
    <w:p w14:paraId="370C7BA2" w14:textId="77777777" w:rsidR="000A71CC" w:rsidRDefault="00D631F1" w:rsidP="008958AB">
      <w:pPr>
        <w:pStyle w:val="NoSpacing"/>
        <w:ind w:left="1080"/>
        <w:rPr>
          <w:rStyle w:val="Emphasis"/>
        </w:rPr>
      </w:pPr>
      <w:r>
        <w:rPr>
          <w:rStyle w:val="Emphasis"/>
        </w:rPr>
        <w:t xml:space="preserve">Black: </w:t>
      </w:r>
      <w:r>
        <w:rPr>
          <w:rStyle w:val="Emphasis"/>
        </w:rPr>
        <w:tab/>
        <w:t>1,714 children (15.1%)</w:t>
      </w:r>
    </w:p>
    <w:p w14:paraId="0EC1C691" w14:textId="77777777" w:rsidR="000A71CC" w:rsidRDefault="000A71CC" w:rsidP="008958AB">
      <w:pPr>
        <w:pStyle w:val="NoSpacing"/>
        <w:ind w:left="1080"/>
        <w:rPr>
          <w:rStyle w:val="Emphasis"/>
        </w:rPr>
      </w:pPr>
      <w:r>
        <w:rPr>
          <w:rStyle w:val="Emphasis"/>
        </w:rPr>
        <w:t>Multi:</w:t>
      </w:r>
      <w:r>
        <w:rPr>
          <w:rStyle w:val="Emphasis"/>
        </w:rPr>
        <w:tab/>
        <w:t>987 children (8.7%)</w:t>
      </w:r>
    </w:p>
    <w:p w14:paraId="081B8BC3" w14:textId="77777777" w:rsidR="00AB6173" w:rsidRDefault="000A71CC" w:rsidP="008958AB">
      <w:pPr>
        <w:pStyle w:val="NoSpacing"/>
        <w:ind w:left="1080"/>
        <w:rPr>
          <w:rStyle w:val="Emphasis"/>
        </w:rPr>
      </w:pPr>
      <w:r>
        <w:rPr>
          <w:rStyle w:val="Emphasis"/>
        </w:rPr>
        <w:t>Hispanic:</w:t>
      </w:r>
      <w:r>
        <w:rPr>
          <w:rStyle w:val="Emphasis"/>
        </w:rPr>
        <w:tab/>
      </w:r>
      <w:r w:rsidR="00AB6173">
        <w:rPr>
          <w:rStyle w:val="Emphasis"/>
        </w:rPr>
        <w:t>1043 children (9.2%)</w:t>
      </w:r>
    </w:p>
    <w:p w14:paraId="17A4E300" w14:textId="02CB3E45" w:rsidR="00012374" w:rsidRDefault="00AB6173" w:rsidP="008958AB">
      <w:pPr>
        <w:pStyle w:val="NoSpacing"/>
        <w:ind w:left="1080"/>
        <w:rPr>
          <w:rStyle w:val="Emphasis"/>
        </w:rPr>
      </w:pPr>
      <w:r>
        <w:rPr>
          <w:rStyle w:val="Emphasis"/>
        </w:rPr>
        <w:t>White:</w:t>
      </w:r>
      <w:r>
        <w:rPr>
          <w:rStyle w:val="Emphasis"/>
        </w:rPr>
        <w:tab/>
        <w:t>7,637 children (67.1%)</w:t>
      </w:r>
    </w:p>
    <w:p w14:paraId="4A208F0B" w14:textId="5E1C78C1" w:rsidR="00C97A49" w:rsidRDefault="00C97A49" w:rsidP="008958AB">
      <w:pPr>
        <w:pStyle w:val="NoSpacing"/>
        <w:ind w:left="1080"/>
        <w:rPr>
          <w:rStyle w:val="Emphasis"/>
        </w:rPr>
      </w:pPr>
    </w:p>
    <w:p w14:paraId="05517A34" w14:textId="37050294" w:rsidR="00C97A49" w:rsidRDefault="00C97A49" w:rsidP="008958AB">
      <w:pPr>
        <w:pStyle w:val="NoSpacing"/>
        <w:ind w:left="1080"/>
        <w:rPr>
          <w:rStyle w:val="Emphasis"/>
        </w:rPr>
      </w:pPr>
      <w:r>
        <w:rPr>
          <w:rStyle w:val="Emphasis"/>
        </w:rPr>
        <w:t>INFPS population served &gt; 90 days by race:</w:t>
      </w:r>
    </w:p>
    <w:p w14:paraId="5640CA5F" w14:textId="241F6DF9" w:rsidR="00C97A49" w:rsidRDefault="00C97A49" w:rsidP="008958AB">
      <w:pPr>
        <w:pStyle w:val="NoSpacing"/>
        <w:ind w:left="1080"/>
        <w:rPr>
          <w:rStyle w:val="Emphasis"/>
        </w:rPr>
      </w:pPr>
      <w:r>
        <w:rPr>
          <w:rStyle w:val="Emphasis"/>
        </w:rPr>
        <w:t xml:space="preserve">Black: </w:t>
      </w:r>
      <w:r>
        <w:rPr>
          <w:rStyle w:val="Emphasis"/>
        </w:rPr>
        <w:tab/>
      </w:r>
      <w:proofErr w:type="gramStart"/>
      <w:r w:rsidR="002449F8">
        <w:rPr>
          <w:rStyle w:val="Emphasis"/>
        </w:rPr>
        <w:t>1,155</w:t>
      </w:r>
      <w:r w:rsidR="0039725A">
        <w:rPr>
          <w:rStyle w:val="Emphasis"/>
        </w:rPr>
        <w:t xml:space="preserve"> </w:t>
      </w:r>
      <w:r w:rsidR="002449F8">
        <w:rPr>
          <w:rStyle w:val="Emphasis"/>
        </w:rPr>
        <w:t xml:space="preserve"> (</w:t>
      </w:r>
      <w:proofErr w:type="gramEnd"/>
      <w:r w:rsidR="002449F8">
        <w:rPr>
          <w:rStyle w:val="Emphasis"/>
        </w:rPr>
        <w:t>15.3%)</w:t>
      </w:r>
    </w:p>
    <w:p w14:paraId="19D0F643" w14:textId="6C4296D1" w:rsidR="002449F8" w:rsidRDefault="002449F8" w:rsidP="008958AB">
      <w:pPr>
        <w:pStyle w:val="NoSpacing"/>
        <w:ind w:left="1080"/>
        <w:rPr>
          <w:rStyle w:val="Emphasis"/>
        </w:rPr>
      </w:pPr>
      <w:r>
        <w:rPr>
          <w:rStyle w:val="Emphasis"/>
        </w:rPr>
        <w:t>Multi:</w:t>
      </w:r>
      <w:r>
        <w:rPr>
          <w:rStyle w:val="Emphasis"/>
        </w:rPr>
        <w:tab/>
        <w:t>637 children (8.5%)</w:t>
      </w:r>
    </w:p>
    <w:p w14:paraId="51A0C244" w14:textId="762FAAD3" w:rsidR="001625B9" w:rsidRDefault="001625B9" w:rsidP="008958AB">
      <w:pPr>
        <w:pStyle w:val="NoSpacing"/>
        <w:ind w:left="1080"/>
        <w:rPr>
          <w:rStyle w:val="Emphasis"/>
        </w:rPr>
      </w:pPr>
      <w:r>
        <w:rPr>
          <w:rStyle w:val="Emphasis"/>
        </w:rPr>
        <w:t>Hispanic:</w:t>
      </w:r>
      <w:r>
        <w:rPr>
          <w:rStyle w:val="Emphasis"/>
        </w:rPr>
        <w:tab/>
      </w:r>
      <w:r w:rsidR="007A00E5">
        <w:rPr>
          <w:rStyle w:val="Emphasis"/>
        </w:rPr>
        <w:t>705 (9.4%)</w:t>
      </w:r>
    </w:p>
    <w:p w14:paraId="1DB95997" w14:textId="672A9506" w:rsidR="007A00E5" w:rsidRDefault="007A00E5" w:rsidP="008958AB">
      <w:pPr>
        <w:pStyle w:val="NoSpacing"/>
        <w:ind w:left="1080"/>
        <w:rPr>
          <w:rStyle w:val="Emphasis"/>
        </w:rPr>
      </w:pPr>
      <w:r>
        <w:rPr>
          <w:rStyle w:val="Emphasis"/>
        </w:rPr>
        <w:t>White:</w:t>
      </w:r>
      <w:r>
        <w:rPr>
          <w:rStyle w:val="Emphasis"/>
        </w:rPr>
        <w:tab/>
        <w:t>5,033 (66.8%)</w:t>
      </w:r>
    </w:p>
    <w:p w14:paraId="27986F49" w14:textId="7B09480B" w:rsidR="002449F8" w:rsidRDefault="002449F8" w:rsidP="008958AB">
      <w:pPr>
        <w:pStyle w:val="NoSpacing"/>
        <w:ind w:left="1080"/>
        <w:rPr>
          <w:rStyle w:val="Emphasis"/>
        </w:rPr>
      </w:pPr>
    </w:p>
    <w:p w14:paraId="08303121" w14:textId="77777777" w:rsidR="00324599" w:rsidRDefault="00324599" w:rsidP="0060672F">
      <w:pPr>
        <w:pStyle w:val="ListParagraph"/>
        <w:ind w:left="1080"/>
        <w:rPr>
          <w:rStyle w:val="Emphasis"/>
        </w:rPr>
      </w:pPr>
    </w:p>
    <w:p w14:paraId="69931136" w14:textId="33A881CF" w:rsidR="00710D40" w:rsidRDefault="003B704A" w:rsidP="00DA650E">
      <w:pPr>
        <w:pStyle w:val="ListParagraph"/>
        <w:numPr>
          <w:ilvl w:val="0"/>
          <w:numId w:val="38"/>
        </w:numPr>
        <w:rPr>
          <w:rStyle w:val="Emphasis"/>
        </w:rPr>
      </w:pPr>
      <w:r>
        <w:rPr>
          <w:rStyle w:val="Emphasis"/>
        </w:rPr>
        <w:t>Questions received:</w:t>
      </w:r>
    </w:p>
    <w:p w14:paraId="6288B5D1" w14:textId="680425DD" w:rsidR="003B704A" w:rsidRDefault="003B704A" w:rsidP="003B704A">
      <w:pPr>
        <w:pStyle w:val="ListParagraph"/>
        <w:ind w:left="1800"/>
        <w:rPr>
          <w:rStyle w:val="Emphasis"/>
        </w:rPr>
      </w:pPr>
    </w:p>
    <w:p w14:paraId="5C1795B6" w14:textId="102B874B" w:rsidR="00B10B4E" w:rsidRDefault="005B6685" w:rsidP="00B10B4E">
      <w:pPr>
        <w:pStyle w:val="ListParagraph"/>
        <w:numPr>
          <w:ilvl w:val="0"/>
          <w:numId w:val="50"/>
        </w:numPr>
        <w:rPr>
          <w:rFonts w:eastAsia="Times New Roman"/>
        </w:rPr>
      </w:pPr>
      <w:r w:rsidRPr="00B10B4E">
        <w:rPr>
          <w:rFonts w:eastAsia="Times New Roman"/>
        </w:rPr>
        <w:t>If we have a Therapist and a HBCW, Supervision for the therapist *</w:t>
      </w:r>
      <w:r w:rsidR="00C02D90" w:rsidRPr="00B10B4E">
        <w:rPr>
          <w:rFonts w:eastAsia="Times New Roman"/>
        </w:rPr>
        <w:t>utilizing</w:t>
      </w:r>
      <w:r w:rsidRPr="00B10B4E">
        <w:rPr>
          <w:rFonts w:eastAsia="Times New Roman"/>
        </w:rPr>
        <w:t xml:space="preserve"> an evidence</w:t>
      </w:r>
      <w:r w:rsidR="00C02D90" w:rsidRPr="00B10B4E">
        <w:rPr>
          <w:rFonts w:eastAsia="Times New Roman"/>
        </w:rPr>
        <w:t>-</w:t>
      </w:r>
      <w:r w:rsidRPr="00B10B4E">
        <w:rPr>
          <w:rFonts w:eastAsia="Times New Roman"/>
        </w:rPr>
        <w:t xml:space="preserve">based model, would be completed by a master's Therapist for the therapist and possibly a bachelor level for the HBCW.  Would this meet the standard below if the HBCW </w:t>
      </w:r>
      <w:r w:rsidRPr="00B10B4E">
        <w:rPr>
          <w:rFonts w:eastAsia="Times New Roman"/>
        </w:rPr>
        <w:lastRenderedPageBreak/>
        <w:t>standard of supervision is being followed or any model standard such as seeking safety if being utilized</w:t>
      </w:r>
      <w:r w:rsidR="00B10B4E">
        <w:rPr>
          <w:rFonts w:eastAsia="Times New Roman"/>
        </w:rPr>
        <w:t>?</w:t>
      </w:r>
    </w:p>
    <w:p w14:paraId="70F1F14E" w14:textId="27C79438" w:rsidR="00B10B4E" w:rsidRDefault="00B10B4E" w:rsidP="00B10B4E">
      <w:pPr>
        <w:pStyle w:val="ListParagraph"/>
        <w:numPr>
          <w:ilvl w:val="1"/>
          <w:numId w:val="50"/>
        </w:numPr>
        <w:rPr>
          <w:rFonts w:eastAsia="Times New Roman"/>
        </w:rPr>
      </w:pPr>
      <w:r>
        <w:rPr>
          <w:rFonts w:eastAsia="Times New Roman"/>
        </w:rPr>
        <w:t>See below</w:t>
      </w:r>
    </w:p>
    <w:p w14:paraId="17BF0E7D" w14:textId="77777777" w:rsidR="005B6685" w:rsidRPr="005B6685" w:rsidRDefault="005B6685" w:rsidP="00C02D90">
      <w:pPr>
        <w:pStyle w:val="ListParagraph"/>
        <w:ind w:left="2520"/>
        <w:rPr>
          <w:rFonts w:eastAsia="Times New Roman"/>
        </w:rPr>
      </w:pPr>
    </w:p>
    <w:p w14:paraId="179BA1E3" w14:textId="5D48F385" w:rsidR="005B6685" w:rsidRPr="00C10BE0" w:rsidRDefault="005B6685" w:rsidP="00C10BE0">
      <w:pPr>
        <w:rPr>
          <w:rFonts w:eastAsia="Times New Roman"/>
        </w:rPr>
      </w:pPr>
      <w:r w:rsidRPr="00C10BE0">
        <w:rPr>
          <w:rFonts w:eastAsia="Times New Roman"/>
        </w:rPr>
        <w:t>2.  Similar but if no therapist (rarity), only HBCW, if the foundational model supervision standard is being followed, would they have to have a master's level?</w:t>
      </w:r>
    </w:p>
    <w:p w14:paraId="3ECE6FDC" w14:textId="77777777" w:rsidR="000F4283" w:rsidRPr="000F4283" w:rsidRDefault="000F4283" w:rsidP="000F4283">
      <w:pPr>
        <w:pStyle w:val="ListParagraph"/>
        <w:rPr>
          <w:rFonts w:eastAsia="Times New Roman"/>
        </w:rPr>
      </w:pPr>
    </w:p>
    <w:p w14:paraId="52B32CE7" w14:textId="16485B6C" w:rsidR="000F4283" w:rsidRDefault="000F4283" w:rsidP="000F4283">
      <w:pPr>
        <w:pStyle w:val="ListParagraph"/>
        <w:ind w:left="2520"/>
        <w:rPr>
          <w:rFonts w:eastAsia="Times New Roman"/>
        </w:rPr>
      </w:pPr>
      <w:r>
        <w:rPr>
          <w:rFonts w:eastAsia="Times New Roman"/>
          <w:noProof/>
        </w:rPr>
        <w:drawing>
          <wp:inline distT="0" distB="0" distL="0" distR="0" wp14:anchorId="1B58CACE" wp14:editId="285865F3">
            <wp:extent cx="4466590" cy="27520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66590" cy="2752090"/>
                    </a:xfrm>
                    <a:prstGeom prst="rect">
                      <a:avLst/>
                    </a:prstGeom>
                    <a:noFill/>
                  </pic:spPr>
                </pic:pic>
              </a:graphicData>
            </a:graphic>
          </wp:inline>
        </w:drawing>
      </w:r>
    </w:p>
    <w:p w14:paraId="70E80CC2" w14:textId="113E561B" w:rsidR="00B10B4E" w:rsidRDefault="00B10B4E" w:rsidP="000F4283">
      <w:pPr>
        <w:pStyle w:val="ListParagraph"/>
        <w:ind w:left="2520"/>
        <w:rPr>
          <w:rFonts w:eastAsia="Times New Roman"/>
        </w:rPr>
      </w:pPr>
    </w:p>
    <w:p w14:paraId="1F7A0561" w14:textId="0625DC4E" w:rsidR="00B10B4E" w:rsidRDefault="00B10B4E" w:rsidP="00B10B4E">
      <w:pPr>
        <w:pStyle w:val="ListParagraph"/>
        <w:numPr>
          <w:ilvl w:val="1"/>
          <w:numId w:val="50"/>
        </w:numPr>
        <w:rPr>
          <w:rFonts w:eastAsia="Times New Roman"/>
        </w:rPr>
      </w:pPr>
      <w:r>
        <w:rPr>
          <w:rFonts w:eastAsia="Times New Roman"/>
        </w:rPr>
        <w:t>If the model you are using prescribes certain qualification standards</w:t>
      </w:r>
      <w:r w:rsidR="00120C61">
        <w:rPr>
          <w:rFonts w:eastAsia="Times New Roman"/>
        </w:rPr>
        <w:t xml:space="preserve"> </w:t>
      </w:r>
      <w:r w:rsidR="00120C61">
        <w:rPr>
          <w:rFonts w:eastAsia="Times New Roman"/>
        </w:rPr>
        <w:t>for the supervisor</w:t>
      </w:r>
      <w:r w:rsidR="00120C61">
        <w:rPr>
          <w:rFonts w:eastAsia="Times New Roman"/>
        </w:rPr>
        <w:t>, frequency of supervision, format for supervision, etc.</w:t>
      </w:r>
      <w:r>
        <w:rPr>
          <w:rFonts w:eastAsia="Times New Roman"/>
        </w:rPr>
        <w:t>, you can follow the model’s expectation for supervision to fidelity. If the model you are following does</w:t>
      </w:r>
      <w:r w:rsidR="007774B1">
        <w:rPr>
          <w:rFonts w:eastAsia="Times New Roman"/>
        </w:rPr>
        <w:t xml:space="preserve"> </w:t>
      </w:r>
      <w:r>
        <w:rPr>
          <w:rFonts w:eastAsia="Times New Roman"/>
        </w:rPr>
        <w:t>n</w:t>
      </w:r>
      <w:r w:rsidR="007774B1">
        <w:rPr>
          <w:rFonts w:eastAsia="Times New Roman"/>
        </w:rPr>
        <w:t>o</w:t>
      </w:r>
      <w:r>
        <w:rPr>
          <w:rFonts w:eastAsia="Times New Roman"/>
        </w:rPr>
        <w:t>t prescribe supervisor qualifications follow DCS guidelines in the service standards.</w:t>
      </w:r>
    </w:p>
    <w:p w14:paraId="5F19FC1E" w14:textId="1D7ED9D9" w:rsidR="007774B1" w:rsidRPr="00B10B4E" w:rsidRDefault="007774B1" w:rsidP="00B10B4E">
      <w:pPr>
        <w:pStyle w:val="ListParagraph"/>
        <w:numPr>
          <w:ilvl w:val="1"/>
          <w:numId w:val="50"/>
        </w:numPr>
        <w:rPr>
          <w:rFonts w:eastAsia="Times New Roman"/>
        </w:rPr>
      </w:pPr>
      <w:r>
        <w:rPr>
          <w:rFonts w:eastAsia="Times New Roman"/>
        </w:rPr>
        <w:t>The EBP model guidelines take precedence over DCS service standards.</w:t>
      </w:r>
      <w:r w:rsidR="00120C61">
        <w:rPr>
          <w:rFonts w:eastAsia="Times New Roman"/>
        </w:rPr>
        <w:t xml:space="preserve"> Providers must deliver their chosen models to fidelity, and this includes any model-prescribed supervision.</w:t>
      </w:r>
    </w:p>
    <w:p w14:paraId="456CA364" w14:textId="59D203E2" w:rsidR="00C67744" w:rsidRDefault="00C67744" w:rsidP="00C10BE0"/>
    <w:p w14:paraId="68EBE604" w14:textId="3CE41D64" w:rsidR="00B10B4E" w:rsidRDefault="00B10B4E" w:rsidP="00C10BE0">
      <w:r>
        <w:tab/>
      </w:r>
    </w:p>
    <w:p w14:paraId="4535DDC7" w14:textId="2E8DF991" w:rsidR="00C10BE0" w:rsidRPr="00DC49D1" w:rsidRDefault="00C10BE0" w:rsidP="00C10BE0">
      <w:r>
        <w:t>3.</w:t>
      </w:r>
      <w:r>
        <w:tab/>
        <w:t xml:space="preserve">Have the FCMs been notified about the option to utilize virtual services? We have discussed doing some services virtually (not all, and not the safety check), but every FCM responds that virtual is only allowed if the client has COVID. They are staffing it up the chain of </w:t>
      </w:r>
      <w:r w:rsidRPr="00DC49D1">
        <w:t>command and getting the same answer. </w:t>
      </w:r>
    </w:p>
    <w:p w14:paraId="17AC059F" w14:textId="77777777" w:rsidR="00B10B4E" w:rsidRPr="00DC49D1" w:rsidRDefault="00B10B4E" w:rsidP="00C10BE0">
      <w:pPr>
        <w:rPr>
          <w:sz w:val="22"/>
          <w:szCs w:val="22"/>
        </w:rPr>
      </w:pPr>
    </w:p>
    <w:p w14:paraId="2FDA1038" w14:textId="02A48B63" w:rsidR="00B51643" w:rsidRPr="00DC49D1" w:rsidRDefault="00B10B4E" w:rsidP="00B10B4E">
      <w:pPr>
        <w:pStyle w:val="ListParagraph"/>
        <w:numPr>
          <w:ilvl w:val="1"/>
          <w:numId w:val="38"/>
        </w:numPr>
        <w:rPr>
          <w:rStyle w:val="Emphasis"/>
        </w:rPr>
      </w:pPr>
      <w:r w:rsidRPr="00DC49D1">
        <w:rPr>
          <w:rStyle w:val="Emphasis"/>
          <w:i w:val="0"/>
          <w:iCs w:val="0"/>
        </w:rPr>
        <w:t xml:space="preserve">We are still in a public health emergency. Virtual services are allowed and </w:t>
      </w:r>
      <w:r w:rsidR="00120C61">
        <w:rPr>
          <w:rStyle w:val="Emphasis"/>
          <w:i w:val="0"/>
          <w:iCs w:val="0"/>
        </w:rPr>
        <w:t xml:space="preserve">are even </w:t>
      </w:r>
      <w:r w:rsidRPr="00DC49D1">
        <w:rPr>
          <w:rStyle w:val="Emphasis"/>
          <w:i w:val="0"/>
          <w:iCs w:val="0"/>
        </w:rPr>
        <w:t>in statute</w:t>
      </w:r>
      <w:r>
        <w:rPr>
          <w:rStyle w:val="Emphasis"/>
          <w:i w:val="0"/>
          <w:iCs w:val="0"/>
        </w:rPr>
        <w:t xml:space="preserve">. There is no prohibition against doing virtual services. However, this is a Team decision. </w:t>
      </w:r>
      <w:r w:rsidR="00DC49D1">
        <w:rPr>
          <w:rStyle w:val="Emphasis"/>
          <w:i w:val="0"/>
          <w:iCs w:val="0"/>
        </w:rPr>
        <w:t>The Child and Family Team needs to balance the risk between Covid and child safety</w:t>
      </w:r>
      <w:r w:rsidR="00120C61">
        <w:rPr>
          <w:rStyle w:val="Emphasis"/>
          <w:i w:val="0"/>
          <w:iCs w:val="0"/>
        </w:rPr>
        <w:t xml:space="preserve"> and make decisions on how to serve families based on these risks. For Family Pres, you have to complete your safety check in the home and see every child and caregiver who is formally involved in the case at least weekly (or, more often if </w:t>
      </w:r>
      <w:r w:rsidR="00120C61">
        <w:rPr>
          <w:rStyle w:val="Emphasis"/>
          <w:i w:val="0"/>
          <w:iCs w:val="0"/>
        </w:rPr>
        <w:lastRenderedPageBreak/>
        <w:t xml:space="preserve">requested by DCS—see the service standard), </w:t>
      </w:r>
      <w:proofErr w:type="gramStart"/>
      <w:r w:rsidR="00120C61">
        <w:rPr>
          <w:rStyle w:val="Emphasis"/>
          <w:i w:val="0"/>
          <w:iCs w:val="0"/>
        </w:rPr>
        <w:t>but,</w:t>
      </w:r>
      <w:proofErr w:type="gramEnd"/>
      <w:r w:rsidR="00120C61">
        <w:rPr>
          <w:rStyle w:val="Emphasis"/>
          <w:i w:val="0"/>
          <w:iCs w:val="0"/>
        </w:rPr>
        <w:t xml:space="preserve"> how you serve the family outside of those checks is up to you and the EBP you’ve chosen. </w:t>
      </w:r>
      <w:r w:rsidR="00DC49D1">
        <w:rPr>
          <w:rStyle w:val="Emphasis"/>
          <w:i w:val="0"/>
          <w:iCs w:val="0"/>
        </w:rPr>
        <w:t xml:space="preserve"> </w:t>
      </w:r>
    </w:p>
    <w:p w14:paraId="684F4C7A" w14:textId="77777777" w:rsidR="00C10BE0" w:rsidRPr="009E4767" w:rsidRDefault="00C10BE0" w:rsidP="00B51643">
      <w:pPr>
        <w:pStyle w:val="ListParagraph"/>
        <w:ind w:left="1440"/>
        <w:rPr>
          <w:rStyle w:val="Emphasis"/>
        </w:rPr>
      </w:pPr>
    </w:p>
    <w:p w14:paraId="2E7D693D" w14:textId="472E5AD8" w:rsidR="00DC49D1" w:rsidRDefault="001C7E3A" w:rsidP="00053A4E">
      <w:pPr>
        <w:pStyle w:val="ListParagraph"/>
        <w:numPr>
          <w:ilvl w:val="0"/>
          <w:numId w:val="38"/>
        </w:numPr>
        <w:rPr>
          <w:rStyle w:val="Emphasis"/>
        </w:rPr>
      </w:pPr>
      <w:r w:rsidRPr="009E4767">
        <w:rPr>
          <w:rStyle w:val="Emphasis"/>
        </w:rPr>
        <w:t>Anything else?</w:t>
      </w:r>
    </w:p>
    <w:p w14:paraId="585FF3F9" w14:textId="77777777" w:rsidR="00DC49D1" w:rsidRDefault="00DC49D1" w:rsidP="00DC49D1">
      <w:pPr>
        <w:pStyle w:val="ListParagraph"/>
        <w:ind w:left="1800"/>
        <w:rPr>
          <w:rStyle w:val="Emphasis"/>
        </w:rPr>
      </w:pPr>
    </w:p>
    <w:p w14:paraId="5BACFF58" w14:textId="3C284427" w:rsidR="00CC3CEC" w:rsidRDefault="00DC49D1" w:rsidP="00DC49D1">
      <w:pPr>
        <w:pStyle w:val="ListParagraph"/>
        <w:numPr>
          <w:ilvl w:val="2"/>
          <w:numId w:val="50"/>
        </w:numPr>
        <w:rPr>
          <w:rStyle w:val="Emphasis"/>
          <w:i w:val="0"/>
          <w:iCs w:val="0"/>
        </w:rPr>
      </w:pPr>
      <w:r w:rsidRPr="00DC49D1">
        <w:rPr>
          <w:rStyle w:val="Emphasis"/>
          <w:i w:val="0"/>
          <w:iCs w:val="0"/>
        </w:rPr>
        <w:t>This is a question regarding outcomes...If we cannot get in touch with the family (post one year b/c address or phone has changed), and FCM's won't give us the information (if they have it due to confidentiality) how would we proceed conducting the (1) year follow up survey questions?</w:t>
      </w:r>
      <w:r w:rsidR="00FE10E9" w:rsidRPr="00DC49D1">
        <w:rPr>
          <w:rStyle w:val="Emphasis"/>
          <w:i w:val="0"/>
          <w:iCs w:val="0"/>
        </w:rPr>
        <w:tab/>
      </w:r>
    </w:p>
    <w:p w14:paraId="6FCB72AB" w14:textId="77777777" w:rsidR="00DC49D1" w:rsidRDefault="00DC49D1" w:rsidP="00DC49D1">
      <w:pPr>
        <w:pStyle w:val="ListParagraph"/>
        <w:ind w:left="2340"/>
        <w:rPr>
          <w:rStyle w:val="Emphasis"/>
          <w:i w:val="0"/>
          <w:iCs w:val="0"/>
        </w:rPr>
      </w:pPr>
    </w:p>
    <w:p w14:paraId="4140DADA" w14:textId="0183C51F" w:rsidR="00DC49D1" w:rsidRDefault="00DC49D1" w:rsidP="00DC49D1">
      <w:pPr>
        <w:pStyle w:val="ListParagraph"/>
        <w:numPr>
          <w:ilvl w:val="4"/>
          <w:numId w:val="50"/>
        </w:numPr>
        <w:rPr>
          <w:rStyle w:val="Emphasis"/>
          <w:i w:val="0"/>
          <w:iCs w:val="0"/>
        </w:rPr>
      </w:pPr>
      <w:r>
        <w:rPr>
          <w:rStyle w:val="Emphasis"/>
          <w:i w:val="0"/>
          <w:iCs w:val="0"/>
        </w:rPr>
        <w:t>We will be tracking this data for repeat maltreatment</w:t>
      </w:r>
      <w:r w:rsidR="00033B3B">
        <w:rPr>
          <w:rStyle w:val="Emphasis"/>
          <w:i w:val="0"/>
          <w:iCs w:val="0"/>
        </w:rPr>
        <w:t xml:space="preserve"> </w:t>
      </w:r>
      <w:r w:rsidR="00120C61">
        <w:rPr>
          <w:rStyle w:val="Emphasis"/>
          <w:i w:val="0"/>
          <w:iCs w:val="0"/>
        </w:rPr>
        <w:t xml:space="preserve">and removals </w:t>
      </w:r>
      <w:r w:rsidR="00033B3B">
        <w:rPr>
          <w:rStyle w:val="Emphasis"/>
          <w:i w:val="0"/>
          <w:iCs w:val="0"/>
        </w:rPr>
        <w:t>through DCS</w:t>
      </w:r>
      <w:r w:rsidR="00D11FFA">
        <w:rPr>
          <w:rStyle w:val="Emphasis"/>
          <w:i w:val="0"/>
          <w:iCs w:val="0"/>
        </w:rPr>
        <w:t xml:space="preserve"> and do not expect providers to follow up</w:t>
      </w:r>
      <w:r w:rsidR="00033B3B">
        <w:rPr>
          <w:rStyle w:val="Emphasis"/>
          <w:i w:val="0"/>
          <w:iCs w:val="0"/>
        </w:rPr>
        <w:t xml:space="preserve">. </w:t>
      </w:r>
    </w:p>
    <w:p w14:paraId="69DF7213" w14:textId="77777777" w:rsidR="00DC49D1" w:rsidRDefault="00DC49D1" w:rsidP="00DC49D1">
      <w:pPr>
        <w:pStyle w:val="ListParagraph"/>
        <w:ind w:left="3600"/>
        <w:rPr>
          <w:rStyle w:val="Emphasis"/>
          <w:i w:val="0"/>
          <w:iCs w:val="0"/>
        </w:rPr>
      </w:pPr>
    </w:p>
    <w:p w14:paraId="11FE6DAB" w14:textId="025A2F2C" w:rsidR="00DC49D1" w:rsidRPr="00DC49D1" w:rsidRDefault="00DC49D1" w:rsidP="00DC49D1">
      <w:pPr>
        <w:pStyle w:val="ListParagraph"/>
        <w:numPr>
          <w:ilvl w:val="0"/>
          <w:numId w:val="50"/>
        </w:numPr>
        <w:rPr>
          <w:rStyle w:val="Emphasis"/>
        </w:rPr>
      </w:pPr>
      <w:r w:rsidRPr="00DC49D1">
        <w:rPr>
          <w:rStyle w:val="Emphasis"/>
          <w:i w:val="0"/>
          <w:iCs w:val="0"/>
        </w:rPr>
        <w:t>We at VOA have a question about monthly reports. We have a residential substance use program and family preservation program. Would it be acceptable for us to combine these monthly reports and list of services provided while the family preservation client is in residential treatment?</w:t>
      </w:r>
    </w:p>
    <w:p w14:paraId="68C1F00B" w14:textId="77777777" w:rsidR="00DC49D1" w:rsidRPr="00DC49D1" w:rsidRDefault="00DC49D1" w:rsidP="00DC49D1">
      <w:pPr>
        <w:pStyle w:val="ListParagraph"/>
        <w:ind w:left="1800"/>
        <w:rPr>
          <w:rStyle w:val="Emphasis"/>
        </w:rPr>
      </w:pPr>
    </w:p>
    <w:p w14:paraId="7322C0CE" w14:textId="20F3FB3E" w:rsidR="00DC49D1" w:rsidRPr="00033B3B" w:rsidRDefault="00DC49D1" w:rsidP="00DC49D1">
      <w:pPr>
        <w:pStyle w:val="ListParagraph"/>
        <w:numPr>
          <w:ilvl w:val="1"/>
          <w:numId w:val="50"/>
        </w:numPr>
        <w:rPr>
          <w:rStyle w:val="Emphasis"/>
        </w:rPr>
      </w:pPr>
      <w:r>
        <w:rPr>
          <w:rStyle w:val="Emphasis"/>
          <w:i w:val="0"/>
          <w:iCs w:val="0"/>
        </w:rPr>
        <w:t xml:space="preserve">You can do the same report provided you have </w:t>
      </w:r>
      <w:r w:rsidR="00033B3B">
        <w:rPr>
          <w:rStyle w:val="Emphasis"/>
          <w:i w:val="0"/>
          <w:iCs w:val="0"/>
        </w:rPr>
        <w:t>all</w:t>
      </w:r>
      <w:r>
        <w:rPr>
          <w:rStyle w:val="Emphasis"/>
          <w:i w:val="0"/>
          <w:iCs w:val="0"/>
        </w:rPr>
        <w:t xml:space="preserve"> the required elements but upload it twice with correct naming structure for each. </w:t>
      </w:r>
    </w:p>
    <w:p w14:paraId="00256B0C" w14:textId="36886834" w:rsidR="00033B3B" w:rsidRPr="00033B3B" w:rsidRDefault="00033B3B" w:rsidP="00033B3B">
      <w:pPr>
        <w:rPr>
          <w:rStyle w:val="Emphasis"/>
          <w:i w:val="0"/>
          <w:iCs w:val="0"/>
        </w:rPr>
      </w:pPr>
    </w:p>
    <w:p w14:paraId="2A125940" w14:textId="16F08BBE" w:rsidR="00033B3B" w:rsidRPr="00033B3B" w:rsidRDefault="00033B3B" w:rsidP="00033B3B">
      <w:pPr>
        <w:pStyle w:val="ListParagraph"/>
        <w:numPr>
          <w:ilvl w:val="0"/>
          <w:numId w:val="50"/>
        </w:numPr>
        <w:rPr>
          <w:rStyle w:val="Emphasis"/>
        </w:rPr>
      </w:pPr>
      <w:r>
        <w:rPr>
          <w:rStyle w:val="Emphasis"/>
          <w:i w:val="0"/>
          <w:iCs w:val="0"/>
        </w:rPr>
        <w:t xml:space="preserve">How does a removal reflect on an agency when DCS decides to close </w:t>
      </w:r>
      <w:proofErr w:type="gramStart"/>
      <w:r>
        <w:rPr>
          <w:rStyle w:val="Emphasis"/>
          <w:i w:val="0"/>
          <w:iCs w:val="0"/>
        </w:rPr>
        <w:t>a</w:t>
      </w:r>
      <w:proofErr w:type="gramEnd"/>
      <w:r>
        <w:rPr>
          <w:rStyle w:val="Emphasis"/>
          <w:i w:val="0"/>
          <w:iCs w:val="0"/>
        </w:rPr>
        <w:t xml:space="preserve"> FPS case when the agency disagrees with the decision that the case is ready for closure?</w:t>
      </w:r>
    </w:p>
    <w:p w14:paraId="51FDFE29" w14:textId="77777777" w:rsidR="00033B3B" w:rsidRPr="00033B3B" w:rsidRDefault="00033B3B" w:rsidP="00033B3B">
      <w:pPr>
        <w:pStyle w:val="ListParagraph"/>
        <w:rPr>
          <w:rStyle w:val="Emphasis"/>
        </w:rPr>
      </w:pPr>
    </w:p>
    <w:p w14:paraId="2CD80F0C" w14:textId="0DD265A1" w:rsidR="00033B3B" w:rsidRPr="00033B3B" w:rsidRDefault="00D11FFA" w:rsidP="00033B3B">
      <w:pPr>
        <w:pStyle w:val="ListParagraph"/>
        <w:numPr>
          <w:ilvl w:val="1"/>
          <w:numId w:val="50"/>
        </w:numPr>
        <w:rPr>
          <w:rStyle w:val="Emphasis"/>
        </w:rPr>
      </w:pPr>
      <w:r>
        <w:rPr>
          <w:rStyle w:val="Emphasis"/>
          <w:i w:val="0"/>
          <w:iCs w:val="0"/>
        </w:rPr>
        <w:t>DCS makes the</w:t>
      </w:r>
      <w:r w:rsidR="00033B3B">
        <w:rPr>
          <w:rStyle w:val="Emphasis"/>
          <w:i w:val="0"/>
          <w:iCs w:val="0"/>
        </w:rPr>
        <w:t xml:space="preserve"> deci</w:t>
      </w:r>
      <w:r>
        <w:rPr>
          <w:rStyle w:val="Emphasis"/>
          <w:i w:val="0"/>
          <w:iCs w:val="0"/>
        </w:rPr>
        <w:t>sion</w:t>
      </w:r>
      <w:r w:rsidR="00033B3B">
        <w:rPr>
          <w:rStyle w:val="Emphasis"/>
          <w:i w:val="0"/>
          <w:iCs w:val="0"/>
        </w:rPr>
        <w:t xml:space="preserve"> when to request that the court closes the case</w:t>
      </w:r>
      <w:r w:rsidR="00120C61">
        <w:rPr>
          <w:rStyle w:val="Emphasis"/>
          <w:i w:val="0"/>
          <w:iCs w:val="0"/>
        </w:rPr>
        <w:t>, but, ultimately, courts decide this</w:t>
      </w:r>
      <w:r w:rsidR="00033B3B">
        <w:rPr>
          <w:rStyle w:val="Emphasis"/>
          <w:i w:val="0"/>
          <w:iCs w:val="0"/>
        </w:rPr>
        <w:t>. Providers can make recommendations and can</w:t>
      </w:r>
      <w:r w:rsidR="00120C61">
        <w:rPr>
          <w:rStyle w:val="Emphasis"/>
          <w:i w:val="0"/>
          <w:iCs w:val="0"/>
        </w:rPr>
        <w:t xml:space="preserve"> and should</w:t>
      </w:r>
      <w:r w:rsidR="00033B3B">
        <w:rPr>
          <w:rStyle w:val="Emphasis"/>
          <w:i w:val="0"/>
          <w:iCs w:val="0"/>
        </w:rPr>
        <w:t xml:space="preserve"> document these in your reports to DCS and the </w:t>
      </w:r>
      <w:proofErr w:type="gramStart"/>
      <w:r w:rsidR="00033B3B">
        <w:rPr>
          <w:rStyle w:val="Emphasis"/>
          <w:i w:val="0"/>
          <w:iCs w:val="0"/>
        </w:rPr>
        <w:t>court</w:t>
      </w:r>
      <w:r w:rsidR="00120C61">
        <w:rPr>
          <w:rStyle w:val="Emphasis"/>
          <w:i w:val="0"/>
          <w:iCs w:val="0"/>
        </w:rPr>
        <w:t>, and</w:t>
      </w:r>
      <w:proofErr w:type="gramEnd"/>
      <w:r w:rsidR="00120C61">
        <w:rPr>
          <w:rStyle w:val="Emphasis"/>
          <w:i w:val="0"/>
          <w:iCs w:val="0"/>
        </w:rPr>
        <w:t xml:space="preserve"> should also state their recommendations in court if able to testify</w:t>
      </w:r>
      <w:r w:rsidR="00033B3B">
        <w:rPr>
          <w:rStyle w:val="Emphasis"/>
          <w:i w:val="0"/>
          <w:iCs w:val="0"/>
        </w:rPr>
        <w:t xml:space="preserve">. </w:t>
      </w:r>
    </w:p>
    <w:p w14:paraId="45DCB684" w14:textId="77777777" w:rsidR="00033B3B" w:rsidRDefault="00033B3B" w:rsidP="00033B3B">
      <w:pPr>
        <w:pStyle w:val="ListParagraph"/>
        <w:ind w:left="1440"/>
        <w:rPr>
          <w:rStyle w:val="Emphasis"/>
          <w:i w:val="0"/>
          <w:iCs w:val="0"/>
        </w:rPr>
      </w:pPr>
    </w:p>
    <w:p w14:paraId="0C80DB85" w14:textId="5AFCA665" w:rsidR="00033B3B" w:rsidRDefault="00033B3B" w:rsidP="00033B3B">
      <w:pPr>
        <w:pStyle w:val="ListParagraph"/>
        <w:numPr>
          <w:ilvl w:val="0"/>
          <w:numId w:val="50"/>
        </w:numPr>
        <w:rPr>
          <w:rStyle w:val="Emphasis"/>
          <w:i w:val="0"/>
          <w:iCs w:val="0"/>
        </w:rPr>
      </w:pPr>
      <w:r>
        <w:rPr>
          <w:rStyle w:val="Emphasis"/>
          <w:i w:val="0"/>
          <w:iCs w:val="0"/>
        </w:rPr>
        <w:t>W</w:t>
      </w:r>
      <w:r w:rsidRPr="00033B3B">
        <w:rPr>
          <w:rStyle w:val="Emphasis"/>
          <w:i w:val="0"/>
          <w:iCs w:val="0"/>
        </w:rPr>
        <w:t>hat if we recommend that case should not be closed due to safety issues, but DCS/Court closes case regardless - why should that impact our scores if children are removed after case closure</w:t>
      </w:r>
      <w:r>
        <w:rPr>
          <w:rStyle w:val="Emphasis"/>
          <w:i w:val="0"/>
          <w:iCs w:val="0"/>
        </w:rPr>
        <w:t>?</w:t>
      </w:r>
    </w:p>
    <w:p w14:paraId="29886176" w14:textId="77777777" w:rsidR="00033B3B" w:rsidRDefault="00033B3B" w:rsidP="00033B3B">
      <w:pPr>
        <w:pStyle w:val="ListParagraph"/>
        <w:rPr>
          <w:rStyle w:val="Emphasis"/>
          <w:i w:val="0"/>
          <w:iCs w:val="0"/>
        </w:rPr>
      </w:pPr>
    </w:p>
    <w:p w14:paraId="5EB85D6C" w14:textId="11882104" w:rsidR="00033B3B" w:rsidRPr="00033B3B" w:rsidRDefault="00120C61" w:rsidP="00033B3B">
      <w:pPr>
        <w:pStyle w:val="ListParagraph"/>
        <w:numPr>
          <w:ilvl w:val="1"/>
          <w:numId w:val="50"/>
        </w:numPr>
        <w:rPr>
          <w:rStyle w:val="Emphasis"/>
          <w:i w:val="0"/>
          <w:iCs w:val="0"/>
        </w:rPr>
      </w:pPr>
      <w:r>
        <w:rPr>
          <w:rStyle w:val="Emphasis"/>
          <w:i w:val="0"/>
          <w:iCs w:val="0"/>
        </w:rPr>
        <w:t xml:space="preserve">Every provider delivering INFPS </w:t>
      </w:r>
      <w:proofErr w:type="gramStart"/>
      <w:r>
        <w:rPr>
          <w:rStyle w:val="Emphasis"/>
          <w:i w:val="0"/>
          <w:iCs w:val="0"/>
        </w:rPr>
        <w:t>has to</w:t>
      </w:r>
      <w:proofErr w:type="gramEnd"/>
      <w:r>
        <w:rPr>
          <w:rStyle w:val="Emphasis"/>
          <w:i w:val="0"/>
          <w:iCs w:val="0"/>
        </w:rPr>
        <w:t xml:space="preserve"> deal with these variables, so, comparisons between providers aren’t changed. Providers should work to resolve root-cause safety issues as effectively as they can and be able to clearly document recommendations for families and provide clear testimony as well. Providers’ abilities to do these things will impact their specific agency’s outcomes, so, we ask that providers work on delivering quality services, with quality documentation, and quality testimony when asked.</w:t>
      </w:r>
    </w:p>
    <w:p w14:paraId="01A780A2" w14:textId="77777777" w:rsidR="00DC49D1" w:rsidRPr="00DC49D1" w:rsidRDefault="00DC49D1" w:rsidP="00DC49D1">
      <w:pPr>
        <w:pStyle w:val="ListParagraph"/>
        <w:ind w:left="2340"/>
        <w:rPr>
          <w:rStyle w:val="Emphasis"/>
          <w:i w:val="0"/>
          <w:iCs w:val="0"/>
        </w:rPr>
      </w:pPr>
    </w:p>
    <w:p w14:paraId="61559C03" w14:textId="77777777" w:rsidR="001C7E3A" w:rsidRPr="009E4767" w:rsidRDefault="001C7E3A" w:rsidP="00464143">
      <w:pPr>
        <w:pStyle w:val="ListParagraph"/>
        <w:ind w:left="1440"/>
        <w:rPr>
          <w:i/>
          <w:iCs/>
          <w:sz w:val="22"/>
          <w:szCs w:val="22"/>
        </w:rPr>
      </w:pPr>
    </w:p>
    <w:p w14:paraId="2C4F037F" w14:textId="52ECE5F5" w:rsidR="00853CEC" w:rsidRPr="009E4767" w:rsidRDefault="001C7E3A" w:rsidP="00A75110">
      <w:pPr>
        <w:ind w:left="360" w:firstLine="720"/>
        <w:rPr>
          <w:rStyle w:val="Emphasis"/>
        </w:rPr>
      </w:pPr>
      <w:r w:rsidRPr="009E4767">
        <w:rPr>
          <w:rStyle w:val="Emphasis"/>
        </w:rPr>
        <w:t>Next m</w:t>
      </w:r>
      <w:r w:rsidR="007D76B7" w:rsidRPr="009E4767">
        <w:rPr>
          <w:rStyle w:val="Emphasis"/>
        </w:rPr>
        <w:t xml:space="preserve">eeting </w:t>
      </w:r>
      <w:r w:rsidR="00B7361B">
        <w:rPr>
          <w:rStyle w:val="Emphasis"/>
        </w:rPr>
        <w:t>1</w:t>
      </w:r>
      <w:r w:rsidR="00820AE0">
        <w:rPr>
          <w:rStyle w:val="Emphasis"/>
        </w:rPr>
        <w:t>2/</w:t>
      </w:r>
      <w:r w:rsidR="00C02D90">
        <w:rPr>
          <w:rStyle w:val="Emphasis"/>
        </w:rPr>
        <w:t>17</w:t>
      </w:r>
      <w:r w:rsidR="00444CDA">
        <w:rPr>
          <w:rStyle w:val="Emphasis"/>
        </w:rPr>
        <w:t>/</w:t>
      </w:r>
      <w:r w:rsidR="00850970" w:rsidRPr="009E4767">
        <w:rPr>
          <w:rStyle w:val="Emphasis"/>
        </w:rPr>
        <w:t>2021</w:t>
      </w:r>
      <w:r w:rsidRPr="009E4767">
        <w:rPr>
          <w:rStyle w:val="Emphasis"/>
        </w:rPr>
        <w:t xml:space="preserve"> @ 1:00 E</w:t>
      </w:r>
      <w:r w:rsidR="009E53A9">
        <w:rPr>
          <w:rStyle w:val="Emphasis"/>
        </w:rPr>
        <w:t>S</w:t>
      </w:r>
      <w:r w:rsidRPr="009E4767">
        <w:rPr>
          <w:rStyle w:val="Emphasis"/>
        </w:rPr>
        <w:t>T</w:t>
      </w:r>
      <w:r w:rsidR="002132E4" w:rsidRPr="009E4767">
        <w:rPr>
          <w:rStyle w:val="Emphasis"/>
        </w:rPr>
        <w:t xml:space="preserve">      </w:t>
      </w:r>
    </w:p>
    <w:p w14:paraId="6E45E1E5" w14:textId="77777777" w:rsidR="00853CEC" w:rsidRDefault="00853CEC" w:rsidP="002132E4">
      <w:pPr>
        <w:rPr>
          <w:rStyle w:val="Emphasis"/>
        </w:rPr>
      </w:pPr>
    </w:p>
    <w:p w14:paraId="09F80854" w14:textId="77777777" w:rsidR="001C7E3A" w:rsidRDefault="002F38EB" w:rsidP="00853CEC">
      <w:pPr>
        <w:jc w:val="center"/>
        <w:rPr>
          <w:rStyle w:val="Emphasis"/>
        </w:rPr>
      </w:pPr>
      <w:r>
        <w:rPr>
          <w:rStyle w:val="Emphasis"/>
        </w:rPr>
        <w:t>THANK YOU!</w:t>
      </w:r>
    </w:p>
    <w:p w14:paraId="0B6434FE" w14:textId="77777777" w:rsidR="00C3035F" w:rsidRDefault="00C3035F" w:rsidP="00853CEC">
      <w:pPr>
        <w:jc w:val="center"/>
        <w:rPr>
          <w:rStyle w:val="Emphasis"/>
        </w:rPr>
      </w:pPr>
    </w:p>
    <w:p w14:paraId="1E51A9C6" w14:textId="77777777" w:rsidR="008A64F5" w:rsidRDefault="008A64F5" w:rsidP="00853CEC">
      <w:pPr>
        <w:jc w:val="center"/>
        <w:rPr>
          <w:rStyle w:val="Emphasis"/>
        </w:rPr>
      </w:pPr>
    </w:p>
    <w:sectPr w:rsidR="008A64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2838"/>
    <w:multiLevelType w:val="hybridMultilevel"/>
    <w:tmpl w:val="994ECE4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67E4B5F"/>
    <w:multiLevelType w:val="hybridMultilevel"/>
    <w:tmpl w:val="0B9A5A30"/>
    <w:lvl w:ilvl="0" w:tplc="0409000F">
      <w:start w:val="1"/>
      <w:numFmt w:val="decimal"/>
      <w:lvlText w:val="%1."/>
      <w:lvlJc w:val="left"/>
      <w:pPr>
        <w:ind w:left="1440" w:hanging="360"/>
      </w:pPr>
      <w:rPr>
        <w:rFonts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E34F8"/>
    <w:multiLevelType w:val="hybridMultilevel"/>
    <w:tmpl w:val="B46047AC"/>
    <w:lvl w:ilvl="0" w:tplc="17021ABA">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0E660BE7"/>
    <w:multiLevelType w:val="hybridMultilevel"/>
    <w:tmpl w:val="E1A2B142"/>
    <w:lvl w:ilvl="0" w:tplc="5C4C2CC4">
      <w:start w:val="2"/>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F31EDA"/>
    <w:multiLevelType w:val="hybridMultilevel"/>
    <w:tmpl w:val="4E86CCC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2F02ED8"/>
    <w:multiLevelType w:val="hybridMultilevel"/>
    <w:tmpl w:val="986A962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1"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C5B73FE"/>
    <w:multiLevelType w:val="hybridMultilevel"/>
    <w:tmpl w:val="C9BCCFB2"/>
    <w:lvl w:ilvl="0" w:tplc="C54ED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EA00FFA"/>
    <w:multiLevelType w:val="hybridMultilevel"/>
    <w:tmpl w:val="16DC5A1C"/>
    <w:lvl w:ilvl="0" w:tplc="B1A0D07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93F7D7A"/>
    <w:multiLevelType w:val="hybridMultilevel"/>
    <w:tmpl w:val="2662FF00"/>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8" w15:restartNumberingAfterBreak="0">
    <w:nsid w:val="2DF30392"/>
    <w:multiLevelType w:val="hybridMultilevel"/>
    <w:tmpl w:val="E814FB5A"/>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78F0FA04">
      <w:start w:val="2"/>
      <w:numFmt w:val="decimal"/>
      <w:lvlText w:val="%7"/>
      <w:lvlJc w:val="left"/>
      <w:pPr>
        <w:ind w:left="5040" w:hanging="360"/>
      </w:pPr>
      <w:rPr>
        <w:rFonts w:hint="default"/>
        <w:sz w:val="24"/>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2F47ECB"/>
    <w:multiLevelType w:val="hybridMultilevel"/>
    <w:tmpl w:val="1E3C6C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C24FA"/>
    <w:multiLevelType w:val="hybridMultilevel"/>
    <w:tmpl w:val="F73A28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7101023"/>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980DF9"/>
    <w:multiLevelType w:val="hybridMultilevel"/>
    <w:tmpl w:val="3E3C08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37F56716"/>
    <w:multiLevelType w:val="hybridMultilevel"/>
    <w:tmpl w:val="221833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9227FEE"/>
    <w:multiLevelType w:val="multilevel"/>
    <w:tmpl w:val="31DE9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19102C"/>
    <w:multiLevelType w:val="hybridMultilevel"/>
    <w:tmpl w:val="5AE2F0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15:restartNumberingAfterBreak="0">
    <w:nsid w:val="3A8533DC"/>
    <w:multiLevelType w:val="multilevel"/>
    <w:tmpl w:val="8B663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FA85E49"/>
    <w:multiLevelType w:val="hybridMultilevel"/>
    <w:tmpl w:val="AE3CC61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41A05488"/>
    <w:multiLevelType w:val="hybridMultilevel"/>
    <w:tmpl w:val="87241604"/>
    <w:lvl w:ilvl="0" w:tplc="19621080">
      <w:start w:val="1"/>
      <w:numFmt w:val="decimal"/>
      <w:lvlText w:val="%1."/>
      <w:lvlJc w:val="left"/>
      <w:pPr>
        <w:ind w:left="720" w:hanging="360"/>
      </w:pPr>
      <w:rPr>
        <w:rFonts w:ascii="Times New Roman" w:eastAsiaTheme="minorHAnsi" w:hAnsi="Times New Roman" w:cs="Times New Roman"/>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5DD7A0E"/>
    <w:multiLevelType w:val="multilevel"/>
    <w:tmpl w:val="850E0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4D2A05BA"/>
    <w:multiLevelType w:val="hybridMultilevel"/>
    <w:tmpl w:val="BB42739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4DE87461"/>
    <w:multiLevelType w:val="multilevel"/>
    <w:tmpl w:val="151E8E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F146CC7"/>
    <w:multiLevelType w:val="hybridMultilevel"/>
    <w:tmpl w:val="C300851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3E70A13C">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2984F24"/>
    <w:multiLevelType w:val="hybridMultilevel"/>
    <w:tmpl w:val="D8302C22"/>
    <w:lvl w:ilvl="0" w:tplc="0409000F">
      <w:start w:val="1"/>
      <w:numFmt w:val="decimal"/>
      <w:lvlText w:val="%1."/>
      <w:lvlJc w:val="left"/>
      <w:pPr>
        <w:ind w:left="1440" w:hanging="360"/>
      </w:pPr>
      <w:rPr>
        <w:rFonts w:eastAsia="Times New Roman"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5B01189"/>
    <w:multiLevelType w:val="hybridMultilevel"/>
    <w:tmpl w:val="4E36EFFE"/>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8" w15:restartNumberingAfterBreak="0">
    <w:nsid w:val="55EB5F90"/>
    <w:multiLevelType w:val="hybridMultilevel"/>
    <w:tmpl w:val="085C000A"/>
    <w:lvl w:ilvl="0" w:tplc="C5480D8C">
      <w:start w:val="1"/>
      <w:numFmt w:val="decimal"/>
      <w:lvlText w:val="%1."/>
      <w:lvlJc w:val="left"/>
      <w:pPr>
        <w:ind w:left="1440" w:hanging="360"/>
      </w:pPr>
      <w:rPr>
        <w:rFonts w:hint="default"/>
        <w:sz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56524C7F"/>
    <w:multiLevelType w:val="hybridMultilevel"/>
    <w:tmpl w:val="FE2C89EC"/>
    <w:lvl w:ilvl="0" w:tplc="81D089AC">
      <w:start w:val="4"/>
      <w:numFmt w:val="upperRoman"/>
      <w:lvlText w:val="%1."/>
      <w:lvlJc w:val="left"/>
      <w:pPr>
        <w:ind w:left="1800" w:hanging="720"/>
      </w:pPr>
      <w:rPr>
        <w:rFonts w:hint="default"/>
      </w:rPr>
    </w:lvl>
    <w:lvl w:ilvl="1" w:tplc="04090019">
      <w:start w:val="1"/>
      <w:numFmt w:val="lowerLetter"/>
      <w:lvlText w:val="%2."/>
      <w:lvlJc w:val="left"/>
      <w:pPr>
        <w:ind w:left="2160" w:hanging="360"/>
      </w:pPr>
    </w:lvl>
    <w:lvl w:ilvl="2" w:tplc="C78260E4">
      <w:start w:val="4"/>
      <w:numFmt w:val="decimal"/>
      <w:lvlText w:val="%3."/>
      <w:lvlJc w:val="left"/>
      <w:pPr>
        <w:ind w:left="3060" w:hanging="360"/>
      </w:pPr>
      <w:rPr>
        <w:rFonts w:hint="default"/>
        <w:i w:val="0"/>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573B412B"/>
    <w:multiLevelType w:val="hybridMultilevel"/>
    <w:tmpl w:val="60A2A6D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4B4618E"/>
    <w:multiLevelType w:val="hybridMultilevel"/>
    <w:tmpl w:val="97CAB80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4" w15:restartNumberingAfterBreak="0">
    <w:nsid w:val="76D35DE9"/>
    <w:multiLevelType w:val="hybridMultilevel"/>
    <w:tmpl w:val="E828C8BC"/>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5" w15:restartNumberingAfterBreak="0">
    <w:nsid w:val="77FF341A"/>
    <w:multiLevelType w:val="hybridMultilevel"/>
    <w:tmpl w:val="5E5C59E2"/>
    <w:lvl w:ilvl="0" w:tplc="7624D420">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15:restartNumberingAfterBreak="0">
    <w:nsid w:val="7DB144AA"/>
    <w:multiLevelType w:val="hybridMultilevel"/>
    <w:tmpl w:val="00ECACE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7" w15:restartNumberingAfterBreak="0">
    <w:nsid w:val="7EC652E4"/>
    <w:multiLevelType w:val="hybridMultilevel"/>
    <w:tmpl w:val="51967BD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8"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6"/>
  </w:num>
  <w:num w:numId="3">
    <w:abstractNumId w:val="29"/>
  </w:num>
  <w:num w:numId="4">
    <w:abstractNumId w:val="12"/>
  </w:num>
  <w:num w:numId="5">
    <w:abstractNumId w:val="48"/>
  </w:num>
  <w:num w:numId="6">
    <w:abstractNumId w:val="16"/>
  </w:num>
  <w:num w:numId="7">
    <w:abstractNumId w:val="4"/>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9"/>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13"/>
  </w:num>
  <w:num w:numId="1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5"/>
  </w:num>
  <w:num w:numId="19">
    <w:abstractNumId w:val="14"/>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8"/>
  </w:num>
  <w:num w:numId="22">
    <w:abstractNumId w:val="36"/>
  </w:num>
  <w:num w:numId="23">
    <w:abstractNumId w:val="2"/>
  </w:num>
  <w:num w:numId="24">
    <w:abstractNumId w:val="0"/>
  </w:num>
  <w:num w:numId="25">
    <w:abstractNumId w:val="47"/>
  </w:num>
  <w:num w:numId="26">
    <w:abstractNumId w:val="43"/>
  </w:num>
  <w:num w:numId="27">
    <w:abstractNumId w:val="27"/>
  </w:num>
  <w:num w:numId="28">
    <w:abstractNumId w:val="8"/>
  </w:num>
  <w:num w:numId="29">
    <w:abstractNumId w:val="17"/>
  </w:num>
  <w:num w:numId="30">
    <w:abstractNumId w:val="44"/>
  </w:num>
  <w:num w:numId="31">
    <w:abstractNumId w:val="10"/>
  </w:num>
  <w:num w:numId="32">
    <w:abstractNumId w:val="22"/>
  </w:num>
  <w:num w:numId="33">
    <w:abstractNumId w:val="19"/>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num>
  <w:num w:numId="36">
    <w:abstractNumId w:val="21"/>
  </w:num>
  <w:num w:numId="37">
    <w:abstractNumId w:val="18"/>
  </w:num>
  <w:num w:numId="38">
    <w:abstractNumId w:val="39"/>
  </w:num>
  <w:num w:numId="39">
    <w:abstractNumId w:val="26"/>
  </w:num>
  <w:num w:numId="40">
    <w:abstractNumId w:val="24"/>
  </w:num>
  <w:num w:numId="41">
    <w:abstractNumId w:val="34"/>
  </w:num>
  <w:num w:numId="42">
    <w:abstractNumId w:val="30"/>
  </w:num>
  <w:num w:numId="43">
    <w:abstractNumId w:val="25"/>
  </w:num>
  <w:num w:numId="44">
    <w:abstractNumId w:val="46"/>
  </w:num>
  <w:num w:numId="45">
    <w:abstractNumId w:val="20"/>
  </w:num>
  <w:num w:numId="46">
    <w:abstractNumId w:val="3"/>
  </w:num>
  <w:num w:numId="47">
    <w:abstractNumId w:val="7"/>
  </w:num>
  <w:num w:numId="48">
    <w:abstractNumId w:val="33"/>
  </w:num>
  <w:num w:numId="49">
    <w:abstractNumId w:val="37"/>
  </w:num>
  <w:num w:numId="5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0090F"/>
    <w:rsid w:val="00000FC7"/>
    <w:rsid w:val="0000352D"/>
    <w:rsid w:val="0000548C"/>
    <w:rsid w:val="00006699"/>
    <w:rsid w:val="00012374"/>
    <w:rsid w:val="00020C45"/>
    <w:rsid w:val="0002554D"/>
    <w:rsid w:val="00026D6A"/>
    <w:rsid w:val="00027AD3"/>
    <w:rsid w:val="0003181B"/>
    <w:rsid w:val="000324C8"/>
    <w:rsid w:val="00033B3B"/>
    <w:rsid w:val="0004105E"/>
    <w:rsid w:val="0004775E"/>
    <w:rsid w:val="0005051A"/>
    <w:rsid w:val="0005083F"/>
    <w:rsid w:val="00053A4E"/>
    <w:rsid w:val="000555FB"/>
    <w:rsid w:val="00055B2B"/>
    <w:rsid w:val="00056A63"/>
    <w:rsid w:val="000576D1"/>
    <w:rsid w:val="00057C1E"/>
    <w:rsid w:val="00061416"/>
    <w:rsid w:val="000616DF"/>
    <w:rsid w:val="00065759"/>
    <w:rsid w:val="000659E9"/>
    <w:rsid w:val="00067196"/>
    <w:rsid w:val="00076057"/>
    <w:rsid w:val="000770EC"/>
    <w:rsid w:val="00092AF5"/>
    <w:rsid w:val="000A3286"/>
    <w:rsid w:val="000A53E6"/>
    <w:rsid w:val="000A71CC"/>
    <w:rsid w:val="000B1358"/>
    <w:rsid w:val="000B3F67"/>
    <w:rsid w:val="000B7112"/>
    <w:rsid w:val="000C0587"/>
    <w:rsid w:val="000C2EA8"/>
    <w:rsid w:val="000C3AD7"/>
    <w:rsid w:val="000C3F00"/>
    <w:rsid w:val="000C6958"/>
    <w:rsid w:val="000D1206"/>
    <w:rsid w:val="000D1296"/>
    <w:rsid w:val="000D2A0B"/>
    <w:rsid w:val="000D3A69"/>
    <w:rsid w:val="000E1034"/>
    <w:rsid w:val="000E2BA3"/>
    <w:rsid w:val="000E2E49"/>
    <w:rsid w:val="000E4E90"/>
    <w:rsid w:val="000E5432"/>
    <w:rsid w:val="000F2EEF"/>
    <w:rsid w:val="000F4283"/>
    <w:rsid w:val="000F6BEB"/>
    <w:rsid w:val="00106505"/>
    <w:rsid w:val="00107077"/>
    <w:rsid w:val="0011342C"/>
    <w:rsid w:val="00114562"/>
    <w:rsid w:val="00115C2B"/>
    <w:rsid w:val="001204B4"/>
    <w:rsid w:val="00120C61"/>
    <w:rsid w:val="00122212"/>
    <w:rsid w:val="00123DCE"/>
    <w:rsid w:val="00126721"/>
    <w:rsid w:val="00131CF9"/>
    <w:rsid w:val="001408D7"/>
    <w:rsid w:val="001432EA"/>
    <w:rsid w:val="00145FB0"/>
    <w:rsid w:val="00147D70"/>
    <w:rsid w:val="00150889"/>
    <w:rsid w:val="00150D9C"/>
    <w:rsid w:val="00153795"/>
    <w:rsid w:val="001606F7"/>
    <w:rsid w:val="00161AEF"/>
    <w:rsid w:val="001622C2"/>
    <w:rsid w:val="001625B9"/>
    <w:rsid w:val="00163248"/>
    <w:rsid w:val="00164C20"/>
    <w:rsid w:val="00174BCA"/>
    <w:rsid w:val="00176272"/>
    <w:rsid w:val="001803C5"/>
    <w:rsid w:val="00182B81"/>
    <w:rsid w:val="00183050"/>
    <w:rsid w:val="00194165"/>
    <w:rsid w:val="00195DF4"/>
    <w:rsid w:val="001974DA"/>
    <w:rsid w:val="001A6DC7"/>
    <w:rsid w:val="001B1642"/>
    <w:rsid w:val="001B6239"/>
    <w:rsid w:val="001C055A"/>
    <w:rsid w:val="001C45CD"/>
    <w:rsid w:val="001C46F3"/>
    <w:rsid w:val="001C6C39"/>
    <w:rsid w:val="001C6D0D"/>
    <w:rsid w:val="001C7E3A"/>
    <w:rsid w:val="001D1D11"/>
    <w:rsid w:val="001D2A25"/>
    <w:rsid w:val="001D4BD2"/>
    <w:rsid w:val="001D55FA"/>
    <w:rsid w:val="001D5BAA"/>
    <w:rsid w:val="001D6EAC"/>
    <w:rsid w:val="001E73D2"/>
    <w:rsid w:val="001E7510"/>
    <w:rsid w:val="001F03CA"/>
    <w:rsid w:val="001F0682"/>
    <w:rsid w:val="001F26D9"/>
    <w:rsid w:val="001F4002"/>
    <w:rsid w:val="001F72DA"/>
    <w:rsid w:val="001F7D71"/>
    <w:rsid w:val="00202271"/>
    <w:rsid w:val="002053D4"/>
    <w:rsid w:val="00206761"/>
    <w:rsid w:val="00211CB0"/>
    <w:rsid w:val="002129A2"/>
    <w:rsid w:val="002132E4"/>
    <w:rsid w:val="002142BB"/>
    <w:rsid w:val="00215385"/>
    <w:rsid w:val="002202AC"/>
    <w:rsid w:val="0022094B"/>
    <w:rsid w:val="00224C8A"/>
    <w:rsid w:val="00224CE2"/>
    <w:rsid w:val="00225184"/>
    <w:rsid w:val="00231BA6"/>
    <w:rsid w:val="002335AD"/>
    <w:rsid w:val="00237B18"/>
    <w:rsid w:val="00242BF6"/>
    <w:rsid w:val="002449F8"/>
    <w:rsid w:val="00256F1B"/>
    <w:rsid w:val="002606D5"/>
    <w:rsid w:val="00264A4F"/>
    <w:rsid w:val="0026549F"/>
    <w:rsid w:val="00272E43"/>
    <w:rsid w:val="00275D3B"/>
    <w:rsid w:val="00277D2F"/>
    <w:rsid w:val="002807E3"/>
    <w:rsid w:val="00293AEA"/>
    <w:rsid w:val="0029568E"/>
    <w:rsid w:val="002A15F1"/>
    <w:rsid w:val="002A3992"/>
    <w:rsid w:val="002A39F9"/>
    <w:rsid w:val="002B1F66"/>
    <w:rsid w:val="002D07C8"/>
    <w:rsid w:val="002D4408"/>
    <w:rsid w:val="002D6063"/>
    <w:rsid w:val="002D6F0C"/>
    <w:rsid w:val="002D79AA"/>
    <w:rsid w:val="002E26EB"/>
    <w:rsid w:val="002E3141"/>
    <w:rsid w:val="002E4FB0"/>
    <w:rsid w:val="002E7999"/>
    <w:rsid w:val="002F10B6"/>
    <w:rsid w:val="002F15D8"/>
    <w:rsid w:val="002F38EB"/>
    <w:rsid w:val="002F5F27"/>
    <w:rsid w:val="00305C4D"/>
    <w:rsid w:val="003073D6"/>
    <w:rsid w:val="003103F6"/>
    <w:rsid w:val="00313AD2"/>
    <w:rsid w:val="00315D25"/>
    <w:rsid w:val="0031704A"/>
    <w:rsid w:val="00320BC8"/>
    <w:rsid w:val="003225AD"/>
    <w:rsid w:val="00322CD5"/>
    <w:rsid w:val="003237E3"/>
    <w:rsid w:val="00324599"/>
    <w:rsid w:val="00325A9E"/>
    <w:rsid w:val="00326496"/>
    <w:rsid w:val="003268AE"/>
    <w:rsid w:val="00327DCF"/>
    <w:rsid w:val="00331C79"/>
    <w:rsid w:val="00336467"/>
    <w:rsid w:val="00340110"/>
    <w:rsid w:val="00340AEA"/>
    <w:rsid w:val="0034257E"/>
    <w:rsid w:val="003524B0"/>
    <w:rsid w:val="003525C1"/>
    <w:rsid w:val="003536BE"/>
    <w:rsid w:val="00355141"/>
    <w:rsid w:val="00357580"/>
    <w:rsid w:val="00362E04"/>
    <w:rsid w:val="00364F30"/>
    <w:rsid w:val="00365184"/>
    <w:rsid w:val="0037029C"/>
    <w:rsid w:val="003703F4"/>
    <w:rsid w:val="0037264F"/>
    <w:rsid w:val="00377540"/>
    <w:rsid w:val="00380DB1"/>
    <w:rsid w:val="00383799"/>
    <w:rsid w:val="00390485"/>
    <w:rsid w:val="00391FB5"/>
    <w:rsid w:val="00396D46"/>
    <w:rsid w:val="0039725A"/>
    <w:rsid w:val="0039764A"/>
    <w:rsid w:val="00397F4B"/>
    <w:rsid w:val="003A29C2"/>
    <w:rsid w:val="003A3FB1"/>
    <w:rsid w:val="003A49E9"/>
    <w:rsid w:val="003A612D"/>
    <w:rsid w:val="003B2B71"/>
    <w:rsid w:val="003B46E9"/>
    <w:rsid w:val="003B704A"/>
    <w:rsid w:val="003B7747"/>
    <w:rsid w:val="003B7B0F"/>
    <w:rsid w:val="003C0596"/>
    <w:rsid w:val="003C6663"/>
    <w:rsid w:val="003D1FC8"/>
    <w:rsid w:val="003D2BE0"/>
    <w:rsid w:val="003D53AA"/>
    <w:rsid w:val="003E56AF"/>
    <w:rsid w:val="003E755B"/>
    <w:rsid w:val="003F25C3"/>
    <w:rsid w:val="003F6F10"/>
    <w:rsid w:val="003F6F52"/>
    <w:rsid w:val="004028F6"/>
    <w:rsid w:val="0040435E"/>
    <w:rsid w:val="00404E6B"/>
    <w:rsid w:val="00406641"/>
    <w:rsid w:val="00410425"/>
    <w:rsid w:val="00412D4D"/>
    <w:rsid w:val="00415A68"/>
    <w:rsid w:val="00415D87"/>
    <w:rsid w:val="0042330B"/>
    <w:rsid w:val="00423A9E"/>
    <w:rsid w:val="0042468F"/>
    <w:rsid w:val="00425543"/>
    <w:rsid w:val="00427D55"/>
    <w:rsid w:val="004317CD"/>
    <w:rsid w:val="00431F25"/>
    <w:rsid w:val="00435401"/>
    <w:rsid w:val="0044018F"/>
    <w:rsid w:val="00440BA8"/>
    <w:rsid w:val="00444CDA"/>
    <w:rsid w:val="00445DB6"/>
    <w:rsid w:val="00450956"/>
    <w:rsid w:val="004526E6"/>
    <w:rsid w:val="00452BE4"/>
    <w:rsid w:val="00454D4D"/>
    <w:rsid w:val="00454DEC"/>
    <w:rsid w:val="00455BC1"/>
    <w:rsid w:val="00455BFC"/>
    <w:rsid w:val="00456499"/>
    <w:rsid w:val="0046351C"/>
    <w:rsid w:val="00464143"/>
    <w:rsid w:val="0046723E"/>
    <w:rsid w:val="00467EFA"/>
    <w:rsid w:val="00473A3B"/>
    <w:rsid w:val="00474530"/>
    <w:rsid w:val="00480D19"/>
    <w:rsid w:val="00480DD3"/>
    <w:rsid w:val="0048645A"/>
    <w:rsid w:val="00486EE0"/>
    <w:rsid w:val="00487A84"/>
    <w:rsid w:val="00490BE6"/>
    <w:rsid w:val="004965EC"/>
    <w:rsid w:val="00496F39"/>
    <w:rsid w:val="004A1ACD"/>
    <w:rsid w:val="004A2AB1"/>
    <w:rsid w:val="004A4BBE"/>
    <w:rsid w:val="004A78BE"/>
    <w:rsid w:val="004B0D5E"/>
    <w:rsid w:val="004B2135"/>
    <w:rsid w:val="004B6D65"/>
    <w:rsid w:val="004C254F"/>
    <w:rsid w:val="004C377E"/>
    <w:rsid w:val="004D0A72"/>
    <w:rsid w:val="004D2DE2"/>
    <w:rsid w:val="004D3C86"/>
    <w:rsid w:val="004D6600"/>
    <w:rsid w:val="004D6AC0"/>
    <w:rsid w:val="004E10B5"/>
    <w:rsid w:val="004E2461"/>
    <w:rsid w:val="004E3D5D"/>
    <w:rsid w:val="004F055D"/>
    <w:rsid w:val="004F5956"/>
    <w:rsid w:val="004F5A58"/>
    <w:rsid w:val="005037EC"/>
    <w:rsid w:val="0051338F"/>
    <w:rsid w:val="00513539"/>
    <w:rsid w:val="00523230"/>
    <w:rsid w:val="0052411C"/>
    <w:rsid w:val="00527AD3"/>
    <w:rsid w:val="00527F3C"/>
    <w:rsid w:val="005443AE"/>
    <w:rsid w:val="00551C70"/>
    <w:rsid w:val="0055361C"/>
    <w:rsid w:val="00553AF2"/>
    <w:rsid w:val="00554A40"/>
    <w:rsid w:val="00557D15"/>
    <w:rsid w:val="0056146F"/>
    <w:rsid w:val="00562482"/>
    <w:rsid w:val="005653E8"/>
    <w:rsid w:val="00573679"/>
    <w:rsid w:val="00573B75"/>
    <w:rsid w:val="00575228"/>
    <w:rsid w:val="00587589"/>
    <w:rsid w:val="005A3E51"/>
    <w:rsid w:val="005A5B69"/>
    <w:rsid w:val="005A5F81"/>
    <w:rsid w:val="005B0773"/>
    <w:rsid w:val="005B0F56"/>
    <w:rsid w:val="005B404C"/>
    <w:rsid w:val="005B40A7"/>
    <w:rsid w:val="005B6685"/>
    <w:rsid w:val="005C4A36"/>
    <w:rsid w:val="005C5749"/>
    <w:rsid w:val="005C62CD"/>
    <w:rsid w:val="005C6CCF"/>
    <w:rsid w:val="005D0607"/>
    <w:rsid w:val="005D1586"/>
    <w:rsid w:val="005D4E8D"/>
    <w:rsid w:val="005F458B"/>
    <w:rsid w:val="00601674"/>
    <w:rsid w:val="006047B4"/>
    <w:rsid w:val="00604C2C"/>
    <w:rsid w:val="0060672F"/>
    <w:rsid w:val="00610A2A"/>
    <w:rsid w:val="00611836"/>
    <w:rsid w:val="00612CB2"/>
    <w:rsid w:val="0061452B"/>
    <w:rsid w:val="00622966"/>
    <w:rsid w:val="006242BC"/>
    <w:rsid w:val="00631050"/>
    <w:rsid w:val="00635E5A"/>
    <w:rsid w:val="00637653"/>
    <w:rsid w:val="0064447A"/>
    <w:rsid w:val="006463A4"/>
    <w:rsid w:val="00646D15"/>
    <w:rsid w:val="00654791"/>
    <w:rsid w:val="00663480"/>
    <w:rsid w:val="00663DA2"/>
    <w:rsid w:val="0066510D"/>
    <w:rsid w:val="00673346"/>
    <w:rsid w:val="00676BC2"/>
    <w:rsid w:val="00676F63"/>
    <w:rsid w:val="0068058D"/>
    <w:rsid w:val="006832FC"/>
    <w:rsid w:val="00684135"/>
    <w:rsid w:val="00686E50"/>
    <w:rsid w:val="006872D1"/>
    <w:rsid w:val="0068788C"/>
    <w:rsid w:val="00691B15"/>
    <w:rsid w:val="00694459"/>
    <w:rsid w:val="00695C4A"/>
    <w:rsid w:val="006A4F0C"/>
    <w:rsid w:val="006B4B9F"/>
    <w:rsid w:val="006D4EF3"/>
    <w:rsid w:val="006D794A"/>
    <w:rsid w:val="006E4562"/>
    <w:rsid w:val="006E764F"/>
    <w:rsid w:val="006F210D"/>
    <w:rsid w:val="006F26A8"/>
    <w:rsid w:val="006F43EE"/>
    <w:rsid w:val="006F44FE"/>
    <w:rsid w:val="006F7D1E"/>
    <w:rsid w:val="0070098D"/>
    <w:rsid w:val="00701637"/>
    <w:rsid w:val="0070465A"/>
    <w:rsid w:val="007066CC"/>
    <w:rsid w:val="00707EED"/>
    <w:rsid w:val="00707FAA"/>
    <w:rsid w:val="00710210"/>
    <w:rsid w:val="00710D40"/>
    <w:rsid w:val="007114C8"/>
    <w:rsid w:val="00714F49"/>
    <w:rsid w:val="00715742"/>
    <w:rsid w:val="00716AA0"/>
    <w:rsid w:val="00717BE0"/>
    <w:rsid w:val="00721A42"/>
    <w:rsid w:val="00727E42"/>
    <w:rsid w:val="007312FB"/>
    <w:rsid w:val="00735658"/>
    <w:rsid w:val="0074003A"/>
    <w:rsid w:val="00741938"/>
    <w:rsid w:val="007421C8"/>
    <w:rsid w:val="00745E2B"/>
    <w:rsid w:val="00746C28"/>
    <w:rsid w:val="00750082"/>
    <w:rsid w:val="007553B3"/>
    <w:rsid w:val="0076256C"/>
    <w:rsid w:val="007639CA"/>
    <w:rsid w:val="007643FA"/>
    <w:rsid w:val="00765D19"/>
    <w:rsid w:val="0077058E"/>
    <w:rsid w:val="007714C4"/>
    <w:rsid w:val="0077211D"/>
    <w:rsid w:val="007745F0"/>
    <w:rsid w:val="0077548D"/>
    <w:rsid w:val="00775D34"/>
    <w:rsid w:val="00776CAE"/>
    <w:rsid w:val="007774B1"/>
    <w:rsid w:val="007818B0"/>
    <w:rsid w:val="00781F0F"/>
    <w:rsid w:val="00784C89"/>
    <w:rsid w:val="00794BC6"/>
    <w:rsid w:val="00795A73"/>
    <w:rsid w:val="00797AB2"/>
    <w:rsid w:val="007A00E5"/>
    <w:rsid w:val="007A24F9"/>
    <w:rsid w:val="007A2583"/>
    <w:rsid w:val="007A3FE3"/>
    <w:rsid w:val="007A5870"/>
    <w:rsid w:val="007A69C7"/>
    <w:rsid w:val="007B1823"/>
    <w:rsid w:val="007B41FC"/>
    <w:rsid w:val="007B5471"/>
    <w:rsid w:val="007C3FFF"/>
    <w:rsid w:val="007C418A"/>
    <w:rsid w:val="007C5BD1"/>
    <w:rsid w:val="007D298B"/>
    <w:rsid w:val="007D363F"/>
    <w:rsid w:val="007D4844"/>
    <w:rsid w:val="007D76B7"/>
    <w:rsid w:val="007E1E0D"/>
    <w:rsid w:val="007E426F"/>
    <w:rsid w:val="007E44CF"/>
    <w:rsid w:val="007E5834"/>
    <w:rsid w:val="007E6ABE"/>
    <w:rsid w:val="007E7B16"/>
    <w:rsid w:val="008056EB"/>
    <w:rsid w:val="00812ECF"/>
    <w:rsid w:val="00814506"/>
    <w:rsid w:val="00816520"/>
    <w:rsid w:val="00816AE7"/>
    <w:rsid w:val="00820AE0"/>
    <w:rsid w:val="00822A4F"/>
    <w:rsid w:val="00830553"/>
    <w:rsid w:val="00832307"/>
    <w:rsid w:val="008333D8"/>
    <w:rsid w:val="00836E48"/>
    <w:rsid w:val="00841BF7"/>
    <w:rsid w:val="008424E7"/>
    <w:rsid w:val="008436AD"/>
    <w:rsid w:val="00845284"/>
    <w:rsid w:val="00845A31"/>
    <w:rsid w:val="00850970"/>
    <w:rsid w:val="00850DC5"/>
    <w:rsid w:val="00853CEC"/>
    <w:rsid w:val="00857790"/>
    <w:rsid w:val="00857BCE"/>
    <w:rsid w:val="0086151D"/>
    <w:rsid w:val="008623A1"/>
    <w:rsid w:val="008714BD"/>
    <w:rsid w:val="00871757"/>
    <w:rsid w:val="00873309"/>
    <w:rsid w:val="008738C3"/>
    <w:rsid w:val="00877784"/>
    <w:rsid w:val="00885FCA"/>
    <w:rsid w:val="00887103"/>
    <w:rsid w:val="0089392A"/>
    <w:rsid w:val="008958AB"/>
    <w:rsid w:val="00897A02"/>
    <w:rsid w:val="008A2006"/>
    <w:rsid w:val="008A64F5"/>
    <w:rsid w:val="008B3F6B"/>
    <w:rsid w:val="008B4AE5"/>
    <w:rsid w:val="008C7104"/>
    <w:rsid w:val="008D23CD"/>
    <w:rsid w:val="008D383D"/>
    <w:rsid w:val="0090252D"/>
    <w:rsid w:val="009066B3"/>
    <w:rsid w:val="00912506"/>
    <w:rsid w:val="00920DD3"/>
    <w:rsid w:val="009347C9"/>
    <w:rsid w:val="009354FE"/>
    <w:rsid w:val="00935D3A"/>
    <w:rsid w:val="00937403"/>
    <w:rsid w:val="00946579"/>
    <w:rsid w:val="0095400B"/>
    <w:rsid w:val="00957C72"/>
    <w:rsid w:val="00962331"/>
    <w:rsid w:val="00962517"/>
    <w:rsid w:val="00963178"/>
    <w:rsid w:val="00965B58"/>
    <w:rsid w:val="00971158"/>
    <w:rsid w:val="009712C5"/>
    <w:rsid w:val="00972662"/>
    <w:rsid w:val="00972C52"/>
    <w:rsid w:val="00974035"/>
    <w:rsid w:val="00974275"/>
    <w:rsid w:val="0097440B"/>
    <w:rsid w:val="009838D1"/>
    <w:rsid w:val="00984991"/>
    <w:rsid w:val="00985B76"/>
    <w:rsid w:val="00993549"/>
    <w:rsid w:val="00995BD2"/>
    <w:rsid w:val="009A141F"/>
    <w:rsid w:val="009B0181"/>
    <w:rsid w:val="009B1FE8"/>
    <w:rsid w:val="009B3978"/>
    <w:rsid w:val="009B5F9B"/>
    <w:rsid w:val="009C2B42"/>
    <w:rsid w:val="009D3C95"/>
    <w:rsid w:val="009D6AA9"/>
    <w:rsid w:val="009E33F0"/>
    <w:rsid w:val="009E4767"/>
    <w:rsid w:val="009E53A9"/>
    <w:rsid w:val="009F293C"/>
    <w:rsid w:val="00A00813"/>
    <w:rsid w:val="00A0216D"/>
    <w:rsid w:val="00A04DDB"/>
    <w:rsid w:val="00A07AB6"/>
    <w:rsid w:val="00A1251F"/>
    <w:rsid w:val="00A1363D"/>
    <w:rsid w:val="00A163E5"/>
    <w:rsid w:val="00A17ED9"/>
    <w:rsid w:val="00A228A3"/>
    <w:rsid w:val="00A22FAC"/>
    <w:rsid w:val="00A23528"/>
    <w:rsid w:val="00A25D65"/>
    <w:rsid w:val="00A30C83"/>
    <w:rsid w:val="00A346CA"/>
    <w:rsid w:val="00A36D97"/>
    <w:rsid w:val="00A4128B"/>
    <w:rsid w:val="00A4307A"/>
    <w:rsid w:val="00A45655"/>
    <w:rsid w:val="00A501C0"/>
    <w:rsid w:val="00A51004"/>
    <w:rsid w:val="00A52366"/>
    <w:rsid w:val="00A525AF"/>
    <w:rsid w:val="00A60F46"/>
    <w:rsid w:val="00A62318"/>
    <w:rsid w:val="00A632F1"/>
    <w:rsid w:val="00A649F6"/>
    <w:rsid w:val="00A65BB3"/>
    <w:rsid w:val="00A66C8F"/>
    <w:rsid w:val="00A74339"/>
    <w:rsid w:val="00A75110"/>
    <w:rsid w:val="00A75CA8"/>
    <w:rsid w:val="00A84F9F"/>
    <w:rsid w:val="00A915BF"/>
    <w:rsid w:val="00A95B37"/>
    <w:rsid w:val="00AA2D6E"/>
    <w:rsid w:val="00AA4668"/>
    <w:rsid w:val="00AA7DCD"/>
    <w:rsid w:val="00AB56E0"/>
    <w:rsid w:val="00AB6173"/>
    <w:rsid w:val="00AC5485"/>
    <w:rsid w:val="00AD6EB8"/>
    <w:rsid w:val="00AE045F"/>
    <w:rsid w:val="00AE0BC8"/>
    <w:rsid w:val="00AE5C8A"/>
    <w:rsid w:val="00AE6E64"/>
    <w:rsid w:val="00AF0566"/>
    <w:rsid w:val="00AF3C1C"/>
    <w:rsid w:val="00AF58DA"/>
    <w:rsid w:val="00AF5E26"/>
    <w:rsid w:val="00B03156"/>
    <w:rsid w:val="00B03DB7"/>
    <w:rsid w:val="00B10B4E"/>
    <w:rsid w:val="00B1105D"/>
    <w:rsid w:val="00B17170"/>
    <w:rsid w:val="00B20D2F"/>
    <w:rsid w:val="00B246ED"/>
    <w:rsid w:val="00B2674A"/>
    <w:rsid w:val="00B332E4"/>
    <w:rsid w:val="00B35AB8"/>
    <w:rsid w:val="00B363C2"/>
    <w:rsid w:val="00B36946"/>
    <w:rsid w:val="00B4087C"/>
    <w:rsid w:val="00B42BDB"/>
    <w:rsid w:val="00B472D7"/>
    <w:rsid w:val="00B51426"/>
    <w:rsid w:val="00B51643"/>
    <w:rsid w:val="00B54FC1"/>
    <w:rsid w:val="00B550A6"/>
    <w:rsid w:val="00B55261"/>
    <w:rsid w:val="00B56769"/>
    <w:rsid w:val="00B5725D"/>
    <w:rsid w:val="00B600B7"/>
    <w:rsid w:val="00B62AE1"/>
    <w:rsid w:val="00B64B0B"/>
    <w:rsid w:val="00B71B3D"/>
    <w:rsid w:val="00B732B5"/>
    <w:rsid w:val="00B7361B"/>
    <w:rsid w:val="00B7418A"/>
    <w:rsid w:val="00B77752"/>
    <w:rsid w:val="00B77FD3"/>
    <w:rsid w:val="00B821B3"/>
    <w:rsid w:val="00B854E8"/>
    <w:rsid w:val="00B85943"/>
    <w:rsid w:val="00B86286"/>
    <w:rsid w:val="00B86756"/>
    <w:rsid w:val="00B90B09"/>
    <w:rsid w:val="00B936D2"/>
    <w:rsid w:val="00B944B8"/>
    <w:rsid w:val="00BA15F4"/>
    <w:rsid w:val="00BA4C1E"/>
    <w:rsid w:val="00BA6894"/>
    <w:rsid w:val="00BB0770"/>
    <w:rsid w:val="00BB17B2"/>
    <w:rsid w:val="00BB2586"/>
    <w:rsid w:val="00BB4EA5"/>
    <w:rsid w:val="00BC3E80"/>
    <w:rsid w:val="00BC6B34"/>
    <w:rsid w:val="00BC719F"/>
    <w:rsid w:val="00BC78D4"/>
    <w:rsid w:val="00BC7CA4"/>
    <w:rsid w:val="00BD1039"/>
    <w:rsid w:val="00BD1BE5"/>
    <w:rsid w:val="00BD329A"/>
    <w:rsid w:val="00BD5FE1"/>
    <w:rsid w:val="00BD625A"/>
    <w:rsid w:val="00BE3396"/>
    <w:rsid w:val="00BE3491"/>
    <w:rsid w:val="00BE68BF"/>
    <w:rsid w:val="00BF1D42"/>
    <w:rsid w:val="00C02C57"/>
    <w:rsid w:val="00C02D90"/>
    <w:rsid w:val="00C10BE0"/>
    <w:rsid w:val="00C12347"/>
    <w:rsid w:val="00C12EF0"/>
    <w:rsid w:val="00C13E22"/>
    <w:rsid w:val="00C14D82"/>
    <w:rsid w:val="00C15364"/>
    <w:rsid w:val="00C17897"/>
    <w:rsid w:val="00C21246"/>
    <w:rsid w:val="00C21D6D"/>
    <w:rsid w:val="00C237D7"/>
    <w:rsid w:val="00C2444C"/>
    <w:rsid w:val="00C265D6"/>
    <w:rsid w:val="00C3035F"/>
    <w:rsid w:val="00C37394"/>
    <w:rsid w:val="00C427DE"/>
    <w:rsid w:val="00C4426D"/>
    <w:rsid w:val="00C457E2"/>
    <w:rsid w:val="00C521FC"/>
    <w:rsid w:val="00C535F0"/>
    <w:rsid w:val="00C57ADB"/>
    <w:rsid w:val="00C603AA"/>
    <w:rsid w:val="00C61A7A"/>
    <w:rsid w:val="00C62F83"/>
    <w:rsid w:val="00C643CA"/>
    <w:rsid w:val="00C67744"/>
    <w:rsid w:val="00C7134B"/>
    <w:rsid w:val="00C71BE2"/>
    <w:rsid w:val="00C74442"/>
    <w:rsid w:val="00C75656"/>
    <w:rsid w:val="00C77EA5"/>
    <w:rsid w:val="00C77F42"/>
    <w:rsid w:val="00C81EF9"/>
    <w:rsid w:val="00C8242A"/>
    <w:rsid w:val="00C82ECF"/>
    <w:rsid w:val="00C857E8"/>
    <w:rsid w:val="00C877A1"/>
    <w:rsid w:val="00C97A49"/>
    <w:rsid w:val="00CA2690"/>
    <w:rsid w:val="00CA4231"/>
    <w:rsid w:val="00CA44C4"/>
    <w:rsid w:val="00CB1C6A"/>
    <w:rsid w:val="00CB67A3"/>
    <w:rsid w:val="00CB7F12"/>
    <w:rsid w:val="00CC3CEC"/>
    <w:rsid w:val="00CD06AB"/>
    <w:rsid w:val="00CD0B85"/>
    <w:rsid w:val="00CD1111"/>
    <w:rsid w:val="00CD2442"/>
    <w:rsid w:val="00CE54F4"/>
    <w:rsid w:val="00CE7C62"/>
    <w:rsid w:val="00CF3668"/>
    <w:rsid w:val="00CF3775"/>
    <w:rsid w:val="00CF423D"/>
    <w:rsid w:val="00CF5CB2"/>
    <w:rsid w:val="00D00E2F"/>
    <w:rsid w:val="00D02DD7"/>
    <w:rsid w:val="00D0506C"/>
    <w:rsid w:val="00D066D8"/>
    <w:rsid w:val="00D07C32"/>
    <w:rsid w:val="00D11FFA"/>
    <w:rsid w:val="00D12AD0"/>
    <w:rsid w:val="00D16638"/>
    <w:rsid w:val="00D178C0"/>
    <w:rsid w:val="00D30FDD"/>
    <w:rsid w:val="00D34D73"/>
    <w:rsid w:val="00D4031E"/>
    <w:rsid w:val="00D456AE"/>
    <w:rsid w:val="00D519D0"/>
    <w:rsid w:val="00D5270D"/>
    <w:rsid w:val="00D53020"/>
    <w:rsid w:val="00D548A2"/>
    <w:rsid w:val="00D602E6"/>
    <w:rsid w:val="00D631F1"/>
    <w:rsid w:val="00D65614"/>
    <w:rsid w:val="00D70E88"/>
    <w:rsid w:val="00D75E7C"/>
    <w:rsid w:val="00D85E64"/>
    <w:rsid w:val="00D92AED"/>
    <w:rsid w:val="00D968A3"/>
    <w:rsid w:val="00DA650E"/>
    <w:rsid w:val="00DA6C0F"/>
    <w:rsid w:val="00DB475F"/>
    <w:rsid w:val="00DB615A"/>
    <w:rsid w:val="00DB7A16"/>
    <w:rsid w:val="00DB7E82"/>
    <w:rsid w:val="00DC1461"/>
    <w:rsid w:val="00DC31BF"/>
    <w:rsid w:val="00DC34EC"/>
    <w:rsid w:val="00DC3A63"/>
    <w:rsid w:val="00DC49D1"/>
    <w:rsid w:val="00DC4AEB"/>
    <w:rsid w:val="00DC6DA8"/>
    <w:rsid w:val="00DC7EC4"/>
    <w:rsid w:val="00DD0003"/>
    <w:rsid w:val="00DD0B6E"/>
    <w:rsid w:val="00DD79A4"/>
    <w:rsid w:val="00DE0469"/>
    <w:rsid w:val="00DE25CF"/>
    <w:rsid w:val="00DE3C73"/>
    <w:rsid w:val="00DE40E2"/>
    <w:rsid w:val="00DE63FE"/>
    <w:rsid w:val="00DE6806"/>
    <w:rsid w:val="00DF20D5"/>
    <w:rsid w:val="00DF5938"/>
    <w:rsid w:val="00DF773E"/>
    <w:rsid w:val="00E03692"/>
    <w:rsid w:val="00E0554A"/>
    <w:rsid w:val="00E0632A"/>
    <w:rsid w:val="00E06B7F"/>
    <w:rsid w:val="00E10824"/>
    <w:rsid w:val="00E114A9"/>
    <w:rsid w:val="00E135AE"/>
    <w:rsid w:val="00E15793"/>
    <w:rsid w:val="00E16E6D"/>
    <w:rsid w:val="00E21FE0"/>
    <w:rsid w:val="00E278FE"/>
    <w:rsid w:val="00E3184E"/>
    <w:rsid w:val="00E3504F"/>
    <w:rsid w:val="00E35B6C"/>
    <w:rsid w:val="00E43D8E"/>
    <w:rsid w:val="00E45182"/>
    <w:rsid w:val="00E47A53"/>
    <w:rsid w:val="00E604DC"/>
    <w:rsid w:val="00E6285B"/>
    <w:rsid w:val="00E64D62"/>
    <w:rsid w:val="00E71ADA"/>
    <w:rsid w:val="00E74177"/>
    <w:rsid w:val="00E801B7"/>
    <w:rsid w:val="00E83C88"/>
    <w:rsid w:val="00E8400E"/>
    <w:rsid w:val="00E85501"/>
    <w:rsid w:val="00E85B70"/>
    <w:rsid w:val="00E96712"/>
    <w:rsid w:val="00E973CC"/>
    <w:rsid w:val="00EA17E5"/>
    <w:rsid w:val="00EA4C77"/>
    <w:rsid w:val="00EB3F31"/>
    <w:rsid w:val="00EB6005"/>
    <w:rsid w:val="00EC1C0D"/>
    <w:rsid w:val="00EC51F0"/>
    <w:rsid w:val="00ED5904"/>
    <w:rsid w:val="00EE0233"/>
    <w:rsid w:val="00EE0E73"/>
    <w:rsid w:val="00EE38EE"/>
    <w:rsid w:val="00EE74EF"/>
    <w:rsid w:val="00EF1660"/>
    <w:rsid w:val="00EF1DB0"/>
    <w:rsid w:val="00EF44A5"/>
    <w:rsid w:val="00EF5B5A"/>
    <w:rsid w:val="00EF76AC"/>
    <w:rsid w:val="00F042F9"/>
    <w:rsid w:val="00F14C2C"/>
    <w:rsid w:val="00F14DA8"/>
    <w:rsid w:val="00F15532"/>
    <w:rsid w:val="00F25BAA"/>
    <w:rsid w:val="00F2633E"/>
    <w:rsid w:val="00F27F6F"/>
    <w:rsid w:val="00F3186D"/>
    <w:rsid w:val="00F33D61"/>
    <w:rsid w:val="00F33D95"/>
    <w:rsid w:val="00F34AFB"/>
    <w:rsid w:val="00F427DD"/>
    <w:rsid w:val="00F444F4"/>
    <w:rsid w:val="00F44E06"/>
    <w:rsid w:val="00F46A07"/>
    <w:rsid w:val="00F50457"/>
    <w:rsid w:val="00F57041"/>
    <w:rsid w:val="00F612F6"/>
    <w:rsid w:val="00F65E88"/>
    <w:rsid w:val="00F663F7"/>
    <w:rsid w:val="00F70978"/>
    <w:rsid w:val="00F75D50"/>
    <w:rsid w:val="00F80557"/>
    <w:rsid w:val="00F87186"/>
    <w:rsid w:val="00F87DAE"/>
    <w:rsid w:val="00F95FA7"/>
    <w:rsid w:val="00F97A79"/>
    <w:rsid w:val="00F97F47"/>
    <w:rsid w:val="00FA3AD4"/>
    <w:rsid w:val="00FA4E79"/>
    <w:rsid w:val="00FA5847"/>
    <w:rsid w:val="00FA5DA1"/>
    <w:rsid w:val="00FB242B"/>
    <w:rsid w:val="00FB776A"/>
    <w:rsid w:val="00FC1015"/>
    <w:rsid w:val="00FC5DB6"/>
    <w:rsid w:val="00FD0B77"/>
    <w:rsid w:val="00FD5995"/>
    <w:rsid w:val="00FD65E2"/>
    <w:rsid w:val="00FE017E"/>
    <w:rsid w:val="00FE10E9"/>
    <w:rsid w:val="00FE5759"/>
    <w:rsid w:val="00FF06E4"/>
    <w:rsid w:val="00FF3641"/>
    <w:rsid w:val="00FF5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3397C"/>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816AE7"/>
    <w:rPr>
      <w:color w:val="954F72" w:themeColor="followedHyperlink"/>
      <w:u w:val="single"/>
    </w:rPr>
  </w:style>
  <w:style w:type="character" w:customStyle="1" w:styleId="UnresolvedMention2">
    <w:name w:val="Unresolved Mention2"/>
    <w:basedOn w:val="DefaultParagraphFont"/>
    <w:uiPriority w:val="99"/>
    <w:semiHidden/>
    <w:unhideWhenUsed/>
    <w:rsid w:val="00D30FDD"/>
    <w:rPr>
      <w:color w:val="605E5C"/>
      <w:shd w:val="clear" w:color="auto" w:fill="E1DFDD"/>
    </w:rPr>
  </w:style>
  <w:style w:type="character" w:styleId="UnresolvedMention">
    <w:name w:val="Unresolved Mention"/>
    <w:basedOn w:val="DefaultParagraphFont"/>
    <w:uiPriority w:val="99"/>
    <w:semiHidden/>
    <w:unhideWhenUsed/>
    <w:rsid w:val="00AA7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4121">
      <w:bodyDiv w:val="1"/>
      <w:marLeft w:val="0"/>
      <w:marRight w:val="0"/>
      <w:marTop w:val="0"/>
      <w:marBottom w:val="0"/>
      <w:divBdr>
        <w:top w:val="none" w:sz="0" w:space="0" w:color="auto"/>
        <w:left w:val="none" w:sz="0" w:space="0" w:color="auto"/>
        <w:bottom w:val="none" w:sz="0" w:space="0" w:color="auto"/>
        <w:right w:val="none" w:sz="0" w:space="0" w:color="auto"/>
      </w:divBdr>
    </w:div>
    <w:div w:id="31464315">
      <w:bodyDiv w:val="1"/>
      <w:marLeft w:val="0"/>
      <w:marRight w:val="0"/>
      <w:marTop w:val="0"/>
      <w:marBottom w:val="0"/>
      <w:divBdr>
        <w:top w:val="none" w:sz="0" w:space="0" w:color="auto"/>
        <w:left w:val="none" w:sz="0" w:space="0" w:color="auto"/>
        <w:bottom w:val="none" w:sz="0" w:space="0" w:color="auto"/>
        <w:right w:val="none" w:sz="0" w:space="0" w:color="auto"/>
      </w:divBdr>
    </w:div>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98525855">
      <w:bodyDiv w:val="1"/>
      <w:marLeft w:val="0"/>
      <w:marRight w:val="0"/>
      <w:marTop w:val="0"/>
      <w:marBottom w:val="0"/>
      <w:divBdr>
        <w:top w:val="none" w:sz="0" w:space="0" w:color="auto"/>
        <w:left w:val="none" w:sz="0" w:space="0" w:color="auto"/>
        <w:bottom w:val="none" w:sz="0" w:space="0" w:color="auto"/>
        <w:right w:val="none" w:sz="0" w:space="0" w:color="auto"/>
      </w:divBdr>
    </w:div>
    <w:div w:id="108748772">
      <w:bodyDiv w:val="1"/>
      <w:marLeft w:val="0"/>
      <w:marRight w:val="0"/>
      <w:marTop w:val="0"/>
      <w:marBottom w:val="0"/>
      <w:divBdr>
        <w:top w:val="none" w:sz="0" w:space="0" w:color="auto"/>
        <w:left w:val="none" w:sz="0" w:space="0" w:color="auto"/>
        <w:bottom w:val="none" w:sz="0" w:space="0" w:color="auto"/>
        <w:right w:val="none" w:sz="0" w:space="0" w:color="auto"/>
      </w:divBdr>
      <w:divsChild>
        <w:div w:id="1650356830">
          <w:marLeft w:val="0"/>
          <w:marRight w:val="0"/>
          <w:marTop w:val="0"/>
          <w:marBottom w:val="0"/>
          <w:divBdr>
            <w:top w:val="none" w:sz="0" w:space="0" w:color="auto"/>
            <w:left w:val="none" w:sz="0" w:space="0" w:color="auto"/>
            <w:bottom w:val="none" w:sz="0" w:space="0" w:color="auto"/>
            <w:right w:val="none" w:sz="0" w:space="0" w:color="auto"/>
          </w:divBdr>
          <w:divsChild>
            <w:div w:id="552934401">
              <w:marLeft w:val="0"/>
              <w:marRight w:val="0"/>
              <w:marTop w:val="0"/>
              <w:marBottom w:val="0"/>
              <w:divBdr>
                <w:top w:val="none" w:sz="0" w:space="0" w:color="auto"/>
                <w:left w:val="none" w:sz="0" w:space="0" w:color="auto"/>
                <w:bottom w:val="none" w:sz="0" w:space="0" w:color="auto"/>
                <w:right w:val="none" w:sz="0" w:space="0" w:color="auto"/>
              </w:divBdr>
              <w:divsChild>
                <w:div w:id="403071047">
                  <w:marLeft w:val="0"/>
                  <w:marRight w:val="0"/>
                  <w:marTop w:val="0"/>
                  <w:marBottom w:val="0"/>
                  <w:divBdr>
                    <w:top w:val="none" w:sz="0" w:space="0" w:color="auto"/>
                    <w:left w:val="none" w:sz="0" w:space="0" w:color="auto"/>
                    <w:bottom w:val="none" w:sz="0" w:space="0" w:color="auto"/>
                    <w:right w:val="none" w:sz="0" w:space="0" w:color="auto"/>
                  </w:divBdr>
                  <w:divsChild>
                    <w:div w:id="2023437293">
                      <w:marLeft w:val="0"/>
                      <w:marRight w:val="0"/>
                      <w:marTop w:val="0"/>
                      <w:marBottom w:val="0"/>
                      <w:divBdr>
                        <w:top w:val="none" w:sz="0" w:space="0" w:color="auto"/>
                        <w:left w:val="none" w:sz="0" w:space="0" w:color="auto"/>
                        <w:bottom w:val="none" w:sz="0" w:space="0" w:color="auto"/>
                        <w:right w:val="none" w:sz="0" w:space="0" w:color="auto"/>
                      </w:divBdr>
                      <w:divsChild>
                        <w:div w:id="652026782">
                          <w:marLeft w:val="0"/>
                          <w:marRight w:val="0"/>
                          <w:marTop w:val="0"/>
                          <w:marBottom w:val="0"/>
                          <w:divBdr>
                            <w:top w:val="none" w:sz="0" w:space="0" w:color="auto"/>
                            <w:left w:val="none" w:sz="0" w:space="0" w:color="auto"/>
                            <w:bottom w:val="none" w:sz="0" w:space="0" w:color="auto"/>
                            <w:right w:val="none" w:sz="0" w:space="0" w:color="auto"/>
                          </w:divBdr>
                          <w:divsChild>
                            <w:div w:id="2064257940">
                              <w:marLeft w:val="0"/>
                              <w:marRight w:val="0"/>
                              <w:marTop w:val="0"/>
                              <w:marBottom w:val="0"/>
                              <w:divBdr>
                                <w:top w:val="none" w:sz="0" w:space="0" w:color="auto"/>
                                <w:left w:val="none" w:sz="0" w:space="0" w:color="auto"/>
                                <w:bottom w:val="none" w:sz="0" w:space="0" w:color="auto"/>
                                <w:right w:val="none" w:sz="0" w:space="0" w:color="auto"/>
                              </w:divBdr>
                              <w:divsChild>
                                <w:div w:id="14128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916">
          <w:marLeft w:val="0"/>
          <w:marRight w:val="0"/>
          <w:marTop w:val="0"/>
          <w:marBottom w:val="0"/>
          <w:divBdr>
            <w:top w:val="none" w:sz="0" w:space="0" w:color="auto"/>
            <w:left w:val="none" w:sz="0" w:space="0" w:color="auto"/>
            <w:bottom w:val="none" w:sz="0" w:space="0" w:color="auto"/>
            <w:right w:val="none" w:sz="0" w:space="0" w:color="auto"/>
          </w:divBdr>
          <w:divsChild>
            <w:div w:id="786659840">
              <w:marLeft w:val="0"/>
              <w:marRight w:val="0"/>
              <w:marTop w:val="0"/>
              <w:marBottom w:val="0"/>
              <w:divBdr>
                <w:top w:val="none" w:sz="0" w:space="0" w:color="auto"/>
                <w:left w:val="none" w:sz="0" w:space="0" w:color="auto"/>
                <w:bottom w:val="none" w:sz="0" w:space="0" w:color="auto"/>
                <w:right w:val="none" w:sz="0" w:space="0" w:color="auto"/>
              </w:divBdr>
              <w:divsChild>
                <w:div w:id="755856726">
                  <w:marLeft w:val="-15"/>
                  <w:marRight w:val="-15"/>
                  <w:marTop w:val="0"/>
                  <w:marBottom w:val="0"/>
                  <w:divBdr>
                    <w:top w:val="none" w:sz="0" w:space="0" w:color="auto"/>
                    <w:left w:val="none" w:sz="0" w:space="0" w:color="auto"/>
                    <w:bottom w:val="none" w:sz="0" w:space="0" w:color="auto"/>
                    <w:right w:val="none" w:sz="0" w:space="0" w:color="auto"/>
                  </w:divBdr>
                </w:div>
                <w:div w:id="1677531833">
                  <w:marLeft w:val="0"/>
                  <w:marRight w:val="0"/>
                  <w:marTop w:val="0"/>
                  <w:marBottom w:val="0"/>
                  <w:divBdr>
                    <w:top w:val="none" w:sz="0" w:space="0" w:color="auto"/>
                    <w:left w:val="none" w:sz="0" w:space="0" w:color="auto"/>
                    <w:bottom w:val="none" w:sz="0" w:space="0" w:color="auto"/>
                    <w:right w:val="none" w:sz="0" w:space="0" w:color="auto"/>
                  </w:divBdr>
                  <w:divsChild>
                    <w:div w:id="1073046167">
                      <w:marLeft w:val="0"/>
                      <w:marRight w:val="0"/>
                      <w:marTop w:val="0"/>
                      <w:marBottom w:val="0"/>
                      <w:divBdr>
                        <w:top w:val="single" w:sz="24" w:space="0" w:color="0F0F0F"/>
                        <w:left w:val="single" w:sz="24" w:space="0" w:color="0F0F0F"/>
                        <w:bottom w:val="single" w:sz="24" w:space="0" w:color="0F0F0F"/>
                        <w:right w:val="single" w:sz="24" w:space="0" w:color="0F0F0F"/>
                      </w:divBdr>
                      <w:divsChild>
                        <w:div w:id="12118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262495410">
      <w:bodyDiv w:val="1"/>
      <w:marLeft w:val="0"/>
      <w:marRight w:val="0"/>
      <w:marTop w:val="0"/>
      <w:marBottom w:val="0"/>
      <w:divBdr>
        <w:top w:val="none" w:sz="0" w:space="0" w:color="auto"/>
        <w:left w:val="none" w:sz="0" w:space="0" w:color="auto"/>
        <w:bottom w:val="none" w:sz="0" w:space="0" w:color="auto"/>
        <w:right w:val="none" w:sz="0" w:space="0" w:color="auto"/>
      </w:divBdr>
    </w:div>
    <w:div w:id="330068107">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50394892">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575018398">
      <w:bodyDiv w:val="1"/>
      <w:marLeft w:val="0"/>
      <w:marRight w:val="0"/>
      <w:marTop w:val="0"/>
      <w:marBottom w:val="0"/>
      <w:divBdr>
        <w:top w:val="none" w:sz="0" w:space="0" w:color="auto"/>
        <w:left w:val="none" w:sz="0" w:space="0" w:color="auto"/>
        <w:bottom w:val="none" w:sz="0" w:space="0" w:color="auto"/>
        <w:right w:val="none" w:sz="0" w:space="0" w:color="auto"/>
      </w:divBdr>
    </w:div>
    <w:div w:id="610893630">
      <w:bodyDiv w:val="1"/>
      <w:marLeft w:val="0"/>
      <w:marRight w:val="0"/>
      <w:marTop w:val="0"/>
      <w:marBottom w:val="0"/>
      <w:divBdr>
        <w:top w:val="none" w:sz="0" w:space="0" w:color="auto"/>
        <w:left w:val="none" w:sz="0" w:space="0" w:color="auto"/>
        <w:bottom w:val="none" w:sz="0" w:space="0" w:color="auto"/>
        <w:right w:val="none" w:sz="0" w:space="0" w:color="auto"/>
      </w:divBdr>
    </w:div>
    <w:div w:id="638876686">
      <w:bodyDiv w:val="1"/>
      <w:marLeft w:val="0"/>
      <w:marRight w:val="0"/>
      <w:marTop w:val="0"/>
      <w:marBottom w:val="0"/>
      <w:divBdr>
        <w:top w:val="none" w:sz="0" w:space="0" w:color="auto"/>
        <w:left w:val="none" w:sz="0" w:space="0" w:color="auto"/>
        <w:bottom w:val="none" w:sz="0" w:space="0" w:color="auto"/>
        <w:right w:val="none" w:sz="0" w:space="0" w:color="auto"/>
      </w:divBdr>
    </w:div>
    <w:div w:id="641079688">
      <w:bodyDiv w:val="1"/>
      <w:marLeft w:val="0"/>
      <w:marRight w:val="0"/>
      <w:marTop w:val="0"/>
      <w:marBottom w:val="0"/>
      <w:divBdr>
        <w:top w:val="none" w:sz="0" w:space="0" w:color="auto"/>
        <w:left w:val="none" w:sz="0" w:space="0" w:color="auto"/>
        <w:bottom w:val="none" w:sz="0" w:space="0" w:color="auto"/>
        <w:right w:val="none" w:sz="0" w:space="0" w:color="auto"/>
      </w:divBdr>
    </w:div>
    <w:div w:id="645552320">
      <w:bodyDiv w:val="1"/>
      <w:marLeft w:val="0"/>
      <w:marRight w:val="0"/>
      <w:marTop w:val="0"/>
      <w:marBottom w:val="0"/>
      <w:divBdr>
        <w:top w:val="none" w:sz="0" w:space="0" w:color="auto"/>
        <w:left w:val="none" w:sz="0" w:space="0" w:color="auto"/>
        <w:bottom w:val="none" w:sz="0" w:space="0" w:color="auto"/>
        <w:right w:val="none" w:sz="0" w:space="0" w:color="auto"/>
      </w:divBdr>
    </w:div>
    <w:div w:id="751200142">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25900961">
      <w:bodyDiv w:val="1"/>
      <w:marLeft w:val="0"/>
      <w:marRight w:val="0"/>
      <w:marTop w:val="0"/>
      <w:marBottom w:val="0"/>
      <w:divBdr>
        <w:top w:val="none" w:sz="0" w:space="0" w:color="auto"/>
        <w:left w:val="none" w:sz="0" w:space="0" w:color="auto"/>
        <w:bottom w:val="none" w:sz="0" w:space="0" w:color="auto"/>
        <w:right w:val="none" w:sz="0" w:space="0" w:color="auto"/>
      </w:divBdr>
    </w:div>
    <w:div w:id="881332618">
      <w:bodyDiv w:val="1"/>
      <w:marLeft w:val="0"/>
      <w:marRight w:val="0"/>
      <w:marTop w:val="0"/>
      <w:marBottom w:val="0"/>
      <w:divBdr>
        <w:top w:val="none" w:sz="0" w:space="0" w:color="auto"/>
        <w:left w:val="none" w:sz="0" w:space="0" w:color="auto"/>
        <w:bottom w:val="none" w:sz="0" w:space="0" w:color="auto"/>
        <w:right w:val="none" w:sz="0" w:space="0" w:color="auto"/>
      </w:divBdr>
    </w:div>
    <w:div w:id="884950010">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904755907">
      <w:bodyDiv w:val="1"/>
      <w:marLeft w:val="0"/>
      <w:marRight w:val="0"/>
      <w:marTop w:val="0"/>
      <w:marBottom w:val="0"/>
      <w:divBdr>
        <w:top w:val="none" w:sz="0" w:space="0" w:color="auto"/>
        <w:left w:val="none" w:sz="0" w:space="0" w:color="auto"/>
        <w:bottom w:val="none" w:sz="0" w:space="0" w:color="auto"/>
        <w:right w:val="none" w:sz="0" w:space="0" w:color="auto"/>
      </w:divBdr>
    </w:div>
    <w:div w:id="906459139">
      <w:bodyDiv w:val="1"/>
      <w:marLeft w:val="0"/>
      <w:marRight w:val="0"/>
      <w:marTop w:val="0"/>
      <w:marBottom w:val="0"/>
      <w:divBdr>
        <w:top w:val="none" w:sz="0" w:space="0" w:color="auto"/>
        <w:left w:val="none" w:sz="0" w:space="0" w:color="auto"/>
        <w:bottom w:val="none" w:sz="0" w:space="0" w:color="auto"/>
        <w:right w:val="none" w:sz="0" w:space="0" w:color="auto"/>
      </w:divBdr>
    </w:div>
    <w:div w:id="956519630">
      <w:bodyDiv w:val="1"/>
      <w:marLeft w:val="0"/>
      <w:marRight w:val="0"/>
      <w:marTop w:val="0"/>
      <w:marBottom w:val="0"/>
      <w:divBdr>
        <w:top w:val="none" w:sz="0" w:space="0" w:color="auto"/>
        <w:left w:val="none" w:sz="0" w:space="0" w:color="auto"/>
        <w:bottom w:val="none" w:sz="0" w:space="0" w:color="auto"/>
        <w:right w:val="none" w:sz="0" w:space="0" w:color="auto"/>
      </w:divBdr>
    </w:div>
    <w:div w:id="958416412">
      <w:bodyDiv w:val="1"/>
      <w:marLeft w:val="0"/>
      <w:marRight w:val="0"/>
      <w:marTop w:val="0"/>
      <w:marBottom w:val="0"/>
      <w:divBdr>
        <w:top w:val="none" w:sz="0" w:space="0" w:color="auto"/>
        <w:left w:val="none" w:sz="0" w:space="0" w:color="auto"/>
        <w:bottom w:val="none" w:sz="0" w:space="0" w:color="auto"/>
        <w:right w:val="none" w:sz="0" w:space="0" w:color="auto"/>
      </w:divBdr>
    </w:div>
    <w:div w:id="1107656660">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230958">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2617899">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296059281">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495947036">
      <w:bodyDiv w:val="1"/>
      <w:marLeft w:val="0"/>
      <w:marRight w:val="0"/>
      <w:marTop w:val="0"/>
      <w:marBottom w:val="0"/>
      <w:divBdr>
        <w:top w:val="none" w:sz="0" w:space="0" w:color="auto"/>
        <w:left w:val="none" w:sz="0" w:space="0" w:color="auto"/>
        <w:bottom w:val="none" w:sz="0" w:space="0" w:color="auto"/>
        <w:right w:val="none" w:sz="0" w:space="0" w:color="auto"/>
      </w:divBdr>
    </w:div>
    <w:div w:id="1510414841">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05117293">
      <w:bodyDiv w:val="1"/>
      <w:marLeft w:val="0"/>
      <w:marRight w:val="0"/>
      <w:marTop w:val="0"/>
      <w:marBottom w:val="0"/>
      <w:divBdr>
        <w:top w:val="none" w:sz="0" w:space="0" w:color="auto"/>
        <w:left w:val="none" w:sz="0" w:space="0" w:color="auto"/>
        <w:bottom w:val="none" w:sz="0" w:space="0" w:color="auto"/>
        <w:right w:val="none" w:sz="0" w:space="0" w:color="auto"/>
      </w:divBdr>
    </w:div>
    <w:div w:id="1621765314">
      <w:bodyDiv w:val="1"/>
      <w:marLeft w:val="0"/>
      <w:marRight w:val="0"/>
      <w:marTop w:val="0"/>
      <w:marBottom w:val="0"/>
      <w:divBdr>
        <w:top w:val="none" w:sz="0" w:space="0" w:color="auto"/>
        <w:left w:val="none" w:sz="0" w:space="0" w:color="auto"/>
        <w:bottom w:val="none" w:sz="0" w:space="0" w:color="auto"/>
        <w:right w:val="none" w:sz="0" w:space="0" w:color="auto"/>
      </w:divBdr>
    </w:div>
    <w:div w:id="1632514053">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16811092">
      <w:bodyDiv w:val="1"/>
      <w:marLeft w:val="0"/>
      <w:marRight w:val="0"/>
      <w:marTop w:val="0"/>
      <w:marBottom w:val="0"/>
      <w:divBdr>
        <w:top w:val="none" w:sz="0" w:space="0" w:color="auto"/>
        <w:left w:val="none" w:sz="0" w:space="0" w:color="auto"/>
        <w:bottom w:val="none" w:sz="0" w:space="0" w:color="auto"/>
        <w:right w:val="none" w:sz="0" w:space="0" w:color="auto"/>
      </w:divBdr>
    </w:div>
    <w:div w:id="1733771597">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03887025">
      <w:bodyDiv w:val="1"/>
      <w:marLeft w:val="0"/>
      <w:marRight w:val="0"/>
      <w:marTop w:val="0"/>
      <w:marBottom w:val="0"/>
      <w:divBdr>
        <w:top w:val="none" w:sz="0" w:space="0" w:color="auto"/>
        <w:left w:val="none" w:sz="0" w:space="0" w:color="auto"/>
        <w:bottom w:val="none" w:sz="0" w:space="0" w:color="auto"/>
        <w:right w:val="none" w:sz="0" w:space="0" w:color="auto"/>
      </w:divBdr>
    </w:div>
    <w:div w:id="1854881797">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85505852">
      <w:bodyDiv w:val="1"/>
      <w:marLeft w:val="0"/>
      <w:marRight w:val="0"/>
      <w:marTop w:val="0"/>
      <w:marBottom w:val="0"/>
      <w:divBdr>
        <w:top w:val="none" w:sz="0" w:space="0" w:color="auto"/>
        <w:left w:val="none" w:sz="0" w:space="0" w:color="auto"/>
        <w:bottom w:val="none" w:sz="0" w:space="0" w:color="auto"/>
        <w:right w:val="none" w:sz="0" w:space="0" w:color="auto"/>
      </w:divBdr>
    </w:div>
    <w:div w:id="1988704151">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 w:id="2053264014">
      <w:bodyDiv w:val="1"/>
      <w:marLeft w:val="0"/>
      <w:marRight w:val="0"/>
      <w:marTop w:val="0"/>
      <w:marBottom w:val="0"/>
      <w:divBdr>
        <w:top w:val="none" w:sz="0" w:space="0" w:color="auto"/>
        <w:left w:val="none" w:sz="0" w:space="0" w:color="auto"/>
        <w:bottom w:val="none" w:sz="0" w:space="0" w:color="auto"/>
        <w:right w:val="none" w:sz="0" w:space="0" w:color="auto"/>
      </w:divBdr>
    </w:div>
    <w:div w:id="2106030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ldWelfarePlan@dcs.in.gov" TargetMode="External"/><Relationship Id="rId3" Type="http://schemas.openxmlformats.org/officeDocument/2006/relationships/settings" Target="settings.xml"/><Relationship Id="rId7" Type="http://schemas.openxmlformats.org/officeDocument/2006/relationships/hyperlink" Target="mailto:Bridget.McIntyre@dcs.in.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rviceshub@dcs.in.gov" TargetMode="External"/><Relationship Id="rId11" Type="http://schemas.openxmlformats.org/officeDocument/2006/relationships/fontTable" Target="fontTable.xml"/><Relationship Id="rId5" Type="http://schemas.openxmlformats.org/officeDocument/2006/relationships/hyperlink" Target="mailto:brian.goodwin@dcs.in.gov"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s://www.in.gov/dcs/files/Expense-Tracking-Agencies.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999</Words>
  <Characters>5699</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6685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2021-12-03T20:31:00Z</dcterms:created>
  <dcterms:modified xsi:type="dcterms:W3CDTF">2021-12-03T20:31:00Z</dcterms:modified>
</cp:coreProperties>
</file>