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DB4B9" w14:textId="77777777" w:rsidR="0029568E" w:rsidRPr="00835C69" w:rsidRDefault="0029568E" w:rsidP="0029568E">
      <w:pPr>
        <w:pStyle w:val="NoSpacing"/>
        <w:jc w:val="center"/>
        <w:rPr>
          <w:rStyle w:val="Emphasis"/>
          <w:b/>
        </w:rPr>
      </w:pPr>
      <w:r w:rsidRPr="00835C69">
        <w:rPr>
          <w:rStyle w:val="Emphasis"/>
          <w:b/>
        </w:rPr>
        <w:t>Family Preservation Services</w:t>
      </w:r>
    </w:p>
    <w:p w14:paraId="1FADB4BA" w14:textId="52C7DC58" w:rsidR="0029568E" w:rsidRPr="00835C69" w:rsidRDefault="00F50457" w:rsidP="0029568E">
      <w:pPr>
        <w:pStyle w:val="NoSpacing"/>
        <w:jc w:val="center"/>
        <w:rPr>
          <w:rStyle w:val="Emphasis"/>
          <w:b/>
        </w:rPr>
      </w:pPr>
      <w:r>
        <w:rPr>
          <w:rStyle w:val="Emphasis"/>
          <w:b/>
        </w:rPr>
        <w:t xml:space="preserve">December </w:t>
      </w:r>
      <w:r w:rsidR="001408D7">
        <w:rPr>
          <w:rStyle w:val="Emphasis"/>
          <w:b/>
        </w:rPr>
        <w:t>18</w:t>
      </w:r>
      <w:r w:rsidR="0029568E" w:rsidRPr="00835C69">
        <w:rPr>
          <w:rStyle w:val="Emphasis"/>
          <w:b/>
        </w:rPr>
        <w:t>, 2020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FADB4BD" w14:textId="77777777" w:rsidR="00B2674A" w:rsidRPr="009D6AA9" w:rsidRDefault="00B2674A" w:rsidP="004D3C86">
      <w:pPr>
        <w:rPr>
          <w:rStyle w:val="Emphasis"/>
        </w:rPr>
      </w:pPr>
    </w:p>
    <w:p w14:paraId="6B835394" w14:textId="77777777" w:rsidR="00F87186" w:rsidRPr="00BA5706" w:rsidRDefault="002E26EB" w:rsidP="000659E9">
      <w:pPr>
        <w:pStyle w:val="ListParagraph"/>
        <w:numPr>
          <w:ilvl w:val="0"/>
          <w:numId w:val="1"/>
        </w:numPr>
        <w:rPr>
          <w:rStyle w:val="Emphasis"/>
          <w:i w:val="0"/>
          <w:iCs w:val="0"/>
        </w:rPr>
      </w:pPr>
      <w:r w:rsidRPr="00BA5706">
        <w:rPr>
          <w:rStyle w:val="Emphasis"/>
          <w:i w:val="0"/>
          <w:iCs w:val="0"/>
        </w:rPr>
        <w:t xml:space="preserve">Overview of upcoming Indiana Family Preservation Services </w:t>
      </w:r>
      <w:r w:rsidR="00BC719F" w:rsidRPr="00BA5706">
        <w:rPr>
          <w:rStyle w:val="Emphasis"/>
          <w:i w:val="0"/>
          <w:iCs w:val="0"/>
        </w:rPr>
        <w:t xml:space="preserve">(INFPS) </w:t>
      </w:r>
      <w:r w:rsidRPr="00BA5706">
        <w:rPr>
          <w:rStyle w:val="Emphasis"/>
          <w:i w:val="0"/>
          <w:iCs w:val="0"/>
        </w:rPr>
        <w:t>evaluation</w:t>
      </w:r>
    </w:p>
    <w:p w14:paraId="70B500A7" w14:textId="07B4B6DD" w:rsidR="00F50457" w:rsidRDefault="00F87186" w:rsidP="00F87186">
      <w:pPr>
        <w:pStyle w:val="ListParagraph"/>
        <w:ind w:left="1080"/>
        <w:rPr>
          <w:rStyle w:val="Emphasis"/>
          <w:i w:val="0"/>
          <w:iCs w:val="0"/>
        </w:rPr>
      </w:pPr>
      <w:r w:rsidRPr="00BA5706">
        <w:rPr>
          <w:rStyle w:val="Emphasis"/>
          <w:i w:val="0"/>
          <w:iCs w:val="0"/>
        </w:rPr>
        <w:t>--</w:t>
      </w:r>
      <w:r w:rsidR="00BC719F" w:rsidRPr="00BA5706">
        <w:rPr>
          <w:rStyle w:val="Emphasis"/>
          <w:i w:val="0"/>
          <w:iCs w:val="0"/>
        </w:rPr>
        <w:t xml:space="preserve">Elisabeth Wilson and Brian </w:t>
      </w:r>
      <w:r w:rsidR="000659E9" w:rsidRPr="00BA5706">
        <w:rPr>
          <w:rStyle w:val="Emphasis"/>
          <w:i w:val="0"/>
          <w:iCs w:val="0"/>
        </w:rPr>
        <w:t>Goodwin.</w:t>
      </w:r>
    </w:p>
    <w:p w14:paraId="3AD7F48F" w14:textId="5C152AA5" w:rsidR="00BA5706" w:rsidRDefault="00BA5706" w:rsidP="00F87186">
      <w:pPr>
        <w:pStyle w:val="ListParagraph"/>
        <w:ind w:left="1080"/>
        <w:rPr>
          <w:rStyle w:val="Emphasis"/>
          <w:i w:val="0"/>
          <w:iCs w:val="0"/>
        </w:rPr>
      </w:pPr>
      <w:r>
        <w:rPr>
          <w:rStyle w:val="Emphasis"/>
          <w:i w:val="0"/>
          <w:iCs w:val="0"/>
        </w:rPr>
        <w:t>A.</w:t>
      </w:r>
      <w:r>
        <w:rPr>
          <w:rStyle w:val="Emphasis"/>
          <w:i w:val="0"/>
          <w:iCs w:val="0"/>
        </w:rPr>
        <w:tab/>
        <w:t xml:space="preserve">Presentation to be shared on website: </w:t>
      </w:r>
      <w:hyperlink r:id="rId5" w:history="1">
        <w:r w:rsidRPr="006F13CE">
          <w:rPr>
            <w:rStyle w:val="Hyperlink"/>
          </w:rPr>
          <w:t>https://www.in.gov/dcs/4102.htm</w:t>
        </w:r>
      </w:hyperlink>
      <w:r>
        <w:rPr>
          <w:rStyle w:val="Emphasis"/>
          <w:i w:val="0"/>
          <w:iCs w:val="0"/>
        </w:rPr>
        <w:t xml:space="preserve"> </w:t>
      </w:r>
    </w:p>
    <w:p w14:paraId="75449172" w14:textId="22FDA753" w:rsidR="00F7423B" w:rsidRDefault="00F7423B" w:rsidP="00F7423B">
      <w:pPr>
        <w:pStyle w:val="ListParagraph"/>
        <w:ind w:left="1800" w:firstLine="360"/>
        <w:rPr>
          <w:rStyle w:val="Emphasis"/>
          <w:i w:val="0"/>
          <w:iCs w:val="0"/>
        </w:rPr>
      </w:pPr>
      <w:r w:rsidRPr="00EF75EE">
        <w:rPr>
          <w:rStyle w:val="Emphasis"/>
          <w:i w:val="0"/>
        </w:rPr>
        <w:t>SSAT: Strategic Solutions and Agency Transformation</w:t>
      </w:r>
    </w:p>
    <w:p w14:paraId="3311E66A" w14:textId="09584F49" w:rsidR="00BA5706" w:rsidRDefault="00BA5706" w:rsidP="00F87186">
      <w:pPr>
        <w:pStyle w:val="ListParagraph"/>
        <w:ind w:left="1080"/>
        <w:rPr>
          <w:rStyle w:val="Emphasis"/>
          <w:i w:val="0"/>
          <w:iCs w:val="0"/>
        </w:rPr>
      </w:pPr>
      <w:r>
        <w:rPr>
          <w:rStyle w:val="Emphasis"/>
          <w:i w:val="0"/>
          <w:iCs w:val="0"/>
        </w:rPr>
        <w:t>B.</w:t>
      </w:r>
      <w:r>
        <w:rPr>
          <w:rStyle w:val="Emphasis"/>
          <w:i w:val="0"/>
          <w:iCs w:val="0"/>
        </w:rPr>
        <w:tab/>
        <w:t xml:space="preserve">Survey Monkey link: </w:t>
      </w:r>
      <w:hyperlink r:id="rId6" w:history="1">
        <w:r w:rsidR="0037618F" w:rsidRPr="006F13CE">
          <w:rPr>
            <w:rStyle w:val="Hyperlink"/>
          </w:rPr>
          <w:t>www.surveymonkey.com/r/INFPS</w:t>
        </w:r>
      </w:hyperlink>
    </w:p>
    <w:p w14:paraId="1BE656A0" w14:textId="31B156BD" w:rsidR="000E56F4" w:rsidRDefault="000E56F4" w:rsidP="000E56F4">
      <w:pPr>
        <w:pStyle w:val="ListParagraph"/>
        <w:numPr>
          <w:ilvl w:val="0"/>
          <w:numId w:val="14"/>
        </w:numPr>
        <w:rPr>
          <w:rStyle w:val="Emphasis"/>
          <w:i w:val="0"/>
          <w:iCs w:val="0"/>
        </w:rPr>
      </w:pPr>
      <w:r>
        <w:rPr>
          <w:rStyle w:val="Emphasis"/>
          <w:i w:val="0"/>
          <w:iCs w:val="0"/>
        </w:rPr>
        <w:t>Will be posted on DCS website (above) in mid-January</w:t>
      </w:r>
    </w:p>
    <w:p w14:paraId="59E50D2E" w14:textId="2388CDB2" w:rsidR="0037618F" w:rsidRDefault="0037618F" w:rsidP="00F87186">
      <w:pPr>
        <w:pStyle w:val="ListParagraph"/>
        <w:ind w:left="1080"/>
        <w:rPr>
          <w:rStyle w:val="Emphasis"/>
          <w:i w:val="0"/>
          <w:iCs w:val="0"/>
        </w:rPr>
      </w:pPr>
      <w:r>
        <w:rPr>
          <w:rStyle w:val="Emphasis"/>
          <w:i w:val="0"/>
          <w:iCs w:val="0"/>
        </w:rPr>
        <w:t>C.</w:t>
      </w:r>
      <w:r>
        <w:rPr>
          <w:rStyle w:val="Emphasis"/>
          <w:i w:val="0"/>
          <w:iCs w:val="0"/>
        </w:rPr>
        <w:tab/>
        <w:t>To be completed per CHILD, once per month</w:t>
      </w:r>
    </w:p>
    <w:p w14:paraId="5247DF22" w14:textId="44B9D76B" w:rsidR="0037618F" w:rsidRDefault="0037618F" w:rsidP="0037618F">
      <w:pPr>
        <w:pStyle w:val="ListParagraph"/>
        <w:numPr>
          <w:ilvl w:val="0"/>
          <w:numId w:val="13"/>
        </w:numPr>
        <w:tabs>
          <w:tab w:val="left" w:pos="1440"/>
        </w:tabs>
        <w:rPr>
          <w:rStyle w:val="Emphasis"/>
          <w:i w:val="0"/>
          <w:iCs w:val="0"/>
        </w:rPr>
      </w:pPr>
      <w:proofErr w:type="gramStart"/>
      <w:r>
        <w:rPr>
          <w:rStyle w:val="Emphasis"/>
          <w:i w:val="0"/>
          <w:iCs w:val="0"/>
        </w:rPr>
        <w:t>So</w:t>
      </w:r>
      <w:proofErr w:type="gramEnd"/>
      <w:r>
        <w:rPr>
          <w:rStyle w:val="Emphasis"/>
          <w:i w:val="0"/>
          <w:iCs w:val="0"/>
        </w:rPr>
        <w:t xml:space="preserve"> if there are multiple children on the same referral, you need to complete a survey for each child, every month</w:t>
      </w:r>
    </w:p>
    <w:p w14:paraId="288A0B33" w14:textId="1ADBC296" w:rsidR="0037618F" w:rsidRDefault="0037618F" w:rsidP="0037618F">
      <w:pPr>
        <w:pStyle w:val="ListParagraph"/>
        <w:numPr>
          <w:ilvl w:val="0"/>
          <w:numId w:val="13"/>
        </w:numPr>
        <w:tabs>
          <w:tab w:val="left" w:pos="1440"/>
        </w:tabs>
        <w:rPr>
          <w:rStyle w:val="Emphasis"/>
          <w:i w:val="0"/>
          <w:iCs w:val="0"/>
        </w:rPr>
      </w:pPr>
      <w:r>
        <w:rPr>
          <w:rStyle w:val="Emphasis"/>
          <w:i w:val="0"/>
          <w:iCs w:val="0"/>
        </w:rPr>
        <w:t>You do not need to complete the survey for adults</w:t>
      </w:r>
    </w:p>
    <w:p w14:paraId="7BC4C650" w14:textId="057BBE9C" w:rsidR="000E56F4" w:rsidRDefault="000E56F4" w:rsidP="0037618F">
      <w:pPr>
        <w:pStyle w:val="ListParagraph"/>
        <w:numPr>
          <w:ilvl w:val="0"/>
          <w:numId w:val="13"/>
        </w:numPr>
        <w:tabs>
          <w:tab w:val="left" w:pos="1440"/>
        </w:tabs>
        <w:rPr>
          <w:rStyle w:val="Emphasis"/>
          <w:i w:val="0"/>
          <w:iCs w:val="0"/>
        </w:rPr>
      </w:pPr>
      <w:r>
        <w:rPr>
          <w:rStyle w:val="Emphasis"/>
          <w:i w:val="0"/>
          <w:iCs w:val="0"/>
        </w:rPr>
        <w:t>If multiple people are working with the same child – only one survey should be completed on that child each month</w:t>
      </w:r>
    </w:p>
    <w:p w14:paraId="416F6E02" w14:textId="7B5967CC" w:rsidR="0037618F" w:rsidRDefault="0037618F" w:rsidP="0037618F">
      <w:pPr>
        <w:pStyle w:val="ListParagraph"/>
        <w:numPr>
          <w:ilvl w:val="0"/>
          <w:numId w:val="13"/>
        </w:numPr>
        <w:tabs>
          <w:tab w:val="left" w:pos="1440"/>
        </w:tabs>
        <w:rPr>
          <w:rStyle w:val="Emphasis"/>
          <w:i w:val="0"/>
          <w:iCs w:val="0"/>
        </w:rPr>
      </w:pPr>
      <w:r>
        <w:rPr>
          <w:rStyle w:val="Emphasis"/>
          <w:i w:val="0"/>
          <w:iCs w:val="0"/>
        </w:rPr>
        <w:t>To be completed for all referrals, beginning in January</w:t>
      </w:r>
    </w:p>
    <w:p w14:paraId="2FF006D4" w14:textId="332483A9" w:rsidR="000E56F4" w:rsidRDefault="000E56F4" w:rsidP="0037618F">
      <w:pPr>
        <w:pStyle w:val="ListParagraph"/>
        <w:numPr>
          <w:ilvl w:val="0"/>
          <w:numId w:val="13"/>
        </w:numPr>
        <w:tabs>
          <w:tab w:val="left" w:pos="1440"/>
        </w:tabs>
        <w:rPr>
          <w:rStyle w:val="Emphasis"/>
          <w:i w:val="0"/>
          <w:iCs w:val="0"/>
        </w:rPr>
      </w:pPr>
      <w:r>
        <w:rPr>
          <w:rStyle w:val="Emphasis"/>
          <w:i w:val="0"/>
          <w:iCs w:val="0"/>
        </w:rPr>
        <w:t>Due on the 12</w:t>
      </w:r>
      <w:r w:rsidRPr="000E56F4">
        <w:rPr>
          <w:rStyle w:val="Emphasis"/>
          <w:i w:val="0"/>
          <w:iCs w:val="0"/>
          <w:vertAlign w:val="superscript"/>
        </w:rPr>
        <w:t>th</w:t>
      </w:r>
      <w:r>
        <w:rPr>
          <w:rStyle w:val="Emphasis"/>
          <w:i w:val="0"/>
          <w:iCs w:val="0"/>
        </w:rPr>
        <w:t xml:space="preserve"> of each month – but you can do it in advance of that </w:t>
      </w:r>
    </w:p>
    <w:p w14:paraId="51719A3D" w14:textId="4B9274B7" w:rsidR="0037618F" w:rsidRDefault="0037618F" w:rsidP="0037618F">
      <w:pPr>
        <w:tabs>
          <w:tab w:val="left" w:pos="1440"/>
        </w:tabs>
        <w:ind w:left="1080"/>
        <w:rPr>
          <w:rStyle w:val="Emphasis"/>
          <w:i w:val="0"/>
          <w:iCs w:val="0"/>
        </w:rPr>
      </w:pPr>
      <w:r>
        <w:rPr>
          <w:rStyle w:val="Emphasis"/>
          <w:i w:val="0"/>
          <w:iCs w:val="0"/>
        </w:rPr>
        <w:t>D.</w:t>
      </w:r>
      <w:r>
        <w:rPr>
          <w:rStyle w:val="Emphasis"/>
          <w:i w:val="0"/>
          <w:iCs w:val="0"/>
        </w:rPr>
        <w:tab/>
        <w:t xml:space="preserve">Questions specific to the evaluation: </w:t>
      </w:r>
      <w:hyperlink r:id="rId7" w:history="1">
        <w:r w:rsidRPr="006F13CE">
          <w:rPr>
            <w:rStyle w:val="Hyperlink"/>
          </w:rPr>
          <w:t>SSAT@dcs.in.gov</w:t>
        </w:r>
      </w:hyperlink>
      <w:r>
        <w:rPr>
          <w:rStyle w:val="Emphasis"/>
          <w:i w:val="0"/>
          <w:iCs w:val="0"/>
        </w:rPr>
        <w:t xml:space="preserve"> </w:t>
      </w:r>
    </w:p>
    <w:p w14:paraId="347201A2" w14:textId="77777777" w:rsidR="00F7423B" w:rsidRDefault="00F7423B" w:rsidP="00F7423B">
      <w:pPr>
        <w:pStyle w:val="ListParagraph"/>
        <w:numPr>
          <w:ilvl w:val="0"/>
          <w:numId w:val="16"/>
        </w:numPr>
        <w:rPr>
          <w:rStyle w:val="Emphasis"/>
          <w:i w:val="0"/>
        </w:rPr>
      </w:pPr>
      <w:r>
        <w:rPr>
          <w:rStyle w:val="Emphasis"/>
          <w:i w:val="0"/>
        </w:rPr>
        <w:t>Q: Will we do this for only January and February for all new referrals?</w:t>
      </w:r>
    </w:p>
    <w:p w14:paraId="14B57F44" w14:textId="77777777" w:rsidR="00F7423B" w:rsidRPr="00AA6012" w:rsidRDefault="00F7423B" w:rsidP="00F7423B">
      <w:pPr>
        <w:pStyle w:val="ListParagraph"/>
        <w:ind w:left="1800"/>
        <w:rPr>
          <w:rStyle w:val="Emphasis"/>
          <w:i w:val="0"/>
        </w:rPr>
      </w:pPr>
      <w:r>
        <w:rPr>
          <w:rStyle w:val="Emphasis"/>
          <w:i w:val="0"/>
        </w:rPr>
        <w:t xml:space="preserve">A: It will be for all new referrals. For evaluation purposes will specifically be tracking in January and February. </w:t>
      </w:r>
    </w:p>
    <w:p w14:paraId="11E01E43" w14:textId="77777777" w:rsidR="00F7423B" w:rsidRDefault="00F7423B" w:rsidP="00F7423B">
      <w:pPr>
        <w:pStyle w:val="ListParagraph"/>
        <w:numPr>
          <w:ilvl w:val="0"/>
          <w:numId w:val="16"/>
        </w:numPr>
        <w:rPr>
          <w:rStyle w:val="Emphasis"/>
          <w:i w:val="0"/>
        </w:rPr>
      </w:pPr>
      <w:r>
        <w:rPr>
          <w:rStyle w:val="Emphasis"/>
          <w:i w:val="0"/>
        </w:rPr>
        <w:t>Q: Have we thought about piloting this with only a few providers?</w:t>
      </w:r>
    </w:p>
    <w:p w14:paraId="5DF5998D" w14:textId="32AF062B" w:rsidR="00F7423B" w:rsidRDefault="00F7423B" w:rsidP="00F7423B">
      <w:pPr>
        <w:pStyle w:val="ListParagraph"/>
        <w:ind w:left="1800"/>
        <w:rPr>
          <w:rStyle w:val="Emphasis"/>
          <w:i w:val="0"/>
        </w:rPr>
      </w:pPr>
      <w:r>
        <w:rPr>
          <w:rStyle w:val="Emphasis"/>
          <w:i w:val="0"/>
        </w:rPr>
        <w:t>A: The way the State required this roll-out is that this is a Statewide service.  We want to show that this is Statewide.</w:t>
      </w:r>
    </w:p>
    <w:p w14:paraId="5722AFFC" w14:textId="183500E1" w:rsidR="00F7423B" w:rsidRPr="00A11DE5" w:rsidRDefault="00F7423B" w:rsidP="00F7423B">
      <w:pPr>
        <w:pStyle w:val="ListParagraph"/>
        <w:numPr>
          <w:ilvl w:val="0"/>
          <w:numId w:val="16"/>
        </w:numPr>
        <w:rPr>
          <w:rStyle w:val="Emphasis"/>
          <w:i w:val="0"/>
        </w:rPr>
      </w:pPr>
      <w:r>
        <w:rPr>
          <w:rStyle w:val="Emphasis"/>
          <w:i w:val="0"/>
        </w:rPr>
        <w:t xml:space="preserve">Q: </w:t>
      </w:r>
      <w:r w:rsidRPr="00A11DE5">
        <w:rPr>
          <w:rStyle w:val="Emphasis"/>
          <w:i w:val="0"/>
        </w:rPr>
        <w:t>If DCS is trying to make this an evidenced bases model, so it would be an evidenced model made up of other evidenced based models?</w:t>
      </w:r>
    </w:p>
    <w:p w14:paraId="68C63D92" w14:textId="77777777" w:rsidR="00F7423B" w:rsidRPr="00A11DE5" w:rsidRDefault="00F7423B" w:rsidP="00F7423B">
      <w:pPr>
        <w:pStyle w:val="ListParagraph"/>
        <w:ind w:left="1800"/>
        <w:rPr>
          <w:rStyle w:val="Emphasis"/>
          <w:i w:val="0"/>
        </w:rPr>
      </w:pPr>
      <w:r w:rsidRPr="00A11DE5">
        <w:rPr>
          <w:rStyle w:val="Emphasis"/>
          <w:i w:val="0"/>
        </w:rPr>
        <w:t>A: Yes, we are evaluating Family Preservation Services as its own model.</w:t>
      </w:r>
    </w:p>
    <w:p w14:paraId="0C56DB96" w14:textId="77777777" w:rsidR="00F7423B" w:rsidRPr="00A11DE5" w:rsidRDefault="00F7423B" w:rsidP="00F7423B">
      <w:pPr>
        <w:pStyle w:val="ListParagraph"/>
        <w:numPr>
          <w:ilvl w:val="0"/>
          <w:numId w:val="16"/>
        </w:numPr>
        <w:rPr>
          <w:rStyle w:val="Emphasis"/>
          <w:i w:val="0"/>
          <w:iCs w:val="0"/>
        </w:rPr>
      </w:pPr>
      <w:r w:rsidRPr="00A11DE5">
        <w:rPr>
          <w:rStyle w:val="Emphasis"/>
          <w:i w:val="0"/>
        </w:rPr>
        <w:t>Q: Will we get a "receipt" showing that we filled out the survey?</w:t>
      </w:r>
    </w:p>
    <w:p w14:paraId="7B32B1E0" w14:textId="77777777" w:rsidR="00F7423B" w:rsidRPr="00A11DE5" w:rsidRDefault="00F7423B" w:rsidP="00F7423B">
      <w:pPr>
        <w:pStyle w:val="ListParagraph"/>
        <w:ind w:left="1800"/>
        <w:rPr>
          <w:rStyle w:val="Emphasis"/>
          <w:i w:val="0"/>
          <w:iCs w:val="0"/>
        </w:rPr>
      </w:pPr>
      <w:r w:rsidRPr="00A11DE5">
        <w:rPr>
          <w:rStyle w:val="Emphasis"/>
          <w:i w:val="0"/>
        </w:rPr>
        <w:t xml:space="preserve">A:  At this point, no, there is not a receipt. I will </w:t>
      </w:r>
      <w:proofErr w:type="gramStart"/>
      <w:r w:rsidRPr="00A11DE5">
        <w:rPr>
          <w:rStyle w:val="Emphasis"/>
          <w:i w:val="0"/>
        </w:rPr>
        <w:t>look into</w:t>
      </w:r>
      <w:proofErr w:type="gramEnd"/>
      <w:r w:rsidRPr="00A11DE5">
        <w:rPr>
          <w:rStyle w:val="Emphasis"/>
          <w:i w:val="0"/>
        </w:rPr>
        <w:t xml:space="preserve"> this and keep you posted.</w:t>
      </w:r>
    </w:p>
    <w:p w14:paraId="0158AE57" w14:textId="77777777" w:rsidR="00F7423B" w:rsidRPr="00A11DE5" w:rsidRDefault="00F7423B" w:rsidP="00F7423B">
      <w:pPr>
        <w:pStyle w:val="ListParagraph"/>
        <w:numPr>
          <w:ilvl w:val="0"/>
          <w:numId w:val="16"/>
        </w:numPr>
        <w:rPr>
          <w:rStyle w:val="Emphasis"/>
          <w:i w:val="0"/>
          <w:iCs w:val="0"/>
        </w:rPr>
      </w:pPr>
      <w:r w:rsidRPr="00A11DE5">
        <w:rPr>
          <w:rStyle w:val="Emphasis"/>
          <w:i w:val="0"/>
        </w:rPr>
        <w:t>Q: The survey starts Jan. 1, right? If so, do we only do this with new referrals or new and existing referrals?</w:t>
      </w:r>
    </w:p>
    <w:p w14:paraId="4224F8DA" w14:textId="77777777" w:rsidR="00F7423B" w:rsidRPr="00A11DE5" w:rsidRDefault="00F7423B" w:rsidP="00F7423B">
      <w:pPr>
        <w:pStyle w:val="ListParagraph"/>
        <w:ind w:left="1800"/>
        <w:rPr>
          <w:rStyle w:val="Emphasis"/>
          <w:i w:val="0"/>
          <w:iCs w:val="0"/>
        </w:rPr>
      </w:pPr>
      <w:r w:rsidRPr="00A11DE5">
        <w:rPr>
          <w:rStyle w:val="Emphasis"/>
          <w:i w:val="0"/>
        </w:rPr>
        <w:t>A: Use the survey for all new referrals starting Jan. 1 </w:t>
      </w:r>
    </w:p>
    <w:p w14:paraId="7CC48332" w14:textId="77777777" w:rsidR="00F7423B" w:rsidRPr="00A11DE5" w:rsidRDefault="00F7423B" w:rsidP="00F7423B">
      <w:pPr>
        <w:pStyle w:val="ListParagraph"/>
        <w:numPr>
          <w:ilvl w:val="0"/>
          <w:numId w:val="16"/>
        </w:numPr>
        <w:rPr>
          <w:rStyle w:val="Emphasis"/>
          <w:i w:val="0"/>
          <w:iCs w:val="0"/>
        </w:rPr>
      </w:pPr>
      <w:r w:rsidRPr="00A11DE5">
        <w:rPr>
          <w:rStyle w:val="Emphasis"/>
          <w:i w:val="0"/>
        </w:rPr>
        <w:t>Q: Could the survey be due on the 12</w:t>
      </w:r>
      <w:r w:rsidRPr="00A11DE5">
        <w:rPr>
          <w:rStyle w:val="Emphasis"/>
          <w:i w:val="0"/>
          <w:vertAlign w:val="superscript"/>
        </w:rPr>
        <w:t>th</w:t>
      </w:r>
      <w:r w:rsidRPr="00A11DE5">
        <w:rPr>
          <w:rStyle w:val="Emphasis"/>
          <w:i w:val="0"/>
        </w:rPr>
        <w:t xml:space="preserve"> of the month? We just finish the documents to upload on the 10th. Could we have another day or two because the same office staff will need the time to upload </w:t>
      </w:r>
      <w:proofErr w:type="gramStart"/>
      <w:r w:rsidRPr="00A11DE5">
        <w:rPr>
          <w:rStyle w:val="Emphasis"/>
          <w:i w:val="0"/>
        </w:rPr>
        <w:t>all of</w:t>
      </w:r>
      <w:proofErr w:type="gramEnd"/>
      <w:r w:rsidRPr="00A11DE5">
        <w:rPr>
          <w:rStyle w:val="Emphasis"/>
          <w:i w:val="0"/>
        </w:rPr>
        <w:t xml:space="preserve"> this information? </w:t>
      </w:r>
    </w:p>
    <w:p w14:paraId="19EA0DBA" w14:textId="77777777" w:rsidR="00F7423B" w:rsidRPr="00A11DE5" w:rsidRDefault="00F7423B" w:rsidP="00F7423B">
      <w:pPr>
        <w:pStyle w:val="ListParagraph"/>
        <w:ind w:left="1800"/>
        <w:rPr>
          <w:rStyle w:val="Emphasis"/>
          <w:i w:val="0"/>
        </w:rPr>
      </w:pPr>
      <w:r w:rsidRPr="00A11DE5">
        <w:rPr>
          <w:rStyle w:val="Emphasis"/>
          <w:i w:val="0"/>
        </w:rPr>
        <w:t>A: That’s fine, it’s not about your invoicing, just the evaluation.</w:t>
      </w:r>
    </w:p>
    <w:p w14:paraId="05637D65" w14:textId="77777777" w:rsidR="00F7423B" w:rsidRPr="00A11DE5" w:rsidRDefault="00F7423B" w:rsidP="00F7423B">
      <w:pPr>
        <w:pStyle w:val="ListParagraph"/>
        <w:numPr>
          <w:ilvl w:val="0"/>
          <w:numId w:val="15"/>
        </w:numPr>
        <w:rPr>
          <w:rStyle w:val="Emphasis"/>
          <w:i w:val="0"/>
          <w:iCs w:val="0"/>
        </w:rPr>
      </w:pPr>
      <w:r w:rsidRPr="00A11DE5">
        <w:rPr>
          <w:rStyle w:val="Emphasis"/>
          <w:i w:val="0"/>
        </w:rPr>
        <w:t>Q: Our first month (Jan) will not be due until Feb 10, correct?</w:t>
      </w:r>
    </w:p>
    <w:p w14:paraId="54CE3B1F" w14:textId="4B3C141E" w:rsidR="00F7423B" w:rsidRPr="00A11DE5" w:rsidRDefault="00F7423B" w:rsidP="00F7423B">
      <w:pPr>
        <w:pStyle w:val="ListParagraph"/>
        <w:ind w:left="1800"/>
        <w:rPr>
          <w:rStyle w:val="Emphasis"/>
          <w:i w:val="0"/>
        </w:rPr>
      </w:pPr>
      <w:r w:rsidRPr="00A11DE5">
        <w:rPr>
          <w:rStyle w:val="Emphasis"/>
          <w:i w:val="0"/>
        </w:rPr>
        <w:t>A: Yes, there will be a one</w:t>
      </w:r>
      <w:r w:rsidR="00736834">
        <w:rPr>
          <w:rStyle w:val="Emphasis"/>
          <w:i w:val="0"/>
        </w:rPr>
        <w:t>-</w:t>
      </w:r>
      <w:r w:rsidRPr="00A11DE5">
        <w:rPr>
          <w:rStyle w:val="Emphasis"/>
          <w:i w:val="0"/>
        </w:rPr>
        <w:t>month delay.</w:t>
      </w:r>
    </w:p>
    <w:p w14:paraId="06BEED48" w14:textId="77777777" w:rsidR="00F7423B" w:rsidRPr="00A11DE5" w:rsidRDefault="00F7423B" w:rsidP="00F7423B">
      <w:pPr>
        <w:pStyle w:val="ListParagraph"/>
        <w:numPr>
          <w:ilvl w:val="0"/>
          <w:numId w:val="15"/>
        </w:numPr>
        <w:rPr>
          <w:rStyle w:val="Emphasis"/>
          <w:i w:val="0"/>
        </w:rPr>
      </w:pPr>
      <w:r w:rsidRPr="00A11DE5">
        <w:rPr>
          <w:rStyle w:val="Emphasis"/>
          <w:i w:val="0"/>
        </w:rPr>
        <w:t>Q: Does the survey include IA’s or just In-Home CHINS?</w:t>
      </w:r>
    </w:p>
    <w:p w14:paraId="1BAE191F" w14:textId="54DB5DDB" w:rsidR="00F7423B" w:rsidRDefault="00F7423B" w:rsidP="00F7423B">
      <w:pPr>
        <w:pStyle w:val="ListParagraph"/>
        <w:tabs>
          <w:tab w:val="left" w:pos="1440"/>
        </w:tabs>
        <w:ind w:left="1800"/>
        <w:rPr>
          <w:rStyle w:val="Emphasis"/>
          <w:i w:val="0"/>
        </w:rPr>
      </w:pPr>
      <w:r w:rsidRPr="00A11DE5">
        <w:rPr>
          <w:rStyle w:val="Emphasis"/>
          <w:i w:val="0"/>
        </w:rPr>
        <w:t>A: The survey will be for both IA’s and In-Home CHINS.</w:t>
      </w:r>
    </w:p>
    <w:p w14:paraId="0867320B" w14:textId="5B5C1D01" w:rsidR="00F7423B" w:rsidRDefault="00F7423B" w:rsidP="00F7423B">
      <w:pPr>
        <w:pStyle w:val="ListParagraph"/>
        <w:numPr>
          <w:ilvl w:val="0"/>
          <w:numId w:val="15"/>
        </w:numPr>
        <w:rPr>
          <w:rStyle w:val="Emphasis"/>
          <w:i w:val="0"/>
        </w:rPr>
      </w:pPr>
      <w:r w:rsidRPr="00F7423B">
        <w:rPr>
          <w:rStyle w:val="Emphasis"/>
          <w:i w:val="0"/>
        </w:rPr>
        <w:t>Q: Will concrete services be an item in the drop</w:t>
      </w:r>
      <w:r w:rsidR="00736834">
        <w:rPr>
          <w:rStyle w:val="Emphasis"/>
          <w:i w:val="0"/>
        </w:rPr>
        <w:t>-</w:t>
      </w:r>
      <w:r w:rsidRPr="00F7423B">
        <w:rPr>
          <w:rStyle w:val="Emphasis"/>
          <w:i w:val="0"/>
        </w:rPr>
        <w:t xml:space="preserve">down list of models? </w:t>
      </w:r>
    </w:p>
    <w:p w14:paraId="63692EBF" w14:textId="7EA3F868" w:rsidR="00F7423B" w:rsidRPr="00F7423B" w:rsidRDefault="00F7423B" w:rsidP="00F7423B">
      <w:pPr>
        <w:pStyle w:val="ListParagraph"/>
        <w:tabs>
          <w:tab w:val="left" w:pos="1440"/>
        </w:tabs>
        <w:ind w:left="1800"/>
        <w:rPr>
          <w:rStyle w:val="Emphasis"/>
          <w:i w:val="0"/>
        </w:rPr>
      </w:pPr>
      <w:r w:rsidRPr="00F7423B">
        <w:rPr>
          <w:rStyle w:val="Emphasis"/>
          <w:i w:val="0"/>
        </w:rPr>
        <w:t>A: DCS is submitting CS as an EBP, b</w:t>
      </w:r>
      <w:r w:rsidR="00C848CB">
        <w:rPr>
          <w:rStyle w:val="Emphasis"/>
          <w:i w:val="0"/>
        </w:rPr>
        <w:t>ut it is still being reviewed, y</w:t>
      </w:r>
      <w:r w:rsidRPr="00F7423B">
        <w:rPr>
          <w:rStyle w:val="Emphasis"/>
          <w:i w:val="0"/>
        </w:rPr>
        <w:t>ou should not list CS on the survey</w:t>
      </w:r>
    </w:p>
    <w:p w14:paraId="6445625C" w14:textId="77777777" w:rsidR="00F7423B" w:rsidRPr="00F7423B" w:rsidRDefault="00F7423B" w:rsidP="00F7423B">
      <w:pPr>
        <w:pStyle w:val="ListParagraph"/>
        <w:tabs>
          <w:tab w:val="left" w:pos="1440"/>
        </w:tabs>
        <w:ind w:left="1800"/>
        <w:rPr>
          <w:rStyle w:val="Emphasis"/>
          <w:i w:val="0"/>
          <w:iCs w:val="0"/>
        </w:rPr>
      </w:pPr>
    </w:p>
    <w:p w14:paraId="08254513" w14:textId="4DEE0411" w:rsidR="0037618F" w:rsidRPr="00BA5706" w:rsidRDefault="0037618F" w:rsidP="0037618F">
      <w:pPr>
        <w:pStyle w:val="ListParagraph"/>
        <w:tabs>
          <w:tab w:val="left" w:pos="1440"/>
        </w:tabs>
        <w:ind w:left="1440" w:hanging="360"/>
        <w:rPr>
          <w:rStyle w:val="Emphasis"/>
          <w:i w:val="0"/>
          <w:iCs w:val="0"/>
        </w:rPr>
      </w:pPr>
    </w:p>
    <w:p w14:paraId="660DF911" w14:textId="1B912E4D" w:rsidR="000659E9" w:rsidRDefault="000659E9" w:rsidP="000659E9">
      <w:pPr>
        <w:pStyle w:val="ListParagraph"/>
        <w:ind w:left="1440"/>
        <w:rPr>
          <w:rStyle w:val="Emphasis"/>
        </w:rPr>
      </w:pPr>
    </w:p>
    <w:p w14:paraId="2BA9F147" w14:textId="77777777" w:rsidR="00E801B7" w:rsidRDefault="00E801B7" w:rsidP="000659E9">
      <w:pPr>
        <w:pStyle w:val="ListParagraph"/>
        <w:ind w:left="1440"/>
        <w:rPr>
          <w:rStyle w:val="Emphasis"/>
        </w:rPr>
      </w:pPr>
    </w:p>
    <w:p w14:paraId="52BEEEDA" w14:textId="383F0DA3" w:rsidR="00F50457" w:rsidRDefault="009066B3" w:rsidP="00F50457">
      <w:pPr>
        <w:pStyle w:val="ListParagraph"/>
        <w:numPr>
          <w:ilvl w:val="0"/>
          <w:numId w:val="1"/>
        </w:numPr>
        <w:rPr>
          <w:rStyle w:val="Emphasis"/>
        </w:rPr>
      </w:pPr>
      <w:r>
        <w:rPr>
          <w:rStyle w:val="Emphasis"/>
        </w:rPr>
        <w:t xml:space="preserve">Updated </w:t>
      </w:r>
      <w:r w:rsidRPr="00F57041">
        <w:rPr>
          <w:rStyle w:val="Emphasis"/>
          <w:b/>
          <w:bCs/>
          <w:highlight w:val="yellow"/>
        </w:rPr>
        <w:t>point-in-time</w:t>
      </w:r>
      <w:r>
        <w:rPr>
          <w:rStyle w:val="Emphasis"/>
        </w:rPr>
        <w:t xml:space="preserve"> data.</w:t>
      </w:r>
    </w:p>
    <w:p w14:paraId="4B80DE2A" w14:textId="77777777" w:rsidR="001974DA" w:rsidRDefault="001974DA" w:rsidP="001974DA">
      <w:pPr>
        <w:pStyle w:val="ListParagraph"/>
        <w:spacing w:line="360" w:lineRule="auto"/>
        <w:ind w:left="1080"/>
        <w:rPr>
          <w:b/>
        </w:rPr>
      </w:pPr>
    </w:p>
    <w:p w14:paraId="7A25AADC" w14:textId="4BEE095B" w:rsidR="001974DA" w:rsidRPr="001974DA" w:rsidRDefault="001974DA" w:rsidP="001974DA">
      <w:pPr>
        <w:pStyle w:val="ListParagraph"/>
        <w:spacing w:line="360" w:lineRule="auto"/>
        <w:ind w:left="1080"/>
        <w:rPr>
          <w:b/>
        </w:rPr>
      </w:pPr>
      <w:r w:rsidRPr="001974DA">
        <w:rPr>
          <w:b/>
        </w:rPr>
        <w:t>Table 1. Intent to Treat Outcomes for Families Referred for Family Preservation Services</w:t>
      </w:r>
    </w:p>
    <w:tbl>
      <w:tblPr>
        <w:tblStyle w:val="TableGrid"/>
        <w:tblW w:w="0" w:type="auto"/>
        <w:tblLook w:val="04A0" w:firstRow="1" w:lastRow="0" w:firstColumn="1" w:lastColumn="0" w:noHBand="0" w:noVBand="1"/>
      </w:tblPr>
      <w:tblGrid>
        <w:gridCol w:w="1935"/>
        <w:gridCol w:w="1703"/>
        <w:gridCol w:w="1967"/>
        <w:gridCol w:w="1944"/>
        <w:gridCol w:w="1801"/>
      </w:tblGrid>
      <w:tr w:rsidR="001974DA" w14:paraId="2E7C8695" w14:textId="77777777" w:rsidTr="00D8759D">
        <w:tc>
          <w:tcPr>
            <w:tcW w:w="2283" w:type="dxa"/>
          </w:tcPr>
          <w:p w14:paraId="1218B5C8" w14:textId="77777777" w:rsidR="001974DA" w:rsidRDefault="001974DA" w:rsidP="00D8759D"/>
        </w:tc>
        <w:tc>
          <w:tcPr>
            <w:tcW w:w="2099" w:type="dxa"/>
          </w:tcPr>
          <w:p w14:paraId="590276DF"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Total</w:t>
            </w:r>
          </w:p>
        </w:tc>
        <w:tc>
          <w:tcPr>
            <w:tcW w:w="2210" w:type="dxa"/>
          </w:tcPr>
          <w:p w14:paraId="4E973236"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New Assessment Initiated</w:t>
            </w:r>
          </w:p>
          <w:p w14:paraId="196E1C5C" w14:textId="77777777" w:rsidR="001974DA" w:rsidRPr="00F65651" w:rsidRDefault="001974DA" w:rsidP="00D8759D">
            <w:r w:rsidRPr="00F65651">
              <w:t>Number</w:t>
            </w:r>
          </w:p>
          <w:p w14:paraId="3042A7A0" w14:textId="77777777" w:rsidR="001974DA" w:rsidRPr="00F65651" w:rsidRDefault="001974DA" w:rsidP="00D8759D">
            <w:pPr>
              <w:rPr>
                <w:rFonts w:asciiTheme="majorHAnsi" w:hAnsiTheme="majorHAnsi" w:cstheme="majorHAnsi"/>
                <w:color w:val="2F5496" w:themeColor="accent5" w:themeShade="BF"/>
              </w:rPr>
            </w:pPr>
            <w:r w:rsidRPr="00F65651">
              <w:t>(Percent of total)</w:t>
            </w:r>
          </w:p>
        </w:tc>
        <w:tc>
          <w:tcPr>
            <w:tcW w:w="2099" w:type="dxa"/>
          </w:tcPr>
          <w:p w14:paraId="0825736E"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New Assessment Substantiated</w:t>
            </w:r>
          </w:p>
          <w:p w14:paraId="1FC9EF52" w14:textId="77777777" w:rsidR="001974DA" w:rsidRDefault="001974DA" w:rsidP="00D8759D">
            <w:r>
              <w:t>Number</w:t>
            </w:r>
          </w:p>
          <w:p w14:paraId="20EEE4A6" w14:textId="77777777" w:rsidR="001974DA" w:rsidRDefault="001974DA" w:rsidP="00D8759D">
            <w:r>
              <w:t>(Percent of total)</w:t>
            </w:r>
          </w:p>
        </w:tc>
        <w:tc>
          <w:tcPr>
            <w:tcW w:w="2099" w:type="dxa"/>
          </w:tcPr>
          <w:p w14:paraId="07C66F34"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Removal</w:t>
            </w:r>
          </w:p>
          <w:p w14:paraId="62A4C886" w14:textId="77777777" w:rsidR="001974DA" w:rsidRDefault="001974DA" w:rsidP="00D8759D">
            <w:r>
              <w:t>Number</w:t>
            </w:r>
          </w:p>
          <w:p w14:paraId="66ADA414" w14:textId="77777777" w:rsidR="001974DA" w:rsidRDefault="001974DA" w:rsidP="00D8759D">
            <w:r>
              <w:t>(Percent of total)</w:t>
            </w:r>
          </w:p>
        </w:tc>
      </w:tr>
      <w:tr w:rsidR="001974DA" w14:paraId="6413D486" w14:textId="77777777" w:rsidTr="00D8759D">
        <w:tc>
          <w:tcPr>
            <w:tcW w:w="2283" w:type="dxa"/>
          </w:tcPr>
          <w:p w14:paraId="7A43CA82" w14:textId="77777777" w:rsidR="001974DA" w:rsidRDefault="001974DA" w:rsidP="00D8759D">
            <w:r>
              <w:t>Number of Cases</w:t>
            </w:r>
          </w:p>
        </w:tc>
        <w:tc>
          <w:tcPr>
            <w:tcW w:w="2099" w:type="dxa"/>
          </w:tcPr>
          <w:p w14:paraId="15BCC8E7" w14:textId="77777777" w:rsidR="001974DA" w:rsidRDefault="001974DA" w:rsidP="00D8759D">
            <w:pPr>
              <w:jc w:val="center"/>
            </w:pPr>
            <w:r>
              <w:t>1734</w:t>
            </w:r>
          </w:p>
        </w:tc>
        <w:tc>
          <w:tcPr>
            <w:tcW w:w="2210" w:type="dxa"/>
          </w:tcPr>
          <w:p w14:paraId="0673FA26" w14:textId="77777777" w:rsidR="001974DA" w:rsidRDefault="001974DA" w:rsidP="00D8759D">
            <w:pPr>
              <w:jc w:val="center"/>
            </w:pPr>
            <w:r>
              <w:t>241</w:t>
            </w:r>
          </w:p>
          <w:p w14:paraId="2A502812" w14:textId="77777777" w:rsidR="001974DA" w:rsidRDefault="001974DA" w:rsidP="00D8759D">
            <w:pPr>
              <w:jc w:val="center"/>
            </w:pPr>
            <w:r>
              <w:t>(13.9%)</w:t>
            </w:r>
          </w:p>
        </w:tc>
        <w:tc>
          <w:tcPr>
            <w:tcW w:w="2099" w:type="dxa"/>
          </w:tcPr>
          <w:p w14:paraId="601E1114" w14:textId="77777777" w:rsidR="001974DA" w:rsidRDefault="001974DA" w:rsidP="00D8759D">
            <w:pPr>
              <w:jc w:val="center"/>
            </w:pPr>
            <w:r>
              <w:t>22</w:t>
            </w:r>
          </w:p>
          <w:p w14:paraId="7C822499" w14:textId="77777777" w:rsidR="001974DA" w:rsidRDefault="001974DA" w:rsidP="00D8759D">
            <w:pPr>
              <w:jc w:val="center"/>
            </w:pPr>
            <w:r>
              <w:t>(1.3%)</w:t>
            </w:r>
          </w:p>
        </w:tc>
        <w:tc>
          <w:tcPr>
            <w:tcW w:w="2099" w:type="dxa"/>
          </w:tcPr>
          <w:p w14:paraId="27C2F6D9" w14:textId="77777777" w:rsidR="001974DA" w:rsidRDefault="001974DA" w:rsidP="00D8759D">
            <w:pPr>
              <w:jc w:val="center"/>
            </w:pPr>
            <w:r>
              <w:t>29</w:t>
            </w:r>
          </w:p>
          <w:p w14:paraId="7D84A0A5" w14:textId="77777777" w:rsidR="001974DA" w:rsidRDefault="001974DA" w:rsidP="00D8759D">
            <w:pPr>
              <w:jc w:val="center"/>
            </w:pPr>
            <w:r>
              <w:t>(1.6%)</w:t>
            </w:r>
          </w:p>
        </w:tc>
      </w:tr>
      <w:tr w:rsidR="001974DA" w14:paraId="0C47E917" w14:textId="77777777" w:rsidTr="00D8759D">
        <w:tc>
          <w:tcPr>
            <w:tcW w:w="2283" w:type="dxa"/>
          </w:tcPr>
          <w:p w14:paraId="67CCF8D0" w14:textId="77777777" w:rsidR="001974DA" w:rsidRDefault="001974DA" w:rsidP="00D8759D">
            <w:r>
              <w:t>Number of Children</w:t>
            </w:r>
          </w:p>
        </w:tc>
        <w:tc>
          <w:tcPr>
            <w:tcW w:w="2099" w:type="dxa"/>
          </w:tcPr>
          <w:p w14:paraId="3D721F20" w14:textId="77777777" w:rsidR="001974DA" w:rsidRDefault="001974DA" w:rsidP="00D8759D">
            <w:pPr>
              <w:jc w:val="center"/>
            </w:pPr>
            <w:r>
              <w:t>3601</w:t>
            </w:r>
          </w:p>
        </w:tc>
        <w:tc>
          <w:tcPr>
            <w:tcW w:w="2210" w:type="dxa"/>
          </w:tcPr>
          <w:p w14:paraId="5E20E71D" w14:textId="77777777" w:rsidR="001974DA" w:rsidRDefault="001974DA" w:rsidP="00D8759D">
            <w:pPr>
              <w:jc w:val="center"/>
            </w:pPr>
            <w:r>
              <w:t>484</w:t>
            </w:r>
          </w:p>
          <w:p w14:paraId="2F4F313B" w14:textId="77777777" w:rsidR="001974DA" w:rsidRDefault="001974DA" w:rsidP="00D8759D">
            <w:pPr>
              <w:jc w:val="center"/>
            </w:pPr>
            <w:r>
              <w:t>(13.4%)</w:t>
            </w:r>
          </w:p>
        </w:tc>
        <w:tc>
          <w:tcPr>
            <w:tcW w:w="2099" w:type="dxa"/>
          </w:tcPr>
          <w:p w14:paraId="0C207B47" w14:textId="77777777" w:rsidR="001974DA" w:rsidRDefault="001974DA" w:rsidP="00D8759D">
            <w:pPr>
              <w:jc w:val="center"/>
            </w:pPr>
            <w:r>
              <w:t>43</w:t>
            </w:r>
          </w:p>
          <w:p w14:paraId="55261A46" w14:textId="77777777" w:rsidR="001974DA" w:rsidRDefault="001974DA" w:rsidP="00D8759D">
            <w:pPr>
              <w:jc w:val="center"/>
            </w:pPr>
            <w:r>
              <w:t>(1.2%)</w:t>
            </w:r>
          </w:p>
        </w:tc>
        <w:tc>
          <w:tcPr>
            <w:tcW w:w="2099" w:type="dxa"/>
          </w:tcPr>
          <w:p w14:paraId="31CAD436" w14:textId="77777777" w:rsidR="001974DA" w:rsidRDefault="001974DA" w:rsidP="00D8759D">
            <w:pPr>
              <w:jc w:val="center"/>
            </w:pPr>
            <w:r>
              <w:t>41</w:t>
            </w:r>
          </w:p>
          <w:p w14:paraId="4D3BDADB" w14:textId="77777777" w:rsidR="001974DA" w:rsidRDefault="001974DA" w:rsidP="00D8759D">
            <w:pPr>
              <w:jc w:val="center"/>
            </w:pPr>
            <w:r>
              <w:t>(1.1%)</w:t>
            </w:r>
          </w:p>
        </w:tc>
      </w:tr>
    </w:tbl>
    <w:p w14:paraId="23D8C1D1" w14:textId="77777777" w:rsidR="001974DA" w:rsidRDefault="001974DA" w:rsidP="001974DA">
      <w:pPr>
        <w:pStyle w:val="ListParagraph"/>
        <w:ind w:left="1080"/>
        <w:rPr>
          <w:b/>
        </w:rPr>
      </w:pPr>
    </w:p>
    <w:p w14:paraId="65F6681E" w14:textId="23F25CA4" w:rsidR="001974DA" w:rsidRPr="001974DA" w:rsidRDefault="001974DA" w:rsidP="001974DA">
      <w:pPr>
        <w:pStyle w:val="ListParagraph"/>
        <w:ind w:left="1080"/>
      </w:pPr>
      <w:r w:rsidRPr="001974DA">
        <w:rPr>
          <w:b/>
        </w:rPr>
        <w:t>Table 2. Treatment on the Treated: Outcomes for Families that have participated in Family Preservation Services for at least 90 days</w:t>
      </w:r>
    </w:p>
    <w:tbl>
      <w:tblPr>
        <w:tblStyle w:val="TableGrid"/>
        <w:tblW w:w="0" w:type="auto"/>
        <w:tblLook w:val="04A0" w:firstRow="1" w:lastRow="0" w:firstColumn="1" w:lastColumn="0" w:noHBand="0" w:noVBand="1"/>
      </w:tblPr>
      <w:tblGrid>
        <w:gridCol w:w="1935"/>
        <w:gridCol w:w="1703"/>
        <w:gridCol w:w="1967"/>
        <w:gridCol w:w="1944"/>
        <w:gridCol w:w="1801"/>
      </w:tblGrid>
      <w:tr w:rsidR="001974DA" w14:paraId="0C4FB2D7" w14:textId="77777777" w:rsidTr="00D8759D">
        <w:tc>
          <w:tcPr>
            <w:tcW w:w="2283" w:type="dxa"/>
          </w:tcPr>
          <w:p w14:paraId="390540BC" w14:textId="77777777" w:rsidR="001974DA" w:rsidRDefault="001974DA" w:rsidP="00D8759D"/>
        </w:tc>
        <w:tc>
          <w:tcPr>
            <w:tcW w:w="2099" w:type="dxa"/>
          </w:tcPr>
          <w:p w14:paraId="1991441E"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Total</w:t>
            </w:r>
          </w:p>
        </w:tc>
        <w:tc>
          <w:tcPr>
            <w:tcW w:w="2210" w:type="dxa"/>
          </w:tcPr>
          <w:p w14:paraId="74EEE1E0"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New Assessment Initiated</w:t>
            </w:r>
          </w:p>
          <w:p w14:paraId="0B5C4A4F" w14:textId="77777777" w:rsidR="001974DA" w:rsidRPr="00F65651" w:rsidRDefault="001974DA" w:rsidP="00D8759D">
            <w:r w:rsidRPr="00F65651">
              <w:t>Number</w:t>
            </w:r>
          </w:p>
          <w:p w14:paraId="6E9B7CF5" w14:textId="77777777" w:rsidR="001974DA" w:rsidRPr="00F65651" w:rsidRDefault="001974DA" w:rsidP="00D8759D">
            <w:pPr>
              <w:rPr>
                <w:rFonts w:asciiTheme="majorHAnsi" w:hAnsiTheme="majorHAnsi" w:cstheme="majorHAnsi"/>
                <w:color w:val="2F5496" w:themeColor="accent5" w:themeShade="BF"/>
              </w:rPr>
            </w:pPr>
            <w:r w:rsidRPr="00F65651">
              <w:t>(Percent of total)</w:t>
            </w:r>
          </w:p>
        </w:tc>
        <w:tc>
          <w:tcPr>
            <w:tcW w:w="2099" w:type="dxa"/>
          </w:tcPr>
          <w:p w14:paraId="5E15AF0D"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New Assessment Substantiated</w:t>
            </w:r>
          </w:p>
          <w:p w14:paraId="00E95CDE" w14:textId="77777777" w:rsidR="001974DA" w:rsidRDefault="001974DA" w:rsidP="00D8759D">
            <w:r>
              <w:t>Number</w:t>
            </w:r>
          </w:p>
          <w:p w14:paraId="139C6DA5" w14:textId="77777777" w:rsidR="001974DA" w:rsidRDefault="001974DA" w:rsidP="00D8759D">
            <w:r>
              <w:t>(Percent of total)</w:t>
            </w:r>
          </w:p>
        </w:tc>
        <w:tc>
          <w:tcPr>
            <w:tcW w:w="2099" w:type="dxa"/>
          </w:tcPr>
          <w:p w14:paraId="732700DF" w14:textId="77777777" w:rsidR="001974DA" w:rsidRPr="00F65651" w:rsidRDefault="001974DA" w:rsidP="00D8759D">
            <w:pPr>
              <w:rPr>
                <w:rFonts w:asciiTheme="majorHAnsi" w:hAnsiTheme="majorHAnsi" w:cstheme="majorHAnsi"/>
                <w:color w:val="2F5496" w:themeColor="accent5" w:themeShade="BF"/>
              </w:rPr>
            </w:pPr>
            <w:r w:rsidRPr="00F65651">
              <w:rPr>
                <w:rFonts w:asciiTheme="majorHAnsi" w:hAnsiTheme="majorHAnsi" w:cstheme="majorHAnsi"/>
                <w:color w:val="2F5496" w:themeColor="accent5" w:themeShade="BF"/>
              </w:rPr>
              <w:t>Removal</w:t>
            </w:r>
          </w:p>
          <w:p w14:paraId="3A595D9D" w14:textId="77777777" w:rsidR="001974DA" w:rsidRDefault="001974DA" w:rsidP="00D8759D">
            <w:r>
              <w:t>Number</w:t>
            </w:r>
          </w:p>
          <w:p w14:paraId="1169362A" w14:textId="77777777" w:rsidR="001974DA" w:rsidRDefault="001974DA" w:rsidP="00D8759D">
            <w:r>
              <w:t>(Percent of total)</w:t>
            </w:r>
          </w:p>
        </w:tc>
      </w:tr>
      <w:tr w:rsidR="001974DA" w14:paraId="538CF9EB" w14:textId="77777777" w:rsidTr="00D8759D">
        <w:tc>
          <w:tcPr>
            <w:tcW w:w="2283" w:type="dxa"/>
          </w:tcPr>
          <w:p w14:paraId="688CA3D1" w14:textId="77777777" w:rsidR="001974DA" w:rsidRDefault="001974DA" w:rsidP="00D8759D">
            <w:r>
              <w:t>Number of Cases</w:t>
            </w:r>
          </w:p>
        </w:tc>
        <w:tc>
          <w:tcPr>
            <w:tcW w:w="2099" w:type="dxa"/>
          </w:tcPr>
          <w:p w14:paraId="76756E3A" w14:textId="77777777" w:rsidR="001974DA" w:rsidRDefault="001974DA" w:rsidP="00D8759D">
            <w:pPr>
              <w:jc w:val="center"/>
            </w:pPr>
            <w:r>
              <w:t>726</w:t>
            </w:r>
          </w:p>
        </w:tc>
        <w:tc>
          <w:tcPr>
            <w:tcW w:w="2210" w:type="dxa"/>
          </w:tcPr>
          <w:p w14:paraId="12129717" w14:textId="77777777" w:rsidR="001974DA" w:rsidRDefault="001974DA" w:rsidP="00D8759D">
            <w:pPr>
              <w:jc w:val="center"/>
            </w:pPr>
            <w:r>
              <w:t>184</w:t>
            </w:r>
          </w:p>
          <w:p w14:paraId="6E3B161C" w14:textId="77777777" w:rsidR="001974DA" w:rsidRDefault="001974DA" w:rsidP="00D8759D">
            <w:pPr>
              <w:jc w:val="center"/>
            </w:pPr>
            <w:r>
              <w:t>(25.3%)</w:t>
            </w:r>
          </w:p>
          <w:p w14:paraId="6BCC1852" w14:textId="77777777" w:rsidR="001974DA" w:rsidRDefault="001974DA" w:rsidP="00D8759D">
            <w:pPr>
              <w:jc w:val="center"/>
            </w:pPr>
            <w:r>
              <w:t>32*</w:t>
            </w:r>
          </w:p>
          <w:p w14:paraId="0FCDEE37" w14:textId="77777777" w:rsidR="001974DA" w:rsidRDefault="001974DA" w:rsidP="00D8759D">
            <w:pPr>
              <w:jc w:val="center"/>
            </w:pPr>
            <w:r>
              <w:t>(4.4%)</w:t>
            </w:r>
          </w:p>
        </w:tc>
        <w:tc>
          <w:tcPr>
            <w:tcW w:w="2099" w:type="dxa"/>
          </w:tcPr>
          <w:p w14:paraId="6A386129" w14:textId="77777777" w:rsidR="001974DA" w:rsidRDefault="001974DA" w:rsidP="00D8759D">
            <w:pPr>
              <w:jc w:val="center"/>
            </w:pPr>
            <w:r>
              <w:t>18</w:t>
            </w:r>
          </w:p>
          <w:p w14:paraId="0FF4500B" w14:textId="77777777" w:rsidR="001974DA" w:rsidRDefault="001974DA" w:rsidP="00D8759D">
            <w:pPr>
              <w:jc w:val="center"/>
            </w:pPr>
            <w:r>
              <w:t>(2.5%)</w:t>
            </w:r>
          </w:p>
          <w:p w14:paraId="2AAF69EC" w14:textId="77777777" w:rsidR="001974DA" w:rsidRDefault="001974DA" w:rsidP="00D8759D">
            <w:pPr>
              <w:jc w:val="center"/>
            </w:pPr>
            <w:r>
              <w:t>2*</w:t>
            </w:r>
          </w:p>
          <w:p w14:paraId="267F57DB" w14:textId="77777777" w:rsidR="001974DA" w:rsidRPr="004C1933" w:rsidRDefault="001974DA" w:rsidP="00D8759D">
            <w:pPr>
              <w:jc w:val="center"/>
            </w:pPr>
            <w:r>
              <w:t>(0.3%)</w:t>
            </w:r>
          </w:p>
        </w:tc>
        <w:tc>
          <w:tcPr>
            <w:tcW w:w="2099" w:type="dxa"/>
          </w:tcPr>
          <w:p w14:paraId="7E5A2D38" w14:textId="77777777" w:rsidR="001974DA" w:rsidRDefault="001974DA" w:rsidP="00D8759D">
            <w:pPr>
              <w:jc w:val="center"/>
            </w:pPr>
            <w:r>
              <w:t>17</w:t>
            </w:r>
          </w:p>
          <w:p w14:paraId="6485B42E" w14:textId="77777777" w:rsidR="001974DA" w:rsidRDefault="001974DA" w:rsidP="00D8759D">
            <w:pPr>
              <w:jc w:val="center"/>
            </w:pPr>
            <w:r>
              <w:t>(2.5%)</w:t>
            </w:r>
          </w:p>
          <w:p w14:paraId="785E25D8" w14:textId="77777777" w:rsidR="001974DA" w:rsidRDefault="001974DA" w:rsidP="00D8759D">
            <w:pPr>
              <w:jc w:val="center"/>
            </w:pPr>
            <w:r>
              <w:t>3*</w:t>
            </w:r>
          </w:p>
          <w:p w14:paraId="4EDEC734" w14:textId="77777777" w:rsidR="001974DA" w:rsidRPr="0084357D" w:rsidRDefault="001974DA" w:rsidP="00D8759D">
            <w:pPr>
              <w:jc w:val="center"/>
            </w:pPr>
            <w:r>
              <w:t>(0.4%)</w:t>
            </w:r>
          </w:p>
        </w:tc>
      </w:tr>
      <w:tr w:rsidR="001974DA" w14:paraId="1F023B70" w14:textId="77777777" w:rsidTr="00D8759D">
        <w:tc>
          <w:tcPr>
            <w:tcW w:w="2283" w:type="dxa"/>
          </w:tcPr>
          <w:p w14:paraId="625C9904" w14:textId="77777777" w:rsidR="001974DA" w:rsidRDefault="001974DA" w:rsidP="00D8759D">
            <w:r>
              <w:t>Number of Children</w:t>
            </w:r>
          </w:p>
        </w:tc>
        <w:tc>
          <w:tcPr>
            <w:tcW w:w="2099" w:type="dxa"/>
          </w:tcPr>
          <w:p w14:paraId="156716D5" w14:textId="77777777" w:rsidR="001974DA" w:rsidRDefault="001974DA" w:rsidP="00D8759D">
            <w:pPr>
              <w:jc w:val="center"/>
            </w:pPr>
            <w:r>
              <w:t>1504</w:t>
            </w:r>
          </w:p>
        </w:tc>
        <w:tc>
          <w:tcPr>
            <w:tcW w:w="2210" w:type="dxa"/>
          </w:tcPr>
          <w:p w14:paraId="2EE39DD5" w14:textId="77777777" w:rsidR="001974DA" w:rsidRDefault="001974DA" w:rsidP="00D8759D">
            <w:pPr>
              <w:jc w:val="center"/>
            </w:pPr>
            <w:r>
              <w:t>379</w:t>
            </w:r>
          </w:p>
          <w:p w14:paraId="6D2AAD8C" w14:textId="77777777" w:rsidR="001974DA" w:rsidRDefault="001974DA" w:rsidP="00D8759D">
            <w:pPr>
              <w:jc w:val="center"/>
            </w:pPr>
            <w:r>
              <w:t>(25.2%)</w:t>
            </w:r>
          </w:p>
          <w:p w14:paraId="1950C468" w14:textId="77777777" w:rsidR="001974DA" w:rsidRDefault="001974DA" w:rsidP="00D8759D">
            <w:pPr>
              <w:jc w:val="center"/>
            </w:pPr>
            <w:r>
              <w:t>63*</w:t>
            </w:r>
          </w:p>
          <w:p w14:paraId="4A8B76AA" w14:textId="77777777" w:rsidR="001974DA" w:rsidRDefault="001974DA" w:rsidP="00D8759D">
            <w:pPr>
              <w:jc w:val="center"/>
            </w:pPr>
            <w:r>
              <w:t>(4.2%)</w:t>
            </w:r>
          </w:p>
        </w:tc>
        <w:tc>
          <w:tcPr>
            <w:tcW w:w="2099" w:type="dxa"/>
          </w:tcPr>
          <w:p w14:paraId="63542A07" w14:textId="77777777" w:rsidR="001974DA" w:rsidRDefault="001974DA" w:rsidP="00D8759D">
            <w:pPr>
              <w:jc w:val="center"/>
            </w:pPr>
            <w:r>
              <w:t>38</w:t>
            </w:r>
          </w:p>
          <w:p w14:paraId="2EDD3951" w14:textId="77777777" w:rsidR="001974DA" w:rsidRDefault="001974DA" w:rsidP="00D8759D">
            <w:pPr>
              <w:jc w:val="center"/>
            </w:pPr>
            <w:r>
              <w:t>(2.5%)</w:t>
            </w:r>
          </w:p>
          <w:p w14:paraId="77ECAC0B" w14:textId="77777777" w:rsidR="001974DA" w:rsidRDefault="001974DA" w:rsidP="00D8759D">
            <w:pPr>
              <w:jc w:val="center"/>
            </w:pPr>
            <w:r>
              <w:t>3*</w:t>
            </w:r>
          </w:p>
          <w:p w14:paraId="4D91171C" w14:textId="77777777" w:rsidR="001974DA" w:rsidRPr="004C1933" w:rsidRDefault="001974DA" w:rsidP="00D8759D">
            <w:pPr>
              <w:jc w:val="center"/>
            </w:pPr>
            <w:r>
              <w:t>(0.2%)</w:t>
            </w:r>
          </w:p>
        </w:tc>
        <w:tc>
          <w:tcPr>
            <w:tcW w:w="2099" w:type="dxa"/>
          </w:tcPr>
          <w:p w14:paraId="5230636A" w14:textId="77777777" w:rsidR="001974DA" w:rsidRDefault="001974DA" w:rsidP="00D8759D">
            <w:pPr>
              <w:jc w:val="center"/>
            </w:pPr>
            <w:r>
              <w:t>23</w:t>
            </w:r>
          </w:p>
          <w:p w14:paraId="2562B5F9" w14:textId="77777777" w:rsidR="001974DA" w:rsidRDefault="001974DA" w:rsidP="00D8759D">
            <w:pPr>
              <w:jc w:val="center"/>
            </w:pPr>
            <w:r>
              <w:t>(1.5%)</w:t>
            </w:r>
          </w:p>
          <w:p w14:paraId="56EBCA7A" w14:textId="77777777" w:rsidR="001974DA" w:rsidRDefault="001974DA" w:rsidP="00D8759D">
            <w:pPr>
              <w:jc w:val="center"/>
            </w:pPr>
            <w:r>
              <w:t>5*</w:t>
            </w:r>
          </w:p>
          <w:p w14:paraId="2EC38CED" w14:textId="77777777" w:rsidR="001974DA" w:rsidRPr="0084357D" w:rsidRDefault="001974DA" w:rsidP="00D8759D">
            <w:pPr>
              <w:jc w:val="center"/>
            </w:pPr>
            <w:r>
              <w:t>(0.3%)</w:t>
            </w:r>
          </w:p>
        </w:tc>
      </w:tr>
    </w:tbl>
    <w:p w14:paraId="33AEFB46" w14:textId="77777777" w:rsidR="001974DA" w:rsidRDefault="001974DA" w:rsidP="00E801B7">
      <w:r>
        <w:t>*Instances occurred after 90 days or more of treatment. Otherwise, instances occurred for families who received 90 days of treatment, but instances occurred before the family had reached 90 days.</w:t>
      </w:r>
    </w:p>
    <w:p w14:paraId="6E441B43" w14:textId="77777777" w:rsidR="004965EC" w:rsidRDefault="004965EC" w:rsidP="004965EC">
      <w:pPr>
        <w:rPr>
          <w:rStyle w:val="Emphasis"/>
        </w:rPr>
      </w:pPr>
    </w:p>
    <w:p w14:paraId="36E23B7D" w14:textId="1D773F18" w:rsidR="002D6063" w:rsidRDefault="002D6063" w:rsidP="002D6063">
      <w:pPr>
        <w:pStyle w:val="ListParagraph"/>
        <w:ind w:left="1080"/>
        <w:rPr>
          <w:rStyle w:val="Emphasis"/>
        </w:rPr>
      </w:pPr>
    </w:p>
    <w:p w14:paraId="02BC3664" w14:textId="097F566D" w:rsidR="00F75D50" w:rsidRDefault="00F75D50" w:rsidP="002D6063">
      <w:pPr>
        <w:pStyle w:val="ListParagraph"/>
        <w:ind w:left="1080"/>
        <w:rPr>
          <w:rStyle w:val="Emphasis"/>
        </w:rPr>
      </w:pPr>
    </w:p>
    <w:p w14:paraId="75233AA2" w14:textId="638D6209" w:rsidR="00F75D50" w:rsidRDefault="00F75D50" w:rsidP="002D6063">
      <w:pPr>
        <w:pStyle w:val="ListParagraph"/>
        <w:ind w:left="1080"/>
        <w:rPr>
          <w:rStyle w:val="Emphasis"/>
        </w:rPr>
      </w:pPr>
    </w:p>
    <w:p w14:paraId="41F6D44D" w14:textId="353B706E" w:rsidR="00F75D50" w:rsidRDefault="00F75D50" w:rsidP="002D6063">
      <w:pPr>
        <w:pStyle w:val="ListParagraph"/>
        <w:ind w:left="1080"/>
        <w:rPr>
          <w:rStyle w:val="Emphasis"/>
        </w:rPr>
      </w:pPr>
    </w:p>
    <w:p w14:paraId="4454F95D" w14:textId="77777777" w:rsidR="00F75D50" w:rsidRDefault="00F75D50" w:rsidP="002D6063">
      <w:pPr>
        <w:pStyle w:val="ListParagraph"/>
        <w:ind w:left="1080"/>
        <w:rPr>
          <w:rStyle w:val="Emphasis"/>
        </w:rPr>
      </w:pPr>
    </w:p>
    <w:p w14:paraId="7197ADA4" w14:textId="050168C2" w:rsidR="002D6063" w:rsidRPr="009D6AA9" w:rsidRDefault="002D6063" w:rsidP="00F50457">
      <w:pPr>
        <w:pStyle w:val="ListParagraph"/>
        <w:numPr>
          <w:ilvl w:val="0"/>
          <w:numId w:val="1"/>
        </w:numPr>
        <w:rPr>
          <w:rStyle w:val="Emphasis"/>
        </w:rPr>
      </w:pPr>
      <w:r>
        <w:rPr>
          <w:rStyle w:val="Emphasis"/>
        </w:rPr>
        <w:t>Service Standard changes</w:t>
      </w:r>
      <w:r w:rsidR="00850970">
        <w:rPr>
          <w:rStyle w:val="Emphasis"/>
        </w:rPr>
        <w:t xml:space="preserve"> related to Concrete S</w:t>
      </w:r>
      <w:r w:rsidR="006047B4">
        <w:rPr>
          <w:rStyle w:val="Emphasis"/>
        </w:rPr>
        <w:t>upports</w:t>
      </w:r>
      <w:r w:rsidR="00D456AE">
        <w:rPr>
          <w:rStyle w:val="Emphasis"/>
        </w:rPr>
        <w:t xml:space="preserve">…added language is: </w:t>
      </w:r>
    </w:p>
    <w:p w14:paraId="1FADB4C4" w14:textId="03AA7395" w:rsidR="00B2674A" w:rsidRDefault="00B2674A" w:rsidP="00B2674A">
      <w:pPr>
        <w:rPr>
          <w:rStyle w:val="Emphasis"/>
        </w:rPr>
      </w:pPr>
    </w:p>
    <w:p w14:paraId="3D20D460" w14:textId="1F535980" w:rsidR="00E801B7" w:rsidRDefault="00F75D50" w:rsidP="00B2674A">
      <w:pPr>
        <w:rPr>
          <w:rStyle w:val="Emphasis"/>
        </w:rPr>
      </w:pPr>
      <w:r w:rsidRPr="00F75D50">
        <w:rPr>
          <w:rStyle w:val="Emphasis"/>
          <w:i w:val="0"/>
          <w:iCs w:val="0"/>
          <w:noProof/>
        </w:rPr>
        <w:lastRenderedPageBreak/>
        <w:drawing>
          <wp:inline distT="0" distB="0" distL="0" distR="0" wp14:anchorId="283C2B46" wp14:editId="3EBC4F24">
            <wp:extent cx="61722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2847975"/>
                    </a:xfrm>
                    <a:prstGeom prst="rect">
                      <a:avLst/>
                    </a:prstGeom>
                    <a:noFill/>
                    <a:ln>
                      <a:noFill/>
                    </a:ln>
                  </pic:spPr>
                </pic:pic>
              </a:graphicData>
            </a:graphic>
          </wp:inline>
        </w:drawing>
      </w:r>
    </w:p>
    <w:p w14:paraId="64F20D27" w14:textId="34EF7C3E" w:rsidR="00E801B7" w:rsidRDefault="00E801B7" w:rsidP="00B2674A">
      <w:pPr>
        <w:rPr>
          <w:rStyle w:val="Emphasis"/>
        </w:rPr>
      </w:pPr>
    </w:p>
    <w:p w14:paraId="627E1FA7" w14:textId="77777777" w:rsidR="00E801B7" w:rsidRPr="009D6AA9" w:rsidRDefault="00E801B7" w:rsidP="00B2674A">
      <w:pPr>
        <w:rPr>
          <w:rStyle w:val="Emphasis"/>
        </w:rPr>
      </w:pPr>
    </w:p>
    <w:p w14:paraId="2C39B548" w14:textId="2ABB99BD" w:rsidR="00020C45" w:rsidRDefault="001C7E3A" w:rsidP="00020C45">
      <w:pPr>
        <w:pStyle w:val="ListParagraph"/>
        <w:numPr>
          <w:ilvl w:val="0"/>
          <w:numId w:val="1"/>
        </w:numPr>
        <w:rPr>
          <w:rStyle w:val="Emphasis"/>
        </w:rPr>
      </w:pPr>
      <w:r w:rsidRPr="009D6AA9">
        <w:rPr>
          <w:rStyle w:val="Emphasis"/>
        </w:rPr>
        <w:t>Referral updates</w:t>
      </w:r>
      <w:r w:rsidR="00E06B7F">
        <w:rPr>
          <w:rStyle w:val="Emphasis"/>
        </w:rPr>
        <w:t xml:space="preserve"> (as of 1</w:t>
      </w:r>
      <w:r w:rsidR="009B5F9B">
        <w:rPr>
          <w:rStyle w:val="Emphasis"/>
        </w:rPr>
        <w:t>2/</w:t>
      </w:r>
      <w:r w:rsidR="0070098D">
        <w:rPr>
          <w:rStyle w:val="Emphasis"/>
        </w:rPr>
        <w:t>10</w:t>
      </w:r>
      <w:r w:rsidR="008D23CD">
        <w:rPr>
          <w:rStyle w:val="Emphasis"/>
        </w:rPr>
        <w:t>/20)</w:t>
      </w:r>
      <w:r w:rsidRPr="009D6AA9">
        <w:rPr>
          <w:rStyle w:val="Emphasis"/>
        </w:rPr>
        <w:t xml:space="preserve">: </w:t>
      </w:r>
    </w:p>
    <w:p w14:paraId="34B8AFB6" w14:textId="77777777" w:rsidR="00020C45" w:rsidRDefault="00020C45" w:rsidP="00020C45">
      <w:pPr>
        <w:pStyle w:val="ListParagraph"/>
        <w:ind w:left="1080"/>
        <w:rPr>
          <w:rStyle w:val="Emphasis"/>
        </w:rPr>
      </w:pPr>
    </w:p>
    <w:tbl>
      <w:tblPr>
        <w:tblW w:w="0" w:type="auto"/>
        <w:tblCellMar>
          <w:left w:w="0" w:type="dxa"/>
          <w:right w:w="0" w:type="dxa"/>
        </w:tblCellMar>
        <w:tblLook w:val="04A0" w:firstRow="1" w:lastRow="0" w:firstColumn="1" w:lastColumn="0" w:noHBand="0" w:noVBand="1"/>
      </w:tblPr>
      <w:tblGrid>
        <w:gridCol w:w="1522"/>
        <w:gridCol w:w="2629"/>
      </w:tblGrid>
      <w:tr w:rsidR="0070098D" w14:paraId="1ED652DF" w14:textId="77777777" w:rsidTr="0070098D">
        <w:trPr>
          <w:trHeight w:val="300"/>
        </w:trPr>
        <w:tc>
          <w:tcPr>
            <w:tcW w:w="152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8FC5EB3" w14:textId="77777777" w:rsidR="0070098D" w:rsidRDefault="0070098D">
            <w:pPr>
              <w:rPr>
                <w:b/>
                <w:bCs/>
                <w:sz w:val="22"/>
                <w:szCs w:val="22"/>
              </w:rPr>
            </w:pPr>
            <w:r>
              <w:rPr>
                <w:b/>
                <w:bCs/>
              </w:rPr>
              <w:t>Regions</w:t>
            </w:r>
          </w:p>
        </w:tc>
        <w:tc>
          <w:tcPr>
            <w:tcW w:w="262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4C9DAA9" w14:textId="77777777" w:rsidR="0070098D" w:rsidRDefault="0070098D">
            <w:pPr>
              <w:rPr>
                <w:b/>
                <w:bCs/>
              </w:rPr>
            </w:pPr>
            <w:r>
              <w:rPr>
                <w:b/>
                <w:bCs/>
              </w:rPr>
              <w:t>Current Active Cases</w:t>
            </w:r>
          </w:p>
        </w:tc>
      </w:tr>
      <w:tr w:rsidR="0070098D" w14:paraId="19084651"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3607CF" w14:textId="77777777" w:rsidR="0070098D" w:rsidRDefault="0070098D">
            <w:r>
              <w:t>1</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76D65F05" w14:textId="77777777" w:rsidR="0070098D" w:rsidRDefault="0070098D">
            <w:r>
              <w:t>160</w:t>
            </w:r>
          </w:p>
        </w:tc>
      </w:tr>
      <w:tr w:rsidR="0070098D" w14:paraId="4035A5A9"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7E62DF" w14:textId="77777777" w:rsidR="0070098D" w:rsidRDefault="0070098D">
            <w:r>
              <w:t>2</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24A3EFDD" w14:textId="77777777" w:rsidR="0070098D" w:rsidRDefault="0070098D">
            <w:r>
              <w:t>75</w:t>
            </w:r>
          </w:p>
        </w:tc>
      </w:tr>
      <w:tr w:rsidR="0070098D" w14:paraId="183E8DD8"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211CF5" w14:textId="77777777" w:rsidR="0070098D" w:rsidRDefault="0070098D">
            <w:r>
              <w:t>3</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4260D7AB" w14:textId="77777777" w:rsidR="0070098D" w:rsidRDefault="0070098D">
            <w:r>
              <w:t>99</w:t>
            </w:r>
          </w:p>
        </w:tc>
      </w:tr>
      <w:tr w:rsidR="0070098D" w14:paraId="49369124"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D45F53" w14:textId="77777777" w:rsidR="0070098D" w:rsidRDefault="0070098D">
            <w:r>
              <w:t>4</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1859D469" w14:textId="77777777" w:rsidR="0070098D" w:rsidRDefault="0070098D">
            <w:r>
              <w:t>86</w:t>
            </w:r>
          </w:p>
        </w:tc>
      </w:tr>
      <w:tr w:rsidR="0070098D" w14:paraId="22122599"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6AF97B" w14:textId="77777777" w:rsidR="0070098D" w:rsidRDefault="0070098D">
            <w:r>
              <w:t>5</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1BF1B0A3" w14:textId="77777777" w:rsidR="0070098D" w:rsidRDefault="0070098D">
            <w:r>
              <w:t>48</w:t>
            </w:r>
          </w:p>
        </w:tc>
      </w:tr>
      <w:tr w:rsidR="0070098D" w14:paraId="43A03FA1"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3923E4" w14:textId="77777777" w:rsidR="0070098D" w:rsidRDefault="0070098D">
            <w:r>
              <w:t>6</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422BC58" w14:textId="77777777" w:rsidR="0070098D" w:rsidRDefault="0070098D">
            <w:r>
              <w:t>90</w:t>
            </w:r>
          </w:p>
        </w:tc>
      </w:tr>
      <w:tr w:rsidR="0070098D" w14:paraId="08B8E4B4"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B5DE26" w14:textId="77777777" w:rsidR="0070098D" w:rsidRDefault="0070098D">
            <w:r>
              <w:t>7</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5D184FC3" w14:textId="77777777" w:rsidR="0070098D" w:rsidRDefault="0070098D">
            <w:r>
              <w:t>102</w:t>
            </w:r>
          </w:p>
        </w:tc>
      </w:tr>
      <w:tr w:rsidR="0070098D" w14:paraId="480CBBF2"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2A8058" w14:textId="77777777" w:rsidR="0070098D" w:rsidRDefault="0070098D">
            <w:r>
              <w:t>8</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518A773A" w14:textId="77777777" w:rsidR="0070098D" w:rsidRDefault="0070098D">
            <w:r>
              <w:t>107</w:t>
            </w:r>
          </w:p>
        </w:tc>
      </w:tr>
      <w:tr w:rsidR="0070098D" w14:paraId="0D707630"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92FE85" w14:textId="77777777" w:rsidR="0070098D" w:rsidRDefault="0070098D">
            <w:r>
              <w:t>9</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413AF25B" w14:textId="77777777" w:rsidR="0070098D" w:rsidRDefault="0070098D">
            <w:r>
              <w:t>68</w:t>
            </w:r>
          </w:p>
        </w:tc>
      </w:tr>
      <w:tr w:rsidR="0070098D" w14:paraId="2224D775"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72BCD8" w14:textId="77777777" w:rsidR="0070098D" w:rsidRDefault="0070098D">
            <w:r>
              <w:t>10</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2C38729" w14:textId="77777777" w:rsidR="0070098D" w:rsidRDefault="0070098D">
            <w:r>
              <w:t>198</w:t>
            </w:r>
          </w:p>
        </w:tc>
      </w:tr>
      <w:tr w:rsidR="0070098D" w14:paraId="24E18C97"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6A79BF" w14:textId="77777777" w:rsidR="0070098D" w:rsidRDefault="0070098D">
            <w:r>
              <w:t>11</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61CD87D9" w14:textId="77777777" w:rsidR="0070098D" w:rsidRDefault="0070098D">
            <w:r>
              <w:t>118</w:t>
            </w:r>
          </w:p>
        </w:tc>
      </w:tr>
      <w:tr w:rsidR="0070098D" w14:paraId="52D0AA86"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DB40E3" w14:textId="77777777" w:rsidR="0070098D" w:rsidRDefault="0070098D">
            <w:r>
              <w:t>12</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255541F9" w14:textId="77777777" w:rsidR="0070098D" w:rsidRDefault="0070098D">
            <w:r>
              <w:t>75</w:t>
            </w:r>
          </w:p>
        </w:tc>
      </w:tr>
      <w:tr w:rsidR="0070098D" w14:paraId="71203238"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2AB1F2" w14:textId="77777777" w:rsidR="0070098D" w:rsidRDefault="0070098D">
            <w:r>
              <w:t>13</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42F94D88" w14:textId="77777777" w:rsidR="0070098D" w:rsidRDefault="0070098D">
            <w:r>
              <w:t>61</w:t>
            </w:r>
          </w:p>
        </w:tc>
      </w:tr>
      <w:tr w:rsidR="0070098D" w14:paraId="5F82E34D"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338A0C" w14:textId="77777777" w:rsidR="0070098D" w:rsidRDefault="0070098D">
            <w:r>
              <w:t>14</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343EA5F" w14:textId="77777777" w:rsidR="0070098D" w:rsidRDefault="0070098D">
            <w:r>
              <w:t>45</w:t>
            </w:r>
          </w:p>
        </w:tc>
      </w:tr>
      <w:tr w:rsidR="0070098D" w14:paraId="4D55AE19"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56E1EF" w14:textId="77777777" w:rsidR="0070098D" w:rsidRDefault="0070098D">
            <w:r>
              <w:t>15</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F2659F4" w14:textId="77777777" w:rsidR="0070098D" w:rsidRDefault="0070098D">
            <w:r>
              <w:t>78</w:t>
            </w:r>
          </w:p>
        </w:tc>
      </w:tr>
      <w:tr w:rsidR="0070098D" w14:paraId="6FAA6208"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04C15B" w14:textId="77777777" w:rsidR="0070098D" w:rsidRDefault="0070098D">
            <w:r>
              <w:t>16</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307ABCD1" w14:textId="77777777" w:rsidR="0070098D" w:rsidRDefault="0070098D">
            <w:r>
              <w:t>110</w:t>
            </w:r>
          </w:p>
        </w:tc>
      </w:tr>
      <w:tr w:rsidR="0070098D" w14:paraId="5C2BD7B3"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7FD160" w14:textId="77777777" w:rsidR="0070098D" w:rsidRDefault="0070098D">
            <w:r>
              <w:t>17</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20905579" w14:textId="77777777" w:rsidR="0070098D" w:rsidRDefault="0070098D">
            <w:r>
              <w:t>84</w:t>
            </w:r>
          </w:p>
        </w:tc>
      </w:tr>
      <w:tr w:rsidR="0070098D" w14:paraId="13669DCD"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FED894" w14:textId="77777777" w:rsidR="0070098D" w:rsidRDefault="0070098D">
            <w:r>
              <w:t>18</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3C7647C" w14:textId="77777777" w:rsidR="0070098D" w:rsidRDefault="0070098D">
            <w:r>
              <w:t>79</w:t>
            </w:r>
          </w:p>
        </w:tc>
      </w:tr>
      <w:tr w:rsidR="0070098D" w14:paraId="63FA4DAA" w14:textId="77777777" w:rsidTr="0070098D">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C07027" w14:textId="77777777" w:rsidR="0070098D" w:rsidRDefault="0070098D">
            <w:pPr>
              <w:rPr>
                <w:b/>
                <w:bCs/>
              </w:rPr>
            </w:pPr>
            <w:r>
              <w:rPr>
                <w:b/>
                <w:bCs/>
              </w:rPr>
              <w:t>Grand Total</w:t>
            </w:r>
          </w:p>
        </w:tc>
        <w:tc>
          <w:tcPr>
            <w:tcW w:w="2629" w:type="dxa"/>
            <w:tcBorders>
              <w:top w:val="nil"/>
              <w:left w:val="nil"/>
              <w:bottom w:val="single" w:sz="8" w:space="0" w:color="auto"/>
              <w:right w:val="single" w:sz="8" w:space="0" w:color="auto"/>
            </w:tcBorders>
            <w:noWrap/>
            <w:tcMar>
              <w:top w:w="0" w:type="dxa"/>
              <w:left w:w="108" w:type="dxa"/>
              <w:bottom w:w="0" w:type="dxa"/>
              <w:right w:w="108" w:type="dxa"/>
            </w:tcMar>
            <w:hideMark/>
          </w:tcPr>
          <w:p w14:paraId="0B9B683B" w14:textId="77777777" w:rsidR="0070098D" w:rsidRDefault="0070098D">
            <w:pPr>
              <w:rPr>
                <w:b/>
                <w:bCs/>
              </w:rPr>
            </w:pPr>
            <w:r>
              <w:rPr>
                <w:b/>
                <w:bCs/>
              </w:rPr>
              <w:t>1683</w:t>
            </w:r>
          </w:p>
        </w:tc>
      </w:tr>
    </w:tbl>
    <w:p w14:paraId="0C474B42" w14:textId="77777777" w:rsidR="00F50457" w:rsidRPr="00F50457" w:rsidRDefault="00F50457" w:rsidP="00F50457">
      <w:pPr>
        <w:pStyle w:val="ListParagraph"/>
        <w:ind w:left="1080"/>
        <w:rPr>
          <w:sz w:val="22"/>
          <w:szCs w:val="22"/>
        </w:rPr>
      </w:pPr>
    </w:p>
    <w:p w14:paraId="1FADB51C" w14:textId="77777777" w:rsidR="009D6AA9" w:rsidRPr="009D6AA9" w:rsidRDefault="009D6AA9" w:rsidP="008D23CD">
      <w:pPr>
        <w:rPr>
          <w:rStyle w:val="Emphasis"/>
        </w:rPr>
      </w:pPr>
    </w:p>
    <w:p w14:paraId="19DFE606" w14:textId="77777777" w:rsidR="005443AE" w:rsidRDefault="001C6C39" w:rsidP="00C535F0">
      <w:pPr>
        <w:pStyle w:val="ListParagraph"/>
        <w:numPr>
          <w:ilvl w:val="0"/>
          <w:numId w:val="2"/>
        </w:numPr>
        <w:rPr>
          <w:rStyle w:val="Emphasis"/>
        </w:rPr>
      </w:pPr>
      <w:r>
        <w:rPr>
          <w:rStyle w:val="Emphasis"/>
        </w:rPr>
        <w:lastRenderedPageBreak/>
        <w:t>Referrals</w:t>
      </w:r>
      <w:r w:rsidR="00C71BE2">
        <w:rPr>
          <w:rStyle w:val="Emphasis"/>
        </w:rPr>
        <w:t xml:space="preserve">—We know that referral dates are often incorrect by the time you receive them, </w:t>
      </w:r>
      <w:r w:rsidR="00D519D0">
        <w:rPr>
          <w:rStyle w:val="Emphasis"/>
        </w:rPr>
        <w:t>and</w:t>
      </w:r>
      <w:r w:rsidR="00C71BE2">
        <w:rPr>
          <w:rStyle w:val="Emphasis"/>
        </w:rPr>
        <w:t xml:space="preserve"> that’s okay.  </w:t>
      </w:r>
      <w:r w:rsidR="00D519D0">
        <w:rPr>
          <w:rStyle w:val="Emphasis"/>
        </w:rPr>
        <w:t xml:space="preserve">You don’t need to request a new referral if the </w:t>
      </w:r>
      <w:r w:rsidR="00885FCA">
        <w:rPr>
          <w:rStyle w:val="Emphasis"/>
        </w:rPr>
        <w:t>“</w:t>
      </w:r>
      <w:r w:rsidR="00871757">
        <w:rPr>
          <w:rStyle w:val="Emphasis"/>
        </w:rPr>
        <w:t>start date</w:t>
      </w:r>
      <w:r w:rsidR="00885FCA">
        <w:rPr>
          <w:rStyle w:val="Emphasis"/>
        </w:rPr>
        <w:t>” on the referral</w:t>
      </w:r>
      <w:r w:rsidR="00871757">
        <w:rPr>
          <w:rStyle w:val="Emphasis"/>
        </w:rPr>
        <w:t xml:space="preserve"> </w:t>
      </w:r>
      <w:r w:rsidR="00885FCA">
        <w:rPr>
          <w:rStyle w:val="Emphasis"/>
        </w:rPr>
        <w:t>has</w:t>
      </w:r>
      <w:r w:rsidR="00A915BF">
        <w:rPr>
          <w:rStyle w:val="Emphasis"/>
        </w:rPr>
        <w:t xml:space="preserve"> passed by the time you receive it.  Please just accept the referral (provided you </w:t>
      </w:r>
      <w:proofErr w:type="gramStart"/>
      <w:r w:rsidR="00A915BF">
        <w:rPr>
          <w:rStyle w:val="Emphasis"/>
        </w:rPr>
        <w:t>are able to</w:t>
      </w:r>
      <w:proofErr w:type="gramEnd"/>
      <w:r w:rsidR="00A915BF">
        <w:rPr>
          <w:rStyle w:val="Emphasis"/>
        </w:rPr>
        <w:t xml:space="preserve"> serve the family and meet their presenting needs based on the </w:t>
      </w:r>
      <w:r w:rsidR="00AD6EB8">
        <w:rPr>
          <w:rStyle w:val="Emphasis"/>
        </w:rPr>
        <w:t>referral information</w:t>
      </w:r>
      <w:r w:rsidR="00E114A9">
        <w:rPr>
          <w:rStyle w:val="Emphasis"/>
        </w:rPr>
        <w:t>), and be sure to note on your report</w:t>
      </w:r>
      <w:r w:rsidR="00745E2B">
        <w:rPr>
          <w:rStyle w:val="Emphasis"/>
        </w:rPr>
        <w:t>:</w:t>
      </w:r>
    </w:p>
    <w:p w14:paraId="0E943A04" w14:textId="48BEBBFD" w:rsidR="00C535F0" w:rsidRPr="009D6AA9" w:rsidRDefault="00C535F0" w:rsidP="005443AE">
      <w:pPr>
        <w:pStyle w:val="ListParagraph"/>
        <w:ind w:left="1440" w:firstLine="720"/>
        <w:rPr>
          <w:rStyle w:val="Emphasis"/>
        </w:rPr>
      </w:pPr>
      <w:r w:rsidRPr="009D6AA9">
        <w:rPr>
          <w:rStyle w:val="Emphasis"/>
        </w:rPr>
        <w:t>“Referral received on</w:t>
      </w:r>
      <w:r>
        <w:rPr>
          <w:rStyle w:val="Emphasis"/>
        </w:rPr>
        <w:t xml:space="preserve"> mm/dd/</w:t>
      </w:r>
      <w:proofErr w:type="spellStart"/>
      <w:r>
        <w:rPr>
          <w:rStyle w:val="Emphasis"/>
        </w:rPr>
        <w:t>yyyy</w:t>
      </w:r>
      <w:proofErr w:type="spellEnd"/>
      <w:r w:rsidRPr="009D6AA9">
        <w:rPr>
          <w:rStyle w:val="Emphasis"/>
        </w:rPr>
        <w:t xml:space="preserve">” </w:t>
      </w:r>
    </w:p>
    <w:p w14:paraId="67825D0E" w14:textId="77777777" w:rsidR="00C535F0" w:rsidRPr="009D6AA9" w:rsidRDefault="00C535F0" w:rsidP="005443AE">
      <w:pPr>
        <w:pStyle w:val="ListParagraph"/>
        <w:ind w:left="1440" w:firstLine="720"/>
        <w:rPr>
          <w:rStyle w:val="Emphasis"/>
        </w:rPr>
      </w:pPr>
      <w:r>
        <w:rPr>
          <w:rStyle w:val="Emphasis"/>
        </w:rPr>
        <w:t>“Initial phone/text contact on mm/dd/</w:t>
      </w:r>
      <w:proofErr w:type="spellStart"/>
      <w:r>
        <w:rPr>
          <w:rStyle w:val="Emphasis"/>
        </w:rPr>
        <w:t>yyyy</w:t>
      </w:r>
      <w:proofErr w:type="spellEnd"/>
      <w:r w:rsidRPr="009D6AA9">
        <w:rPr>
          <w:rStyle w:val="Emphasis"/>
        </w:rPr>
        <w:t>”</w:t>
      </w:r>
    </w:p>
    <w:p w14:paraId="0F38C55F" w14:textId="583EAF3A" w:rsidR="00C535F0" w:rsidRDefault="00C535F0" w:rsidP="005443AE">
      <w:pPr>
        <w:pStyle w:val="ListParagraph"/>
        <w:ind w:left="1440" w:firstLine="720"/>
        <w:rPr>
          <w:rStyle w:val="Emphasis"/>
        </w:rPr>
      </w:pPr>
      <w:r w:rsidRPr="009D6AA9">
        <w:rPr>
          <w:rStyle w:val="Emphasis"/>
        </w:rPr>
        <w:t>“Initial face-to-face service contact on</w:t>
      </w:r>
      <w:r>
        <w:rPr>
          <w:rStyle w:val="Emphasis"/>
        </w:rPr>
        <w:t xml:space="preserve"> mm/dd/</w:t>
      </w:r>
      <w:proofErr w:type="spellStart"/>
      <w:r>
        <w:rPr>
          <w:rStyle w:val="Emphasis"/>
        </w:rPr>
        <w:t>yyyy</w:t>
      </w:r>
      <w:proofErr w:type="spellEnd"/>
      <w:r w:rsidRPr="009D6AA9">
        <w:rPr>
          <w:rStyle w:val="Emphasis"/>
        </w:rPr>
        <w:t>”</w:t>
      </w:r>
    </w:p>
    <w:p w14:paraId="0C22DCAF" w14:textId="0FF8747A" w:rsidR="001C6C39" w:rsidRDefault="001C6C39" w:rsidP="00C535F0">
      <w:pPr>
        <w:pStyle w:val="ListParagraph"/>
        <w:ind w:left="1080"/>
        <w:rPr>
          <w:rStyle w:val="Emphasis"/>
        </w:rPr>
      </w:pPr>
    </w:p>
    <w:p w14:paraId="2D2D9A51" w14:textId="19DE9C67" w:rsidR="007639CA" w:rsidRDefault="007639CA" w:rsidP="001C7E3A">
      <w:pPr>
        <w:pStyle w:val="ListParagraph"/>
        <w:numPr>
          <w:ilvl w:val="0"/>
          <w:numId w:val="1"/>
        </w:numPr>
        <w:rPr>
          <w:rStyle w:val="Emphasis"/>
        </w:rPr>
      </w:pPr>
      <w:r>
        <w:rPr>
          <w:rStyle w:val="Emphasis"/>
        </w:rPr>
        <w:t>Questions submitted:</w:t>
      </w:r>
    </w:p>
    <w:p w14:paraId="06E937EF" w14:textId="003C7098" w:rsidR="006E4562" w:rsidRDefault="006E4562" w:rsidP="006E4562">
      <w:pPr>
        <w:pStyle w:val="ListParagraph"/>
        <w:numPr>
          <w:ilvl w:val="0"/>
          <w:numId w:val="11"/>
        </w:numPr>
        <w:contextualSpacing w:val="0"/>
        <w:rPr>
          <w:rFonts w:eastAsia="Times New Roman"/>
        </w:rPr>
      </w:pPr>
      <w:r>
        <w:rPr>
          <w:rFonts w:eastAsia="Times New Roman"/>
        </w:rPr>
        <w:t xml:space="preserve">We have FCM’s inform us that they are closing the case and to </w:t>
      </w:r>
      <w:r w:rsidR="007745F0">
        <w:rPr>
          <w:rFonts w:eastAsia="Times New Roman"/>
        </w:rPr>
        <w:t>cease</w:t>
      </w:r>
      <w:r>
        <w:rPr>
          <w:rFonts w:eastAsia="Times New Roman"/>
        </w:rPr>
        <w:t xml:space="preserve"> services. We have done so but the FCM has yet to close the referral (causes issues in our billing department). Is there anything else we can do to ensure that referrals are closed?</w:t>
      </w:r>
    </w:p>
    <w:p w14:paraId="29B82EBE" w14:textId="356E28A5" w:rsidR="00806AF8" w:rsidRDefault="00C848CB" w:rsidP="00806AF8">
      <w:pPr>
        <w:pStyle w:val="ListParagraph"/>
        <w:numPr>
          <w:ilvl w:val="1"/>
          <w:numId w:val="11"/>
        </w:numPr>
        <w:contextualSpacing w:val="0"/>
        <w:rPr>
          <w:rFonts w:eastAsia="Times New Roman"/>
        </w:rPr>
      </w:pPr>
      <w:r>
        <w:rPr>
          <w:rFonts w:eastAsia="Times New Roman"/>
        </w:rPr>
        <w:t>There is a possible small problem in KidTraks. When a case closes it should close the referral. FCM’s will not close the case until the court gives the order. We are working through these difficulties.</w:t>
      </w:r>
    </w:p>
    <w:p w14:paraId="3C13904F" w14:textId="507FC9DA" w:rsidR="006E4562" w:rsidRDefault="006E4562" w:rsidP="006E4562">
      <w:pPr>
        <w:pStyle w:val="ListParagraph"/>
        <w:numPr>
          <w:ilvl w:val="0"/>
          <w:numId w:val="11"/>
        </w:numPr>
        <w:contextualSpacing w:val="0"/>
        <w:rPr>
          <w:rFonts w:eastAsia="Times New Roman"/>
        </w:rPr>
      </w:pPr>
      <w:r>
        <w:rPr>
          <w:rFonts w:eastAsia="Times New Roman"/>
        </w:rPr>
        <w:t xml:space="preserve">We have a few cases where the FCM has backdated a cancellation date on a referral due to the court signing the order to close </w:t>
      </w:r>
      <w:r w:rsidR="00736834">
        <w:rPr>
          <w:rFonts w:eastAsia="Times New Roman"/>
        </w:rPr>
        <w:t xml:space="preserve">a </w:t>
      </w:r>
      <w:r>
        <w:rPr>
          <w:rFonts w:eastAsia="Times New Roman"/>
        </w:rPr>
        <w:t>case</w:t>
      </w:r>
      <w:r w:rsidR="00736834">
        <w:rPr>
          <w:rFonts w:eastAsia="Times New Roman"/>
        </w:rPr>
        <w:t>,</w:t>
      </w:r>
      <w:r>
        <w:rPr>
          <w:rFonts w:eastAsia="Times New Roman"/>
        </w:rPr>
        <w:t xml:space="preserve"> but we were not informed until after providing almost an additional week of services. We had to stop the per diem several days early due to no active referral even though we provided services. How can this be prevented? </w:t>
      </w:r>
    </w:p>
    <w:p w14:paraId="4AC6C72D" w14:textId="54048356" w:rsidR="00806AF8" w:rsidRDefault="00806AF8" w:rsidP="00806AF8">
      <w:pPr>
        <w:pStyle w:val="ListParagraph"/>
        <w:numPr>
          <w:ilvl w:val="1"/>
          <w:numId w:val="11"/>
        </w:numPr>
        <w:contextualSpacing w:val="0"/>
        <w:rPr>
          <w:rFonts w:eastAsia="Times New Roman"/>
        </w:rPr>
      </w:pPr>
      <w:r>
        <w:rPr>
          <w:rFonts w:eastAsia="Times New Roman"/>
        </w:rPr>
        <w:t>KidTraks should close referral when the case closes, but this does not always work</w:t>
      </w:r>
    </w:p>
    <w:p w14:paraId="5FB10B17" w14:textId="173A00B7" w:rsidR="00806AF8" w:rsidRDefault="00806AF8" w:rsidP="00806AF8">
      <w:pPr>
        <w:pStyle w:val="ListParagraph"/>
        <w:numPr>
          <w:ilvl w:val="1"/>
          <w:numId w:val="11"/>
        </w:numPr>
        <w:contextualSpacing w:val="0"/>
        <w:rPr>
          <w:rFonts w:eastAsia="Times New Roman"/>
        </w:rPr>
      </w:pPr>
      <w:r>
        <w:rPr>
          <w:rFonts w:eastAsia="Times New Roman"/>
        </w:rPr>
        <w:t>Best case is frequent teaming with the FCM and court attendance</w:t>
      </w:r>
    </w:p>
    <w:p w14:paraId="273A268D" w14:textId="260F2803" w:rsidR="00806AF8" w:rsidRDefault="00806AF8" w:rsidP="00806AF8">
      <w:pPr>
        <w:pStyle w:val="ListParagraph"/>
        <w:numPr>
          <w:ilvl w:val="1"/>
          <w:numId w:val="11"/>
        </w:numPr>
        <w:contextualSpacing w:val="0"/>
        <w:rPr>
          <w:rFonts w:eastAsia="Times New Roman"/>
        </w:rPr>
      </w:pPr>
      <w:r>
        <w:rPr>
          <w:rFonts w:eastAsia="Times New Roman"/>
        </w:rPr>
        <w:t>Document exactly what you did with the family after the case closed and you continued to serve the family</w:t>
      </w:r>
    </w:p>
    <w:p w14:paraId="2E7EC5A5" w14:textId="43AFBE94" w:rsidR="003772CB" w:rsidRDefault="003772CB" w:rsidP="003772CB">
      <w:pPr>
        <w:pStyle w:val="ListParagraph"/>
        <w:numPr>
          <w:ilvl w:val="2"/>
          <w:numId w:val="11"/>
        </w:numPr>
        <w:contextualSpacing w:val="0"/>
        <w:rPr>
          <w:rFonts w:eastAsia="Times New Roman"/>
        </w:rPr>
      </w:pPr>
      <w:r>
        <w:rPr>
          <w:rFonts w:eastAsia="Times New Roman"/>
        </w:rPr>
        <w:t>If this occurs, please let us know individually so we can help figure out what to do</w:t>
      </w:r>
    </w:p>
    <w:p w14:paraId="43F9023C" w14:textId="482F10C0" w:rsidR="00DC31BF" w:rsidRDefault="00DC31BF" w:rsidP="00DC31BF">
      <w:pPr>
        <w:pStyle w:val="ListParagraph"/>
        <w:numPr>
          <w:ilvl w:val="0"/>
          <w:numId w:val="11"/>
        </w:numPr>
      </w:pPr>
      <w:r>
        <w:t>What should we do when we have a referral and we have made numerous attempts to engage the family to start the per diem with no response? We have called them 13 times and gone to the home 3 times. We have been in communication with the FCM about this but wanted to see what we should do at this point.</w:t>
      </w:r>
    </w:p>
    <w:p w14:paraId="50A27F8C" w14:textId="57591B43" w:rsidR="003772CB" w:rsidRDefault="003772CB" w:rsidP="003772CB">
      <w:pPr>
        <w:pStyle w:val="ListParagraph"/>
        <w:numPr>
          <w:ilvl w:val="1"/>
          <w:numId w:val="11"/>
        </w:numPr>
      </w:pPr>
      <w:r>
        <w:t>Team decision – work with FCM to figure out next steps</w:t>
      </w:r>
    </w:p>
    <w:p w14:paraId="08CE31B0" w14:textId="77777777" w:rsidR="0026549F" w:rsidRDefault="0026549F" w:rsidP="005A5F81">
      <w:pPr>
        <w:rPr>
          <w:rStyle w:val="Emphasis"/>
        </w:rPr>
      </w:pPr>
    </w:p>
    <w:p w14:paraId="1FADB51D" w14:textId="2EDC5EA0" w:rsidR="001C7E3A" w:rsidRPr="009D6AA9" w:rsidRDefault="001C7E3A" w:rsidP="006E4562">
      <w:pPr>
        <w:pStyle w:val="ListParagraph"/>
        <w:numPr>
          <w:ilvl w:val="0"/>
          <w:numId w:val="1"/>
        </w:numPr>
        <w:rPr>
          <w:rStyle w:val="Emphasis"/>
        </w:rPr>
      </w:pPr>
      <w:r w:rsidRPr="009D6AA9">
        <w:rPr>
          <w:rStyle w:val="Emphasis"/>
        </w:rPr>
        <w:t>Anything else?</w:t>
      </w:r>
    </w:p>
    <w:p w14:paraId="1FADB51E" w14:textId="77777777" w:rsidR="001C7E3A" w:rsidRPr="009D6AA9" w:rsidRDefault="001C7E3A" w:rsidP="001C7E3A">
      <w:pPr>
        <w:pStyle w:val="ListParagraph"/>
        <w:ind w:left="1080"/>
        <w:rPr>
          <w:rStyle w:val="Emphasis"/>
        </w:rPr>
      </w:pPr>
    </w:p>
    <w:p w14:paraId="1FADB51F" w14:textId="416AAF1D" w:rsidR="001C7E3A" w:rsidRPr="009D6AA9" w:rsidRDefault="001C7E3A" w:rsidP="006E4562">
      <w:pPr>
        <w:pStyle w:val="ListParagraph"/>
        <w:numPr>
          <w:ilvl w:val="0"/>
          <w:numId w:val="1"/>
        </w:numPr>
        <w:rPr>
          <w:rStyle w:val="Emphasis"/>
        </w:rPr>
      </w:pPr>
      <w:r w:rsidRPr="009D6AA9">
        <w:rPr>
          <w:rStyle w:val="Emphasis"/>
        </w:rPr>
        <w:t>Next m</w:t>
      </w:r>
      <w:r w:rsidR="007D76B7">
        <w:rPr>
          <w:rStyle w:val="Emphasis"/>
        </w:rPr>
        <w:t>eeting 1</w:t>
      </w:r>
      <w:r w:rsidR="00C17897">
        <w:rPr>
          <w:rStyle w:val="Emphasis"/>
        </w:rPr>
        <w:t>/8/</w:t>
      </w:r>
      <w:r w:rsidR="00850970">
        <w:rPr>
          <w:rStyle w:val="Emphasis"/>
        </w:rPr>
        <w:t>2021</w:t>
      </w:r>
      <w:r w:rsidRPr="009D6AA9">
        <w:rPr>
          <w:rStyle w:val="Emphasis"/>
        </w:rPr>
        <w:t xml:space="preserve"> @ 1:00 EDT</w:t>
      </w:r>
    </w:p>
    <w:p w14:paraId="1FADB520" w14:textId="77777777" w:rsidR="00B2674A" w:rsidRPr="009D6AA9" w:rsidRDefault="00B2674A" w:rsidP="001C7E3A">
      <w:pPr>
        <w:ind w:left="360"/>
        <w:rPr>
          <w:rStyle w:val="Emphasis"/>
        </w:rPr>
      </w:pPr>
    </w:p>
    <w:p w14:paraId="1FADB521" w14:textId="77777777" w:rsidR="00B2674A" w:rsidRPr="009D6AA9" w:rsidRDefault="00B2674A" w:rsidP="001C7E3A">
      <w:pPr>
        <w:ind w:left="360"/>
        <w:rPr>
          <w:rStyle w:val="Emphasis"/>
        </w:rPr>
      </w:pPr>
    </w:p>
    <w:p w14:paraId="1FADB522" w14:textId="4CEE96AD" w:rsidR="001C7E3A" w:rsidRPr="009D6AA9" w:rsidRDefault="00410425" w:rsidP="00B2674A">
      <w:pPr>
        <w:ind w:left="3600" w:firstLine="720"/>
        <w:rPr>
          <w:rStyle w:val="Emphasis"/>
        </w:rPr>
      </w:pPr>
      <w:r>
        <w:rPr>
          <w:rStyle w:val="Emphasis"/>
        </w:rPr>
        <w:t>Happy Holidays!</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861E5B"/>
    <w:multiLevelType w:val="hybridMultilevel"/>
    <w:tmpl w:val="AA645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C15731"/>
    <w:multiLevelType w:val="hybridMultilevel"/>
    <w:tmpl w:val="8E7CD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3E05BC5"/>
    <w:multiLevelType w:val="hybridMultilevel"/>
    <w:tmpl w:val="988A7232"/>
    <w:lvl w:ilvl="0" w:tplc="32D6C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9507C9"/>
    <w:multiLevelType w:val="hybridMultilevel"/>
    <w:tmpl w:val="DAA47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A40E01"/>
    <w:multiLevelType w:val="hybridMultilevel"/>
    <w:tmpl w:val="4B4C29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3"/>
  </w:num>
  <w:num w:numId="5">
    <w:abstractNumId w:val="14"/>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9"/>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659E9"/>
    <w:rsid w:val="000E56F4"/>
    <w:rsid w:val="00106505"/>
    <w:rsid w:val="00115C2B"/>
    <w:rsid w:val="001204B4"/>
    <w:rsid w:val="001408D7"/>
    <w:rsid w:val="001974DA"/>
    <w:rsid w:val="001C6C39"/>
    <w:rsid w:val="001C7E3A"/>
    <w:rsid w:val="001F0682"/>
    <w:rsid w:val="00224C8A"/>
    <w:rsid w:val="0026549F"/>
    <w:rsid w:val="0029568E"/>
    <w:rsid w:val="002D6063"/>
    <w:rsid w:val="002E26EB"/>
    <w:rsid w:val="003524B0"/>
    <w:rsid w:val="00362E04"/>
    <w:rsid w:val="0037618F"/>
    <w:rsid w:val="003772CB"/>
    <w:rsid w:val="00410425"/>
    <w:rsid w:val="004965EC"/>
    <w:rsid w:val="004D3C86"/>
    <w:rsid w:val="00513539"/>
    <w:rsid w:val="005443AE"/>
    <w:rsid w:val="00562482"/>
    <w:rsid w:val="005A5F81"/>
    <w:rsid w:val="006047B4"/>
    <w:rsid w:val="00622966"/>
    <w:rsid w:val="006832FC"/>
    <w:rsid w:val="006B4B9F"/>
    <w:rsid w:val="006D794A"/>
    <w:rsid w:val="006E4562"/>
    <w:rsid w:val="006F26A8"/>
    <w:rsid w:val="0070098D"/>
    <w:rsid w:val="007066CC"/>
    <w:rsid w:val="00736834"/>
    <w:rsid w:val="00745E2B"/>
    <w:rsid w:val="007639CA"/>
    <w:rsid w:val="007643FA"/>
    <w:rsid w:val="007745F0"/>
    <w:rsid w:val="007B5471"/>
    <w:rsid w:val="007D76B7"/>
    <w:rsid w:val="007E7B16"/>
    <w:rsid w:val="00806AF8"/>
    <w:rsid w:val="00850970"/>
    <w:rsid w:val="008623A1"/>
    <w:rsid w:val="00871757"/>
    <w:rsid w:val="00885FCA"/>
    <w:rsid w:val="0089392A"/>
    <w:rsid w:val="008D23CD"/>
    <w:rsid w:val="009066B3"/>
    <w:rsid w:val="00920DD3"/>
    <w:rsid w:val="00974275"/>
    <w:rsid w:val="009B5F9B"/>
    <w:rsid w:val="009D6AA9"/>
    <w:rsid w:val="00A4307A"/>
    <w:rsid w:val="00A915BF"/>
    <w:rsid w:val="00AD6EB8"/>
    <w:rsid w:val="00B2674A"/>
    <w:rsid w:val="00BA4C1E"/>
    <w:rsid w:val="00BA5706"/>
    <w:rsid w:val="00BC719F"/>
    <w:rsid w:val="00C17897"/>
    <w:rsid w:val="00C535F0"/>
    <w:rsid w:val="00C71BE2"/>
    <w:rsid w:val="00C848CB"/>
    <w:rsid w:val="00D12AD0"/>
    <w:rsid w:val="00D456AE"/>
    <w:rsid w:val="00D519D0"/>
    <w:rsid w:val="00D65614"/>
    <w:rsid w:val="00DB7A16"/>
    <w:rsid w:val="00DC31BF"/>
    <w:rsid w:val="00DF20D5"/>
    <w:rsid w:val="00E06B7F"/>
    <w:rsid w:val="00E114A9"/>
    <w:rsid w:val="00E801B7"/>
    <w:rsid w:val="00F14DA8"/>
    <w:rsid w:val="00F44E06"/>
    <w:rsid w:val="00F46A07"/>
    <w:rsid w:val="00F50457"/>
    <w:rsid w:val="00F57041"/>
    <w:rsid w:val="00F7423B"/>
    <w:rsid w:val="00F75D50"/>
    <w:rsid w:val="00F8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SSAT@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veymonkey.com/r/INFPS" TargetMode="External"/><Relationship Id="rId5" Type="http://schemas.openxmlformats.org/officeDocument/2006/relationships/hyperlink" Target="https://www.in.gov/dcs/410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2020-12-18T20:23:00Z</dcterms:created>
  <dcterms:modified xsi:type="dcterms:W3CDTF">2020-12-18T20:23:00Z</dcterms:modified>
</cp:coreProperties>
</file>