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F3FC" w14:textId="6FEFE0FC" w:rsidR="007115BC" w:rsidRPr="00B438F5" w:rsidRDefault="00B438F5" w:rsidP="00E96B2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LCPA Monthly</w:t>
      </w:r>
      <w:r w:rsidR="00E96B25" w:rsidRPr="00B438F5">
        <w:rPr>
          <w:rFonts w:ascii="Times New Roman" w:hAnsi="Times New Roman" w:cs="Times New Roman"/>
          <w:sz w:val="24"/>
          <w:szCs w:val="24"/>
          <w:u w:val="single"/>
        </w:rPr>
        <w:t xml:space="preserve"> Meeting Minutes</w:t>
      </w:r>
    </w:p>
    <w:p w14:paraId="70F9A190" w14:textId="5184BE29" w:rsidR="00E96B25" w:rsidRPr="00B438F5" w:rsidRDefault="00E96B25" w:rsidP="00E96B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Date: 4/6/22</w:t>
      </w:r>
    </w:p>
    <w:p w14:paraId="6C800747" w14:textId="06A42D93" w:rsidR="00E96B25" w:rsidRPr="00B438F5" w:rsidRDefault="00E96B25" w:rsidP="00E96B2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1278878"/>
    </w:p>
    <w:p w14:paraId="3510B960" w14:textId="77777777" w:rsidR="00AB0276" w:rsidRPr="00B438F5" w:rsidRDefault="00AB0276" w:rsidP="00AB0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8F5">
        <w:rPr>
          <w:rFonts w:ascii="Times New Roman" w:hAnsi="Times New Roman" w:cs="Times New Roman"/>
          <w:b/>
          <w:bCs/>
          <w:sz w:val="24"/>
          <w:szCs w:val="24"/>
        </w:rPr>
        <w:t>Foster Care Consultants Role Update – Nicci Chenowith:</w:t>
      </w:r>
    </w:p>
    <w:p w14:paraId="5DA458E9" w14:textId="77777777" w:rsidR="00AB0276" w:rsidRPr="00B438F5" w:rsidRDefault="00AB0276" w:rsidP="00AB0276">
      <w:pPr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There is a current intent of transitional changes with Foster Care Consultant role which is to remove the consultants from annual submission review.  Consultants will continue to review Initial, Relicensure, and Exception/Waiver/Variance submissions.</w:t>
      </w:r>
    </w:p>
    <w:p w14:paraId="04F3D5F7" w14:textId="77777777" w:rsidR="00AB0276" w:rsidRPr="00B438F5" w:rsidRDefault="00AB0276" w:rsidP="00AB0276">
      <w:pPr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During the first quarter Consultant goals were created and the number of reviews conducting were denoted.  See the numbers in next paragraph.</w:t>
      </w:r>
    </w:p>
    <w:p w14:paraId="196406C0" w14:textId="77777777" w:rsidR="00AB0276" w:rsidRPr="00B438F5" w:rsidRDefault="00AB0276" w:rsidP="00AB0276">
      <w:pPr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Second quarter transition will include “Approved – Not Reviewed” for annual submissions. The Consultant goals include timeframes for reviews. Each submission should be reviewed within 5 days; each review is manually tracked by each consultant, if there are concerns, the supervisor will address all concerns with staff timeliness.  From January 25</w:t>
      </w:r>
      <w:r w:rsidRPr="00B438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438F5">
        <w:rPr>
          <w:rFonts w:ascii="Times New Roman" w:hAnsi="Times New Roman" w:cs="Times New Roman"/>
          <w:sz w:val="24"/>
          <w:szCs w:val="24"/>
        </w:rPr>
        <w:t xml:space="preserve"> to March 31</w:t>
      </w:r>
      <w:r w:rsidRPr="00B438F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438F5">
        <w:rPr>
          <w:rFonts w:ascii="Times New Roman" w:hAnsi="Times New Roman" w:cs="Times New Roman"/>
          <w:sz w:val="24"/>
          <w:szCs w:val="24"/>
        </w:rPr>
        <w:t xml:space="preserve"> the consultants have reviewed 1400 submissions, (breaks down about 28 reviews a day.)</w:t>
      </w:r>
    </w:p>
    <w:p w14:paraId="2D63B90F" w14:textId="77777777" w:rsidR="00AB0276" w:rsidRPr="00B438F5" w:rsidRDefault="00AB0276" w:rsidP="00AB0276">
      <w:pPr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Denials/Revocations are to be reviewed within 30; due process requires providing supporting documentation regarding legality of denials/revocations.</w:t>
      </w:r>
    </w:p>
    <w:p w14:paraId="65BF4EF6" w14:textId="77777777" w:rsidR="00AB0276" w:rsidRPr="00B438F5" w:rsidRDefault="00AB0276" w:rsidP="00AB0276">
      <w:pPr>
        <w:rPr>
          <w:rFonts w:ascii="Times New Roman" w:hAnsi="Times New Roman" w:cs="Times New Roman"/>
          <w:sz w:val="24"/>
          <w:szCs w:val="24"/>
        </w:rPr>
      </w:pPr>
    </w:p>
    <w:p w14:paraId="77451D63" w14:textId="77777777" w:rsidR="00AB0276" w:rsidRPr="00B438F5" w:rsidRDefault="00AB0276" w:rsidP="00AB0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8F5">
        <w:rPr>
          <w:rFonts w:ascii="Times New Roman" w:hAnsi="Times New Roman" w:cs="Times New Roman"/>
          <w:b/>
          <w:bCs/>
          <w:sz w:val="24"/>
          <w:szCs w:val="24"/>
        </w:rPr>
        <w:t>Policy 12.15 Updated Guidance</w:t>
      </w:r>
    </w:p>
    <w:p w14:paraId="31855FFE" w14:textId="0A62C939" w:rsidR="00AB0276" w:rsidRPr="00B438F5" w:rsidRDefault="00AB0276" w:rsidP="00AB027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FAQ and One Pager will be provided via email distribution and with meeting notes.</w:t>
      </w:r>
      <w:r w:rsidRPr="00B438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38F5">
        <w:rPr>
          <w:rFonts w:ascii="Times New Roman" w:hAnsi="Times New Roman" w:cs="Times New Roman"/>
          <w:b/>
          <w:bCs/>
          <w:color w:val="FF0000"/>
          <w:sz w:val="24"/>
          <w:szCs w:val="24"/>
        </w:rPr>
        <w:t>(These are still being approved. Minutes will be updated when these are ready for distribution.)</w:t>
      </w:r>
    </w:p>
    <w:p w14:paraId="64C06505" w14:textId="77777777" w:rsidR="00AB0276" w:rsidRPr="00B438F5" w:rsidRDefault="00AB0276" w:rsidP="00AB0276">
      <w:pPr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A Corrective Action Plan WITH placement hold shall be entered for any home that does not meet the annual statutory requirements. Annual Statutory requirements for Foster Family Homes include:</w:t>
      </w:r>
    </w:p>
    <w:p w14:paraId="43F0512D" w14:textId="77777777" w:rsidR="00AB0276" w:rsidRPr="00B438F5" w:rsidRDefault="00AB0276" w:rsidP="00AB0276">
      <w:pPr>
        <w:pStyle w:val="ListParagraph"/>
        <w:numPr>
          <w:ilvl w:val="0"/>
          <w:numId w:val="9"/>
        </w:num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8F5">
        <w:rPr>
          <w:rFonts w:ascii="Times New Roman" w:eastAsia="Times New Roman" w:hAnsi="Times New Roman" w:cs="Times New Roman"/>
          <w:b/>
          <w:bCs/>
          <w:sz w:val="24"/>
          <w:szCs w:val="24"/>
        </w:rPr>
        <w:t>A home visit with home study, hereafter referred to as SF 53213 Annual Report Regarding Resource Family Home.</w:t>
      </w:r>
    </w:p>
    <w:p w14:paraId="7566F573" w14:textId="77777777" w:rsidR="00AB0276" w:rsidRPr="00B438F5" w:rsidRDefault="00AB0276" w:rsidP="00AB0276">
      <w:pPr>
        <w:pStyle w:val="ListParagraph"/>
        <w:numPr>
          <w:ilvl w:val="0"/>
          <w:numId w:val="10"/>
        </w:num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8F5">
        <w:rPr>
          <w:rFonts w:ascii="Times New Roman" w:eastAsia="Times New Roman" w:hAnsi="Times New Roman" w:cs="Times New Roman"/>
          <w:b/>
          <w:bCs/>
          <w:sz w:val="24"/>
          <w:szCs w:val="24"/>
        </w:rPr>
        <w:t>Completion of In-Service Training:</w:t>
      </w:r>
    </w:p>
    <w:p w14:paraId="09E32F45" w14:textId="77777777" w:rsidR="00AB0276" w:rsidRPr="00B438F5" w:rsidRDefault="00AB0276" w:rsidP="00AB0276">
      <w:pPr>
        <w:pStyle w:val="ListParagraph"/>
        <w:numPr>
          <w:ilvl w:val="0"/>
          <w:numId w:val="1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F5">
        <w:rPr>
          <w:rFonts w:ascii="Times New Roman" w:eastAsia="Times New Roman" w:hAnsi="Times New Roman" w:cs="Times New Roman"/>
          <w:sz w:val="24"/>
          <w:szCs w:val="24"/>
        </w:rPr>
        <w:t xml:space="preserve">Each licensed foster parent is required to complete 15 ongoing training hours annually; foster home licenses indicated as </w:t>
      </w:r>
      <w:r w:rsidRPr="00B438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Therapeutic</w:t>
      </w:r>
      <w:r w:rsidRPr="00B438F5">
        <w:rPr>
          <w:rFonts w:ascii="Times New Roman" w:eastAsia="Times New Roman" w:hAnsi="Times New Roman" w:cs="Times New Roman"/>
          <w:sz w:val="24"/>
          <w:szCs w:val="24"/>
        </w:rPr>
        <w:t xml:space="preserve"> require 20 ongoing training hours annually.</w:t>
      </w:r>
    </w:p>
    <w:p w14:paraId="6B993285" w14:textId="77777777" w:rsidR="00AB0276" w:rsidRPr="00B438F5" w:rsidRDefault="00AB0276" w:rsidP="00AB0276">
      <w:pPr>
        <w:pStyle w:val="ListParagraph"/>
        <w:numPr>
          <w:ilvl w:val="0"/>
          <w:numId w:val="10"/>
        </w:num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8F5">
        <w:rPr>
          <w:rFonts w:ascii="Times New Roman" w:eastAsia="Times New Roman" w:hAnsi="Times New Roman" w:cs="Times New Roman"/>
          <w:b/>
          <w:bCs/>
          <w:sz w:val="24"/>
          <w:szCs w:val="24"/>
        </w:rPr>
        <w:t>Continuous certification in pediatric CPR and pediatric airway obstruction, First Aid, Universal Precautions, AND</w:t>
      </w:r>
    </w:p>
    <w:p w14:paraId="6F340AF4" w14:textId="77777777" w:rsidR="00AB0276" w:rsidRPr="00B438F5" w:rsidRDefault="00AB0276" w:rsidP="00AB0276">
      <w:pPr>
        <w:pStyle w:val="ListParagraph"/>
        <w:numPr>
          <w:ilvl w:val="0"/>
          <w:numId w:val="10"/>
        </w:num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38F5">
        <w:rPr>
          <w:rFonts w:ascii="Times New Roman" w:eastAsia="Times New Roman" w:hAnsi="Times New Roman" w:cs="Times New Roman"/>
          <w:b/>
          <w:bCs/>
          <w:sz w:val="24"/>
          <w:szCs w:val="24"/>
        </w:rPr>
        <w:t>If applicable, Well Water Testing.</w:t>
      </w:r>
    </w:p>
    <w:p w14:paraId="3A952F8C" w14:textId="77777777" w:rsidR="00AB0276" w:rsidRPr="00B438F5" w:rsidRDefault="00AB0276" w:rsidP="00AB0276">
      <w:pPr>
        <w:pStyle w:val="ListParagraph"/>
        <w:numPr>
          <w:ilvl w:val="0"/>
          <w:numId w:val="12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F5">
        <w:rPr>
          <w:rFonts w:ascii="Times New Roman" w:eastAsia="Times New Roman" w:hAnsi="Times New Roman" w:cs="Times New Roman"/>
          <w:sz w:val="24"/>
          <w:szCs w:val="24"/>
        </w:rPr>
        <w:t>This is only applicable if the foster family home’s water source is a well.</w:t>
      </w:r>
    </w:p>
    <w:p w14:paraId="084DDFE9" w14:textId="77777777" w:rsidR="00AB0276" w:rsidRPr="00B438F5" w:rsidRDefault="00AB0276" w:rsidP="00AB0276">
      <w:pPr>
        <w:pStyle w:val="ListParagraph"/>
        <w:numPr>
          <w:ilvl w:val="0"/>
          <w:numId w:val="12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F5">
        <w:rPr>
          <w:rFonts w:ascii="Times New Roman" w:eastAsia="Times New Roman" w:hAnsi="Times New Roman" w:cs="Times New Roman"/>
          <w:sz w:val="24"/>
          <w:szCs w:val="24"/>
        </w:rPr>
        <w:t>Indiana code requires private water sources (wells) to be tested annually.  If a foster family is using that as their source of drinking and cooking water, the test results are non-negotiable.  A test must be conducted annually, and those results provided for their ongoing license using SF 54612.</w:t>
      </w:r>
    </w:p>
    <w:p w14:paraId="2E939D27" w14:textId="77777777" w:rsidR="00AB0276" w:rsidRPr="00B438F5" w:rsidRDefault="00AB0276" w:rsidP="00AB0276">
      <w:pPr>
        <w:pStyle w:val="ListParagraph"/>
        <w:numPr>
          <w:ilvl w:val="0"/>
          <w:numId w:val="13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lastRenderedPageBreak/>
        <w:t xml:space="preserve">A variance </w:t>
      </w:r>
      <w:r w:rsidRPr="00B438F5">
        <w:rPr>
          <w:rFonts w:ascii="Times New Roman" w:hAnsi="Times New Roman" w:cs="Times New Roman"/>
          <w:b/>
          <w:bCs/>
          <w:sz w:val="24"/>
          <w:szCs w:val="24"/>
        </w:rPr>
        <w:t xml:space="preserve">may </w:t>
      </w:r>
      <w:r w:rsidRPr="00B438F5">
        <w:rPr>
          <w:rFonts w:ascii="Times New Roman" w:hAnsi="Times New Roman" w:cs="Times New Roman"/>
          <w:sz w:val="24"/>
          <w:szCs w:val="24"/>
        </w:rPr>
        <w:t xml:space="preserve">be granted to utilize bottled drinking water in lieu of well water.  SF 54612 must be completed annually to record the variance request and be documented in the </w:t>
      </w:r>
      <w:r w:rsidRPr="00B438F5">
        <w:rPr>
          <w:rFonts w:ascii="Times New Roman" w:hAnsi="Times New Roman" w:cs="Times New Roman"/>
          <w:i/>
          <w:iCs/>
          <w:sz w:val="24"/>
          <w:szCs w:val="24"/>
        </w:rPr>
        <w:t>License Summary</w:t>
      </w:r>
      <w:r w:rsidRPr="00B438F5">
        <w:rPr>
          <w:rFonts w:ascii="Times New Roman" w:hAnsi="Times New Roman" w:cs="Times New Roman"/>
          <w:sz w:val="24"/>
          <w:szCs w:val="24"/>
        </w:rPr>
        <w:t xml:space="preserve"> within the case management system.</w:t>
      </w:r>
    </w:p>
    <w:p w14:paraId="70009AC9" w14:textId="77777777" w:rsidR="00AB0276" w:rsidRPr="00B438F5" w:rsidRDefault="00AB0276" w:rsidP="00AB0276">
      <w:pPr>
        <w:pStyle w:val="ListParagraph"/>
        <w:numPr>
          <w:ilvl w:val="0"/>
          <w:numId w:val="14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38F5">
        <w:rPr>
          <w:rFonts w:ascii="Times New Roman" w:eastAsia="Times New Roman" w:hAnsi="Times New Roman" w:cs="Times New Roman"/>
          <w:sz w:val="24"/>
          <w:szCs w:val="24"/>
        </w:rPr>
        <w:t xml:space="preserve">If a variance is requested/granted, a test is </w:t>
      </w:r>
      <w:r w:rsidRPr="00B438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 </w:t>
      </w:r>
      <w:r w:rsidRPr="00B438F5">
        <w:rPr>
          <w:rFonts w:ascii="Times New Roman" w:eastAsia="Times New Roman" w:hAnsi="Times New Roman" w:cs="Times New Roman"/>
          <w:sz w:val="24"/>
          <w:szCs w:val="24"/>
        </w:rPr>
        <w:t>necessary.</w:t>
      </w:r>
    </w:p>
    <w:bookmarkEnd w:id="0"/>
    <w:p w14:paraId="2DE28D25" w14:textId="77777777" w:rsidR="00461971" w:rsidRPr="00B438F5" w:rsidRDefault="00461971" w:rsidP="00461971">
      <w:pPr>
        <w:rPr>
          <w:rFonts w:ascii="Times New Roman" w:hAnsi="Times New Roman" w:cs="Times New Roman"/>
          <w:sz w:val="24"/>
          <w:szCs w:val="24"/>
        </w:rPr>
      </w:pPr>
    </w:p>
    <w:p w14:paraId="6A79CC14" w14:textId="04953702" w:rsidR="00F34A4A" w:rsidRPr="00B438F5" w:rsidRDefault="004753B0" w:rsidP="00AB0276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438F5">
        <w:rPr>
          <w:rFonts w:ascii="Times New Roman" w:hAnsi="Times New Roman" w:cs="Times New Roman"/>
          <w:b/>
          <w:bCs/>
          <w:sz w:val="24"/>
          <w:szCs w:val="24"/>
        </w:rPr>
        <w:t>Overdue Annual Clean Up (Angie Smith – Grossman)</w:t>
      </w:r>
    </w:p>
    <w:p w14:paraId="5A485D89" w14:textId="17EA8379" w:rsidR="004753B0" w:rsidRPr="00B438F5" w:rsidRDefault="004753B0" w:rsidP="00AB027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FD32EB0" w14:textId="48173F31" w:rsidR="00DF6C0B" w:rsidRPr="00B438F5" w:rsidRDefault="0075717B" w:rsidP="00AB027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Foster Care Unit for two years has addressed the overdue Annual Review clean up procedure. Annual Reviews must be in compliance with regulations.</w:t>
      </w:r>
      <w:r w:rsidR="00BC0DBC" w:rsidRPr="00B438F5">
        <w:rPr>
          <w:rFonts w:ascii="Times New Roman" w:hAnsi="Times New Roman" w:cs="Times New Roman"/>
          <w:sz w:val="24"/>
          <w:szCs w:val="24"/>
        </w:rPr>
        <w:t xml:space="preserve"> </w:t>
      </w:r>
      <w:r w:rsidRPr="00B438F5">
        <w:rPr>
          <w:rFonts w:ascii="Times New Roman" w:hAnsi="Times New Roman" w:cs="Times New Roman"/>
          <w:sz w:val="24"/>
          <w:szCs w:val="24"/>
        </w:rPr>
        <w:t>DCS currently has 600</w:t>
      </w:r>
      <w:r w:rsidR="00DF6C0B" w:rsidRPr="00B438F5">
        <w:rPr>
          <w:rFonts w:ascii="Times New Roman" w:hAnsi="Times New Roman" w:cs="Times New Roman"/>
          <w:sz w:val="24"/>
          <w:szCs w:val="24"/>
        </w:rPr>
        <w:t xml:space="preserve"> overdue Annual Reviews from LCPAs.</w:t>
      </w:r>
      <w:r w:rsidR="00BC0DBC" w:rsidRPr="00B438F5">
        <w:rPr>
          <w:rFonts w:ascii="Times New Roman" w:hAnsi="Times New Roman" w:cs="Times New Roman"/>
          <w:sz w:val="24"/>
          <w:szCs w:val="24"/>
        </w:rPr>
        <w:t xml:space="preserve"> </w:t>
      </w:r>
      <w:r w:rsidR="00DF6C0B" w:rsidRPr="00B438F5">
        <w:rPr>
          <w:rFonts w:ascii="Times New Roman" w:hAnsi="Times New Roman" w:cs="Times New Roman"/>
          <w:sz w:val="24"/>
          <w:szCs w:val="24"/>
        </w:rPr>
        <w:t>Every month Angela Smith-Grossman will talk individually with agencies in overdue status</w:t>
      </w:r>
      <w:r w:rsidR="00EE208B" w:rsidRPr="00B438F5">
        <w:rPr>
          <w:rFonts w:ascii="Times New Roman" w:hAnsi="Times New Roman" w:cs="Times New Roman"/>
          <w:sz w:val="24"/>
          <w:szCs w:val="24"/>
        </w:rPr>
        <w:t>.</w:t>
      </w:r>
      <w:r w:rsidR="00BC0DBC" w:rsidRPr="00B438F5">
        <w:rPr>
          <w:rFonts w:ascii="Times New Roman" w:hAnsi="Times New Roman" w:cs="Times New Roman"/>
          <w:sz w:val="24"/>
          <w:szCs w:val="24"/>
        </w:rPr>
        <w:t xml:space="preserve"> </w:t>
      </w:r>
      <w:r w:rsidR="00DF6C0B" w:rsidRPr="00B438F5">
        <w:rPr>
          <w:rFonts w:ascii="Times New Roman" w:hAnsi="Times New Roman" w:cs="Times New Roman"/>
          <w:sz w:val="24"/>
          <w:szCs w:val="24"/>
        </w:rPr>
        <w:t>Hope to have less than 200 in July 2022 of Overdue Annuals.</w:t>
      </w:r>
    </w:p>
    <w:p w14:paraId="5655552D" w14:textId="22B18062" w:rsidR="00DF6C0B" w:rsidRPr="00B438F5" w:rsidRDefault="00DF6C0B" w:rsidP="00AB02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96EBB3" w14:textId="5EB68526" w:rsidR="00DF6C0B" w:rsidRPr="00B438F5" w:rsidRDefault="004B05A1" w:rsidP="00AB0276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438F5">
        <w:rPr>
          <w:rFonts w:ascii="Times New Roman" w:hAnsi="Times New Roman" w:cs="Times New Roman"/>
          <w:b/>
          <w:bCs/>
          <w:sz w:val="24"/>
          <w:szCs w:val="24"/>
        </w:rPr>
        <w:t>High Acuity Needs Assessment (Crystal Whitis):</w:t>
      </w:r>
    </w:p>
    <w:p w14:paraId="1B1EE9C2" w14:textId="0BFA80FC" w:rsidR="00EE208B" w:rsidRPr="00B438F5" w:rsidRDefault="00EE208B" w:rsidP="00AB02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32FE4B" w14:textId="07DD1FBF" w:rsidR="00EE208B" w:rsidRPr="00B438F5" w:rsidRDefault="00EE208B" w:rsidP="00AB027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 xml:space="preserve">How to serve high acuity youth who do not fit into their current treatment </w:t>
      </w:r>
      <w:r w:rsidR="00AB0276" w:rsidRPr="00B438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B438F5">
        <w:rPr>
          <w:rFonts w:ascii="Times New Roman" w:hAnsi="Times New Roman" w:cs="Times New Roman"/>
          <w:sz w:val="24"/>
          <w:szCs w:val="24"/>
        </w:rPr>
        <w:t>and are not in the correct</w:t>
      </w:r>
      <w:r w:rsidR="00AB0276" w:rsidRPr="00B438F5">
        <w:rPr>
          <w:rFonts w:ascii="Times New Roman" w:hAnsi="Times New Roman" w:cs="Times New Roman"/>
          <w:sz w:val="24"/>
          <w:szCs w:val="24"/>
        </w:rPr>
        <w:t xml:space="preserve"> treatment</w:t>
      </w:r>
      <w:r w:rsidRPr="00B438F5">
        <w:rPr>
          <w:rFonts w:ascii="Times New Roman" w:hAnsi="Times New Roman" w:cs="Times New Roman"/>
          <w:sz w:val="24"/>
          <w:szCs w:val="24"/>
        </w:rPr>
        <w:t xml:space="preserve"> environment?</w:t>
      </w:r>
    </w:p>
    <w:p w14:paraId="47C9C087" w14:textId="54E0C0B7" w:rsidR="00EE208B" w:rsidRPr="00B438F5" w:rsidRDefault="00EE208B" w:rsidP="00AB027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Som</w:t>
      </w:r>
      <w:r w:rsidR="00175F10" w:rsidRPr="00B438F5">
        <w:rPr>
          <w:rFonts w:ascii="Times New Roman" w:hAnsi="Times New Roman" w:cs="Times New Roman"/>
          <w:sz w:val="24"/>
          <w:szCs w:val="24"/>
        </w:rPr>
        <w:t xml:space="preserve">e ideas include different types of Residential Care, Foster Care and Emergency </w:t>
      </w:r>
    </w:p>
    <w:p w14:paraId="4D4E00A0" w14:textId="457D85BB" w:rsidR="00175F10" w:rsidRPr="00B438F5" w:rsidRDefault="00175F10" w:rsidP="00AB027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Shelter Care.</w:t>
      </w:r>
    </w:p>
    <w:p w14:paraId="7B802202" w14:textId="7DA5A713" w:rsidR="00175F10" w:rsidRPr="00B438F5" w:rsidRDefault="00175F10" w:rsidP="00AB027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9C97887" w14:textId="685D0554" w:rsidR="00175F10" w:rsidRPr="00B438F5" w:rsidRDefault="00BC0DBC" w:rsidP="00AB027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 xml:space="preserve">DCS is working to identify </w:t>
      </w:r>
      <w:r w:rsidR="00AB0276" w:rsidRPr="00B438F5">
        <w:rPr>
          <w:rFonts w:ascii="Times New Roman" w:hAnsi="Times New Roman" w:cs="Times New Roman"/>
          <w:sz w:val="24"/>
          <w:szCs w:val="24"/>
        </w:rPr>
        <w:t xml:space="preserve">the </w:t>
      </w:r>
      <w:r w:rsidR="00175F10" w:rsidRPr="00B438F5">
        <w:rPr>
          <w:rFonts w:ascii="Times New Roman" w:hAnsi="Times New Roman" w:cs="Times New Roman"/>
          <w:sz w:val="24"/>
          <w:szCs w:val="24"/>
        </w:rPr>
        <w:t>places in Indiana where there are youth with high acuity behavioral needs.</w:t>
      </w:r>
      <w:r w:rsidR="005F52A3" w:rsidRPr="00B438F5">
        <w:rPr>
          <w:rFonts w:ascii="Times New Roman" w:hAnsi="Times New Roman" w:cs="Times New Roman"/>
          <w:sz w:val="24"/>
          <w:szCs w:val="24"/>
        </w:rPr>
        <w:t xml:space="preserve"> </w:t>
      </w:r>
      <w:r w:rsidR="00175F10" w:rsidRPr="00B438F5">
        <w:rPr>
          <w:rFonts w:ascii="Times New Roman" w:hAnsi="Times New Roman" w:cs="Times New Roman"/>
          <w:sz w:val="24"/>
          <w:szCs w:val="24"/>
        </w:rPr>
        <w:t xml:space="preserve">Before </w:t>
      </w:r>
      <w:r w:rsidR="00AB0276" w:rsidRPr="00B438F5">
        <w:rPr>
          <w:rFonts w:ascii="Times New Roman" w:hAnsi="Times New Roman" w:cs="Times New Roman"/>
          <w:sz w:val="24"/>
          <w:szCs w:val="24"/>
        </w:rPr>
        <w:t xml:space="preserve">DCS looks to expand or add new service types, it was determined that a </w:t>
      </w:r>
      <w:r w:rsidR="005F52A3" w:rsidRPr="00B438F5">
        <w:rPr>
          <w:rFonts w:ascii="Times New Roman" w:hAnsi="Times New Roman" w:cs="Times New Roman"/>
          <w:sz w:val="24"/>
          <w:szCs w:val="24"/>
        </w:rPr>
        <w:t xml:space="preserve"> high acuity needs assessment</w:t>
      </w:r>
      <w:r w:rsidR="00AB0276" w:rsidRPr="00B438F5">
        <w:rPr>
          <w:rFonts w:ascii="Times New Roman" w:hAnsi="Times New Roman" w:cs="Times New Roman"/>
          <w:sz w:val="24"/>
          <w:szCs w:val="24"/>
        </w:rPr>
        <w:t xml:space="preserve"> should be implemented to determine the true need</w:t>
      </w:r>
      <w:r w:rsidR="005F52A3" w:rsidRPr="00B438F5">
        <w:rPr>
          <w:rFonts w:ascii="Times New Roman" w:hAnsi="Times New Roman" w:cs="Times New Roman"/>
          <w:sz w:val="24"/>
          <w:szCs w:val="24"/>
        </w:rPr>
        <w:t xml:space="preserve">.  The target will be youth with high acuity needs </w:t>
      </w:r>
      <w:r w:rsidR="00AB0276" w:rsidRPr="00B438F5">
        <w:rPr>
          <w:rFonts w:ascii="Times New Roman" w:hAnsi="Times New Roman" w:cs="Times New Roman"/>
          <w:sz w:val="24"/>
          <w:szCs w:val="24"/>
        </w:rPr>
        <w:t>who</w:t>
      </w:r>
      <w:r w:rsidR="005F52A3" w:rsidRPr="00B438F5">
        <w:rPr>
          <w:rFonts w:ascii="Times New Roman" w:hAnsi="Times New Roman" w:cs="Times New Roman"/>
          <w:sz w:val="24"/>
          <w:szCs w:val="24"/>
        </w:rPr>
        <w:t xml:space="preserve"> are in ESC or Residential</w:t>
      </w:r>
      <w:r w:rsidR="00AB0276" w:rsidRPr="00B438F5">
        <w:rPr>
          <w:rFonts w:ascii="Times New Roman" w:hAnsi="Times New Roman" w:cs="Times New Roman"/>
          <w:sz w:val="24"/>
          <w:szCs w:val="24"/>
        </w:rPr>
        <w:t xml:space="preserve"> settings</w:t>
      </w:r>
      <w:r w:rsidR="003C2507" w:rsidRPr="00B438F5">
        <w:rPr>
          <w:rFonts w:ascii="Times New Roman" w:hAnsi="Times New Roman" w:cs="Times New Roman"/>
          <w:sz w:val="24"/>
          <w:szCs w:val="24"/>
        </w:rPr>
        <w:t>,</w:t>
      </w:r>
      <w:r w:rsidR="005F52A3" w:rsidRPr="00B438F5">
        <w:rPr>
          <w:rFonts w:ascii="Times New Roman" w:hAnsi="Times New Roman" w:cs="Times New Roman"/>
          <w:sz w:val="24"/>
          <w:szCs w:val="24"/>
        </w:rPr>
        <w:t xml:space="preserve"> </w:t>
      </w:r>
      <w:r w:rsidR="00AB0276" w:rsidRPr="00B438F5">
        <w:rPr>
          <w:rFonts w:ascii="Times New Roman" w:hAnsi="Times New Roman" w:cs="Times New Roman"/>
          <w:sz w:val="24"/>
          <w:szCs w:val="24"/>
        </w:rPr>
        <w:t>and for whom a 30day (or 5-day for ESC) notice has been given</w:t>
      </w:r>
      <w:r w:rsidR="005F52A3" w:rsidRPr="00B438F5">
        <w:rPr>
          <w:rFonts w:ascii="Times New Roman" w:hAnsi="Times New Roman" w:cs="Times New Roman"/>
          <w:sz w:val="24"/>
          <w:szCs w:val="24"/>
        </w:rPr>
        <w:t>.</w:t>
      </w:r>
    </w:p>
    <w:p w14:paraId="24390BF2" w14:textId="251DAC2B" w:rsidR="003C2507" w:rsidRPr="00B438F5" w:rsidRDefault="003C2507" w:rsidP="00AB027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 xml:space="preserve">DCS </w:t>
      </w:r>
      <w:r w:rsidR="00B438F5" w:rsidRPr="00B438F5">
        <w:rPr>
          <w:rFonts w:ascii="Times New Roman" w:hAnsi="Times New Roman" w:cs="Times New Roman"/>
          <w:sz w:val="24"/>
          <w:szCs w:val="24"/>
        </w:rPr>
        <w:t>is looking</w:t>
      </w:r>
      <w:r w:rsidRPr="00B438F5">
        <w:rPr>
          <w:rFonts w:ascii="Times New Roman" w:hAnsi="Times New Roman" w:cs="Times New Roman"/>
          <w:sz w:val="24"/>
          <w:szCs w:val="24"/>
        </w:rPr>
        <w:t xml:space="preserve"> to ascertain:</w:t>
      </w:r>
    </w:p>
    <w:p w14:paraId="6FEB7FFB" w14:textId="587C1888" w:rsidR="003C2507" w:rsidRPr="00B438F5" w:rsidRDefault="003C2507" w:rsidP="00AB0276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 xml:space="preserve">Number of youth involved with </w:t>
      </w:r>
      <w:r w:rsidR="00B438F5" w:rsidRPr="00B438F5">
        <w:rPr>
          <w:rFonts w:ascii="Times New Roman" w:hAnsi="Times New Roman" w:cs="Times New Roman"/>
          <w:sz w:val="24"/>
          <w:szCs w:val="24"/>
        </w:rPr>
        <w:t xml:space="preserve">high </w:t>
      </w:r>
      <w:r w:rsidRPr="00B438F5">
        <w:rPr>
          <w:rFonts w:ascii="Times New Roman" w:hAnsi="Times New Roman" w:cs="Times New Roman"/>
          <w:sz w:val="24"/>
          <w:szCs w:val="24"/>
        </w:rPr>
        <w:t>acuity needs and needing new</w:t>
      </w:r>
      <w:r w:rsidR="00B438F5" w:rsidRPr="00B438F5">
        <w:rPr>
          <w:rFonts w:ascii="Times New Roman" w:hAnsi="Times New Roman" w:cs="Times New Roman"/>
          <w:sz w:val="24"/>
          <w:szCs w:val="24"/>
        </w:rPr>
        <w:t>/different</w:t>
      </w:r>
      <w:r w:rsidRPr="00B438F5">
        <w:rPr>
          <w:rFonts w:ascii="Times New Roman" w:hAnsi="Times New Roman" w:cs="Times New Roman"/>
          <w:sz w:val="24"/>
          <w:szCs w:val="24"/>
        </w:rPr>
        <w:t xml:space="preserve"> treatment and placement environment</w:t>
      </w:r>
      <w:r w:rsidR="00B86755" w:rsidRPr="00B438F5">
        <w:rPr>
          <w:rFonts w:ascii="Times New Roman" w:hAnsi="Times New Roman" w:cs="Times New Roman"/>
          <w:sz w:val="24"/>
          <w:szCs w:val="24"/>
        </w:rPr>
        <w:t>?</w:t>
      </w:r>
    </w:p>
    <w:p w14:paraId="651ABEF9" w14:textId="30975F83" w:rsidR="003C2507" w:rsidRPr="00B438F5" w:rsidRDefault="003C2507" w:rsidP="00AB0276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Where should the new placement be for youth?</w:t>
      </w:r>
      <w:r w:rsidR="00B438F5" w:rsidRPr="00B438F5">
        <w:rPr>
          <w:rFonts w:ascii="Times New Roman" w:hAnsi="Times New Roman" w:cs="Times New Roman"/>
          <w:sz w:val="24"/>
          <w:szCs w:val="24"/>
        </w:rPr>
        <w:t xml:space="preserve"> I.e. What are the treatment recommendations moving forward?</w:t>
      </w:r>
    </w:p>
    <w:p w14:paraId="20A87F89" w14:textId="7D8D0DD3" w:rsidR="003C2507" w:rsidRPr="00B438F5" w:rsidRDefault="00B438F5" w:rsidP="00AB0276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>Determine</w:t>
      </w:r>
      <w:r w:rsidR="003C2507" w:rsidRPr="00B438F5">
        <w:rPr>
          <w:rFonts w:ascii="Times New Roman" w:hAnsi="Times New Roman" w:cs="Times New Roman"/>
          <w:sz w:val="24"/>
          <w:szCs w:val="24"/>
        </w:rPr>
        <w:t xml:space="preserve"> why youth are not being placed into the new placements?  What factors are in the way of new placement?</w:t>
      </w:r>
    </w:p>
    <w:p w14:paraId="1AD26999" w14:textId="1FB3C067" w:rsidR="00B438F5" w:rsidRDefault="00B86755" w:rsidP="00B438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 xml:space="preserve">High Acuity Needs Assessment will be </w:t>
      </w:r>
      <w:r w:rsidR="00B438F5" w:rsidRPr="00B438F5">
        <w:rPr>
          <w:rFonts w:ascii="Times New Roman" w:hAnsi="Times New Roman" w:cs="Times New Roman"/>
          <w:sz w:val="24"/>
          <w:szCs w:val="24"/>
        </w:rPr>
        <w:t>conducted with residential</w:t>
      </w:r>
      <w:r w:rsidRPr="00B438F5">
        <w:rPr>
          <w:rFonts w:ascii="Times New Roman" w:hAnsi="Times New Roman" w:cs="Times New Roman"/>
          <w:sz w:val="24"/>
          <w:szCs w:val="24"/>
        </w:rPr>
        <w:t xml:space="preserve"> providers </w:t>
      </w:r>
      <w:r w:rsidR="00B438F5" w:rsidRPr="00B438F5">
        <w:rPr>
          <w:rFonts w:ascii="Times New Roman" w:hAnsi="Times New Roman" w:cs="Times New Roman"/>
          <w:sz w:val="24"/>
          <w:szCs w:val="24"/>
        </w:rPr>
        <w:t xml:space="preserve">in March/April. These will be completed by the Residential Licensing Specialists in communication with provider agency staff. </w:t>
      </w:r>
    </w:p>
    <w:p w14:paraId="4DE8DFD2" w14:textId="79DF622A" w:rsidR="00B438F5" w:rsidRDefault="00B438F5" w:rsidP="00B438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C5CE29" w14:textId="0482B9C3" w:rsidR="00B438F5" w:rsidRDefault="00B438F5" w:rsidP="00B438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1D3087" w14:textId="77777777" w:rsidR="00B438F5" w:rsidRPr="00B438F5" w:rsidRDefault="00B438F5" w:rsidP="00B438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22526" w14:textId="291E1ADF" w:rsidR="008C1358" w:rsidRPr="00B438F5" w:rsidRDefault="008C1358" w:rsidP="00AB0276">
      <w:pPr>
        <w:rPr>
          <w:rFonts w:ascii="Times New Roman" w:hAnsi="Times New Roman" w:cs="Times New Roman"/>
          <w:sz w:val="24"/>
          <w:szCs w:val="24"/>
        </w:rPr>
      </w:pPr>
      <w:r w:rsidRPr="00B438F5">
        <w:rPr>
          <w:rFonts w:ascii="Times New Roman" w:hAnsi="Times New Roman" w:cs="Times New Roman"/>
          <w:sz w:val="24"/>
          <w:szCs w:val="24"/>
        </w:rPr>
        <w:t xml:space="preserve">          Next LCPA meeting is 5/4/22 </w:t>
      </w:r>
      <w:r w:rsidR="00B438F5">
        <w:rPr>
          <w:rFonts w:ascii="Times New Roman" w:hAnsi="Times New Roman" w:cs="Times New Roman"/>
          <w:sz w:val="24"/>
          <w:szCs w:val="24"/>
        </w:rPr>
        <w:t>at 1pm Eastern/12pm Central</w:t>
      </w:r>
      <w:r w:rsidRPr="00B438F5">
        <w:rPr>
          <w:rFonts w:ascii="Times New Roman" w:hAnsi="Times New Roman" w:cs="Times New Roman"/>
          <w:sz w:val="24"/>
          <w:szCs w:val="24"/>
        </w:rPr>
        <w:t>.</w:t>
      </w:r>
    </w:p>
    <w:p w14:paraId="2F657632" w14:textId="5F78360F" w:rsidR="008C1358" w:rsidRPr="008C1358" w:rsidRDefault="008C1358" w:rsidP="00AB0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545E73" w14:textId="77777777" w:rsidR="008C1358" w:rsidRDefault="008C1358" w:rsidP="00AB0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D88CD9" w14:textId="3EE01C48" w:rsidR="00E96B25" w:rsidRPr="00BC0DBC" w:rsidRDefault="00B86755" w:rsidP="00AB02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sectPr w:rsidR="00E96B25" w:rsidRPr="00BC0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075"/>
    <w:multiLevelType w:val="hybridMultilevel"/>
    <w:tmpl w:val="60CE3C88"/>
    <w:lvl w:ilvl="0" w:tplc="78EC9778">
      <w:start w:val="1"/>
      <w:numFmt w:val="lowerRoman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33882B04"/>
    <w:multiLevelType w:val="hybridMultilevel"/>
    <w:tmpl w:val="B9A8056C"/>
    <w:lvl w:ilvl="0" w:tplc="F5B24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E6BF5"/>
    <w:multiLevelType w:val="hybridMultilevel"/>
    <w:tmpl w:val="F0162E2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34ED9"/>
    <w:multiLevelType w:val="hybridMultilevel"/>
    <w:tmpl w:val="AABEE0D6"/>
    <w:lvl w:ilvl="0" w:tplc="DF8ED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B631D"/>
    <w:multiLevelType w:val="hybridMultilevel"/>
    <w:tmpl w:val="BFC43A76"/>
    <w:lvl w:ilvl="0" w:tplc="BE2E87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AC38AF"/>
    <w:multiLevelType w:val="hybridMultilevel"/>
    <w:tmpl w:val="3BE8B9A0"/>
    <w:lvl w:ilvl="0" w:tplc="1B04C886">
      <w:start w:val="1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6B06179D"/>
    <w:multiLevelType w:val="hybridMultilevel"/>
    <w:tmpl w:val="0BD0A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F5904"/>
    <w:multiLevelType w:val="hybridMultilevel"/>
    <w:tmpl w:val="2E2A60DA"/>
    <w:lvl w:ilvl="0" w:tplc="07466700">
      <w:start w:val="1"/>
      <w:numFmt w:val="decimal"/>
      <w:lvlText w:val="%1."/>
      <w:lvlJc w:val="left"/>
      <w:pPr>
        <w:ind w:left="31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E5"/>
    <w:rsid w:val="00175F10"/>
    <w:rsid w:val="003C2507"/>
    <w:rsid w:val="00461971"/>
    <w:rsid w:val="004753B0"/>
    <w:rsid w:val="004B05A1"/>
    <w:rsid w:val="005559AD"/>
    <w:rsid w:val="005F52A3"/>
    <w:rsid w:val="006B1F13"/>
    <w:rsid w:val="007115BC"/>
    <w:rsid w:val="0075717B"/>
    <w:rsid w:val="00797D1C"/>
    <w:rsid w:val="008C1358"/>
    <w:rsid w:val="00AB0276"/>
    <w:rsid w:val="00B438F5"/>
    <w:rsid w:val="00B86755"/>
    <w:rsid w:val="00BA5EE5"/>
    <w:rsid w:val="00BC0DBC"/>
    <w:rsid w:val="00D8294D"/>
    <w:rsid w:val="00DA3228"/>
    <w:rsid w:val="00DF6C0B"/>
    <w:rsid w:val="00E96B25"/>
    <w:rsid w:val="00EE208B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0E83"/>
  <w15:chartTrackingRefBased/>
  <w15:docId w15:val="{8F6B51A6-CE2A-4C72-ACD3-C65465D7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94D"/>
    <w:pPr>
      <w:ind w:left="720"/>
      <w:contextualSpacing/>
    </w:pPr>
  </w:style>
  <w:style w:type="paragraph" w:styleId="NoSpacing">
    <w:name w:val="No Spacing"/>
    <w:uiPriority w:val="1"/>
    <w:qFormat/>
    <w:rsid w:val="008C1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Bunch, Debra</dc:creator>
  <cp:keywords/>
  <dc:description/>
  <cp:lastModifiedBy>Vowels, Whitney</cp:lastModifiedBy>
  <cp:revision>2</cp:revision>
  <dcterms:created xsi:type="dcterms:W3CDTF">2022-04-27T18:28:00Z</dcterms:created>
  <dcterms:modified xsi:type="dcterms:W3CDTF">2022-04-27T18:28:00Z</dcterms:modified>
</cp:coreProperties>
</file>