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C9" w:rsidRPr="006D2EC9" w:rsidRDefault="00572AE9" w:rsidP="006D2E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NOTES</w:t>
      </w:r>
    </w:p>
    <w:p w:rsidR="006D2EC9" w:rsidRPr="006D2EC9" w:rsidRDefault="006D2EC9" w:rsidP="006D2EC9">
      <w:pPr>
        <w:jc w:val="center"/>
        <w:rPr>
          <w:sz w:val="32"/>
          <w:szCs w:val="32"/>
        </w:rPr>
      </w:pPr>
    </w:p>
    <w:p w:rsidR="006D2EC9" w:rsidRPr="006D2EC9" w:rsidRDefault="006D2EC9" w:rsidP="006D2EC9">
      <w:pPr>
        <w:jc w:val="center"/>
        <w:rPr>
          <w:b/>
          <w:sz w:val="28"/>
          <w:szCs w:val="28"/>
        </w:rPr>
      </w:pPr>
      <w:r w:rsidRPr="006D2EC9">
        <w:rPr>
          <w:b/>
          <w:sz w:val="28"/>
          <w:szCs w:val="28"/>
        </w:rPr>
        <w:t>Student Success Committee</w:t>
      </w:r>
    </w:p>
    <w:p w:rsidR="006D2EC9" w:rsidRPr="006D2EC9" w:rsidRDefault="006D2EC9" w:rsidP="006D2EC9">
      <w:pPr>
        <w:jc w:val="center"/>
        <w:rPr>
          <w:b/>
          <w:sz w:val="28"/>
          <w:szCs w:val="28"/>
        </w:rPr>
      </w:pPr>
      <w:r w:rsidRPr="006D2EC9">
        <w:rPr>
          <w:b/>
          <w:sz w:val="28"/>
          <w:szCs w:val="28"/>
        </w:rPr>
        <w:t>Organizational Meeting</w:t>
      </w:r>
    </w:p>
    <w:p w:rsidR="006D2EC9" w:rsidRPr="006D2EC9" w:rsidRDefault="006D2EC9" w:rsidP="006D2EC9">
      <w:pPr>
        <w:jc w:val="center"/>
        <w:rPr>
          <w:b/>
          <w:sz w:val="28"/>
          <w:szCs w:val="28"/>
        </w:rPr>
      </w:pPr>
      <w:r w:rsidRPr="006D2EC9">
        <w:rPr>
          <w:b/>
          <w:sz w:val="28"/>
          <w:szCs w:val="28"/>
        </w:rPr>
        <w:t>July 15, 2011</w:t>
      </w:r>
    </w:p>
    <w:p w:rsidR="006D2EC9" w:rsidRDefault="006D2EC9" w:rsidP="006D2EC9">
      <w:pPr>
        <w:jc w:val="center"/>
        <w:rPr>
          <w:b/>
          <w:sz w:val="32"/>
          <w:szCs w:val="32"/>
        </w:rPr>
      </w:pPr>
    </w:p>
    <w:p w:rsidR="00572AE9" w:rsidRDefault="006D2EC9" w:rsidP="006D2EC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72AE9" w:rsidRDefault="00572AE9" w:rsidP="006D2EC9">
      <w:pPr>
        <w:rPr>
          <w:sz w:val="24"/>
          <w:szCs w:val="24"/>
        </w:rPr>
      </w:pPr>
      <w:r>
        <w:rPr>
          <w:sz w:val="24"/>
          <w:szCs w:val="24"/>
        </w:rPr>
        <w:t xml:space="preserve">Present: Dennis Bland, Marilyn Moran-Townsend, Ken </w:t>
      </w:r>
      <w:proofErr w:type="spellStart"/>
      <w:r>
        <w:rPr>
          <w:sz w:val="24"/>
          <w:szCs w:val="24"/>
        </w:rPr>
        <w:t>Sendelweck</w:t>
      </w:r>
      <w:proofErr w:type="spellEnd"/>
    </w:p>
    <w:p w:rsidR="00572AE9" w:rsidRPr="00572AE9" w:rsidRDefault="00572AE9" w:rsidP="006D2EC9">
      <w:pPr>
        <w:rPr>
          <w:sz w:val="24"/>
          <w:szCs w:val="24"/>
        </w:rPr>
      </w:pPr>
      <w:r>
        <w:rPr>
          <w:sz w:val="24"/>
          <w:szCs w:val="24"/>
        </w:rPr>
        <w:t>Jason Bearce, Catisha Coates, Sara Hess, Tatum Miller (staff)</w:t>
      </w:r>
    </w:p>
    <w:p w:rsidR="00572AE9" w:rsidRDefault="00572AE9" w:rsidP="00572AE9">
      <w:pPr>
        <w:pStyle w:val="ListParagraph"/>
        <w:rPr>
          <w:b/>
          <w:sz w:val="24"/>
          <w:szCs w:val="24"/>
        </w:rPr>
      </w:pPr>
    </w:p>
    <w:p w:rsidR="00573E04" w:rsidRDefault="00667315" w:rsidP="006D2EC9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Welcome &amp; </w:t>
      </w:r>
      <w:r w:rsidR="006D2EC9" w:rsidRPr="00573E04">
        <w:rPr>
          <w:b/>
          <w:sz w:val="24"/>
          <w:szCs w:val="24"/>
        </w:rPr>
        <w:t>Introduction</w:t>
      </w:r>
    </w:p>
    <w:p w:rsidR="00573E04" w:rsidRDefault="00572AE9" w:rsidP="00572AE9">
      <w:pPr>
        <w:rPr>
          <w:b/>
          <w:sz w:val="24"/>
          <w:szCs w:val="24"/>
        </w:rPr>
      </w:pPr>
      <w:r>
        <w:rPr>
          <w:sz w:val="24"/>
          <w:szCs w:val="24"/>
        </w:rPr>
        <w:t>Introduction of new staff members for Learn More Indiana: Sara Hess (Public Relations &amp; Policy Advocacy Manager) and Tatum Miller (Operations Manager)</w:t>
      </w:r>
    </w:p>
    <w:p w:rsidR="00667315" w:rsidRDefault="00667315" w:rsidP="00573E04">
      <w:pPr>
        <w:pStyle w:val="ListParagraph"/>
        <w:rPr>
          <w:b/>
          <w:sz w:val="24"/>
          <w:szCs w:val="24"/>
        </w:rPr>
      </w:pPr>
    </w:p>
    <w:p w:rsidR="006D2EC9" w:rsidRDefault="007B4F0D" w:rsidP="006D2EC9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Draft a</w:t>
      </w:r>
      <w:r w:rsidR="00667315">
        <w:rPr>
          <w:b/>
          <w:sz w:val="24"/>
          <w:szCs w:val="24"/>
        </w:rPr>
        <w:t xml:space="preserve"> Charge </w:t>
      </w:r>
      <w:r>
        <w:rPr>
          <w:b/>
          <w:sz w:val="24"/>
          <w:szCs w:val="24"/>
        </w:rPr>
        <w:t>for</w:t>
      </w:r>
      <w:r w:rsidR="00667315">
        <w:rPr>
          <w:b/>
          <w:sz w:val="24"/>
          <w:szCs w:val="24"/>
        </w:rPr>
        <w:t xml:space="preserve"> the Committee</w:t>
      </w:r>
    </w:p>
    <w:p w:rsidR="00572AE9" w:rsidRDefault="00572AE9" w:rsidP="00572AE9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The SSC should collaborate with partners</w:t>
      </w:r>
      <w:r w:rsidR="00C6602A">
        <w:rPr>
          <w:sz w:val="24"/>
          <w:szCs w:val="24"/>
        </w:rPr>
        <w:t>.</w:t>
      </w:r>
    </w:p>
    <w:p w:rsidR="00572AE9" w:rsidRDefault="00572AE9" w:rsidP="00572AE9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Student success can be defined as on-time and without excessive debt</w:t>
      </w:r>
      <w:r w:rsidR="00C6602A">
        <w:rPr>
          <w:sz w:val="24"/>
          <w:szCs w:val="24"/>
        </w:rPr>
        <w:t>.</w:t>
      </w:r>
    </w:p>
    <w:p w:rsidR="00572AE9" w:rsidRDefault="00572AE9" w:rsidP="00572AE9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The SSC should develop both policy and practice initiatives</w:t>
      </w:r>
      <w:r w:rsidR="00C6602A">
        <w:rPr>
          <w:sz w:val="24"/>
          <w:szCs w:val="24"/>
        </w:rPr>
        <w:t>.</w:t>
      </w:r>
    </w:p>
    <w:p w:rsidR="00572AE9" w:rsidRDefault="00572AE9" w:rsidP="00572AE9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We can have a charge and a focus. The charge shouldn’t be too lengthy.</w:t>
      </w:r>
    </w:p>
    <w:p w:rsidR="00572AE9" w:rsidRDefault="00572AE9" w:rsidP="00572AE9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The final version will be:</w:t>
      </w:r>
    </w:p>
    <w:p w:rsidR="00572AE9" w:rsidRDefault="00572AE9" w:rsidP="00572AE9">
      <w:pPr>
        <w:rPr>
          <w:sz w:val="24"/>
          <w:szCs w:val="24"/>
        </w:rPr>
      </w:pPr>
    </w:p>
    <w:p w:rsidR="00572AE9" w:rsidRPr="00C6602A" w:rsidRDefault="00572AE9" w:rsidP="00C6602A">
      <w:pPr>
        <w:jc w:val="center"/>
        <w:rPr>
          <w:i/>
          <w:sz w:val="32"/>
          <w:szCs w:val="24"/>
        </w:rPr>
      </w:pPr>
      <w:r w:rsidRPr="00C6602A">
        <w:rPr>
          <w:i/>
          <w:sz w:val="32"/>
          <w:szCs w:val="24"/>
        </w:rPr>
        <w:t>“The Student Success Committee will develop policy and practice initiatives to aid Hoosier postsecondary students in graduating on-time and without excessive debt.”</w:t>
      </w:r>
    </w:p>
    <w:p w:rsidR="006D2EC9" w:rsidRPr="00C6602A" w:rsidRDefault="006D2EC9" w:rsidP="00C6602A">
      <w:pPr>
        <w:jc w:val="center"/>
        <w:rPr>
          <w:i/>
          <w:sz w:val="32"/>
          <w:szCs w:val="24"/>
        </w:rPr>
      </w:pPr>
    </w:p>
    <w:p w:rsidR="00667315" w:rsidRDefault="00667315" w:rsidP="006D2EC9">
      <w:pPr>
        <w:rPr>
          <w:sz w:val="24"/>
          <w:szCs w:val="24"/>
        </w:rPr>
      </w:pPr>
    </w:p>
    <w:p w:rsidR="001F2BC2" w:rsidRPr="001F2BC2" w:rsidRDefault="00667315" w:rsidP="00573E04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Overview of Current </w:t>
      </w:r>
      <w:r w:rsidR="007B4F0D">
        <w:rPr>
          <w:b/>
          <w:sz w:val="24"/>
          <w:szCs w:val="24"/>
        </w:rPr>
        <w:t xml:space="preserve">Learn More Indiana </w:t>
      </w:r>
      <w:r w:rsidR="00E66186">
        <w:rPr>
          <w:b/>
          <w:sz w:val="24"/>
          <w:szCs w:val="24"/>
        </w:rPr>
        <w:t xml:space="preserve">Student Success </w:t>
      </w:r>
      <w:r>
        <w:rPr>
          <w:b/>
          <w:sz w:val="24"/>
          <w:szCs w:val="24"/>
        </w:rPr>
        <w:t>Efforts</w:t>
      </w:r>
    </w:p>
    <w:p w:rsidR="009C62E8" w:rsidRDefault="00572AE9" w:rsidP="006D2EC9">
      <w:pPr>
        <w:rPr>
          <w:sz w:val="24"/>
          <w:szCs w:val="24"/>
        </w:rPr>
      </w:pPr>
      <w:r>
        <w:rPr>
          <w:sz w:val="24"/>
          <w:szCs w:val="24"/>
        </w:rPr>
        <w:t>Jason Bearce presented Learn More Indiana’s current</w:t>
      </w:r>
      <w:r w:rsidR="009C62E8">
        <w:rPr>
          <w:sz w:val="24"/>
          <w:szCs w:val="24"/>
        </w:rPr>
        <w:t xml:space="preserve"> efforts.</w:t>
      </w:r>
      <w:r w:rsidR="00C6602A">
        <w:rPr>
          <w:sz w:val="24"/>
          <w:szCs w:val="24"/>
        </w:rPr>
        <w:t xml:space="preserve"> All efforts are</w:t>
      </w:r>
      <w:r w:rsidR="009C62E8">
        <w:rPr>
          <w:sz w:val="24"/>
          <w:szCs w:val="24"/>
        </w:rPr>
        <w:t xml:space="preserve"> geared around three concepts:</w:t>
      </w:r>
    </w:p>
    <w:p w:rsidR="009C62E8" w:rsidRDefault="009C62E8" w:rsidP="009C62E8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Plan: What do I want to be? (Careers, education needed, etc.)</w:t>
      </w:r>
    </w:p>
    <w:p w:rsidR="009C62E8" w:rsidRDefault="009C62E8" w:rsidP="009C62E8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Prepare: Educational content as well as “soft skills” like study skills.</w:t>
      </w:r>
    </w:p>
    <w:p w:rsidR="009C62E8" w:rsidRDefault="009C62E8" w:rsidP="009C62E8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Pay: The financial piece.</w:t>
      </w:r>
    </w:p>
    <w:p w:rsidR="009C62E8" w:rsidRPr="009C62E8" w:rsidRDefault="009C62E8" w:rsidP="009C62E8">
      <w:pPr>
        <w:rPr>
          <w:sz w:val="24"/>
          <w:szCs w:val="24"/>
        </w:rPr>
      </w:pPr>
    </w:p>
    <w:p w:rsidR="00667315" w:rsidRDefault="009C62E8" w:rsidP="006D2EC9">
      <w:pPr>
        <w:rPr>
          <w:sz w:val="24"/>
          <w:szCs w:val="24"/>
        </w:rPr>
      </w:pPr>
      <w:r>
        <w:rPr>
          <w:sz w:val="24"/>
          <w:szCs w:val="24"/>
        </w:rPr>
        <w:t>These three concepts are relevant for all of LMI’s audiences. LMI also has three campaigns annually:</w:t>
      </w:r>
    </w:p>
    <w:p w:rsidR="009C62E8" w:rsidRDefault="009C62E8" w:rsidP="009C62E8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KnowHow2GO: we are reframing this to focus on “preparing” and held in the summer</w:t>
      </w:r>
    </w:p>
    <w:p w:rsidR="009C62E8" w:rsidRDefault="009C62E8" w:rsidP="009C62E8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College GO! Week: focused on “planning” and held in the fall (this year September 26-30)</w:t>
      </w:r>
    </w:p>
    <w:p w:rsidR="009C62E8" w:rsidRDefault="009C62E8" w:rsidP="009C62E8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Cash for College: focused on “paying” and held in the winter/spring. Includes FAFSA Friday and College Goal Sunday</w:t>
      </w:r>
    </w:p>
    <w:p w:rsidR="009C62E8" w:rsidRDefault="009C62E8" w:rsidP="009C62E8">
      <w:pPr>
        <w:rPr>
          <w:sz w:val="24"/>
          <w:szCs w:val="24"/>
        </w:rPr>
      </w:pPr>
    </w:p>
    <w:p w:rsidR="009C62E8" w:rsidRDefault="009C62E8" w:rsidP="009C62E8">
      <w:pPr>
        <w:rPr>
          <w:sz w:val="24"/>
          <w:szCs w:val="24"/>
        </w:rPr>
      </w:pPr>
      <w:r>
        <w:rPr>
          <w:sz w:val="24"/>
          <w:szCs w:val="24"/>
        </w:rPr>
        <w:t xml:space="preserve">Additionally there are 17 county coalitions with 20 more starting this year. LMI determined that about 20 per year is an achievable goal. </w:t>
      </w:r>
    </w:p>
    <w:p w:rsidR="009C62E8" w:rsidRDefault="009C62E8" w:rsidP="009C62E8">
      <w:pPr>
        <w:rPr>
          <w:sz w:val="24"/>
          <w:szCs w:val="24"/>
        </w:rPr>
      </w:pPr>
    </w:p>
    <w:p w:rsidR="009C62E8" w:rsidRDefault="009C62E8" w:rsidP="009C62E8">
      <w:pPr>
        <w:rPr>
          <w:sz w:val="24"/>
          <w:szCs w:val="24"/>
        </w:rPr>
      </w:pPr>
      <w:r>
        <w:rPr>
          <w:sz w:val="24"/>
          <w:szCs w:val="24"/>
        </w:rPr>
        <w:t>Also, LMI partners with local agencies (YMCA</w:t>
      </w:r>
      <w:r w:rsidR="00D10752">
        <w:rPr>
          <w:sz w:val="24"/>
          <w:szCs w:val="24"/>
        </w:rPr>
        <w:t>,</w:t>
      </w:r>
      <w:r>
        <w:rPr>
          <w:sz w:val="24"/>
          <w:szCs w:val="24"/>
        </w:rPr>
        <w:t xml:space="preserve"> for example) and specific high schools to provide college mentoring. This is very important work and we hope to achieve scalable results.</w:t>
      </w:r>
    </w:p>
    <w:p w:rsidR="009C62E8" w:rsidRDefault="009C62E8" w:rsidP="009C62E8">
      <w:pPr>
        <w:rPr>
          <w:sz w:val="24"/>
          <w:szCs w:val="24"/>
        </w:rPr>
      </w:pPr>
    </w:p>
    <w:p w:rsidR="0035105F" w:rsidRDefault="0035105F" w:rsidP="009C62E8">
      <w:pPr>
        <w:rPr>
          <w:sz w:val="24"/>
          <w:szCs w:val="24"/>
        </w:rPr>
      </w:pPr>
      <w:proofErr w:type="gramStart"/>
      <w:r w:rsidRPr="0035105F">
        <w:rPr>
          <w:i/>
          <w:sz w:val="24"/>
          <w:szCs w:val="24"/>
        </w:rPr>
        <w:t>Reaching Higher 2.0</w:t>
      </w:r>
      <w:r>
        <w:rPr>
          <w:sz w:val="24"/>
          <w:szCs w:val="24"/>
        </w:rPr>
        <w:t>: This is a working document but it will be able to help frame our thoughts in the future.</w:t>
      </w:r>
      <w:proofErr w:type="gramEnd"/>
      <w:r>
        <w:rPr>
          <w:sz w:val="24"/>
          <w:szCs w:val="24"/>
        </w:rPr>
        <w:t xml:space="preserve"> </w:t>
      </w:r>
    </w:p>
    <w:p w:rsidR="0035105F" w:rsidRDefault="0035105F" w:rsidP="009C62E8">
      <w:pPr>
        <w:rPr>
          <w:sz w:val="24"/>
          <w:szCs w:val="24"/>
        </w:rPr>
      </w:pPr>
    </w:p>
    <w:p w:rsidR="00667315" w:rsidRDefault="001F2BC2" w:rsidP="00573E04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1F2BC2">
        <w:rPr>
          <w:b/>
          <w:sz w:val="24"/>
          <w:szCs w:val="24"/>
        </w:rPr>
        <w:t>Priorit</w:t>
      </w:r>
      <w:r w:rsidR="00667315">
        <w:rPr>
          <w:b/>
          <w:sz w:val="24"/>
          <w:szCs w:val="24"/>
        </w:rPr>
        <w:t>y Focus Areas</w:t>
      </w:r>
      <w:r w:rsidR="00E66186">
        <w:rPr>
          <w:b/>
          <w:sz w:val="24"/>
          <w:szCs w:val="24"/>
        </w:rPr>
        <w:t xml:space="preserve"> &amp; Objectives</w:t>
      </w:r>
    </w:p>
    <w:p w:rsidR="0035105F" w:rsidRDefault="0035105F" w:rsidP="0035105F">
      <w:pPr>
        <w:rPr>
          <w:sz w:val="24"/>
          <w:szCs w:val="24"/>
        </w:rPr>
      </w:pPr>
      <w:r>
        <w:rPr>
          <w:sz w:val="24"/>
          <w:szCs w:val="24"/>
        </w:rPr>
        <w:t>We need to know how to measure what we’re doing.</w:t>
      </w:r>
      <w:r w:rsidR="00C6602A">
        <w:rPr>
          <w:sz w:val="24"/>
          <w:szCs w:val="24"/>
        </w:rPr>
        <w:t xml:space="preserve"> Initial discussion revealed:</w:t>
      </w:r>
    </w:p>
    <w:p w:rsidR="0035105F" w:rsidRDefault="0035105F" w:rsidP="0035105F">
      <w:pPr>
        <w:rPr>
          <w:sz w:val="24"/>
          <w:szCs w:val="24"/>
        </w:rPr>
      </w:pPr>
    </w:p>
    <w:p w:rsidR="0035105F" w:rsidRDefault="0035105F" w:rsidP="0035105F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Should the standard be graduation or success?</w:t>
      </w:r>
      <w:r w:rsidR="00C6602A">
        <w:rPr>
          <w:sz w:val="24"/>
          <w:szCs w:val="24"/>
        </w:rPr>
        <w:t xml:space="preserve"> Consensus is success.</w:t>
      </w:r>
    </w:p>
    <w:p w:rsidR="0035105F" w:rsidRDefault="0035105F" w:rsidP="0035105F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There are conscious and subconscious underpinnings: “I should be thinking about succeeding.” Encourage students to start with the end in mind.</w:t>
      </w:r>
    </w:p>
    <w:p w:rsidR="0035105F" w:rsidRDefault="0035105F" w:rsidP="0035105F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We need to consider the quality of education as well, which </w:t>
      </w:r>
      <w:r>
        <w:rPr>
          <w:i/>
          <w:sz w:val="24"/>
          <w:szCs w:val="24"/>
        </w:rPr>
        <w:t>Reaching Higher 2.0</w:t>
      </w:r>
      <w:r>
        <w:rPr>
          <w:sz w:val="24"/>
          <w:szCs w:val="24"/>
        </w:rPr>
        <w:t xml:space="preserve"> is all about.</w:t>
      </w:r>
    </w:p>
    <w:p w:rsidR="0035105F" w:rsidRDefault="0035105F" w:rsidP="0035105F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There is a gap between the degrees produced and the workforce needs.</w:t>
      </w:r>
    </w:p>
    <w:p w:rsidR="0035105F" w:rsidRDefault="0035105F" w:rsidP="0035105F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Colleges don’t define success as graduating 100% of their students. To them success is just increasing the 6-year graduation rate. We need to push them to do more, to do paradigm-shifting.</w:t>
      </w:r>
    </w:p>
    <w:p w:rsidR="0035105F" w:rsidRDefault="0035105F" w:rsidP="0035105F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We need to focus on getting jobs, not just getting degrees.</w:t>
      </w:r>
    </w:p>
    <w:p w:rsidR="0035105F" w:rsidRDefault="0035105F" w:rsidP="0035105F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i/>
          <w:sz w:val="24"/>
          <w:szCs w:val="24"/>
        </w:rPr>
        <w:t>Reaching Higher 2.0</w:t>
      </w:r>
      <w:r>
        <w:rPr>
          <w:sz w:val="24"/>
          <w:szCs w:val="24"/>
        </w:rPr>
        <w:t xml:space="preserve"> misses the “building community will” section.</w:t>
      </w:r>
    </w:p>
    <w:p w:rsidR="0035105F" w:rsidRDefault="0035105F" w:rsidP="0035105F">
      <w:pPr>
        <w:rPr>
          <w:sz w:val="24"/>
          <w:szCs w:val="24"/>
        </w:rPr>
      </w:pPr>
    </w:p>
    <w:p w:rsidR="0035105F" w:rsidRDefault="0035105F" w:rsidP="0035105F">
      <w:pPr>
        <w:rPr>
          <w:sz w:val="24"/>
          <w:szCs w:val="24"/>
        </w:rPr>
      </w:pPr>
      <w:r>
        <w:rPr>
          <w:sz w:val="24"/>
          <w:szCs w:val="24"/>
        </w:rPr>
        <w:t>Ideas for priority focus areas:</w:t>
      </w:r>
    </w:p>
    <w:p w:rsidR="0035105F" w:rsidRDefault="0035105F" w:rsidP="0035105F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Education of community (financial challenges, etc.)</w:t>
      </w:r>
    </w:p>
    <w:p w:rsidR="0035105F" w:rsidRDefault="0035105F" w:rsidP="0035105F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Identify the barriers to higher </w:t>
      </w:r>
      <w:proofErr w:type="spellStart"/>
      <w:r>
        <w:rPr>
          <w:sz w:val="24"/>
          <w:szCs w:val="24"/>
        </w:rPr>
        <w:t>ed</w:t>
      </w:r>
      <w:proofErr w:type="spellEnd"/>
    </w:p>
    <w:p w:rsidR="0035105F" w:rsidRDefault="0035105F" w:rsidP="0035105F">
      <w:pPr>
        <w:pStyle w:val="ListParagraph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We have much more data on this now</w:t>
      </w:r>
    </w:p>
    <w:p w:rsidR="0035105F" w:rsidRDefault="0035105F" w:rsidP="0035105F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15 to finish: it takes 15 credits per semester to graduate on time</w:t>
      </w:r>
    </w:p>
    <w:p w:rsidR="0035105F" w:rsidRDefault="00C6602A" w:rsidP="0035105F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Financial</w:t>
      </w:r>
    </w:p>
    <w:p w:rsidR="00C6602A" w:rsidRDefault="00C6602A" w:rsidP="0035105F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Preparation: people don’t know they don’t know how to get to college</w:t>
      </w:r>
    </w:p>
    <w:p w:rsidR="00C6602A" w:rsidRDefault="00C6602A" w:rsidP="00C6602A">
      <w:pPr>
        <w:pStyle w:val="ListParagraph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K-12 preparation</w:t>
      </w:r>
    </w:p>
    <w:p w:rsidR="00C6602A" w:rsidRDefault="00C6602A" w:rsidP="00C6602A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Advisors to help us as we take action</w:t>
      </w:r>
    </w:p>
    <w:p w:rsidR="00C6602A" w:rsidRDefault="00C6602A" w:rsidP="00C6602A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Simplicity of what courses students really need to take</w:t>
      </w:r>
    </w:p>
    <w:p w:rsidR="00C6602A" w:rsidRDefault="00C6602A" w:rsidP="00C6602A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Our constituents: anyone we affect</w:t>
      </w:r>
    </w:p>
    <w:p w:rsidR="00C6602A" w:rsidRDefault="00C6602A" w:rsidP="00C6602A">
      <w:pPr>
        <w:pStyle w:val="ListParagraph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Colleges, universities</w:t>
      </w:r>
    </w:p>
    <w:p w:rsidR="00C6602A" w:rsidRDefault="00C6602A" w:rsidP="00C6602A">
      <w:pPr>
        <w:pStyle w:val="ListParagraph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Citizens</w:t>
      </w:r>
    </w:p>
    <w:p w:rsidR="00C6602A" w:rsidRDefault="00C6602A" w:rsidP="00C6602A">
      <w:pPr>
        <w:pStyle w:val="ListParagraph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Those who want to access higher education and current students</w:t>
      </w:r>
    </w:p>
    <w:p w:rsidR="00C6602A" w:rsidRDefault="00C6602A" w:rsidP="00C6602A">
      <w:pPr>
        <w:pStyle w:val="ListParagraph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K-12</w:t>
      </w:r>
    </w:p>
    <w:p w:rsidR="00C6602A" w:rsidRDefault="00C6602A" w:rsidP="00C6602A">
      <w:pPr>
        <w:rPr>
          <w:sz w:val="24"/>
          <w:szCs w:val="24"/>
        </w:rPr>
      </w:pPr>
    </w:p>
    <w:p w:rsidR="00C6602A" w:rsidRDefault="00C6602A" w:rsidP="00C6602A">
      <w:pPr>
        <w:rPr>
          <w:sz w:val="24"/>
          <w:szCs w:val="24"/>
        </w:rPr>
      </w:pPr>
      <w:r>
        <w:rPr>
          <w:sz w:val="24"/>
          <w:szCs w:val="24"/>
        </w:rPr>
        <w:t>The three identified as key:</w:t>
      </w:r>
    </w:p>
    <w:p w:rsidR="00C6602A" w:rsidRDefault="00C6602A" w:rsidP="00C6602A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Student preparation</w:t>
      </w:r>
    </w:p>
    <w:p w:rsidR="00C6602A" w:rsidRDefault="00C6602A" w:rsidP="00C6602A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Financial literacy</w:t>
      </w:r>
    </w:p>
    <w:p w:rsidR="00C6602A" w:rsidRDefault="00C6602A" w:rsidP="00C6602A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College literacy (“college knowledge”)</w:t>
      </w:r>
    </w:p>
    <w:p w:rsidR="00C6602A" w:rsidRPr="00C6602A" w:rsidRDefault="00C6602A" w:rsidP="00C6602A">
      <w:pPr>
        <w:rPr>
          <w:sz w:val="24"/>
          <w:szCs w:val="24"/>
        </w:rPr>
      </w:pPr>
      <w:r w:rsidRPr="00C6602A">
        <w:rPr>
          <w:sz w:val="24"/>
          <w:szCs w:val="24"/>
        </w:rPr>
        <w:t>Also, define success for colleges and do paradigm-shifting</w:t>
      </w:r>
      <w:r>
        <w:rPr>
          <w:sz w:val="24"/>
          <w:szCs w:val="24"/>
        </w:rPr>
        <w:t>.</w:t>
      </w:r>
    </w:p>
    <w:p w:rsidR="00667315" w:rsidRDefault="00667315" w:rsidP="00667315">
      <w:pPr>
        <w:pStyle w:val="ListParagraph"/>
        <w:rPr>
          <w:b/>
          <w:sz w:val="24"/>
          <w:szCs w:val="24"/>
        </w:rPr>
      </w:pPr>
    </w:p>
    <w:p w:rsidR="001F2BC2" w:rsidRDefault="00667315" w:rsidP="00573E04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Next Steps</w:t>
      </w:r>
    </w:p>
    <w:p w:rsidR="00573E04" w:rsidRDefault="00573E04" w:rsidP="00573E04">
      <w:pPr>
        <w:rPr>
          <w:sz w:val="24"/>
          <w:szCs w:val="24"/>
        </w:rPr>
      </w:pPr>
    </w:p>
    <w:p w:rsidR="001F2BC2" w:rsidRDefault="00C6602A" w:rsidP="00C6602A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Receive and approve a reworked charge from staff (see above)</w:t>
      </w:r>
    </w:p>
    <w:p w:rsidR="00C6602A" w:rsidRDefault="00C6602A" w:rsidP="00C6602A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Create a first year </w:t>
      </w:r>
      <w:proofErr w:type="spellStart"/>
      <w:r>
        <w:rPr>
          <w:sz w:val="24"/>
          <w:szCs w:val="24"/>
        </w:rPr>
        <w:t>workplan</w:t>
      </w:r>
      <w:proofErr w:type="spellEnd"/>
    </w:p>
    <w:p w:rsidR="00C6602A" w:rsidRPr="00C6602A" w:rsidRDefault="00C6602A" w:rsidP="00C6602A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Hold meetings Thursdays before Commission meetings</w:t>
      </w:r>
    </w:p>
    <w:p w:rsidR="006D2EC9" w:rsidRDefault="006D2EC9" w:rsidP="006D2EC9">
      <w:pPr>
        <w:rPr>
          <w:sz w:val="24"/>
          <w:szCs w:val="24"/>
        </w:rPr>
      </w:pPr>
    </w:p>
    <w:p w:rsidR="006D2EC9" w:rsidRPr="006D2EC9" w:rsidRDefault="006D2EC9" w:rsidP="006D2EC9">
      <w:pPr>
        <w:rPr>
          <w:sz w:val="24"/>
          <w:szCs w:val="24"/>
        </w:rPr>
      </w:pPr>
    </w:p>
    <w:p w:rsidR="006D2EC9" w:rsidRPr="006D2EC9" w:rsidRDefault="006D2EC9" w:rsidP="006D2EC9">
      <w:pPr>
        <w:rPr>
          <w:b/>
          <w:sz w:val="24"/>
          <w:szCs w:val="24"/>
        </w:rPr>
      </w:pPr>
    </w:p>
    <w:sectPr w:rsidR="006D2EC9" w:rsidRPr="006D2EC9" w:rsidSect="006D2EC9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A7C" w:rsidRDefault="00614A7C">
      <w:r>
        <w:separator/>
      </w:r>
    </w:p>
  </w:endnote>
  <w:endnote w:type="continuationSeparator" w:id="0">
    <w:p w:rsidR="00614A7C" w:rsidRDefault="00614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6C" w:rsidRDefault="0019186C" w:rsidP="000F5CE7">
    <w:pPr>
      <w:pStyle w:val="Footer"/>
    </w:pPr>
    <w:r>
      <w:rPr>
        <w:noProof/>
      </w:rPr>
      <w:drawing>
        <wp:inline distT="0" distB="0" distL="0" distR="0">
          <wp:extent cx="6858000" cy="1247140"/>
          <wp:effectExtent l="25400" t="0" r="0" b="0"/>
          <wp:docPr id="4" name="Picture 3" descr="CSC_LMI_CHE_IYI_IMP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CHE_IYI_IMP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A7C" w:rsidRDefault="00614A7C">
      <w:r>
        <w:separator/>
      </w:r>
    </w:p>
  </w:footnote>
  <w:footnote w:type="continuationSeparator" w:id="0">
    <w:p w:rsidR="00614A7C" w:rsidRDefault="00614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6C" w:rsidRDefault="0019186C" w:rsidP="000F5CE7">
    <w:pPr>
      <w:pStyle w:val="Header"/>
      <w:jc w:val="center"/>
    </w:pPr>
    <w:r>
      <w:rPr>
        <w:noProof/>
      </w:rPr>
      <w:drawing>
        <wp:inline distT="0" distB="0" distL="0" distR="0">
          <wp:extent cx="6858000" cy="1247140"/>
          <wp:effectExtent l="25400" t="0" r="0" b="0"/>
          <wp:docPr id="6" name="Picture 5" descr="CSC_LMI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fldSimple w:instr=" page ">
      <w:r w:rsidR="00D10752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6C" w:rsidRDefault="0019186C" w:rsidP="00E91B1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-74930</wp:posOffset>
          </wp:positionV>
          <wp:extent cx="6859905" cy="1243965"/>
          <wp:effectExtent l="19050" t="0" r="0" b="0"/>
          <wp:wrapTight wrapText="bothSides">
            <wp:wrapPolygon edited="0">
              <wp:start x="-60" y="0"/>
              <wp:lineTo x="-60" y="21170"/>
              <wp:lineTo x="21594" y="21170"/>
              <wp:lineTo x="21594" y="0"/>
              <wp:lineTo x="-60" y="0"/>
            </wp:wrapPolygon>
          </wp:wrapTight>
          <wp:docPr id="1" name="Picture 0" descr="CHE_Letterhead_4_09_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_Letterhead_4_09_1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9905" cy="124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E549CB"/>
    <w:multiLevelType w:val="hybridMultilevel"/>
    <w:tmpl w:val="54E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BE6948"/>
    <w:multiLevelType w:val="hybridMultilevel"/>
    <w:tmpl w:val="E6A6E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F4D80"/>
    <w:multiLevelType w:val="hybridMultilevel"/>
    <w:tmpl w:val="ED36DD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8157F"/>
    <w:multiLevelType w:val="hybridMultilevel"/>
    <w:tmpl w:val="F252D7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3328F"/>
    <w:multiLevelType w:val="hybridMultilevel"/>
    <w:tmpl w:val="8FCC0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4730A"/>
    <w:multiLevelType w:val="hybridMultilevel"/>
    <w:tmpl w:val="2E5E35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E2190"/>
    <w:multiLevelType w:val="hybridMultilevel"/>
    <w:tmpl w:val="B328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25A27"/>
    <w:multiLevelType w:val="hybridMultilevel"/>
    <w:tmpl w:val="E09C3C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B4B1C"/>
    <w:multiLevelType w:val="hybridMultilevel"/>
    <w:tmpl w:val="857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6C6D1E"/>
    <w:multiLevelType w:val="hybridMultilevel"/>
    <w:tmpl w:val="C12AF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1E1EB7"/>
    <w:multiLevelType w:val="hybridMultilevel"/>
    <w:tmpl w:val="133423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5B553A"/>
    <w:multiLevelType w:val="hybridMultilevel"/>
    <w:tmpl w:val="45C28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9"/>
  </w:num>
  <w:num w:numId="13">
    <w:abstractNumId w:val="18"/>
  </w:num>
  <w:num w:numId="14">
    <w:abstractNumId w:val="10"/>
  </w:num>
  <w:num w:numId="15">
    <w:abstractNumId w:val="20"/>
  </w:num>
  <w:num w:numId="16">
    <w:abstractNumId w:val="17"/>
  </w:num>
  <w:num w:numId="17">
    <w:abstractNumId w:val="15"/>
  </w:num>
  <w:num w:numId="18">
    <w:abstractNumId w:val="13"/>
  </w:num>
  <w:num w:numId="19">
    <w:abstractNumId w:val="14"/>
  </w:num>
  <w:num w:numId="20">
    <w:abstractNumId w:val="11"/>
  </w:num>
  <w:num w:numId="21">
    <w:abstractNumId w:val="2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Type w:val="letter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F5CE7"/>
    <w:rsid w:val="000A54D2"/>
    <w:rsid w:val="000F5CE7"/>
    <w:rsid w:val="00157FBA"/>
    <w:rsid w:val="0019186C"/>
    <w:rsid w:val="001F2BC2"/>
    <w:rsid w:val="00274F5F"/>
    <w:rsid w:val="0035105F"/>
    <w:rsid w:val="0038607E"/>
    <w:rsid w:val="003A393E"/>
    <w:rsid w:val="004D159D"/>
    <w:rsid w:val="0050737C"/>
    <w:rsid w:val="00572AE9"/>
    <w:rsid w:val="00573E04"/>
    <w:rsid w:val="00614A7C"/>
    <w:rsid w:val="00667315"/>
    <w:rsid w:val="006D2EC9"/>
    <w:rsid w:val="007B4F0D"/>
    <w:rsid w:val="008B74D8"/>
    <w:rsid w:val="009C62E8"/>
    <w:rsid w:val="00A13CB2"/>
    <w:rsid w:val="00B91A71"/>
    <w:rsid w:val="00C6602A"/>
    <w:rsid w:val="00D10752"/>
    <w:rsid w:val="00D22D12"/>
    <w:rsid w:val="00DA185E"/>
    <w:rsid w:val="00E66186"/>
    <w:rsid w:val="00E9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Spectrum">
  <a:themeElements>
    <a:clrScheme name="Spectrum">
      <a:dk1>
        <a:sysClr val="windowText" lastClr="000000"/>
      </a:dk1>
      <a:lt1>
        <a:sysClr val="window" lastClr="FFFFFF"/>
      </a:lt1>
      <a:dk2>
        <a:srgbClr val="252731"/>
      </a:dk2>
      <a:lt2>
        <a:srgbClr val="EAE7E4"/>
      </a:lt2>
      <a:accent1>
        <a:srgbClr val="990000"/>
      </a:accent1>
      <a:accent2>
        <a:srgbClr val="FF6600"/>
      </a:accent2>
      <a:accent3>
        <a:srgbClr val="FFBA00"/>
      </a:accent3>
      <a:accent4>
        <a:srgbClr val="99CC00"/>
      </a:accent4>
      <a:accent5>
        <a:srgbClr val="528A02"/>
      </a:accent5>
      <a:accent6>
        <a:srgbClr val="333333"/>
      </a:accent6>
      <a:hlink>
        <a:srgbClr val="660000"/>
      </a:hlink>
      <a:folHlink>
        <a:srgbClr val="CC330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Douglas Lintner</dc:creator>
  <cp:lastModifiedBy>sarah</cp:lastModifiedBy>
  <cp:revision>6</cp:revision>
  <cp:lastPrinted>2011-07-12T20:27:00Z</cp:lastPrinted>
  <dcterms:created xsi:type="dcterms:W3CDTF">2011-07-13T17:52:00Z</dcterms:created>
  <dcterms:modified xsi:type="dcterms:W3CDTF">2011-07-21T19:47:00Z</dcterms:modified>
</cp:coreProperties>
</file>