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5.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6.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7.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8.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B27" w:rsidRPr="00440792" w:rsidRDefault="00632B27" w:rsidP="00852EB6">
      <w:r w:rsidRPr="00440792">
        <w:rPr>
          <w:noProof/>
        </w:rPr>
        <mc:AlternateContent>
          <mc:Choice Requires="wps">
            <w:drawing>
              <wp:anchor distT="0" distB="0" distL="182880" distR="182880" simplePos="0" relativeHeight="251668480" behindDoc="0" locked="0" layoutInCell="1" allowOverlap="1" wp14:anchorId="483082A4" wp14:editId="0810BA01">
                <wp:simplePos x="0" y="0"/>
                <wp:positionH relativeFrom="page">
                  <wp:posOffset>1371600</wp:posOffset>
                </wp:positionH>
                <wp:positionV relativeFrom="page">
                  <wp:posOffset>5429250</wp:posOffset>
                </wp:positionV>
                <wp:extent cx="4972050" cy="3061970"/>
                <wp:effectExtent l="0" t="0" r="0" b="5080"/>
                <wp:wrapSquare wrapText="bothSides"/>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2050" cy="3061970"/>
                        </a:xfrm>
                        <a:prstGeom prst="rect">
                          <a:avLst/>
                        </a:prstGeom>
                        <a:noFill/>
                        <a:ln w="6350">
                          <a:noFill/>
                        </a:ln>
                        <a:effectLst/>
                      </wps:spPr>
                      <wps:txbx>
                        <w:txbxContent>
                          <w:p w:rsidR="00CE2773" w:rsidRPr="0068644B" w:rsidRDefault="00CE2773" w:rsidP="00632B27">
                            <w:pPr>
                              <w:pStyle w:val="MediumGrid21"/>
                              <w:spacing w:before="40" w:after="560" w:line="216" w:lineRule="auto"/>
                              <w:rPr>
                                <w:color w:val="4F81BD"/>
                                <w:sz w:val="72"/>
                                <w:szCs w:val="72"/>
                              </w:rPr>
                            </w:pPr>
                            <w:r w:rsidRPr="0068644B">
                              <w:rPr>
                                <w:color w:val="4F81BD"/>
                                <w:sz w:val="72"/>
                                <w:szCs w:val="72"/>
                              </w:rPr>
                              <w:t>Indiana Department of Child Services</w:t>
                            </w:r>
                            <w:r>
                              <w:rPr>
                                <w:color w:val="4F81BD"/>
                                <w:sz w:val="72"/>
                                <w:szCs w:val="72"/>
                              </w:rPr>
                              <w:t xml:space="preserve"> Child</w:t>
                            </w:r>
                            <w:r w:rsidRPr="0068644B">
                              <w:rPr>
                                <w:color w:val="4F81BD"/>
                                <w:sz w:val="72"/>
                                <w:szCs w:val="72"/>
                              </w:rPr>
                              <w:t xml:space="preserve">                                     Welfare</w:t>
                            </w:r>
                            <w:r>
                              <w:rPr>
                                <w:color w:val="4F81BD"/>
                                <w:sz w:val="72"/>
                                <w:szCs w:val="72"/>
                              </w:rPr>
                              <w:t xml:space="preserve"> Title IV-E</w:t>
                            </w:r>
                            <w:r w:rsidRPr="0068644B">
                              <w:rPr>
                                <w:color w:val="4F81BD"/>
                                <w:sz w:val="72"/>
                                <w:szCs w:val="72"/>
                              </w:rPr>
                              <w:t xml:space="preserve"> </w:t>
                            </w:r>
                            <w:r>
                              <w:rPr>
                                <w:color w:val="4F81BD"/>
                                <w:sz w:val="72"/>
                                <w:szCs w:val="72"/>
                              </w:rPr>
                              <w:t>Waiver</w:t>
                            </w:r>
                            <w:r w:rsidRPr="0068644B">
                              <w:rPr>
                                <w:color w:val="4F81BD"/>
                                <w:sz w:val="72"/>
                                <w:szCs w:val="72"/>
                              </w:rPr>
                              <w:t xml:space="preserve"> Demonstration Project</w:t>
                            </w:r>
                            <w:r>
                              <w:rPr>
                                <w:color w:val="4F81BD"/>
                                <w:sz w:val="72"/>
                                <w:szCs w:val="72"/>
                              </w:rPr>
                              <w:t xml:space="preserve"> Extension </w:t>
                            </w:r>
                          </w:p>
                          <w:p w:rsidR="00CE2773" w:rsidRPr="0068644B" w:rsidRDefault="00CE2773" w:rsidP="00632B27">
                            <w:pPr>
                              <w:pStyle w:val="MediumGrid21"/>
                              <w:spacing w:before="40" w:after="40"/>
                              <w:rPr>
                                <w:caps/>
                                <w:color w:val="215868"/>
                                <w:sz w:val="28"/>
                                <w:szCs w:val="28"/>
                              </w:rPr>
                            </w:pPr>
                            <w:r>
                              <w:rPr>
                                <w:caps/>
                                <w:color w:val="215868"/>
                                <w:sz w:val="28"/>
                                <w:szCs w:val="28"/>
                              </w:rPr>
                              <w:t>FINAL</w:t>
                            </w:r>
                            <w:r w:rsidRPr="0068644B">
                              <w:rPr>
                                <w:caps/>
                                <w:color w:val="215868"/>
                                <w:sz w:val="28"/>
                                <w:szCs w:val="28"/>
                              </w:rPr>
                              <w:t xml:space="preserve"> report</w:t>
                            </w:r>
                          </w:p>
                          <w:p w:rsidR="00CE2773" w:rsidRPr="0068644B" w:rsidRDefault="00CE2773" w:rsidP="00632B27">
                            <w:pPr>
                              <w:pStyle w:val="MediumGrid21"/>
                              <w:spacing w:before="80" w:after="40"/>
                              <w:rPr>
                                <w:caps/>
                                <w:color w:val="4BACC6"/>
                                <w:sz w:val="24"/>
                                <w:szCs w:val="24"/>
                              </w:rPr>
                            </w:pPr>
                            <w:r w:rsidRPr="0068644B">
                              <w:rPr>
                                <w:caps/>
                                <w:color w:val="4BACC6"/>
                                <w:sz w:val="24"/>
                                <w:szCs w:val="24"/>
                              </w:rPr>
                              <w:t>Prepared by: the Indiana university evaluation team &amp; the department of child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483082A4" id="_x0000_t202" coordsize="21600,21600" o:spt="202" path="m,l,21600r21600,l21600,xe">
                <v:stroke joinstyle="miter"/>
                <v:path gradientshapeok="t" o:connecttype="rect"/>
              </v:shapetype>
              <v:shape id="Text Box 131" o:spid="_x0000_s1026" type="#_x0000_t202" style="position:absolute;margin-left:108pt;margin-top:427.5pt;width:391.5pt;height:241.1pt;z-index:251668480;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" filled="f" stroked="f" strokeweight=".5pt">
                <v:path arrowok="t"/>
                <v:textbox style="mso-fit-shape-to-text:t" inset="0,0,0,0">
                  <w:txbxContent>
                    <w:p w:rsidR="00CE2773" w:rsidRPr="0068644B" w:rsidRDefault="00CE2773" w:rsidP="00632B27">
                      <w:pPr>
                        <w:pStyle w:val="MediumGrid21"/>
                        <w:spacing w:before="40" w:after="560" w:line="216" w:lineRule="auto"/>
                        <w:rPr>
                          <w:color w:val="4F81BD"/>
                          <w:sz w:val="72"/>
                          <w:szCs w:val="72"/>
                        </w:rPr>
                      </w:pPr>
                      <w:r w:rsidRPr="0068644B">
                        <w:rPr>
                          <w:color w:val="4F81BD"/>
                          <w:sz w:val="72"/>
                          <w:szCs w:val="72"/>
                        </w:rPr>
                        <w:t>Indiana Department of Child Services</w:t>
                      </w:r>
                      <w:r>
                        <w:rPr>
                          <w:color w:val="4F81BD"/>
                          <w:sz w:val="72"/>
                          <w:szCs w:val="72"/>
                        </w:rPr>
                        <w:t xml:space="preserve"> Child</w:t>
                      </w:r>
                      <w:r w:rsidRPr="0068644B">
                        <w:rPr>
                          <w:color w:val="4F81BD"/>
                          <w:sz w:val="72"/>
                          <w:szCs w:val="72"/>
                        </w:rPr>
                        <w:t xml:space="preserve">                                     Welfare</w:t>
                      </w:r>
                      <w:r>
                        <w:rPr>
                          <w:color w:val="4F81BD"/>
                          <w:sz w:val="72"/>
                          <w:szCs w:val="72"/>
                        </w:rPr>
                        <w:t xml:space="preserve"> Title IV-E</w:t>
                      </w:r>
                      <w:r w:rsidRPr="0068644B">
                        <w:rPr>
                          <w:color w:val="4F81BD"/>
                          <w:sz w:val="72"/>
                          <w:szCs w:val="72"/>
                        </w:rPr>
                        <w:t xml:space="preserve"> </w:t>
                      </w:r>
                      <w:r>
                        <w:rPr>
                          <w:color w:val="4F81BD"/>
                          <w:sz w:val="72"/>
                          <w:szCs w:val="72"/>
                        </w:rPr>
                        <w:t>Waiver</w:t>
                      </w:r>
                      <w:r w:rsidRPr="0068644B">
                        <w:rPr>
                          <w:color w:val="4F81BD"/>
                          <w:sz w:val="72"/>
                          <w:szCs w:val="72"/>
                        </w:rPr>
                        <w:t xml:space="preserve"> Demonstration Project</w:t>
                      </w:r>
                      <w:r>
                        <w:rPr>
                          <w:color w:val="4F81BD"/>
                          <w:sz w:val="72"/>
                          <w:szCs w:val="72"/>
                        </w:rPr>
                        <w:t xml:space="preserve"> Extension </w:t>
                      </w:r>
                    </w:p>
                    <w:p w:rsidR="00CE2773" w:rsidRPr="0068644B" w:rsidRDefault="00CE2773" w:rsidP="00632B27">
                      <w:pPr>
                        <w:pStyle w:val="MediumGrid21"/>
                        <w:spacing w:before="40" w:after="40"/>
                        <w:rPr>
                          <w:caps/>
                          <w:color w:val="215868"/>
                          <w:sz w:val="28"/>
                          <w:szCs w:val="28"/>
                        </w:rPr>
                      </w:pPr>
                      <w:r>
                        <w:rPr>
                          <w:caps/>
                          <w:color w:val="215868"/>
                          <w:sz w:val="28"/>
                          <w:szCs w:val="28"/>
                        </w:rPr>
                        <w:t>FINAL</w:t>
                      </w:r>
                      <w:r w:rsidRPr="0068644B">
                        <w:rPr>
                          <w:caps/>
                          <w:color w:val="215868"/>
                          <w:sz w:val="28"/>
                          <w:szCs w:val="28"/>
                        </w:rPr>
                        <w:t xml:space="preserve"> report</w:t>
                      </w:r>
                    </w:p>
                    <w:p w:rsidR="00CE2773" w:rsidRPr="0068644B" w:rsidRDefault="00CE2773" w:rsidP="00632B27">
                      <w:pPr>
                        <w:pStyle w:val="MediumGrid21"/>
                        <w:spacing w:before="80" w:after="40"/>
                        <w:rPr>
                          <w:caps/>
                          <w:color w:val="4BACC6"/>
                          <w:sz w:val="24"/>
                          <w:szCs w:val="24"/>
                        </w:rPr>
                      </w:pPr>
                      <w:r w:rsidRPr="0068644B">
                        <w:rPr>
                          <w:caps/>
                          <w:color w:val="4BACC6"/>
                          <w:sz w:val="24"/>
                          <w:szCs w:val="24"/>
                        </w:rPr>
                        <w:t>Prepared by: the Indiana university evaluation team &amp; the department of child services</w:t>
                      </w:r>
                    </w:p>
                  </w:txbxContent>
                </v:textbox>
                <w10:wrap type="square" anchorx="page" anchory="page"/>
              </v:shape>
            </w:pict>
          </mc:Fallback>
        </mc:AlternateContent>
      </w:r>
      <w:r w:rsidRPr="00440792">
        <w:br w:type="page"/>
      </w:r>
    </w:p>
    <w:sdt>
      <w:sdtPr>
        <w:rPr>
          <w:rFonts w:asciiTheme="minorHAnsi" w:eastAsiaTheme="minorHAnsi" w:hAnsiTheme="minorHAnsi" w:cstheme="minorBidi"/>
          <w:color w:val="auto"/>
          <w:sz w:val="22"/>
          <w:szCs w:val="22"/>
        </w:rPr>
        <w:id w:val="1735282319"/>
        <w:docPartObj>
          <w:docPartGallery w:val="Table of Contents"/>
          <w:docPartUnique/>
        </w:docPartObj>
      </w:sdtPr>
      <w:sdtEndPr>
        <w:rPr>
          <w:b/>
          <w:bCs/>
          <w:noProof/>
        </w:rPr>
      </w:sdtEndPr>
      <w:sdtContent>
        <w:p w:rsidR="001D124D" w:rsidRPr="00440792" w:rsidRDefault="001D124D">
          <w:pPr>
            <w:pStyle w:val="TOCHeading"/>
            <w:rPr>
              <w:rStyle w:val="Heading1Char"/>
            </w:rPr>
          </w:pPr>
          <w:r w:rsidRPr="00440792">
            <w:rPr>
              <w:rStyle w:val="Heading1Char"/>
            </w:rPr>
            <w:t>Contents</w:t>
          </w:r>
        </w:p>
        <w:p w:rsidR="00492F2C" w:rsidRDefault="001E3185">
          <w:pPr>
            <w:pStyle w:val="TOC1"/>
            <w:tabs>
              <w:tab w:val="right" w:leader="dot" w:pos="9350"/>
            </w:tabs>
            <w:rPr>
              <w:rFonts w:eastAsiaTheme="minorEastAsia"/>
              <w:noProof/>
            </w:rPr>
          </w:pPr>
          <w:r>
            <w:fldChar w:fldCharType="begin"/>
          </w:r>
          <w:r>
            <w:instrText xml:space="preserve"> TOC \o "1-2" \h \z \u </w:instrText>
          </w:r>
          <w:r>
            <w:fldChar w:fldCharType="separate"/>
          </w:r>
          <w:hyperlink w:anchor="_Toc43887870" w:history="1">
            <w:r w:rsidR="00492F2C" w:rsidRPr="005D6B84">
              <w:rPr>
                <w:rStyle w:val="Hyperlink"/>
                <w:noProof/>
              </w:rPr>
              <w:t>Executive Summary</w:t>
            </w:r>
            <w:r w:rsidR="00492F2C">
              <w:rPr>
                <w:noProof/>
                <w:webHidden/>
              </w:rPr>
              <w:tab/>
            </w:r>
            <w:r w:rsidR="00492F2C">
              <w:rPr>
                <w:noProof/>
                <w:webHidden/>
              </w:rPr>
              <w:fldChar w:fldCharType="begin"/>
            </w:r>
            <w:r w:rsidR="00492F2C">
              <w:rPr>
                <w:noProof/>
                <w:webHidden/>
              </w:rPr>
              <w:instrText xml:space="preserve"> PAGEREF _Toc43887870 \h </w:instrText>
            </w:r>
            <w:r w:rsidR="00492F2C">
              <w:rPr>
                <w:noProof/>
                <w:webHidden/>
              </w:rPr>
            </w:r>
            <w:r w:rsidR="00492F2C">
              <w:rPr>
                <w:noProof/>
                <w:webHidden/>
              </w:rPr>
              <w:fldChar w:fldCharType="separate"/>
            </w:r>
            <w:r w:rsidR="00492F2C">
              <w:rPr>
                <w:noProof/>
                <w:webHidden/>
              </w:rPr>
              <w:t>3</w:t>
            </w:r>
            <w:r w:rsidR="00492F2C">
              <w:rPr>
                <w:noProof/>
                <w:webHidden/>
              </w:rPr>
              <w:fldChar w:fldCharType="end"/>
            </w:r>
          </w:hyperlink>
        </w:p>
        <w:p w:rsidR="00492F2C" w:rsidRDefault="00492F2C">
          <w:pPr>
            <w:pStyle w:val="TOC1"/>
            <w:tabs>
              <w:tab w:val="right" w:leader="dot" w:pos="9350"/>
            </w:tabs>
            <w:rPr>
              <w:rFonts w:eastAsiaTheme="minorEastAsia"/>
              <w:noProof/>
            </w:rPr>
          </w:pPr>
          <w:hyperlink w:anchor="_Toc43887871" w:history="1">
            <w:r w:rsidRPr="005D6B84">
              <w:rPr>
                <w:rStyle w:val="Hyperlink"/>
                <w:noProof/>
              </w:rPr>
              <w:t>Background for Current Waiver Project</w:t>
            </w:r>
            <w:r>
              <w:rPr>
                <w:noProof/>
                <w:webHidden/>
              </w:rPr>
              <w:tab/>
            </w:r>
            <w:r>
              <w:rPr>
                <w:noProof/>
                <w:webHidden/>
              </w:rPr>
              <w:fldChar w:fldCharType="begin"/>
            </w:r>
            <w:r>
              <w:rPr>
                <w:noProof/>
                <w:webHidden/>
              </w:rPr>
              <w:instrText xml:space="preserve"> PAGEREF _Toc43887871 \h </w:instrText>
            </w:r>
            <w:r>
              <w:rPr>
                <w:noProof/>
                <w:webHidden/>
              </w:rPr>
            </w:r>
            <w:r>
              <w:rPr>
                <w:noProof/>
                <w:webHidden/>
              </w:rPr>
              <w:fldChar w:fldCharType="separate"/>
            </w:r>
            <w:r>
              <w:rPr>
                <w:noProof/>
                <w:webHidden/>
              </w:rPr>
              <w:t>7</w:t>
            </w:r>
            <w:r>
              <w:rPr>
                <w:noProof/>
                <w:webHidden/>
              </w:rPr>
              <w:fldChar w:fldCharType="end"/>
            </w:r>
          </w:hyperlink>
        </w:p>
        <w:p w:rsidR="00492F2C" w:rsidRDefault="00492F2C">
          <w:pPr>
            <w:pStyle w:val="TOC2"/>
            <w:tabs>
              <w:tab w:val="right" w:leader="dot" w:pos="9350"/>
            </w:tabs>
            <w:rPr>
              <w:rFonts w:eastAsiaTheme="minorEastAsia"/>
              <w:noProof/>
            </w:rPr>
          </w:pPr>
          <w:hyperlink w:anchor="_Toc43887872" w:history="1">
            <w:r w:rsidRPr="005D6B84">
              <w:rPr>
                <w:rStyle w:val="Hyperlink"/>
                <w:noProof/>
              </w:rPr>
              <w:t>Numbers in the Demonstration</w:t>
            </w:r>
            <w:r>
              <w:rPr>
                <w:noProof/>
                <w:webHidden/>
              </w:rPr>
              <w:tab/>
            </w:r>
            <w:r>
              <w:rPr>
                <w:noProof/>
                <w:webHidden/>
              </w:rPr>
              <w:fldChar w:fldCharType="begin"/>
            </w:r>
            <w:r>
              <w:rPr>
                <w:noProof/>
                <w:webHidden/>
              </w:rPr>
              <w:instrText xml:space="preserve"> PAGEREF _Toc43887872 \h </w:instrText>
            </w:r>
            <w:r>
              <w:rPr>
                <w:noProof/>
                <w:webHidden/>
              </w:rPr>
            </w:r>
            <w:r>
              <w:rPr>
                <w:noProof/>
                <w:webHidden/>
              </w:rPr>
              <w:fldChar w:fldCharType="separate"/>
            </w:r>
            <w:r>
              <w:rPr>
                <w:noProof/>
                <w:webHidden/>
              </w:rPr>
              <w:t>8</w:t>
            </w:r>
            <w:r>
              <w:rPr>
                <w:noProof/>
                <w:webHidden/>
              </w:rPr>
              <w:fldChar w:fldCharType="end"/>
            </w:r>
          </w:hyperlink>
        </w:p>
        <w:p w:rsidR="00492F2C" w:rsidRDefault="00492F2C">
          <w:pPr>
            <w:pStyle w:val="TOC1"/>
            <w:tabs>
              <w:tab w:val="right" w:leader="dot" w:pos="9350"/>
            </w:tabs>
            <w:rPr>
              <w:rFonts w:eastAsiaTheme="minorEastAsia"/>
              <w:noProof/>
            </w:rPr>
          </w:pPr>
          <w:hyperlink w:anchor="_Toc43887873" w:history="1">
            <w:r w:rsidRPr="005D6B84">
              <w:rPr>
                <w:rStyle w:val="Hyperlink"/>
                <w:noProof/>
              </w:rPr>
              <w:t>Evaluation Team</w:t>
            </w:r>
            <w:r>
              <w:rPr>
                <w:noProof/>
                <w:webHidden/>
              </w:rPr>
              <w:tab/>
            </w:r>
            <w:r>
              <w:rPr>
                <w:noProof/>
                <w:webHidden/>
              </w:rPr>
              <w:fldChar w:fldCharType="begin"/>
            </w:r>
            <w:r>
              <w:rPr>
                <w:noProof/>
                <w:webHidden/>
              </w:rPr>
              <w:instrText xml:space="preserve"> PAGEREF _Toc43887873 \h </w:instrText>
            </w:r>
            <w:r>
              <w:rPr>
                <w:noProof/>
                <w:webHidden/>
              </w:rPr>
            </w:r>
            <w:r>
              <w:rPr>
                <w:noProof/>
                <w:webHidden/>
              </w:rPr>
              <w:fldChar w:fldCharType="separate"/>
            </w:r>
            <w:r>
              <w:rPr>
                <w:noProof/>
                <w:webHidden/>
              </w:rPr>
              <w:t>10</w:t>
            </w:r>
            <w:r>
              <w:rPr>
                <w:noProof/>
                <w:webHidden/>
              </w:rPr>
              <w:fldChar w:fldCharType="end"/>
            </w:r>
          </w:hyperlink>
        </w:p>
        <w:p w:rsidR="00492F2C" w:rsidRDefault="00492F2C">
          <w:pPr>
            <w:pStyle w:val="TOC1"/>
            <w:tabs>
              <w:tab w:val="right" w:leader="dot" w:pos="9350"/>
            </w:tabs>
            <w:rPr>
              <w:rFonts w:eastAsiaTheme="minorEastAsia"/>
              <w:noProof/>
            </w:rPr>
          </w:pPr>
          <w:hyperlink w:anchor="_Toc43887874" w:history="1">
            <w:r w:rsidRPr="005D6B84">
              <w:rPr>
                <w:rStyle w:val="Hyperlink"/>
                <w:noProof/>
              </w:rPr>
              <w:t>Outcome Study</w:t>
            </w:r>
            <w:r>
              <w:rPr>
                <w:noProof/>
                <w:webHidden/>
              </w:rPr>
              <w:tab/>
            </w:r>
            <w:r>
              <w:rPr>
                <w:noProof/>
                <w:webHidden/>
              </w:rPr>
              <w:fldChar w:fldCharType="begin"/>
            </w:r>
            <w:r>
              <w:rPr>
                <w:noProof/>
                <w:webHidden/>
              </w:rPr>
              <w:instrText xml:space="preserve"> PAGEREF _Toc43887874 \h </w:instrText>
            </w:r>
            <w:r>
              <w:rPr>
                <w:noProof/>
                <w:webHidden/>
              </w:rPr>
            </w:r>
            <w:r>
              <w:rPr>
                <w:noProof/>
                <w:webHidden/>
              </w:rPr>
              <w:fldChar w:fldCharType="separate"/>
            </w:r>
            <w:r>
              <w:rPr>
                <w:noProof/>
                <w:webHidden/>
              </w:rPr>
              <w:t>15</w:t>
            </w:r>
            <w:r>
              <w:rPr>
                <w:noProof/>
                <w:webHidden/>
              </w:rPr>
              <w:fldChar w:fldCharType="end"/>
            </w:r>
          </w:hyperlink>
        </w:p>
        <w:p w:rsidR="00492F2C" w:rsidRDefault="00492F2C">
          <w:pPr>
            <w:pStyle w:val="TOC2"/>
            <w:tabs>
              <w:tab w:val="right" w:leader="dot" w:pos="9350"/>
            </w:tabs>
            <w:rPr>
              <w:rFonts w:eastAsiaTheme="minorEastAsia"/>
              <w:noProof/>
            </w:rPr>
          </w:pPr>
          <w:hyperlink w:anchor="_Toc43887875" w:history="1">
            <w:r w:rsidRPr="005D6B84">
              <w:rPr>
                <w:rStyle w:val="Hyperlink"/>
                <w:noProof/>
              </w:rPr>
              <w:t>Re-entries and Relative Placements</w:t>
            </w:r>
            <w:r>
              <w:rPr>
                <w:noProof/>
                <w:webHidden/>
              </w:rPr>
              <w:tab/>
            </w:r>
            <w:r>
              <w:rPr>
                <w:noProof/>
                <w:webHidden/>
              </w:rPr>
              <w:fldChar w:fldCharType="begin"/>
            </w:r>
            <w:r>
              <w:rPr>
                <w:noProof/>
                <w:webHidden/>
              </w:rPr>
              <w:instrText xml:space="preserve"> PAGEREF _Toc43887875 \h </w:instrText>
            </w:r>
            <w:r>
              <w:rPr>
                <w:noProof/>
                <w:webHidden/>
              </w:rPr>
            </w:r>
            <w:r>
              <w:rPr>
                <w:noProof/>
                <w:webHidden/>
              </w:rPr>
              <w:fldChar w:fldCharType="separate"/>
            </w:r>
            <w:r>
              <w:rPr>
                <w:noProof/>
                <w:webHidden/>
              </w:rPr>
              <w:t>15</w:t>
            </w:r>
            <w:r>
              <w:rPr>
                <w:noProof/>
                <w:webHidden/>
              </w:rPr>
              <w:fldChar w:fldCharType="end"/>
            </w:r>
          </w:hyperlink>
        </w:p>
        <w:p w:rsidR="00492F2C" w:rsidRDefault="00492F2C">
          <w:pPr>
            <w:pStyle w:val="TOC2"/>
            <w:tabs>
              <w:tab w:val="right" w:leader="dot" w:pos="9350"/>
            </w:tabs>
            <w:rPr>
              <w:rFonts w:eastAsiaTheme="minorEastAsia"/>
              <w:noProof/>
            </w:rPr>
          </w:pPr>
          <w:hyperlink w:anchor="_Toc43887876" w:history="1">
            <w:r w:rsidRPr="005D6B84">
              <w:rPr>
                <w:rStyle w:val="Hyperlink"/>
                <w:noProof/>
              </w:rPr>
              <w:t>Relative Placements (QSR Data)</w:t>
            </w:r>
            <w:r>
              <w:rPr>
                <w:noProof/>
                <w:webHidden/>
              </w:rPr>
              <w:tab/>
            </w:r>
            <w:r>
              <w:rPr>
                <w:noProof/>
                <w:webHidden/>
              </w:rPr>
              <w:fldChar w:fldCharType="begin"/>
            </w:r>
            <w:r>
              <w:rPr>
                <w:noProof/>
                <w:webHidden/>
              </w:rPr>
              <w:instrText xml:space="preserve"> PAGEREF _Toc43887876 \h </w:instrText>
            </w:r>
            <w:r>
              <w:rPr>
                <w:noProof/>
                <w:webHidden/>
              </w:rPr>
            </w:r>
            <w:r>
              <w:rPr>
                <w:noProof/>
                <w:webHidden/>
              </w:rPr>
              <w:fldChar w:fldCharType="separate"/>
            </w:r>
            <w:r>
              <w:rPr>
                <w:noProof/>
                <w:webHidden/>
              </w:rPr>
              <w:t>16</w:t>
            </w:r>
            <w:r>
              <w:rPr>
                <w:noProof/>
                <w:webHidden/>
              </w:rPr>
              <w:fldChar w:fldCharType="end"/>
            </w:r>
          </w:hyperlink>
        </w:p>
        <w:p w:rsidR="00492F2C" w:rsidRDefault="00492F2C">
          <w:pPr>
            <w:pStyle w:val="TOC2"/>
            <w:tabs>
              <w:tab w:val="right" w:leader="dot" w:pos="9350"/>
            </w:tabs>
            <w:rPr>
              <w:rFonts w:eastAsiaTheme="minorEastAsia"/>
              <w:noProof/>
            </w:rPr>
          </w:pPr>
          <w:hyperlink w:anchor="_Toc43887877" w:history="1">
            <w:r w:rsidRPr="005D6B84">
              <w:rPr>
                <w:rStyle w:val="Hyperlink"/>
                <w:noProof/>
              </w:rPr>
              <w:t>Substance Use Impact on Youth Outcomes</w:t>
            </w:r>
            <w:r>
              <w:rPr>
                <w:noProof/>
                <w:webHidden/>
              </w:rPr>
              <w:tab/>
            </w:r>
            <w:r>
              <w:rPr>
                <w:noProof/>
                <w:webHidden/>
              </w:rPr>
              <w:fldChar w:fldCharType="begin"/>
            </w:r>
            <w:r>
              <w:rPr>
                <w:noProof/>
                <w:webHidden/>
              </w:rPr>
              <w:instrText xml:space="preserve"> PAGEREF _Toc43887877 \h </w:instrText>
            </w:r>
            <w:r>
              <w:rPr>
                <w:noProof/>
                <w:webHidden/>
              </w:rPr>
            </w:r>
            <w:r>
              <w:rPr>
                <w:noProof/>
                <w:webHidden/>
              </w:rPr>
              <w:fldChar w:fldCharType="separate"/>
            </w:r>
            <w:r>
              <w:rPr>
                <w:noProof/>
                <w:webHidden/>
              </w:rPr>
              <w:t>23</w:t>
            </w:r>
            <w:r>
              <w:rPr>
                <w:noProof/>
                <w:webHidden/>
              </w:rPr>
              <w:fldChar w:fldCharType="end"/>
            </w:r>
          </w:hyperlink>
        </w:p>
        <w:p w:rsidR="00492F2C" w:rsidRDefault="00492F2C">
          <w:pPr>
            <w:pStyle w:val="TOC2"/>
            <w:tabs>
              <w:tab w:val="right" w:leader="dot" w:pos="9350"/>
            </w:tabs>
            <w:rPr>
              <w:rFonts w:eastAsiaTheme="minorEastAsia"/>
              <w:noProof/>
            </w:rPr>
          </w:pPr>
          <w:hyperlink w:anchor="_Toc43887878" w:history="1">
            <w:r w:rsidRPr="005D6B84">
              <w:rPr>
                <w:rStyle w:val="Hyperlink"/>
                <w:noProof/>
              </w:rPr>
              <w:t>Concrete Services as a Prevention Service: The Evidence Base</w:t>
            </w:r>
            <w:r>
              <w:rPr>
                <w:noProof/>
                <w:webHidden/>
              </w:rPr>
              <w:tab/>
            </w:r>
            <w:r>
              <w:rPr>
                <w:noProof/>
                <w:webHidden/>
              </w:rPr>
              <w:fldChar w:fldCharType="begin"/>
            </w:r>
            <w:r>
              <w:rPr>
                <w:noProof/>
                <w:webHidden/>
              </w:rPr>
              <w:instrText xml:space="preserve"> PAGEREF _Toc43887878 \h </w:instrText>
            </w:r>
            <w:r>
              <w:rPr>
                <w:noProof/>
                <w:webHidden/>
              </w:rPr>
            </w:r>
            <w:r>
              <w:rPr>
                <w:noProof/>
                <w:webHidden/>
              </w:rPr>
              <w:fldChar w:fldCharType="separate"/>
            </w:r>
            <w:r>
              <w:rPr>
                <w:noProof/>
                <w:webHidden/>
              </w:rPr>
              <w:t>26</w:t>
            </w:r>
            <w:r>
              <w:rPr>
                <w:noProof/>
                <w:webHidden/>
              </w:rPr>
              <w:fldChar w:fldCharType="end"/>
            </w:r>
          </w:hyperlink>
        </w:p>
        <w:p w:rsidR="00492F2C" w:rsidRDefault="00492F2C">
          <w:pPr>
            <w:pStyle w:val="TOC1"/>
            <w:tabs>
              <w:tab w:val="right" w:leader="dot" w:pos="9350"/>
            </w:tabs>
            <w:rPr>
              <w:rFonts w:eastAsiaTheme="minorEastAsia"/>
              <w:noProof/>
            </w:rPr>
          </w:pPr>
          <w:hyperlink w:anchor="_Toc43887879" w:history="1">
            <w:r w:rsidRPr="005D6B84">
              <w:rPr>
                <w:rStyle w:val="Hyperlink"/>
                <w:noProof/>
              </w:rPr>
              <w:t>Process Study</w:t>
            </w:r>
            <w:r>
              <w:rPr>
                <w:noProof/>
                <w:webHidden/>
              </w:rPr>
              <w:tab/>
            </w:r>
            <w:r>
              <w:rPr>
                <w:noProof/>
                <w:webHidden/>
              </w:rPr>
              <w:fldChar w:fldCharType="begin"/>
            </w:r>
            <w:r>
              <w:rPr>
                <w:noProof/>
                <w:webHidden/>
              </w:rPr>
              <w:instrText xml:space="preserve"> PAGEREF _Toc43887879 \h </w:instrText>
            </w:r>
            <w:r>
              <w:rPr>
                <w:noProof/>
                <w:webHidden/>
              </w:rPr>
            </w:r>
            <w:r>
              <w:rPr>
                <w:noProof/>
                <w:webHidden/>
              </w:rPr>
              <w:fldChar w:fldCharType="separate"/>
            </w:r>
            <w:r>
              <w:rPr>
                <w:noProof/>
                <w:webHidden/>
              </w:rPr>
              <w:t>54</w:t>
            </w:r>
            <w:r>
              <w:rPr>
                <w:noProof/>
                <w:webHidden/>
              </w:rPr>
              <w:fldChar w:fldCharType="end"/>
            </w:r>
          </w:hyperlink>
        </w:p>
        <w:p w:rsidR="00492F2C" w:rsidRDefault="00492F2C">
          <w:pPr>
            <w:pStyle w:val="TOC2"/>
            <w:tabs>
              <w:tab w:val="right" w:leader="dot" w:pos="9350"/>
            </w:tabs>
            <w:rPr>
              <w:rFonts w:eastAsiaTheme="minorEastAsia"/>
              <w:noProof/>
            </w:rPr>
          </w:pPr>
          <w:hyperlink w:anchor="_Toc43887880" w:history="1">
            <w:r w:rsidRPr="005D6B84">
              <w:rPr>
                <w:rStyle w:val="Hyperlink"/>
                <w:noProof/>
              </w:rPr>
              <w:t>Concrete Services Spending pre and post-Waiver by Region</w:t>
            </w:r>
            <w:r>
              <w:rPr>
                <w:noProof/>
                <w:webHidden/>
              </w:rPr>
              <w:tab/>
            </w:r>
            <w:r>
              <w:rPr>
                <w:noProof/>
                <w:webHidden/>
              </w:rPr>
              <w:fldChar w:fldCharType="begin"/>
            </w:r>
            <w:r>
              <w:rPr>
                <w:noProof/>
                <w:webHidden/>
              </w:rPr>
              <w:instrText xml:space="preserve"> PAGEREF _Toc43887880 \h </w:instrText>
            </w:r>
            <w:r>
              <w:rPr>
                <w:noProof/>
                <w:webHidden/>
              </w:rPr>
            </w:r>
            <w:r>
              <w:rPr>
                <w:noProof/>
                <w:webHidden/>
              </w:rPr>
              <w:fldChar w:fldCharType="separate"/>
            </w:r>
            <w:r>
              <w:rPr>
                <w:noProof/>
                <w:webHidden/>
              </w:rPr>
              <w:t>56</w:t>
            </w:r>
            <w:r>
              <w:rPr>
                <w:noProof/>
                <w:webHidden/>
              </w:rPr>
              <w:fldChar w:fldCharType="end"/>
            </w:r>
          </w:hyperlink>
        </w:p>
        <w:p w:rsidR="00492F2C" w:rsidRDefault="00492F2C">
          <w:pPr>
            <w:pStyle w:val="TOC2"/>
            <w:tabs>
              <w:tab w:val="right" w:leader="dot" w:pos="9350"/>
            </w:tabs>
            <w:rPr>
              <w:rFonts w:eastAsiaTheme="minorEastAsia"/>
              <w:noProof/>
            </w:rPr>
          </w:pPr>
          <w:hyperlink w:anchor="_Toc43887881" w:history="1">
            <w:r w:rsidRPr="005D6B84">
              <w:rPr>
                <w:rStyle w:val="Hyperlink"/>
                <w:noProof/>
              </w:rPr>
              <w:t>Regional Manager Interviews 2019</w:t>
            </w:r>
            <w:r>
              <w:rPr>
                <w:noProof/>
                <w:webHidden/>
              </w:rPr>
              <w:tab/>
            </w:r>
            <w:r>
              <w:rPr>
                <w:noProof/>
                <w:webHidden/>
              </w:rPr>
              <w:fldChar w:fldCharType="begin"/>
            </w:r>
            <w:r>
              <w:rPr>
                <w:noProof/>
                <w:webHidden/>
              </w:rPr>
              <w:instrText xml:space="preserve"> PAGEREF _Toc43887881 \h </w:instrText>
            </w:r>
            <w:r>
              <w:rPr>
                <w:noProof/>
                <w:webHidden/>
              </w:rPr>
            </w:r>
            <w:r>
              <w:rPr>
                <w:noProof/>
                <w:webHidden/>
              </w:rPr>
              <w:fldChar w:fldCharType="separate"/>
            </w:r>
            <w:r>
              <w:rPr>
                <w:noProof/>
                <w:webHidden/>
              </w:rPr>
              <w:t>61</w:t>
            </w:r>
            <w:r>
              <w:rPr>
                <w:noProof/>
                <w:webHidden/>
              </w:rPr>
              <w:fldChar w:fldCharType="end"/>
            </w:r>
          </w:hyperlink>
        </w:p>
        <w:p w:rsidR="00492F2C" w:rsidRDefault="00492F2C">
          <w:pPr>
            <w:pStyle w:val="TOC2"/>
            <w:tabs>
              <w:tab w:val="right" w:leader="dot" w:pos="9350"/>
            </w:tabs>
            <w:rPr>
              <w:rFonts w:eastAsiaTheme="minorEastAsia"/>
              <w:noProof/>
            </w:rPr>
          </w:pPr>
          <w:hyperlink w:anchor="_Toc43887882" w:history="1">
            <w:r w:rsidRPr="005D6B84">
              <w:rPr>
                <w:rStyle w:val="Hyperlink"/>
                <w:noProof/>
              </w:rPr>
              <w:t>Regional Manager Interviews 2013-2019</w:t>
            </w:r>
            <w:r>
              <w:rPr>
                <w:noProof/>
                <w:webHidden/>
              </w:rPr>
              <w:tab/>
            </w:r>
            <w:r>
              <w:rPr>
                <w:noProof/>
                <w:webHidden/>
              </w:rPr>
              <w:fldChar w:fldCharType="begin"/>
            </w:r>
            <w:r>
              <w:rPr>
                <w:noProof/>
                <w:webHidden/>
              </w:rPr>
              <w:instrText xml:space="preserve"> PAGEREF _Toc43887882 \h </w:instrText>
            </w:r>
            <w:r>
              <w:rPr>
                <w:noProof/>
                <w:webHidden/>
              </w:rPr>
            </w:r>
            <w:r>
              <w:rPr>
                <w:noProof/>
                <w:webHidden/>
              </w:rPr>
              <w:fldChar w:fldCharType="separate"/>
            </w:r>
            <w:r>
              <w:rPr>
                <w:noProof/>
                <w:webHidden/>
              </w:rPr>
              <w:t>64</w:t>
            </w:r>
            <w:r>
              <w:rPr>
                <w:noProof/>
                <w:webHidden/>
              </w:rPr>
              <w:fldChar w:fldCharType="end"/>
            </w:r>
          </w:hyperlink>
        </w:p>
        <w:p w:rsidR="00492F2C" w:rsidRDefault="00492F2C">
          <w:pPr>
            <w:pStyle w:val="TOC2"/>
            <w:tabs>
              <w:tab w:val="right" w:leader="dot" w:pos="9350"/>
            </w:tabs>
            <w:rPr>
              <w:rFonts w:eastAsiaTheme="minorEastAsia"/>
              <w:noProof/>
            </w:rPr>
          </w:pPr>
          <w:hyperlink w:anchor="_Toc43887883" w:history="1">
            <w:r w:rsidRPr="005D6B84">
              <w:rPr>
                <w:rStyle w:val="Hyperlink"/>
                <w:noProof/>
              </w:rPr>
              <w:t>Family Case Manager (FCM) Survey</w:t>
            </w:r>
            <w:r>
              <w:rPr>
                <w:noProof/>
                <w:webHidden/>
              </w:rPr>
              <w:tab/>
            </w:r>
            <w:r>
              <w:rPr>
                <w:noProof/>
                <w:webHidden/>
              </w:rPr>
              <w:fldChar w:fldCharType="begin"/>
            </w:r>
            <w:r>
              <w:rPr>
                <w:noProof/>
                <w:webHidden/>
              </w:rPr>
              <w:instrText xml:space="preserve"> PAGEREF _Toc43887883 \h </w:instrText>
            </w:r>
            <w:r>
              <w:rPr>
                <w:noProof/>
                <w:webHidden/>
              </w:rPr>
            </w:r>
            <w:r>
              <w:rPr>
                <w:noProof/>
                <w:webHidden/>
              </w:rPr>
              <w:fldChar w:fldCharType="separate"/>
            </w:r>
            <w:r>
              <w:rPr>
                <w:noProof/>
                <w:webHidden/>
              </w:rPr>
              <w:t>71</w:t>
            </w:r>
            <w:r>
              <w:rPr>
                <w:noProof/>
                <w:webHidden/>
              </w:rPr>
              <w:fldChar w:fldCharType="end"/>
            </w:r>
          </w:hyperlink>
        </w:p>
        <w:p w:rsidR="00492F2C" w:rsidRDefault="00492F2C">
          <w:pPr>
            <w:pStyle w:val="TOC1"/>
            <w:tabs>
              <w:tab w:val="right" w:leader="dot" w:pos="9350"/>
            </w:tabs>
            <w:rPr>
              <w:rFonts w:eastAsiaTheme="minorEastAsia"/>
              <w:noProof/>
            </w:rPr>
          </w:pPr>
          <w:hyperlink w:anchor="_Toc43887884" w:history="1">
            <w:r w:rsidRPr="005D6B84">
              <w:rPr>
                <w:rStyle w:val="Hyperlink"/>
                <w:noProof/>
              </w:rPr>
              <w:t>Cost Study</w:t>
            </w:r>
            <w:r>
              <w:rPr>
                <w:noProof/>
                <w:webHidden/>
              </w:rPr>
              <w:tab/>
            </w:r>
            <w:r>
              <w:rPr>
                <w:noProof/>
                <w:webHidden/>
              </w:rPr>
              <w:fldChar w:fldCharType="begin"/>
            </w:r>
            <w:r>
              <w:rPr>
                <w:noProof/>
                <w:webHidden/>
              </w:rPr>
              <w:instrText xml:space="preserve"> PAGEREF _Toc43887884 \h </w:instrText>
            </w:r>
            <w:r>
              <w:rPr>
                <w:noProof/>
                <w:webHidden/>
              </w:rPr>
            </w:r>
            <w:r>
              <w:rPr>
                <w:noProof/>
                <w:webHidden/>
              </w:rPr>
              <w:fldChar w:fldCharType="separate"/>
            </w:r>
            <w:r>
              <w:rPr>
                <w:noProof/>
                <w:webHidden/>
              </w:rPr>
              <w:t>102</w:t>
            </w:r>
            <w:r>
              <w:rPr>
                <w:noProof/>
                <w:webHidden/>
              </w:rPr>
              <w:fldChar w:fldCharType="end"/>
            </w:r>
          </w:hyperlink>
        </w:p>
        <w:p w:rsidR="00492F2C" w:rsidRDefault="00492F2C">
          <w:pPr>
            <w:pStyle w:val="TOC1"/>
            <w:tabs>
              <w:tab w:val="right" w:leader="dot" w:pos="9350"/>
            </w:tabs>
            <w:rPr>
              <w:rFonts w:eastAsiaTheme="minorEastAsia"/>
              <w:noProof/>
            </w:rPr>
          </w:pPr>
          <w:hyperlink w:anchor="_Toc43887885" w:history="1">
            <w:r w:rsidRPr="005D6B84">
              <w:rPr>
                <w:rStyle w:val="Hyperlink"/>
                <w:noProof/>
              </w:rPr>
              <w:t>Sub-Study: Family Centered Treatment (FCT)</w:t>
            </w:r>
            <w:r>
              <w:rPr>
                <w:noProof/>
                <w:webHidden/>
              </w:rPr>
              <w:tab/>
            </w:r>
            <w:r>
              <w:rPr>
                <w:noProof/>
                <w:webHidden/>
              </w:rPr>
              <w:fldChar w:fldCharType="begin"/>
            </w:r>
            <w:r>
              <w:rPr>
                <w:noProof/>
                <w:webHidden/>
              </w:rPr>
              <w:instrText xml:space="preserve"> PAGEREF _Toc43887885 \h </w:instrText>
            </w:r>
            <w:r>
              <w:rPr>
                <w:noProof/>
                <w:webHidden/>
              </w:rPr>
            </w:r>
            <w:r>
              <w:rPr>
                <w:noProof/>
                <w:webHidden/>
              </w:rPr>
              <w:fldChar w:fldCharType="separate"/>
            </w:r>
            <w:r>
              <w:rPr>
                <w:noProof/>
                <w:webHidden/>
              </w:rPr>
              <w:t>106</w:t>
            </w:r>
            <w:r>
              <w:rPr>
                <w:noProof/>
                <w:webHidden/>
              </w:rPr>
              <w:fldChar w:fldCharType="end"/>
            </w:r>
          </w:hyperlink>
        </w:p>
        <w:p w:rsidR="00492F2C" w:rsidRDefault="00492F2C">
          <w:pPr>
            <w:pStyle w:val="TOC2"/>
            <w:tabs>
              <w:tab w:val="right" w:leader="dot" w:pos="9350"/>
            </w:tabs>
            <w:rPr>
              <w:rFonts w:eastAsiaTheme="minorEastAsia"/>
              <w:noProof/>
            </w:rPr>
          </w:pPr>
          <w:hyperlink w:anchor="_Toc43887886" w:history="1">
            <w:r w:rsidRPr="005D6B84">
              <w:rPr>
                <w:rStyle w:val="Hyperlink"/>
                <w:noProof/>
              </w:rPr>
              <w:t>FCT background</w:t>
            </w:r>
            <w:r>
              <w:rPr>
                <w:noProof/>
                <w:webHidden/>
              </w:rPr>
              <w:tab/>
            </w:r>
            <w:r>
              <w:rPr>
                <w:noProof/>
                <w:webHidden/>
              </w:rPr>
              <w:fldChar w:fldCharType="begin"/>
            </w:r>
            <w:r>
              <w:rPr>
                <w:noProof/>
                <w:webHidden/>
              </w:rPr>
              <w:instrText xml:space="preserve"> PAGEREF _Toc43887886 \h </w:instrText>
            </w:r>
            <w:r>
              <w:rPr>
                <w:noProof/>
                <w:webHidden/>
              </w:rPr>
            </w:r>
            <w:r>
              <w:rPr>
                <w:noProof/>
                <w:webHidden/>
              </w:rPr>
              <w:fldChar w:fldCharType="separate"/>
            </w:r>
            <w:r>
              <w:rPr>
                <w:noProof/>
                <w:webHidden/>
              </w:rPr>
              <w:t>106</w:t>
            </w:r>
            <w:r>
              <w:rPr>
                <w:noProof/>
                <w:webHidden/>
              </w:rPr>
              <w:fldChar w:fldCharType="end"/>
            </w:r>
          </w:hyperlink>
        </w:p>
        <w:p w:rsidR="00492F2C" w:rsidRDefault="00492F2C">
          <w:pPr>
            <w:pStyle w:val="TOC2"/>
            <w:tabs>
              <w:tab w:val="right" w:leader="dot" w:pos="9350"/>
            </w:tabs>
            <w:rPr>
              <w:rFonts w:eastAsiaTheme="minorEastAsia"/>
              <w:noProof/>
            </w:rPr>
          </w:pPr>
          <w:hyperlink w:anchor="_Toc43887887" w:history="1">
            <w:r w:rsidRPr="005D6B84">
              <w:rPr>
                <w:rStyle w:val="Hyperlink"/>
                <w:noProof/>
              </w:rPr>
              <w:t>Research Questions:</w:t>
            </w:r>
            <w:r>
              <w:rPr>
                <w:noProof/>
                <w:webHidden/>
              </w:rPr>
              <w:tab/>
            </w:r>
            <w:r>
              <w:rPr>
                <w:noProof/>
                <w:webHidden/>
              </w:rPr>
              <w:fldChar w:fldCharType="begin"/>
            </w:r>
            <w:r>
              <w:rPr>
                <w:noProof/>
                <w:webHidden/>
              </w:rPr>
              <w:instrText xml:space="preserve"> PAGEREF _Toc43887887 \h </w:instrText>
            </w:r>
            <w:r>
              <w:rPr>
                <w:noProof/>
                <w:webHidden/>
              </w:rPr>
            </w:r>
            <w:r>
              <w:rPr>
                <w:noProof/>
                <w:webHidden/>
              </w:rPr>
              <w:fldChar w:fldCharType="separate"/>
            </w:r>
            <w:r>
              <w:rPr>
                <w:noProof/>
                <w:webHidden/>
              </w:rPr>
              <w:t>107</w:t>
            </w:r>
            <w:r>
              <w:rPr>
                <w:noProof/>
                <w:webHidden/>
              </w:rPr>
              <w:fldChar w:fldCharType="end"/>
            </w:r>
          </w:hyperlink>
        </w:p>
        <w:p w:rsidR="00492F2C" w:rsidRDefault="00492F2C">
          <w:pPr>
            <w:pStyle w:val="TOC2"/>
            <w:tabs>
              <w:tab w:val="right" w:leader="dot" w:pos="9350"/>
            </w:tabs>
            <w:rPr>
              <w:rFonts w:eastAsiaTheme="minorEastAsia"/>
              <w:noProof/>
            </w:rPr>
          </w:pPr>
          <w:hyperlink w:anchor="_Toc43887888" w:history="1">
            <w:r w:rsidRPr="005D6B84">
              <w:rPr>
                <w:rStyle w:val="Hyperlink"/>
                <w:noProof/>
              </w:rPr>
              <w:t>FCT comparison</w:t>
            </w:r>
            <w:r>
              <w:rPr>
                <w:noProof/>
                <w:webHidden/>
              </w:rPr>
              <w:tab/>
            </w:r>
            <w:r>
              <w:rPr>
                <w:noProof/>
                <w:webHidden/>
              </w:rPr>
              <w:fldChar w:fldCharType="begin"/>
            </w:r>
            <w:r>
              <w:rPr>
                <w:noProof/>
                <w:webHidden/>
              </w:rPr>
              <w:instrText xml:space="preserve"> PAGEREF _Toc43887888 \h </w:instrText>
            </w:r>
            <w:r>
              <w:rPr>
                <w:noProof/>
                <w:webHidden/>
              </w:rPr>
            </w:r>
            <w:r>
              <w:rPr>
                <w:noProof/>
                <w:webHidden/>
              </w:rPr>
              <w:fldChar w:fldCharType="separate"/>
            </w:r>
            <w:r>
              <w:rPr>
                <w:noProof/>
                <w:webHidden/>
              </w:rPr>
              <w:t>107</w:t>
            </w:r>
            <w:r>
              <w:rPr>
                <w:noProof/>
                <w:webHidden/>
              </w:rPr>
              <w:fldChar w:fldCharType="end"/>
            </w:r>
          </w:hyperlink>
        </w:p>
        <w:p w:rsidR="00492F2C" w:rsidRDefault="00492F2C">
          <w:pPr>
            <w:pStyle w:val="TOC2"/>
            <w:tabs>
              <w:tab w:val="right" w:leader="dot" w:pos="9350"/>
            </w:tabs>
            <w:rPr>
              <w:rFonts w:eastAsiaTheme="minorEastAsia"/>
              <w:noProof/>
            </w:rPr>
          </w:pPr>
          <w:hyperlink w:anchor="_Toc43887889" w:history="1">
            <w:r w:rsidRPr="005D6B84">
              <w:rPr>
                <w:rStyle w:val="Hyperlink"/>
                <w:noProof/>
              </w:rPr>
              <w:t>Extension Period Sub-study Activities</w:t>
            </w:r>
            <w:r>
              <w:rPr>
                <w:noProof/>
                <w:webHidden/>
              </w:rPr>
              <w:tab/>
            </w:r>
            <w:r>
              <w:rPr>
                <w:noProof/>
                <w:webHidden/>
              </w:rPr>
              <w:fldChar w:fldCharType="begin"/>
            </w:r>
            <w:r>
              <w:rPr>
                <w:noProof/>
                <w:webHidden/>
              </w:rPr>
              <w:instrText xml:space="preserve"> PAGEREF _Toc43887889 \h </w:instrText>
            </w:r>
            <w:r>
              <w:rPr>
                <w:noProof/>
                <w:webHidden/>
              </w:rPr>
            </w:r>
            <w:r>
              <w:rPr>
                <w:noProof/>
                <w:webHidden/>
              </w:rPr>
              <w:fldChar w:fldCharType="separate"/>
            </w:r>
            <w:r>
              <w:rPr>
                <w:noProof/>
                <w:webHidden/>
              </w:rPr>
              <w:t>108</w:t>
            </w:r>
            <w:r>
              <w:rPr>
                <w:noProof/>
                <w:webHidden/>
              </w:rPr>
              <w:fldChar w:fldCharType="end"/>
            </w:r>
          </w:hyperlink>
        </w:p>
        <w:p w:rsidR="00492F2C" w:rsidRDefault="00492F2C">
          <w:pPr>
            <w:pStyle w:val="TOC2"/>
            <w:tabs>
              <w:tab w:val="right" w:leader="dot" w:pos="9350"/>
            </w:tabs>
            <w:rPr>
              <w:rFonts w:eastAsiaTheme="minorEastAsia"/>
              <w:noProof/>
            </w:rPr>
          </w:pPr>
          <w:hyperlink w:anchor="_Toc43887890" w:history="1">
            <w:r w:rsidRPr="005D6B84">
              <w:rPr>
                <w:rStyle w:val="Hyperlink"/>
                <w:noProof/>
              </w:rPr>
              <w:t>Updated Sub-study Analyses</w:t>
            </w:r>
            <w:r>
              <w:rPr>
                <w:noProof/>
                <w:webHidden/>
              </w:rPr>
              <w:tab/>
            </w:r>
            <w:r>
              <w:rPr>
                <w:noProof/>
                <w:webHidden/>
              </w:rPr>
              <w:fldChar w:fldCharType="begin"/>
            </w:r>
            <w:r>
              <w:rPr>
                <w:noProof/>
                <w:webHidden/>
              </w:rPr>
              <w:instrText xml:space="preserve"> PAGEREF _Toc43887890 \h </w:instrText>
            </w:r>
            <w:r>
              <w:rPr>
                <w:noProof/>
                <w:webHidden/>
              </w:rPr>
            </w:r>
            <w:r>
              <w:rPr>
                <w:noProof/>
                <w:webHidden/>
              </w:rPr>
              <w:fldChar w:fldCharType="separate"/>
            </w:r>
            <w:r>
              <w:rPr>
                <w:noProof/>
                <w:webHidden/>
              </w:rPr>
              <w:t>108</w:t>
            </w:r>
            <w:r>
              <w:rPr>
                <w:noProof/>
                <w:webHidden/>
              </w:rPr>
              <w:fldChar w:fldCharType="end"/>
            </w:r>
          </w:hyperlink>
        </w:p>
        <w:p w:rsidR="00492F2C" w:rsidRDefault="00492F2C">
          <w:pPr>
            <w:pStyle w:val="TOC1"/>
            <w:tabs>
              <w:tab w:val="right" w:leader="dot" w:pos="9350"/>
            </w:tabs>
            <w:rPr>
              <w:rFonts w:eastAsiaTheme="minorEastAsia"/>
              <w:noProof/>
            </w:rPr>
          </w:pPr>
          <w:hyperlink w:anchor="_Toc43887891" w:history="1">
            <w:r w:rsidRPr="005D6B84">
              <w:rPr>
                <w:rStyle w:val="Hyperlink"/>
                <w:noProof/>
              </w:rPr>
              <w:t>Summary and Conclusions</w:t>
            </w:r>
            <w:r>
              <w:rPr>
                <w:noProof/>
                <w:webHidden/>
              </w:rPr>
              <w:tab/>
            </w:r>
            <w:r>
              <w:rPr>
                <w:noProof/>
                <w:webHidden/>
              </w:rPr>
              <w:fldChar w:fldCharType="begin"/>
            </w:r>
            <w:r>
              <w:rPr>
                <w:noProof/>
                <w:webHidden/>
              </w:rPr>
              <w:instrText xml:space="preserve"> PAGEREF _Toc43887891 \h </w:instrText>
            </w:r>
            <w:r>
              <w:rPr>
                <w:noProof/>
                <w:webHidden/>
              </w:rPr>
            </w:r>
            <w:r>
              <w:rPr>
                <w:noProof/>
                <w:webHidden/>
              </w:rPr>
              <w:fldChar w:fldCharType="separate"/>
            </w:r>
            <w:r>
              <w:rPr>
                <w:noProof/>
                <w:webHidden/>
              </w:rPr>
              <w:t>115</w:t>
            </w:r>
            <w:r>
              <w:rPr>
                <w:noProof/>
                <w:webHidden/>
              </w:rPr>
              <w:fldChar w:fldCharType="end"/>
            </w:r>
          </w:hyperlink>
        </w:p>
        <w:p w:rsidR="00492F2C" w:rsidRDefault="00492F2C">
          <w:pPr>
            <w:pStyle w:val="TOC1"/>
            <w:tabs>
              <w:tab w:val="right" w:leader="dot" w:pos="9350"/>
            </w:tabs>
            <w:rPr>
              <w:rFonts w:eastAsiaTheme="minorEastAsia"/>
              <w:noProof/>
            </w:rPr>
          </w:pPr>
          <w:hyperlink w:anchor="_Toc43887892" w:history="1">
            <w:r w:rsidRPr="005D6B84">
              <w:rPr>
                <w:rStyle w:val="Hyperlink"/>
                <w:noProof/>
              </w:rPr>
              <w:t>Appendix A:  QSR Outcome and Practice Indicator Scoring and Definitions</w:t>
            </w:r>
            <w:r>
              <w:rPr>
                <w:noProof/>
                <w:webHidden/>
              </w:rPr>
              <w:tab/>
            </w:r>
            <w:r>
              <w:rPr>
                <w:noProof/>
                <w:webHidden/>
              </w:rPr>
              <w:fldChar w:fldCharType="begin"/>
            </w:r>
            <w:r>
              <w:rPr>
                <w:noProof/>
                <w:webHidden/>
              </w:rPr>
              <w:instrText xml:space="preserve"> PAGEREF _Toc43887892 \h </w:instrText>
            </w:r>
            <w:r>
              <w:rPr>
                <w:noProof/>
                <w:webHidden/>
              </w:rPr>
            </w:r>
            <w:r>
              <w:rPr>
                <w:noProof/>
                <w:webHidden/>
              </w:rPr>
              <w:fldChar w:fldCharType="separate"/>
            </w:r>
            <w:r>
              <w:rPr>
                <w:noProof/>
                <w:webHidden/>
              </w:rPr>
              <w:t>117</w:t>
            </w:r>
            <w:r>
              <w:rPr>
                <w:noProof/>
                <w:webHidden/>
              </w:rPr>
              <w:fldChar w:fldCharType="end"/>
            </w:r>
          </w:hyperlink>
        </w:p>
        <w:p w:rsidR="001D124D" w:rsidRPr="00440792" w:rsidRDefault="001E3185">
          <w:r>
            <w:fldChar w:fldCharType="end"/>
          </w:r>
        </w:p>
      </w:sdtContent>
    </w:sdt>
    <w:p w:rsidR="001D124D" w:rsidRPr="00320E1E" w:rsidRDefault="001D124D">
      <w:pPr>
        <w:rPr>
          <w:rFonts w:asciiTheme="majorHAnsi" w:eastAsiaTheme="majorEastAsia" w:hAnsiTheme="majorHAnsi" w:cstheme="majorBidi"/>
          <w:color w:val="2E74B5" w:themeColor="accent1" w:themeShade="BF"/>
          <w:sz w:val="32"/>
          <w:szCs w:val="32"/>
        </w:rPr>
      </w:pPr>
      <w:r w:rsidRPr="00440792">
        <w:br w:type="page"/>
      </w:r>
    </w:p>
    <w:p w:rsidR="00061B69" w:rsidRPr="00440792" w:rsidRDefault="007C7DF4" w:rsidP="00061B69">
      <w:pPr>
        <w:pStyle w:val="Heading1"/>
      </w:pPr>
      <w:bookmarkStart w:id="0" w:name="_Toc43887870"/>
      <w:r w:rsidRPr="00440792">
        <w:t xml:space="preserve">Executive </w:t>
      </w:r>
      <w:r w:rsidR="00061B69" w:rsidRPr="00440792">
        <w:t>Summary</w:t>
      </w:r>
      <w:bookmarkEnd w:id="0"/>
    </w:p>
    <w:p w:rsidR="009604C6" w:rsidRPr="00440792" w:rsidRDefault="009604C6" w:rsidP="00C70927">
      <w:pPr>
        <w:ind w:firstLine="720"/>
      </w:pPr>
      <w:r w:rsidRPr="00440792">
        <w:t xml:space="preserve">In the years of the current </w:t>
      </w:r>
      <w:r w:rsidR="007C77E4">
        <w:t xml:space="preserve">Title IV-E </w:t>
      </w:r>
      <w:r w:rsidR="00A5038C">
        <w:t>Waiver</w:t>
      </w:r>
      <w:r w:rsidRPr="00440792">
        <w:t xml:space="preserve"> demonstration period, Indiana was able to spend dollars more flexibly to expand services and to invest in evidence-based services on a statewide level.  These investments aimed to provide new and effective services to support </w:t>
      </w:r>
      <w:r w:rsidR="00A5038C">
        <w:t xml:space="preserve">youth </w:t>
      </w:r>
      <w:r w:rsidR="007C77E4">
        <w:t xml:space="preserve">and families </w:t>
      </w:r>
      <w:r w:rsidRPr="00440792">
        <w:t xml:space="preserve">in the child welfare system.  </w:t>
      </w:r>
    </w:p>
    <w:p w:rsidR="00833EE9" w:rsidRPr="00440792" w:rsidRDefault="00833EE9" w:rsidP="00C70927">
      <w:pPr>
        <w:ind w:firstLine="720"/>
      </w:pPr>
      <w:r w:rsidRPr="00440792">
        <w:t>During the demonstration period, the landscape of the population shifted in a way that was unexpected and to the extent that surprised a nation.  Since 1999, Indiana has seen drug overdose deaths increase more than 500%.</w:t>
      </w:r>
      <w:r w:rsidRPr="00440792">
        <w:rPr>
          <w:rStyle w:val="FootnoteReference"/>
        </w:rPr>
        <w:footnoteReference w:id="1"/>
      </w:r>
      <w:r w:rsidRPr="00440792">
        <w:t xml:space="preserve"> In a Jointpoint regression examining trends from 2010 to 2015, the CDC found that Indiana was one among 30 states to have significant increases in the rate of drug overdose deaths. And in 2013-2014</w:t>
      </w:r>
      <w:r w:rsidR="00A5038C">
        <w:t>, Indiana</w:t>
      </w:r>
      <w:r w:rsidRPr="00440792">
        <w:t xml:space="preserve"> </w:t>
      </w:r>
      <w:r w:rsidR="007C77E4">
        <w:t>saw</w:t>
      </w:r>
      <w:r w:rsidRPr="00440792">
        <w:t xml:space="preserve"> a statistically significant increase in the drug overdose death rate (increasing by 9.6%).</w:t>
      </w:r>
      <w:r w:rsidRPr="00440792">
        <w:rPr>
          <w:rStyle w:val="FootnoteReference"/>
        </w:rPr>
        <w:footnoteReference w:id="2"/>
      </w:r>
    </w:p>
    <w:p w:rsidR="00833EE9" w:rsidRDefault="00833EE9" w:rsidP="00C70927">
      <w:pPr>
        <w:ind w:firstLine="720"/>
      </w:pPr>
      <w:r w:rsidRPr="00440792">
        <w:t xml:space="preserve">Public health reporting data </w:t>
      </w:r>
      <w:r w:rsidR="00BA7437">
        <w:t>are</w:t>
      </w:r>
      <w:r w:rsidRPr="00440792">
        <w:t xml:space="preserve"> usuall</w:t>
      </w:r>
      <w:r w:rsidRPr="00320E1E">
        <w:t xml:space="preserve">y three to five years behind what </w:t>
      </w:r>
      <w:r w:rsidR="00A5038C">
        <w:t xml:space="preserve">is </w:t>
      </w:r>
      <w:r w:rsidRPr="00320E1E">
        <w:t>actually happening.  Today we can see that the trend was beginning to increase significantly.  During this time</w:t>
      </w:r>
      <w:r w:rsidR="00A5038C">
        <w:t>, DCS</w:t>
      </w:r>
      <w:r w:rsidRPr="00320E1E">
        <w:t xml:space="preserve"> tried to implement better service recommendations and </w:t>
      </w:r>
      <w:r w:rsidR="007C77E4">
        <w:t xml:space="preserve">to </w:t>
      </w:r>
      <w:r w:rsidRPr="00320E1E">
        <w:t>incorporate better, rea</w:t>
      </w:r>
      <w:r w:rsidRPr="00440792">
        <w:t>l-time solutions to addressing their changing population.</w:t>
      </w:r>
    </w:p>
    <w:p w:rsidR="00BA7437" w:rsidRPr="00440792" w:rsidRDefault="00BA7437" w:rsidP="00C70927">
      <w:pPr>
        <w:ind w:firstLine="720"/>
      </w:pPr>
      <w:r>
        <w:t>During the Extension period of the IV-E Waiver in Indiana, the Evaluation Team and DCS have started two other evaluation</w:t>
      </w:r>
      <w:r w:rsidR="008F13EF">
        <w:t>s</w:t>
      </w:r>
      <w:r>
        <w:t xml:space="preserve">, both of which address findings in the Final Report from the original </w:t>
      </w:r>
      <w:r w:rsidR="00DC7A7D">
        <w:t>Waiver</w:t>
      </w:r>
      <w:r>
        <w:t>.  One is evaluating a Kinship Navigator Progra</w:t>
      </w:r>
      <w:r w:rsidR="001A6EE2">
        <w:t>m with the implementation in</w:t>
      </w:r>
      <w:r>
        <w:t xml:space="preserve"> Region</w:t>
      </w:r>
      <w:r w:rsidR="001A6EE2">
        <w:t xml:space="preserve"> </w:t>
      </w:r>
      <w:r w:rsidR="00D47151">
        <w:t>7</w:t>
      </w:r>
      <w:r>
        <w:t xml:space="preserve"> of the state with a comparison </w:t>
      </w:r>
      <w:r w:rsidR="00D47151">
        <w:t>in Region 13</w:t>
      </w:r>
      <w:r>
        <w:t>.  The other is a Peer Recovery Coach Program implemented in Marion Country, where entry into the program can occur from</w:t>
      </w:r>
      <w:r w:rsidR="006B57B8">
        <w:t xml:space="preserve"> a random set of</w:t>
      </w:r>
      <w:r>
        <w:t xml:space="preserve"> Family Case Managers </w:t>
      </w:r>
      <w:r w:rsidR="006B57B8">
        <w:t>who</w:t>
      </w:r>
      <w:r>
        <w:t xml:space="preserve"> offer the program </w:t>
      </w:r>
      <w:r w:rsidR="006B57B8">
        <w:t xml:space="preserve">at the assessment </w:t>
      </w:r>
      <w:r>
        <w:t xml:space="preserve">or through the court, where only one court offers the program (the entry </w:t>
      </w:r>
      <w:r w:rsidR="006B57B8">
        <w:t xml:space="preserve">of any particular case </w:t>
      </w:r>
      <w:r>
        <w:t>into one court v</w:t>
      </w:r>
      <w:r w:rsidR="006B57B8">
        <w:t>ersu</w:t>
      </w:r>
      <w:r>
        <w:t>s the other is also random).</w:t>
      </w:r>
    </w:p>
    <w:p w:rsidR="00833EE9" w:rsidRDefault="007C77E4" w:rsidP="00C70927">
      <w:pPr>
        <w:ind w:firstLine="720"/>
      </w:pPr>
      <w:r>
        <w:t>T</w:t>
      </w:r>
      <w:r w:rsidR="00833EE9" w:rsidRPr="00440792">
        <w:t xml:space="preserve">he </w:t>
      </w:r>
      <w:r>
        <w:t xml:space="preserve">Title IV-E </w:t>
      </w:r>
      <w:r w:rsidR="00A5038C">
        <w:t>Waiver</w:t>
      </w:r>
      <w:r w:rsidR="00833EE9" w:rsidRPr="00440792">
        <w:t xml:space="preserve"> </w:t>
      </w:r>
      <w:r>
        <w:t xml:space="preserve">evaluation identified a number of </w:t>
      </w:r>
      <w:r w:rsidR="00833EE9" w:rsidRPr="00440792">
        <w:t xml:space="preserve">successes and </w:t>
      </w:r>
      <w:r>
        <w:t xml:space="preserve">strengths.  Our DCS/IU collaboration also noted </w:t>
      </w:r>
      <w:r w:rsidR="00833EE9" w:rsidRPr="00440792">
        <w:t>some are</w:t>
      </w:r>
      <w:r w:rsidR="006B57B8">
        <w:t xml:space="preserve">as for continuing improvement. </w:t>
      </w:r>
      <w:r w:rsidR="003E6E04" w:rsidRPr="00440792">
        <w:t>B</w:t>
      </w:r>
      <w:r w:rsidR="00833EE9" w:rsidRPr="00440792">
        <w:t>rief overview</w:t>
      </w:r>
      <w:r w:rsidR="003E6E04" w:rsidRPr="00440792">
        <w:t>s</w:t>
      </w:r>
      <w:r w:rsidR="00833EE9" w:rsidRPr="00440792">
        <w:t xml:space="preserve"> of the Outcome Study, Process Study, Cost Study, and Sub-study are presented in this section.</w:t>
      </w:r>
    </w:p>
    <w:p w:rsidR="00286DF9" w:rsidRPr="00440792" w:rsidRDefault="00286DF9" w:rsidP="00C70927">
      <w:pPr>
        <w:ind w:firstLine="720"/>
      </w:pPr>
    </w:p>
    <w:p w:rsidR="00833EE9" w:rsidRPr="00654938" w:rsidRDefault="00833EE9" w:rsidP="00A446DA">
      <w:pPr>
        <w:pStyle w:val="Heading3"/>
        <w:rPr>
          <w:rStyle w:val="IntenseEmphasis"/>
          <w:i w:val="0"/>
          <w:iCs w:val="0"/>
          <w:color w:val="1F4D78" w:themeColor="accent1" w:themeShade="7F"/>
        </w:rPr>
      </w:pPr>
      <w:r w:rsidRPr="00654938">
        <w:t>Outcome Study</w:t>
      </w:r>
    </w:p>
    <w:p w:rsidR="009604C6" w:rsidRDefault="00FF35AB" w:rsidP="00FF35AB">
      <w:r>
        <w:tab/>
        <w:t xml:space="preserve">During the extension period, the Evaluation Team investigated </w:t>
      </w:r>
      <w:r w:rsidR="00A73457">
        <w:t>four</w:t>
      </w:r>
      <w:r>
        <w:t xml:space="preserve"> of the major findings </w:t>
      </w:r>
      <w:r w:rsidR="00B036BB">
        <w:t xml:space="preserve">of </w:t>
      </w:r>
      <w:r>
        <w:t>the original Final Report: Re-entries, relative placements, substance use, and concrete service use. The Evaluation Team used administrative data and Quality Service Reviews (QSRs) to investigate re-entries, the outcome data on the use of relative placements and concrete services, and the impact of parent substance abuse on youth outcomes.</w:t>
      </w:r>
    </w:p>
    <w:p w:rsidR="001844A3" w:rsidRDefault="00C2331A" w:rsidP="001844A3">
      <w:pPr>
        <w:pStyle w:val="paragraph"/>
        <w:spacing w:before="0" w:beforeAutospacing="0" w:after="0" w:afterAutospacing="0"/>
        <w:ind w:firstLine="720"/>
        <w:textAlignment w:val="baseline"/>
        <w:rPr>
          <w:rStyle w:val="eop"/>
          <w:rFonts w:ascii="Calibri" w:hAnsi="Calibri"/>
          <w:color w:val="000000" w:themeColor="text1"/>
          <w:sz w:val="22"/>
          <w:szCs w:val="22"/>
        </w:rPr>
      </w:pPr>
      <w:r w:rsidRPr="001844A3">
        <w:rPr>
          <w:rFonts w:asciiTheme="minorHAnsi" w:hAnsiTheme="minorHAnsi"/>
          <w:sz w:val="22"/>
        </w:rPr>
        <w:t>Administrative data of all children in the system from</w:t>
      </w:r>
      <w:r w:rsidR="00064C6D" w:rsidRPr="001844A3">
        <w:rPr>
          <w:rFonts w:asciiTheme="minorHAnsi" w:hAnsiTheme="minorHAnsi"/>
          <w:sz w:val="22"/>
        </w:rPr>
        <w:t xml:space="preserve"> Waiver years</w:t>
      </w:r>
      <w:r w:rsidRPr="001844A3">
        <w:rPr>
          <w:rFonts w:asciiTheme="minorHAnsi" w:hAnsiTheme="minorHAnsi"/>
          <w:sz w:val="22"/>
        </w:rPr>
        <w:t xml:space="preserve"> 201</w:t>
      </w:r>
      <w:r w:rsidR="00064C6D" w:rsidRPr="001844A3">
        <w:rPr>
          <w:rFonts w:asciiTheme="minorHAnsi" w:hAnsiTheme="minorHAnsi"/>
          <w:sz w:val="22"/>
        </w:rPr>
        <w:t>2</w:t>
      </w:r>
      <w:r w:rsidRPr="001844A3">
        <w:rPr>
          <w:rFonts w:asciiTheme="minorHAnsi" w:hAnsiTheme="minorHAnsi"/>
          <w:sz w:val="22"/>
        </w:rPr>
        <w:t xml:space="preserve"> to 2017 was used to investigate re-entries and relative placements. </w:t>
      </w:r>
      <w:r w:rsidR="001844A3" w:rsidRPr="001844A3">
        <w:rPr>
          <w:rFonts w:asciiTheme="minorHAnsi" w:hAnsiTheme="minorHAnsi"/>
          <w:sz w:val="22"/>
        </w:rPr>
        <w:t>Re-entry data indicate that any re-entry within 360 days was </w:t>
      </w:r>
      <w:r w:rsidR="001844A3" w:rsidRPr="00D0524F">
        <w:rPr>
          <w:rFonts w:asciiTheme="minorHAnsi" w:hAnsiTheme="minorHAnsi"/>
          <w:i/>
          <w:iCs/>
          <w:sz w:val="22"/>
        </w:rPr>
        <w:t>more likely</w:t>
      </w:r>
      <w:r w:rsidR="001844A3" w:rsidRPr="001844A3">
        <w:rPr>
          <w:rFonts w:asciiTheme="minorHAnsi" w:hAnsiTheme="minorHAnsi"/>
          <w:sz w:val="22"/>
        </w:rPr>
        <w:t> with: older age at case entry; more time out of the home; removal reasons of neglect, physical abuse, inability to cope, and parent in jail; greater number of removal reasons (Informal adjustment vs. child in need of CHINS), resource type-residential vs. foster family or placement provider vs. foster family; residential placement vs. child not removed; and a service recommendation of high intensive vs. no treatment  or intensive community vs. no treatment. Re-entry was </w:t>
      </w:r>
      <w:r w:rsidR="001844A3" w:rsidRPr="00D0524F">
        <w:rPr>
          <w:rFonts w:asciiTheme="minorHAnsi" w:hAnsiTheme="minorHAnsi"/>
          <w:i/>
          <w:iCs/>
          <w:sz w:val="22"/>
        </w:rPr>
        <w:t>less likely</w:t>
      </w:r>
      <w:r w:rsidR="001844A3" w:rsidRPr="001844A3">
        <w:rPr>
          <w:rFonts w:asciiTheme="minorHAnsi" w:hAnsiTheme="minorHAnsi"/>
          <w:sz w:val="22"/>
        </w:rPr>
        <w:t xml:space="preserve"> when the </w:t>
      </w:r>
      <w:r w:rsidR="001844A3" w:rsidRPr="001844A3">
        <w:rPr>
          <w:rFonts w:asciiTheme="minorHAnsi" w:hAnsiTheme="minorHAnsi"/>
          <w:color w:val="000000" w:themeColor="text1"/>
          <w:sz w:val="22"/>
        </w:rPr>
        <w:t>child had a disabili</w:t>
      </w:r>
      <w:r w:rsidR="001844A3" w:rsidRPr="001844A3">
        <w:rPr>
          <w:rStyle w:val="normaltextrun"/>
          <w:rFonts w:ascii="Calibri" w:hAnsi="Calibri"/>
          <w:color w:val="000000" w:themeColor="text1"/>
          <w:sz w:val="22"/>
          <w:szCs w:val="22"/>
        </w:rPr>
        <w:t>ty</w:t>
      </w:r>
      <w:r w:rsidR="001844A3">
        <w:rPr>
          <w:rStyle w:val="normaltextrun"/>
          <w:rFonts w:ascii="Calibri" w:hAnsi="Calibri"/>
          <w:color w:val="000000" w:themeColor="text1"/>
          <w:sz w:val="22"/>
          <w:szCs w:val="22"/>
        </w:rPr>
        <w:t> or</w:t>
      </w:r>
      <w:r w:rsidR="001844A3" w:rsidRPr="001844A3">
        <w:rPr>
          <w:rStyle w:val="normaltextrun"/>
          <w:rFonts w:ascii="Calibri" w:hAnsi="Calibri"/>
          <w:color w:val="000000" w:themeColor="text1"/>
          <w:sz w:val="22"/>
          <w:szCs w:val="22"/>
        </w:rPr>
        <w:t xml:space="preserve"> was in an adoptive home.</w:t>
      </w:r>
      <w:r w:rsidR="001844A3" w:rsidRPr="001844A3">
        <w:rPr>
          <w:rStyle w:val="eop"/>
          <w:rFonts w:ascii="Calibri" w:hAnsi="Calibri"/>
          <w:color w:val="000000" w:themeColor="text1"/>
          <w:sz w:val="22"/>
          <w:szCs w:val="22"/>
        </w:rPr>
        <w:t> </w:t>
      </w:r>
    </w:p>
    <w:p w:rsidR="0089770F" w:rsidRDefault="0089770F" w:rsidP="001844A3">
      <w:pPr>
        <w:pStyle w:val="paragraph"/>
        <w:spacing w:before="0" w:beforeAutospacing="0" w:after="0" w:afterAutospacing="0"/>
        <w:ind w:firstLine="720"/>
        <w:textAlignment w:val="baseline"/>
        <w:rPr>
          <w:rFonts w:ascii="Verdana" w:hAnsi="Verdana"/>
          <w:sz w:val="18"/>
          <w:szCs w:val="18"/>
        </w:rPr>
      </w:pPr>
    </w:p>
    <w:p w:rsidR="0030647C" w:rsidRDefault="001C1BA6" w:rsidP="00D47151">
      <w:pPr>
        <w:ind w:firstLine="720"/>
      </w:pPr>
      <w:r>
        <w:t>In regards to relative placements, cases</w:t>
      </w:r>
      <w:r w:rsidR="009A35D1">
        <w:t xml:space="preserve"> factors including cases</w:t>
      </w:r>
      <w:r>
        <w:t xml:space="preserve"> with a lower number of placements and cases with caregivers who can manage the child’s stress and who have a significant network were </w:t>
      </w:r>
      <w:r w:rsidR="009A35D1">
        <w:t>associated</w:t>
      </w:r>
      <w:r>
        <w:t xml:space="preserve"> placed with relatives. Having a relative licensed was associated with a lower number of placements and that the caregiver is able to manage the child’s stress and has a significant network.</w:t>
      </w:r>
    </w:p>
    <w:p w:rsidR="00CC7226" w:rsidRDefault="00FF35AB" w:rsidP="00FB5AB6">
      <w:r>
        <w:tab/>
      </w:r>
      <w:r w:rsidR="00D47151">
        <w:t>Five rounds of the Quality Service Reviews (QSR) were comple</w:t>
      </w:r>
      <w:r w:rsidR="00FB5AB6">
        <w:t xml:space="preserve">ted from July 2007 to June 2017 </w:t>
      </w:r>
      <w:r w:rsidR="00D47151">
        <w:t xml:space="preserve">consisting of 2611 of case reviews. </w:t>
      </w:r>
      <w:r>
        <w:t>Using the QSR data,</w:t>
      </w:r>
      <w:r w:rsidR="00FB5AB6">
        <w:t xml:space="preserve"> use of relative care, effects of caregiver substance abuse, and concrete services were investigated. R</w:t>
      </w:r>
      <w:r>
        <w:t xml:space="preserve">elative care was a good alternative to in-home care when trying to reunify families.  Children were scored higher in maintaining family relationships, stability, permanency, and well-being than non-relative placements. QSR data was then used to </w:t>
      </w:r>
      <w:r w:rsidR="00CC7226">
        <w:t xml:space="preserve">understand the impact of parental substance abuse on safety, permanency, and well-being. 41.9% of youth 10-18 in the QSR had a parent with substance use.  </w:t>
      </w:r>
      <w:r w:rsidR="00B036BB">
        <w:t>P</w:t>
      </w:r>
      <w:r w:rsidR="00CC7226">
        <w:t>arent substance use did not impact safety or permanency, but did impact well-being. F</w:t>
      </w:r>
      <w:r w:rsidR="00CC7226" w:rsidRPr="005178E4">
        <w:t xml:space="preserve">or youth that have </w:t>
      </w:r>
      <w:r w:rsidR="00CC7226">
        <w:t>a parent with substance use,</w:t>
      </w:r>
      <w:r w:rsidR="00CC7226" w:rsidRPr="005178E4">
        <w:t xml:space="preserve"> </w:t>
      </w:r>
      <w:r w:rsidR="00CC7226">
        <w:t>maintaining relationships positi</w:t>
      </w:r>
      <w:r w:rsidR="00AD0AF4">
        <w:t xml:space="preserve">vely impacted well-being and teaming </w:t>
      </w:r>
      <w:r w:rsidR="00CC7226">
        <w:t>negatively impacted well-being</w:t>
      </w:r>
      <w:r w:rsidR="00CC7226" w:rsidRPr="005178E4">
        <w:t>.</w:t>
      </w:r>
      <w:r w:rsidR="0079349D">
        <w:t xml:space="preserve"> Finally, QSR and administrative data were merged to investigate concrete service use with placement stability.  Stability increased over time for those who used concrete services and decreased for those who did not use concrete services. Overall</w:t>
      </w:r>
      <w:r w:rsidR="00951ED6">
        <w:t>, the use of concrete services was associated</w:t>
      </w:r>
      <w:r w:rsidR="0079349D">
        <w:t xml:space="preserve"> with increases in stability for youth at a higher level of need and this is particularly important for those at a higher level of instability. Both permanency and stabili</w:t>
      </w:r>
      <w:r w:rsidR="00951ED6">
        <w:t>ty</w:t>
      </w:r>
      <w:r w:rsidR="0079349D">
        <w:t xml:space="preserve"> </w:t>
      </w:r>
      <w:r w:rsidR="00951ED6">
        <w:t>w</w:t>
      </w:r>
      <w:r w:rsidR="001A6EE2">
        <w:t>ere</w:t>
      </w:r>
      <w:r w:rsidR="00951ED6">
        <w:t xml:space="preserve"> associated</w:t>
      </w:r>
      <w:r w:rsidR="0079349D">
        <w:t xml:space="preserve"> with total concrete service spending </w:t>
      </w:r>
      <w:r w:rsidR="00951ED6">
        <w:t xml:space="preserve">providing </w:t>
      </w:r>
      <w:r w:rsidR="0079349D">
        <w:t>evidence</w:t>
      </w:r>
      <w:r w:rsidR="00951ED6">
        <w:t xml:space="preserve"> that c</w:t>
      </w:r>
      <w:r w:rsidR="0079349D">
        <w:t>oncrete</w:t>
      </w:r>
      <w:r w:rsidR="00951ED6">
        <w:t xml:space="preserve"> services may assist in maintaining placement stability</w:t>
      </w:r>
      <w:r w:rsidR="0079349D">
        <w:t>.</w:t>
      </w:r>
    </w:p>
    <w:p w:rsidR="00FF35AB" w:rsidRPr="00440792" w:rsidRDefault="00FF35AB" w:rsidP="00FF35AB"/>
    <w:p w:rsidR="00833EE9" w:rsidRPr="00440792" w:rsidRDefault="00833EE9" w:rsidP="00A446DA">
      <w:pPr>
        <w:pStyle w:val="Heading3"/>
      </w:pPr>
      <w:r w:rsidRPr="00440792">
        <w:t>Process</w:t>
      </w:r>
      <w:r w:rsidR="00A446DA" w:rsidRPr="00440792">
        <w:t xml:space="preserve"> Study</w:t>
      </w:r>
    </w:p>
    <w:p w:rsidR="00833EE9" w:rsidRPr="00440792" w:rsidRDefault="00833EE9" w:rsidP="00C70927">
      <w:pPr>
        <w:ind w:firstLine="720"/>
      </w:pPr>
      <w:r w:rsidRPr="00440792">
        <w:t xml:space="preserve">In the first year of the evaluation, DCS consistently used the phrase, “simply a funding mechanism” to refer to the </w:t>
      </w:r>
      <w:r w:rsidR="00A5038C">
        <w:t>Waiver</w:t>
      </w:r>
      <w:r w:rsidRPr="00440792">
        <w:t xml:space="preserve"> and focused solely on making service enhancements.  This philosophy changed starting in late 2013 with Casey Family Programs helping to direct better alignment of the </w:t>
      </w:r>
      <w:r w:rsidR="00A5038C">
        <w:t>Waiver</w:t>
      </w:r>
      <w:r w:rsidRPr="00440792">
        <w:t xml:space="preserve"> wit</w:t>
      </w:r>
      <w:r w:rsidR="00D31A37">
        <w:t xml:space="preserve">h other established DCS goals. </w:t>
      </w:r>
      <w:r w:rsidRPr="00440792">
        <w:t>Th</w:t>
      </w:r>
      <w:r w:rsidR="003E6E04" w:rsidRPr="00440792">
        <w:t>r</w:t>
      </w:r>
      <w:r w:rsidRPr="00440792">
        <w:t xml:space="preserve">ough this mid-course correction of the process, DCS invested heavily in a </w:t>
      </w:r>
      <w:r w:rsidR="007C77E4">
        <w:t>Continuous Quality Improvement (</w:t>
      </w:r>
      <w:r w:rsidRPr="00440792">
        <w:t>CQI</w:t>
      </w:r>
      <w:r w:rsidR="007C77E4">
        <w:t>)</w:t>
      </w:r>
      <w:r w:rsidRPr="00440792">
        <w:t xml:space="preserve"> strategy throughout the agency.</w:t>
      </w:r>
    </w:p>
    <w:p w:rsidR="00833EE9" w:rsidRPr="00440792" w:rsidRDefault="00833EE9" w:rsidP="00C70927">
      <w:pPr>
        <w:ind w:firstLine="720"/>
      </w:pPr>
      <w:r w:rsidRPr="00440792">
        <w:t xml:space="preserve">DCS invested in evidence-based programs, including Family Centered Treatment (FCT), which is the topic of the sub-study.  The </w:t>
      </w:r>
      <w:r w:rsidR="00EA7798">
        <w:t xml:space="preserve">overall </w:t>
      </w:r>
      <w:r w:rsidRPr="00440792">
        <w:t xml:space="preserve">array </w:t>
      </w:r>
      <w:r w:rsidR="00EA7798">
        <w:t xml:space="preserve">of services available was </w:t>
      </w:r>
      <w:r w:rsidRPr="00440792">
        <w:t xml:space="preserve">expanded to include more </w:t>
      </w:r>
      <w:r w:rsidR="00EA7798">
        <w:t>programs and</w:t>
      </w:r>
      <w:r w:rsidRPr="00440792">
        <w:t xml:space="preserve"> practices that have effectiveness </w:t>
      </w:r>
      <w:r w:rsidR="00EA7798">
        <w:t xml:space="preserve">data for </w:t>
      </w:r>
      <w:r w:rsidRPr="00440792">
        <w:t xml:space="preserve">children </w:t>
      </w:r>
      <w:r w:rsidR="00A5038C">
        <w:t xml:space="preserve">and youth </w:t>
      </w:r>
      <w:r w:rsidRPr="00440792">
        <w:t>in child welfare settings.</w:t>
      </w:r>
    </w:p>
    <w:p w:rsidR="00833EE9" w:rsidRPr="00440792" w:rsidRDefault="00BC5706" w:rsidP="00D31A37">
      <w:pPr>
        <w:ind w:firstLine="720"/>
      </w:pPr>
      <w:r>
        <w:t>In the extension years, DCS invested in their internal evaluation capacities</w:t>
      </w:r>
      <w:r w:rsidR="00D31A37">
        <w:t>. They hired</w:t>
      </w:r>
      <w:r>
        <w:t xml:space="preserve"> a team</w:t>
      </w:r>
      <w:r w:rsidR="00D31A37">
        <w:t xml:space="preserve"> of analysts </w:t>
      </w:r>
      <w:r>
        <w:t xml:space="preserve">under the </w:t>
      </w:r>
      <w:r w:rsidRPr="00BC5706">
        <w:t>Deputy Director of Strategic Solutions and Agency Transformation</w:t>
      </w:r>
      <w:r w:rsidR="00D31A37">
        <w:t xml:space="preserve">, who manages the oversight of federal compliance requirements, grant reporting and grant applications according to federal guidelines. </w:t>
      </w:r>
      <w:r w:rsidR="00D31A37" w:rsidRPr="00D31A37">
        <w:t>The research analysts evaluate the necessary data to assess the impact of system interventions in improving outcomes for Hoosier children and families.</w:t>
      </w:r>
      <w:r w:rsidR="00D31A37">
        <w:t xml:space="preserve"> That office also works on </w:t>
      </w:r>
      <w:r w:rsidR="00B036BB">
        <w:t xml:space="preserve">the </w:t>
      </w:r>
      <w:r w:rsidR="00D31A37">
        <w:t xml:space="preserve">program improvement plan (PIP) planning and implementation process for the agency along with overseeing the agency’s continuous quality improvement efforts. </w:t>
      </w:r>
    </w:p>
    <w:p w:rsidR="00023AEC" w:rsidRDefault="00023AEC" w:rsidP="00071571">
      <w:pPr>
        <w:ind w:firstLine="720"/>
      </w:pPr>
      <w:r>
        <w:t xml:space="preserve">Concrete service use increased in all but one region over the demonstration period and </w:t>
      </w:r>
      <w:r w:rsidR="00B036BB">
        <w:t>had</w:t>
      </w:r>
      <w:r>
        <w:t xml:space="preserve"> a significant increase before and after Waiver implementation in 13 regions. </w:t>
      </w:r>
      <w:r w:rsidRPr="00862D90">
        <w:rPr>
          <w:rFonts w:ascii="Calibri" w:hAnsi="Calibri" w:cs="Calibri"/>
        </w:rPr>
        <w:t>Regions without a significant change in spending were all adjacent to other states who were not involved in this State’s Waiver. This might suggest that individuals or families are using/accessing resources from contiguous states or private agencies</w:t>
      </w:r>
      <w:r>
        <w:rPr>
          <w:rFonts w:ascii="Calibri" w:hAnsi="Calibri" w:cs="Calibri"/>
        </w:rPr>
        <w:t>.</w:t>
      </w:r>
      <w:r>
        <w:t xml:space="preserve">  </w:t>
      </w:r>
    </w:p>
    <w:p w:rsidR="00A446DA" w:rsidRPr="00440792" w:rsidRDefault="009604C6" w:rsidP="00071571">
      <w:pPr>
        <w:ind w:firstLine="720"/>
      </w:pPr>
      <w:r w:rsidRPr="00440792">
        <w:t>Regional</w:t>
      </w:r>
      <w:r w:rsidR="00A446DA" w:rsidRPr="00440792">
        <w:t xml:space="preserve"> and Executive Manager</w:t>
      </w:r>
      <w:r w:rsidRPr="00440792">
        <w:t>s</w:t>
      </w:r>
      <w:r w:rsidR="00A446DA" w:rsidRPr="00440792">
        <w:t xml:space="preserve"> were interviewed four times during the </w:t>
      </w:r>
      <w:r w:rsidR="00A90836">
        <w:t xml:space="preserve">original </w:t>
      </w:r>
      <w:r w:rsidR="00A446DA" w:rsidRPr="00440792">
        <w:t>demonstration</w:t>
      </w:r>
      <w:r w:rsidR="00A90836">
        <w:t xml:space="preserve"> and once in the extension</w:t>
      </w:r>
      <w:r w:rsidR="00A446DA" w:rsidRPr="00440792">
        <w:t xml:space="preserve"> period </w:t>
      </w:r>
      <w:r w:rsidR="00983F6E">
        <w:t>totaling 100 interview</w:t>
      </w:r>
      <w:r w:rsidR="009276EE">
        <w:t>s</w:t>
      </w:r>
      <w:r w:rsidR="00983F6E">
        <w:t xml:space="preserve"> that provided</w:t>
      </w:r>
      <w:r w:rsidR="00A90836">
        <w:t xml:space="preserve"> </w:t>
      </w:r>
      <w:r w:rsidR="00A446DA" w:rsidRPr="00440792">
        <w:t xml:space="preserve">rich, compelling findings that contextualized the implementation of the 2012 </w:t>
      </w:r>
      <w:r w:rsidR="00A5038C">
        <w:t>Waiver</w:t>
      </w:r>
      <w:r w:rsidR="00A446DA" w:rsidRPr="00440792">
        <w:t xml:space="preserve">.  These interviews assisted in establishing trusting relationships with key members of the Department’s executive team, which aided the evaluation overall.  </w:t>
      </w:r>
      <w:r w:rsidR="00983F6E">
        <w:t>During the extension, the</w:t>
      </w:r>
      <w:r w:rsidR="00A446DA" w:rsidRPr="00440792">
        <w:t xml:space="preserve"> evaluators observed Managers’ enhanced understanding and articulation of the </w:t>
      </w:r>
      <w:r w:rsidR="00A5038C">
        <w:t>Waiver</w:t>
      </w:r>
      <w:r w:rsidR="00A446DA" w:rsidRPr="00440792">
        <w:t xml:space="preserve"> across rounds of data</w:t>
      </w:r>
      <w:r w:rsidR="009276EE">
        <w:t xml:space="preserve">, </w:t>
      </w:r>
      <w:r w:rsidR="00983F6E">
        <w:t>a positive culture shift between central office and the field, and</w:t>
      </w:r>
      <w:r w:rsidR="009276EE">
        <w:t xml:space="preserve"> more dedication</w:t>
      </w:r>
      <w:r w:rsidR="00983F6E">
        <w:t xml:space="preserve"> enhanced data us</w:t>
      </w:r>
      <w:r w:rsidR="00B036BB">
        <w:t>age</w:t>
      </w:r>
      <w:r w:rsidR="00A446DA" w:rsidRPr="00440792">
        <w:t>.</w:t>
      </w:r>
    </w:p>
    <w:p w:rsidR="00EA7798" w:rsidRDefault="009604C6" w:rsidP="00C70927">
      <w:pPr>
        <w:ind w:firstLine="720"/>
      </w:pPr>
      <w:r w:rsidRPr="00440792">
        <w:t>Five iterations of the Family Case Manager (FCM) Survey were completed as part of the Process Study</w:t>
      </w:r>
      <w:r w:rsidR="009276EE">
        <w:t xml:space="preserve"> with an additional 6</w:t>
      </w:r>
      <w:r w:rsidR="009276EE" w:rsidRPr="009276EE">
        <w:rPr>
          <w:vertAlign w:val="superscript"/>
        </w:rPr>
        <w:t>th</w:t>
      </w:r>
      <w:r w:rsidR="009276EE">
        <w:t xml:space="preserve"> round in the extension period</w:t>
      </w:r>
      <w:r w:rsidRPr="00440792">
        <w:t xml:space="preserve">.  From Rounds 1 to round </w:t>
      </w:r>
      <w:r w:rsidR="00D345D8">
        <w:t>6</w:t>
      </w:r>
      <w:r w:rsidRPr="00440792">
        <w:t>, FCM perception</w:t>
      </w:r>
      <w:r w:rsidR="003E6E04" w:rsidRPr="00440792">
        <w:t>s</w:t>
      </w:r>
      <w:r w:rsidRPr="00440792">
        <w:t xml:space="preserve"> of safety, permanency, and well-being at case opening decreased and at case closure</w:t>
      </w:r>
      <w:r w:rsidR="00A5038C">
        <w:t xml:space="preserve"> perceptions</w:t>
      </w:r>
      <w:r w:rsidRPr="00440792">
        <w:t xml:space="preserve"> increased.  At case closure, current living arrangement, health, emotional status, developmental status, learning status</w:t>
      </w:r>
      <w:r w:rsidR="00A5038C">
        <w:t>,</w:t>
      </w:r>
      <w:r w:rsidRPr="00440792">
        <w:t xml:space="preserve"> and independence development increased from Rounds 1 to Round </w:t>
      </w:r>
      <w:r w:rsidR="00D345D8">
        <w:t>6</w:t>
      </w:r>
      <w:r w:rsidRPr="00440792">
        <w:t xml:space="preserve">. </w:t>
      </w:r>
      <w:r w:rsidR="00D345D8">
        <w:t xml:space="preserve">FCMs in round 6 had worked for DCS for a shorter period than any other iteration. In regards to turnover, </w:t>
      </w:r>
      <w:r w:rsidR="00044EF4">
        <w:t xml:space="preserve">emotional supervision, distributive justice, and professional self-care increased FCM intent to stay in child welfare, where secondary traumatic stress decreased their intent to stay.  The secondary traumatic stress was greater for ongoing and </w:t>
      </w:r>
      <w:r w:rsidR="00B036BB">
        <w:t xml:space="preserve">child </w:t>
      </w:r>
      <w:r w:rsidR="00044EF4">
        <w:t>service workers than assessment workers.</w:t>
      </w:r>
      <w:r w:rsidR="00D345D8">
        <w:t xml:space="preserve"> FCMs had a positive outlook on FFPSA</w:t>
      </w:r>
      <w:r w:rsidRPr="00440792">
        <w:t xml:space="preserve">.  Overall, FCMs perceived </w:t>
      </w:r>
      <w:r w:rsidR="00D345D8">
        <w:t>motivational interviewing as the most effective service, and although the evidence-based programs were rated as the most effective, they were not necessarily the most needed</w:t>
      </w:r>
      <w:r w:rsidRPr="00440792">
        <w:t>.  Relating to</w:t>
      </w:r>
      <w:r w:rsidR="0084405F" w:rsidRPr="00440792">
        <w:t xml:space="preserve"> Child and Family Team Meetings (</w:t>
      </w:r>
      <w:r w:rsidRPr="00440792">
        <w:t>CFTMs</w:t>
      </w:r>
      <w:r w:rsidR="0084405F" w:rsidRPr="00440792">
        <w:t>)</w:t>
      </w:r>
      <w:r w:rsidRPr="00440792">
        <w:t xml:space="preserve">, </w:t>
      </w:r>
      <w:r w:rsidR="00D345D8">
        <w:t>fidelity fell in 2018 compared to 2017. Interestingly, FCMs with social work degrees had lower fidelity to CFTMs. Higher fidelity was associated with better workload manageability and confidence in implementation of CFTMs. but the teamwork indicator increased significantly.</w:t>
      </w:r>
      <w:r w:rsidR="00D345D8" w:rsidRPr="00D345D8">
        <w:t xml:space="preserve"> The results suggest that organizational support and effective supervision are necessary to effectively manage FCMs’ workloads so that they have enough time to prepare and implement the high-quality of CFTM</w:t>
      </w:r>
      <w:r w:rsidR="00865A74">
        <w:t>.</w:t>
      </w:r>
    </w:p>
    <w:p w:rsidR="00865A74" w:rsidRDefault="00865A74" w:rsidP="00C70927">
      <w:pPr>
        <w:ind w:firstLine="720"/>
      </w:pPr>
    </w:p>
    <w:p w:rsidR="00833EE9" w:rsidRPr="00440792" w:rsidRDefault="00833EE9" w:rsidP="00833EE9">
      <w:pPr>
        <w:pStyle w:val="Heading3"/>
        <w:rPr>
          <w:rStyle w:val="Heading3Char"/>
        </w:rPr>
      </w:pPr>
      <w:r w:rsidRPr="00440792">
        <w:rPr>
          <w:rStyle w:val="Heading3Char"/>
        </w:rPr>
        <w:t xml:space="preserve">Cost </w:t>
      </w:r>
      <w:r w:rsidR="00A446DA" w:rsidRPr="00440792">
        <w:rPr>
          <w:rStyle w:val="Heading3Char"/>
        </w:rPr>
        <w:t>Study</w:t>
      </w:r>
    </w:p>
    <w:p w:rsidR="00EA7798" w:rsidRDefault="00EA7798" w:rsidP="00C70927">
      <w:pPr>
        <w:ind w:firstLine="720"/>
      </w:pPr>
      <w:r>
        <w:t>As part of the overall Terms and Conditions for the 2012 Title IV-E Waiver, the impact of the Demonstration Program was evaluated by examining costs related to this program.  Any costs saved by the improved Waiver activities were to be re-</w:t>
      </w:r>
      <w:r w:rsidR="00375199">
        <w:t>invested into the provision of services at an earlier point in the exposure of youth and families to the DCS system.</w:t>
      </w:r>
    </w:p>
    <w:p w:rsidR="00833EE9" w:rsidRPr="00440792" w:rsidRDefault="00375199" w:rsidP="00C70927">
      <w:pPr>
        <w:ind w:firstLine="720"/>
      </w:pPr>
      <w:r>
        <w:t>Our DCS/IU team evaluated the cost effectiveness of Waiver services and described the allocation of costs over time.  T</w:t>
      </w:r>
      <w:r w:rsidR="00B95136" w:rsidRPr="00440792">
        <w:t xml:space="preserve">otal spending by the Indiana Department of Child Services increased significantly from the beginning of this </w:t>
      </w:r>
      <w:r w:rsidR="00A5038C">
        <w:t>Waiver</w:t>
      </w:r>
      <w:r w:rsidR="00B95136" w:rsidRPr="00440792">
        <w:t xml:space="preserve"> until </w:t>
      </w:r>
      <w:r w:rsidR="00865A74">
        <w:t>2017, where considerably smaller increases occurred in 2018 and 2019.</w:t>
      </w:r>
      <w:r w:rsidR="00B95136" w:rsidRPr="00440792">
        <w:t xml:space="preserve">  This increase in spending was driven by the significant increase of cases from over 12,000 in 2012 (beginning of this </w:t>
      </w:r>
      <w:r w:rsidR="00A5038C">
        <w:t>Waiver</w:t>
      </w:r>
      <w:r w:rsidR="00B95136" w:rsidRPr="00440792">
        <w:t xml:space="preserve">) to 29,000 at present.  </w:t>
      </w:r>
      <w:r w:rsidR="004F7D9D" w:rsidRPr="00440792">
        <w:t xml:space="preserve">Over this time, the </w:t>
      </w:r>
      <w:r>
        <w:t xml:space="preserve">proportion </w:t>
      </w:r>
      <w:r w:rsidR="004F7D9D" w:rsidRPr="00440792">
        <w:t>of case types (e.g., In-home, relative, foster home, residential</w:t>
      </w:r>
      <w:r w:rsidR="003A1DE8">
        <w:t>,</w:t>
      </w:r>
      <w:r w:rsidR="004F7D9D" w:rsidRPr="00440792">
        <w:t xml:space="preserve"> and other) remained </w:t>
      </w:r>
      <w:r w:rsidR="00BC525B">
        <w:t xml:space="preserve">fairly </w:t>
      </w:r>
      <w:r>
        <w:t>stable</w:t>
      </w:r>
      <w:r w:rsidR="00BC525B">
        <w:t>, with a slight drop in in-hom</w:t>
      </w:r>
      <w:r w:rsidR="00CD5A88">
        <w:t>e cases in the extension period, which would be expected after policy changes aimed at keeping families out of care when there is not a true reason to intervene</w:t>
      </w:r>
      <w:r w:rsidR="004F7D9D" w:rsidRPr="00440792">
        <w:t xml:space="preserve">.  </w:t>
      </w:r>
    </w:p>
    <w:p w:rsidR="004F7D9D" w:rsidRPr="00440792" w:rsidRDefault="004F7D9D" w:rsidP="004F7D9D">
      <w:pPr>
        <w:ind w:firstLine="720"/>
      </w:pPr>
      <w:r w:rsidRPr="00440792">
        <w:t xml:space="preserve">Given the funding structure for the State of Indiana, DCS has relied on the flexible funding of the </w:t>
      </w:r>
      <w:r w:rsidR="00A5038C">
        <w:t>Waiver</w:t>
      </w:r>
      <w:r w:rsidRPr="00440792">
        <w:t xml:space="preserve"> to address this overall increase in case costs.  By moving </w:t>
      </w:r>
      <w:r w:rsidR="00A5038C">
        <w:t>Waiver</w:t>
      </w:r>
      <w:r w:rsidRPr="00440792">
        <w:t xml:space="preserve"> funding forward, </w:t>
      </w:r>
      <w:r w:rsidR="003A1DE8">
        <w:t>DCS has</w:t>
      </w:r>
      <w:r w:rsidRPr="00440792">
        <w:t xml:space="preserve"> responded to these increased needs by providing appropriate services.  Details about cases and funding will be provided in the main report below.  </w:t>
      </w:r>
    </w:p>
    <w:p w:rsidR="004F7D9D" w:rsidRPr="00440792" w:rsidRDefault="004F7D9D" w:rsidP="004F7D9D">
      <w:pPr>
        <w:ind w:firstLine="720"/>
      </w:pPr>
      <w:r w:rsidRPr="00440792">
        <w:t xml:space="preserve">Overall, the </w:t>
      </w:r>
      <w:r w:rsidR="003A1DE8">
        <w:t>S</w:t>
      </w:r>
      <w:r w:rsidRPr="00440792">
        <w:t xml:space="preserve">tate has reduced </w:t>
      </w:r>
      <w:r w:rsidR="00A5038C">
        <w:t>Waiver</w:t>
      </w:r>
      <w:r w:rsidRPr="00440792">
        <w:t xml:space="preserve"> utilization in 2017 and 2018 so that </w:t>
      </w:r>
      <w:r w:rsidR="00DC7A7D">
        <w:t>Waiver</w:t>
      </w:r>
      <w:r w:rsidRPr="00440792">
        <w:t xml:space="preserve"> spending remains cost neutral.  </w:t>
      </w:r>
      <w:r w:rsidR="009F6576">
        <w:t xml:space="preserve">The use of </w:t>
      </w:r>
      <w:r w:rsidR="00DC7A7D">
        <w:t>Waiver</w:t>
      </w:r>
      <w:r w:rsidR="009F6576">
        <w:t xml:space="preserve"> funds were able to slightly increase in 2019. </w:t>
      </w:r>
      <w:r w:rsidR="00A5038C">
        <w:t>Waiver</w:t>
      </w:r>
      <w:r w:rsidRPr="00440792">
        <w:t xml:space="preserve"> funding allowed DCS to provide more services earlier for families entering the system so that higher cost</w:t>
      </w:r>
      <w:r w:rsidR="00C70927" w:rsidRPr="00440792">
        <w:t xml:space="preserve"> services (e.g., residential) were avoided – which saved money.  </w:t>
      </w:r>
      <w:r w:rsidR="00A5038C">
        <w:t>Waiver</w:t>
      </w:r>
      <w:r w:rsidR="00C70927" w:rsidRPr="00440792">
        <w:t xml:space="preserve"> funds that were saved from these higher cost services were shifted to families as early interventions – which is stated in the terms of this funding.</w:t>
      </w:r>
    </w:p>
    <w:p w:rsidR="00833EE9" w:rsidRPr="00440792" w:rsidRDefault="00833EE9" w:rsidP="00833EE9">
      <w:pPr>
        <w:pStyle w:val="Heading3"/>
      </w:pPr>
      <w:r w:rsidRPr="00440792">
        <w:t>Sub-study</w:t>
      </w:r>
    </w:p>
    <w:p w:rsidR="00375199" w:rsidRDefault="00375199" w:rsidP="00C70927">
      <w:pPr>
        <w:ind w:firstLine="720"/>
      </w:pPr>
      <w:r>
        <w:t>Also, as part of the original Terms and Conditions of the 2012 Waiver, our project team developed a sub-study which focused on the implementation and effectiveness of a specific treatment program.  After considering options, we developed a research design that evaluated the impact and effectiveness of Family Centered Treatment (FCT) which was implemented due to Waiver funds.</w:t>
      </w:r>
      <w:r w:rsidR="00F32B18">
        <w:t xml:space="preserve"> During the extension period, the Evaluation Team provided the original and updated sub-study data to other jurisdictions who were submitting FCT for transitional payments to the IV-E Clearinghouse. Following the work, FCT was approved for use by all states during the transition period as a ‘well-supported’ evidence-based practice.</w:t>
      </w:r>
    </w:p>
    <w:p w:rsidR="00F2190A" w:rsidRPr="00440792" w:rsidRDefault="00375199" w:rsidP="00C70927">
      <w:pPr>
        <w:ind w:firstLine="720"/>
      </w:pPr>
      <w:r>
        <w:t xml:space="preserve">The effectiveness of the </w:t>
      </w:r>
      <w:r w:rsidR="00F2190A" w:rsidRPr="00440792">
        <w:t xml:space="preserve">Family Centered Treatment (FCT) intervention was </w:t>
      </w:r>
      <w:r>
        <w:t>studied</w:t>
      </w:r>
      <w:r w:rsidR="00F2190A" w:rsidRPr="00440792">
        <w:t xml:space="preserve"> from January 1, 2015-December 31, 2015. All children referred for FCT received services as indicated via the model. Fidelity was established </w:t>
      </w:r>
      <w:r>
        <w:t xml:space="preserve">using a </w:t>
      </w:r>
      <w:r w:rsidR="00F2190A" w:rsidRPr="00440792">
        <w:t xml:space="preserve">manualized training and certification of home based workers, supervision, consultation with national FCT Foundation clinicians, and monthly compliance checks on dosage of the intervention. </w:t>
      </w:r>
      <w:r>
        <w:t>Children (and families) in t</w:t>
      </w:r>
      <w:r w:rsidR="00F2190A" w:rsidRPr="00440792">
        <w:t xml:space="preserve">he </w:t>
      </w:r>
      <w:r w:rsidR="00E07540">
        <w:t xml:space="preserve">FCT </w:t>
      </w:r>
      <w:r w:rsidR="00F2190A" w:rsidRPr="00440792">
        <w:t xml:space="preserve">treatment group </w:t>
      </w:r>
      <w:r w:rsidR="00E07540">
        <w:t>were</w:t>
      </w:r>
      <w:r w:rsidR="00F2190A" w:rsidRPr="00440792">
        <w:t xml:space="preserve"> matched </w:t>
      </w:r>
      <w:r w:rsidR="00E07540">
        <w:t xml:space="preserve">with children (and families) who received usual and customary care using </w:t>
      </w:r>
      <w:r w:rsidR="00F2190A" w:rsidRPr="00440792">
        <w:t>propensity scor</w:t>
      </w:r>
      <w:r w:rsidR="00E07540">
        <w:t>e match</w:t>
      </w:r>
      <w:r w:rsidR="00F2190A" w:rsidRPr="00440792">
        <w:t>ing</w:t>
      </w:r>
      <w:r w:rsidR="00E07540">
        <w:t xml:space="preserve">. </w:t>
      </w:r>
      <w:r w:rsidR="0051343C" w:rsidRPr="00440792">
        <w:t>Matching characteristics were age, gender, race, region, county, number of focus children, involvement status, permanency goal, CANS score, and risk score</w:t>
      </w:r>
      <w:r w:rsidR="003A1DE8">
        <w:t>.</w:t>
      </w:r>
      <w:r w:rsidR="0051343C" w:rsidRPr="00440792">
        <w:t xml:space="preserve"> </w:t>
      </w:r>
      <w:r w:rsidR="00F2190A" w:rsidRPr="00440792">
        <w:t xml:space="preserve"> </w:t>
      </w:r>
      <w:r w:rsidR="0051343C" w:rsidRPr="00440792">
        <w:t xml:space="preserve">Overall, 20, 779 children were within DCS between January 1, 2015 and December 31, 2015 and 230 of those children </w:t>
      </w:r>
      <w:r w:rsidR="00E07540">
        <w:t xml:space="preserve">not involved with the justice system </w:t>
      </w:r>
      <w:r w:rsidR="0051343C" w:rsidRPr="00440792">
        <w:t xml:space="preserve">received FCT.  Matching characteristics were too restrictive and we were unable to obtain sufficient number of pairs to conduct an analysis. Therefore, </w:t>
      </w:r>
      <w:r w:rsidR="00B036BB">
        <w:t xml:space="preserve">two matching criteria, </w:t>
      </w:r>
      <w:r w:rsidR="0051343C" w:rsidRPr="00440792">
        <w:t xml:space="preserve">region and permanency were removed as they were the characteristics restricting matching. The final data set then included 187 children who received FCT and 187 children who did not. </w:t>
      </w:r>
      <w:r w:rsidR="00E07540">
        <w:t xml:space="preserve"> The sample set </w:t>
      </w:r>
      <w:r w:rsidR="0051343C" w:rsidRPr="00440792">
        <w:t>demonstrated similar demographic</w:t>
      </w:r>
      <w:r w:rsidR="00E07540">
        <w:t xml:space="preserve"> characteristic</w:t>
      </w:r>
      <w:r w:rsidR="0051343C" w:rsidRPr="00440792">
        <w:t>s with no significant differences</w:t>
      </w:r>
      <w:r w:rsidR="00E07540">
        <w:t>.</w:t>
      </w:r>
      <w:r w:rsidR="00982765" w:rsidRPr="00440792">
        <w:t xml:space="preserve"> </w:t>
      </w:r>
    </w:p>
    <w:p w:rsidR="00833EE9" w:rsidRPr="00440792" w:rsidRDefault="00982765" w:rsidP="00833EE9">
      <w:r w:rsidRPr="00440792">
        <w:tab/>
      </w:r>
      <w:r w:rsidR="001C5A3D" w:rsidRPr="001C5A3D">
        <w:t>During t</w:t>
      </w:r>
      <w:r w:rsidR="001C5A3D">
        <w:t xml:space="preserve">he extension period, </w:t>
      </w:r>
      <w:r w:rsidR="006C38D5">
        <w:t>we performed</w:t>
      </w:r>
      <w:r w:rsidR="00430313">
        <w:t xml:space="preserve"> updated analyses on CANS scores, risk and safety assessment, and cost. In regards to CANS scores, the FCT group had higher CANS than the non-FCT group at the beginning of their cases and lower CANS scores than the non-FCT group at the end of their cases.  FCT families had a median score of “moderate risk” at their last visit compared to a median score of “high risk” at their first visit.  In regards to their safety score, FCT families had a median safety score of “safe” at their last visit compared to a median score of “conditionally safe” at their first visit. </w:t>
      </w:r>
      <w:r w:rsidR="00430313" w:rsidRPr="00430313">
        <w:t>FCT youth had a significantly higher cost in services than non-FCT youth (t[df]= -5.41 [26566],p&lt; .001).</w:t>
      </w:r>
      <w:r w:rsidR="00430313">
        <w:t xml:space="preserve"> FCT youth were significantly less likely to receive services classified as preservation services (n=10,539 vs. 9,256) and care of wards in foster homes (n=1,556 vs. 1,139) than non-FCT youth. FCT youth were significantly more likely to receive miscellaneous costs for wards (n=973 vs. 324) and care of wards in institutions (n=1,522 vs. 762) than non-FCT youth </w:t>
      </w:r>
      <m:oMath>
        <m:r>
          <w:rPr>
            <w:rFonts w:ascii="Cambria Math" w:hAnsi="Cambria Math"/>
          </w:rPr>
          <m:t>(χ^2 [df]=738.76 [6],p&lt; .001).</m:t>
        </m:r>
      </m:oMath>
    </w:p>
    <w:p w:rsidR="00B9671C" w:rsidRPr="00440792" w:rsidRDefault="00B9671C">
      <w:pPr>
        <w:rPr>
          <w:rFonts w:asciiTheme="majorHAnsi" w:eastAsiaTheme="majorEastAsia" w:hAnsiTheme="majorHAnsi" w:cstheme="majorBidi"/>
          <w:color w:val="2E74B5" w:themeColor="accent1" w:themeShade="BF"/>
          <w:sz w:val="32"/>
          <w:szCs w:val="32"/>
        </w:rPr>
      </w:pPr>
      <w:r w:rsidRPr="00440792">
        <w:br w:type="page"/>
      </w:r>
    </w:p>
    <w:p w:rsidR="007C7DF4" w:rsidRPr="00440792" w:rsidRDefault="007C7DF4" w:rsidP="007C7DF4">
      <w:pPr>
        <w:pStyle w:val="Heading1"/>
      </w:pPr>
      <w:bookmarkStart w:id="1" w:name="_Toc43887871"/>
      <w:r w:rsidRPr="00440792">
        <w:t>Background</w:t>
      </w:r>
      <w:r w:rsidR="0091128D" w:rsidRPr="00440792">
        <w:t xml:space="preserve"> for Current </w:t>
      </w:r>
      <w:r w:rsidR="00A5038C">
        <w:t>Waiver</w:t>
      </w:r>
      <w:r w:rsidR="0091128D" w:rsidRPr="00440792">
        <w:t xml:space="preserve"> Project</w:t>
      </w:r>
      <w:bookmarkEnd w:id="1"/>
    </w:p>
    <w:p w:rsidR="00620ACE" w:rsidRDefault="001C6595" w:rsidP="001C6595">
      <w:pPr>
        <w:rPr>
          <w:rFonts w:cstheme="minorHAnsi"/>
        </w:rPr>
      </w:pPr>
      <w:r w:rsidRPr="00333982">
        <w:t>Indiana has had</w:t>
      </w:r>
      <w:r w:rsidRPr="0027731D">
        <w:t xml:space="preserve"> the benefit of participating in a Child Welfare Waiver Demonstration Project (herein referred to as the ‘Waiver’) since 1998.  Indiana’s Waiver was extended in 2003, 2005, 2010, 2012</w:t>
      </w:r>
      <w:r>
        <w:t>, and most recently, in 2017</w:t>
      </w:r>
      <w:r w:rsidRPr="0027731D">
        <w:t xml:space="preserve">.  </w:t>
      </w:r>
      <w:r w:rsidRPr="0027731D">
        <w:rPr>
          <w:rFonts w:cstheme="minorHAnsi"/>
        </w:rPr>
        <w:t>On September 14, 2012, the U.S. Department of Health and Human Services (HHS), Administration for Children and Families (ACF), approved the Waiver Terms and Conditions for an expansion of the State’s Waiver project.  Indiana DCS accepted the Terms and Conditions on September 27, 2012.  Th</w:t>
      </w:r>
      <w:r>
        <w:rPr>
          <w:rFonts w:cstheme="minorHAnsi"/>
        </w:rPr>
        <w:t xml:space="preserve">is </w:t>
      </w:r>
      <w:r w:rsidRPr="0027731D">
        <w:rPr>
          <w:rFonts w:cstheme="minorHAnsi"/>
        </w:rPr>
        <w:t xml:space="preserve">Waiver period </w:t>
      </w:r>
      <w:r>
        <w:rPr>
          <w:rFonts w:cstheme="minorHAnsi"/>
        </w:rPr>
        <w:t>covered</w:t>
      </w:r>
      <w:r w:rsidRPr="0027731D">
        <w:rPr>
          <w:rFonts w:cstheme="minorHAnsi"/>
        </w:rPr>
        <w:t xml:space="preserve"> five years, beginning July 1, 2012</w:t>
      </w:r>
      <w:r>
        <w:rPr>
          <w:rFonts w:cstheme="minorHAnsi"/>
        </w:rPr>
        <w:t xml:space="preserve"> and ending June 30, 2017</w:t>
      </w:r>
      <w:r w:rsidRPr="0027731D">
        <w:rPr>
          <w:rFonts w:cstheme="minorHAnsi"/>
        </w:rPr>
        <w:t xml:space="preserve">.  </w:t>
      </w:r>
      <w:r>
        <w:rPr>
          <w:rFonts w:cstheme="minorHAnsi"/>
        </w:rPr>
        <w:t xml:space="preserve">An extension was granted, and </w:t>
      </w:r>
      <w:r w:rsidR="00CB7B3D">
        <w:rPr>
          <w:rFonts w:cstheme="minorHAnsi"/>
        </w:rPr>
        <w:t>this</w:t>
      </w:r>
      <w:r>
        <w:rPr>
          <w:rFonts w:cstheme="minorHAnsi"/>
        </w:rPr>
        <w:t xml:space="preserve"> report</w:t>
      </w:r>
      <w:r w:rsidRPr="0027731D">
        <w:rPr>
          <w:rFonts w:cstheme="minorHAnsi"/>
        </w:rPr>
        <w:t xml:space="preserve"> covers the reporting period from </w:t>
      </w:r>
      <w:r>
        <w:rPr>
          <w:rFonts w:cstheme="minorHAnsi"/>
        </w:rPr>
        <w:t>January 1</w:t>
      </w:r>
      <w:r w:rsidRPr="0027731D">
        <w:rPr>
          <w:rFonts w:cstheme="minorHAnsi"/>
        </w:rPr>
        <w:t xml:space="preserve">, </w:t>
      </w:r>
      <w:r>
        <w:rPr>
          <w:rFonts w:cstheme="minorHAnsi"/>
        </w:rPr>
        <w:t>2019</w:t>
      </w:r>
      <w:r w:rsidRPr="0027731D">
        <w:rPr>
          <w:rFonts w:cstheme="minorHAnsi"/>
        </w:rPr>
        <w:t xml:space="preserve"> through </w:t>
      </w:r>
      <w:r w:rsidR="00CB7B3D">
        <w:rPr>
          <w:rFonts w:cstheme="minorHAnsi"/>
        </w:rPr>
        <w:t>September</w:t>
      </w:r>
      <w:r>
        <w:rPr>
          <w:rFonts w:cstheme="minorHAnsi"/>
        </w:rPr>
        <w:t xml:space="preserve"> 30</w:t>
      </w:r>
      <w:r w:rsidRPr="0027731D">
        <w:rPr>
          <w:rFonts w:cstheme="minorHAnsi"/>
        </w:rPr>
        <w:t>, 201</w:t>
      </w:r>
      <w:r>
        <w:rPr>
          <w:rFonts w:cstheme="minorHAnsi"/>
        </w:rPr>
        <w:t>9</w:t>
      </w:r>
      <w:r w:rsidRPr="0027731D">
        <w:rPr>
          <w:rFonts w:cstheme="minorHAnsi"/>
        </w:rPr>
        <w:t xml:space="preserve"> and provides an overview of Waiver activities completed to date</w:t>
      </w:r>
      <w:r>
        <w:rPr>
          <w:rFonts w:cstheme="minorHAnsi"/>
        </w:rPr>
        <w:t>,</w:t>
      </w:r>
      <w:r w:rsidRPr="0027731D">
        <w:rPr>
          <w:rFonts w:cstheme="minorHAnsi"/>
        </w:rPr>
        <w:t xml:space="preserve"> </w:t>
      </w:r>
      <w:r>
        <w:rPr>
          <w:rFonts w:cstheme="minorHAnsi"/>
        </w:rPr>
        <w:t>in addition to</w:t>
      </w:r>
      <w:r w:rsidRPr="0027731D">
        <w:rPr>
          <w:rFonts w:cstheme="minorHAnsi"/>
        </w:rPr>
        <w:t xml:space="preserve"> project evaluation efforts, findings, and planned activities </w:t>
      </w:r>
      <w:r w:rsidR="00620ACE">
        <w:rPr>
          <w:rFonts w:cstheme="minorHAnsi"/>
        </w:rPr>
        <w:t>in the future beyond the Waiver</w:t>
      </w:r>
      <w:r>
        <w:rPr>
          <w:rFonts w:cstheme="minorHAnsi"/>
        </w:rPr>
        <w:t>.</w:t>
      </w:r>
    </w:p>
    <w:p w:rsidR="001C6595" w:rsidRDefault="001C6595" w:rsidP="001C6595">
      <w:pPr>
        <w:rPr>
          <w:rFonts w:cstheme="minorHAnsi"/>
        </w:rPr>
      </w:pPr>
      <w:r>
        <w:rPr>
          <w:rFonts w:cstheme="minorHAnsi"/>
        </w:rPr>
        <w:t xml:space="preserve"> </w:t>
      </w:r>
    </w:p>
    <w:p w:rsidR="00C41C62" w:rsidRPr="00440792" w:rsidRDefault="001C6595" w:rsidP="001C6595">
      <w:pPr>
        <w:rPr>
          <w:rFonts w:cstheme="minorHAnsi"/>
          <w:szCs w:val="20"/>
        </w:rPr>
      </w:pPr>
      <w:r>
        <w:rPr>
          <w:rFonts w:cstheme="minorHAnsi"/>
        </w:rPr>
        <w:t xml:space="preserve">During the final report preparation period, changes in leadership positions have occurred.  Eric Miller became the new chief of staff in late 2017.  On December 28, 2017 the </w:t>
      </w:r>
      <w:r w:rsidR="0089770F">
        <w:rPr>
          <w:rFonts w:cstheme="minorHAnsi"/>
        </w:rPr>
        <w:t>G</w:t>
      </w:r>
      <w:r>
        <w:rPr>
          <w:rFonts w:cstheme="minorHAnsi"/>
        </w:rPr>
        <w:t xml:space="preserve">overnor of Indiana announced the new director of DCS, Terry Stigdon. </w:t>
      </w:r>
      <w:r w:rsidRPr="002E7BC1">
        <w:rPr>
          <w:rFonts w:cstheme="minorHAnsi"/>
        </w:rPr>
        <w:t>In February 2018 the current Deputy Director of Field Operations r</w:t>
      </w:r>
      <w:r>
        <w:rPr>
          <w:rFonts w:cstheme="minorHAnsi"/>
        </w:rPr>
        <w:t>etired</w:t>
      </w:r>
      <w:r w:rsidRPr="002E7BC1">
        <w:rPr>
          <w:rFonts w:cstheme="minorHAnsi"/>
        </w:rPr>
        <w:t xml:space="preserve">.  </w:t>
      </w:r>
      <w:r>
        <w:rPr>
          <w:rFonts w:cstheme="minorHAnsi"/>
        </w:rPr>
        <w:t xml:space="preserve">Sarah Sailors was named the new Deputy Director of Field Operations in April 2018. </w:t>
      </w:r>
    </w:p>
    <w:p w:rsidR="00C41C62" w:rsidRPr="00440792" w:rsidRDefault="00C41C62" w:rsidP="001C6595">
      <w:pPr>
        <w:rPr>
          <w:rFonts w:eastAsia="Times New Roman" w:cs="Times New Roman"/>
          <w:color w:val="000000"/>
        </w:rPr>
      </w:pPr>
      <w:r w:rsidRPr="00440792">
        <w:rPr>
          <w:rFonts w:cstheme="minorHAnsi"/>
          <w:szCs w:val="20"/>
        </w:rPr>
        <w:t xml:space="preserve">Through the </w:t>
      </w:r>
      <w:r w:rsidR="00A5038C">
        <w:rPr>
          <w:rFonts w:cstheme="minorHAnsi"/>
          <w:szCs w:val="20"/>
        </w:rPr>
        <w:t>Waiver</w:t>
      </w:r>
      <w:r w:rsidRPr="00440792">
        <w:rPr>
          <w:rFonts w:cstheme="minorHAnsi"/>
          <w:szCs w:val="20"/>
        </w:rPr>
        <w:t xml:space="preserve">, DCS has utilized innovative methods to ensure </w:t>
      </w:r>
      <w:r w:rsidR="0091128D" w:rsidRPr="00440792">
        <w:rPr>
          <w:rFonts w:cstheme="minorHAnsi"/>
          <w:szCs w:val="20"/>
        </w:rPr>
        <w:t xml:space="preserve">that </w:t>
      </w:r>
      <w:r w:rsidRPr="00440792">
        <w:rPr>
          <w:rFonts w:cstheme="minorHAnsi"/>
          <w:szCs w:val="20"/>
        </w:rPr>
        <w:t xml:space="preserve">families are provided with services that meet their needs, and when possible, allow children to remain safely in their home.  </w:t>
      </w:r>
      <w:r w:rsidR="00A5038C">
        <w:rPr>
          <w:rFonts w:cstheme="minorHAnsi"/>
          <w:szCs w:val="20"/>
        </w:rPr>
        <w:t>Waiver</w:t>
      </w:r>
      <w:r w:rsidRPr="00440792">
        <w:rPr>
          <w:rFonts w:cstheme="minorHAnsi"/>
          <w:szCs w:val="20"/>
        </w:rPr>
        <w:t xml:space="preserve"> funding is integral to the agency’s delivery of services as it enables </w:t>
      </w:r>
      <w:r w:rsidRPr="00440792">
        <w:rPr>
          <w:rFonts w:eastAsia="Times New Roman" w:cs="Times New Roman"/>
          <w:color w:val="000000"/>
        </w:rPr>
        <w:t xml:space="preserve">DCS to offer an expanded array of concrete goods and services to help families succeed.  These types of services are typically only available through other funding sources.  Some of the concrete services supported by </w:t>
      </w:r>
      <w:r w:rsidR="00A5038C">
        <w:rPr>
          <w:rFonts w:eastAsia="Times New Roman" w:cs="Times New Roman"/>
          <w:color w:val="000000"/>
        </w:rPr>
        <w:t>Waiver</w:t>
      </w:r>
      <w:r w:rsidRPr="00440792">
        <w:rPr>
          <w:rFonts w:eastAsia="Times New Roman" w:cs="Times New Roman"/>
          <w:color w:val="000000"/>
        </w:rPr>
        <w:t xml:space="preserve"> funding include:  payment of utility bills, vehicle repairs, before/after school care, respite care, baby monitors, and cleaning of the home environment.  These valuable services for families often prevent the need for removal</w:t>
      </w:r>
      <w:r w:rsidR="0091128D" w:rsidRPr="00440792">
        <w:rPr>
          <w:rFonts w:eastAsia="Times New Roman" w:cs="Times New Roman"/>
          <w:color w:val="000000"/>
        </w:rPr>
        <w:t xml:space="preserve"> of one or more children</w:t>
      </w:r>
      <w:r w:rsidRPr="00440792">
        <w:rPr>
          <w:rFonts w:eastAsia="Times New Roman" w:cs="Times New Roman"/>
          <w:color w:val="000000"/>
        </w:rPr>
        <w:t xml:space="preserve">.  </w:t>
      </w:r>
    </w:p>
    <w:p w:rsidR="00C41C62" w:rsidRPr="00440792" w:rsidRDefault="00C41C62" w:rsidP="00C41C62">
      <w:pPr>
        <w:rPr>
          <w:rFonts w:eastAsia="Times New Roman" w:cs="Times New Roman"/>
          <w:color w:val="000000"/>
        </w:rPr>
      </w:pPr>
    </w:p>
    <w:p w:rsidR="00C41C62" w:rsidRPr="00440792" w:rsidRDefault="00C41C62" w:rsidP="001C6595">
      <w:pPr>
        <w:rPr>
          <w:rFonts w:cstheme="minorHAnsi"/>
          <w:szCs w:val="20"/>
        </w:rPr>
      </w:pPr>
      <w:r w:rsidRPr="00440792">
        <w:rPr>
          <w:rFonts w:cstheme="minorHAnsi"/>
          <w:szCs w:val="20"/>
        </w:rPr>
        <w:t xml:space="preserve">The </w:t>
      </w:r>
      <w:r w:rsidR="00A5038C">
        <w:rPr>
          <w:rFonts w:cstheme="minorHAnsi"/>
          <w:szCs w:val="20"/>
        </w:rPr>
        <w:t>Waiver</w:t>
      </w:r>
      <w:r w:rsidRPr="00440792">
        <w:rPr>
          <w:rFonts w:cstheme="minorHAnsi"/>
          <w:szCs w:val="20"/>
        </w:rPr>
        <w:t xml:space="preserve"> also allows the State to invest in an improved and expanded array of in-home and community-based family preservation, reunification and adoption services.  Examples of new programs implemented as a result of the </w:t>
      </w:r>
      <w:r w:rsidR="00A5038C">
        <w:rPr>
          <w:rFonts w:cstheme="minorHAnsi"/>
          <w:szCs w:val="20"/>
        </w:rPr>
        <w:t>Waiver</w:t>
      </w:r>
      <w:r w:rsidRPr="00440792">
        <w:rPr>
          <w:rFonts w:cstheme="minorHAnsi"/>
          <w:szCs w:val="20"/>
        </w:rPr>
        <w:t xml:space="preserve"> flexibility include: a Children’s Mental Health Initiative, a Family Evaluation/Multi-Disciplinary Team, Child Parent Psychotherapy, Sobriety Treatment and Recovery Teams, and comprehensive home-based services, such as Family Centered Treatment, Motivational Interviewing, and Trauma-Focused Cognitive Behavioral Therapy.  Additional information regarding key projects is described below:</w:t>
      </w:r>
    </w:p>
    <w:p w:rsidR="00C41C62" w:rsidRPr="00440792" w:rsidRDefault="00C41C62" w:rsidP="00C41C62">
      <w:pPr>
        <w:rPr>
          <w:rFonts w:cstheme="minorHAnsi"/>
          <w:szCs w:val="20"/>
        </w:rPr>
      </w:pPr>
    </w:p>
    <w:p w:rsidR="00C41C62" w:rsidRPr="00440792" w:rsidRDefault="00C41C62" w:rsidP="00C41C62">
      <w:pPr>
        <w:rPr>
          <w:rFonts w:eastAsia="Times New Roman" w:cs="Times New Roman"/>
          <w:color w:val="000000"/>
        </w:rPr>
      </w:pPr>
      <w:r w:rsidRPr="00440792">
        <w:rPr>
          <w:u w:val="single"/>
        </w:rPr>
        <w:t>Sobriety Treatment and Recovery Teams</w:t>
      </w:r>
      <w:r w:rsidR="00F467C7">
        <w:rPr>
          <w:u w:val="single"/>
        </w:rPr>
        <w:t xml:space="preserve"> (START)</w:t>
      </w:r>
      <w:r w:rsidRPr="00440792">
        <w:rPr>
          <w:u w:val="single"/>
        </w:rPr>
        <w:t>:</w:t>
      </w:r>
      <w:r w:rsidRPr="00440792">
        <w:t xml:space="preserve">  This promising practice model is currently being utilized in Kentucky and piloted in Indiana.  The program is intended to alter the child welfare and service approach to serving parents with substance use disorders who have children under the age of 5.  The service includes a triad approach with a specially trained Family Case Manager, a Family Mentor (someone with experience in the child welfare system and a history of addiction), and a Treatment Coordinator.  This team provides quick access to assessment and services, as well as increased support and monitoring.  </w:t>
      </w:r>
      <w:r w:rsidRPr="00440792">
        <w:rPr>
          <w:rFonts w:eastAsia="Times New Roman" w:cs="Times New Roman"/>
          <w:color w:val="000000"/>
        </w:rPr>
        <w:t xml:space="preserve">For more information, please reference: </w:t>
      </w:r>
    </w:p>
    <w:p w:rsidR="00C41C62" w:rsidRPr="00440792" w:rsidRDefault="00CE2773" w:rsidP="00C41C62">
      <w:hyperlink r:id="rId11" w:history="1">
        <w:r w:rsidR="00C41C62" w:rsidRPr="00440792">
          <w:rPr>
            <w:rStyle w:val="Hyperlink"/>
          </w:rPr>
          <w:t>https://www.zerotothree.org/resources/907-sobriety-treatment-and-recovery-teams-ohio</w:t>
        </w:r>
      </w:hyperlink>
    </w:p>
    <w:p w:rsidR="00C41C62" w:rsidRPr="00440792" w:rsidRDefault="00C41C62" w:rsidP="00C41C62">
      <w:pPr>
        <w:rPr>
          <w:rFonts w:eastAsia="Times New Roman" w:cs="Times New Roman"/>
          <w:color w:val="000000"/>
        </w:rPr>
      </w:pPr>
    </w:p>
    <w:p w:rsidR="00C41C62" w:rsidRPr="00440792" w:rsidRDefault="00C41C62" w:rsidP="00C41C62">
      <w:pPr>
        <w:rPr>
          <w:rFonts w:eastAsia="Times New Roman" w:cs="Times New Roman"/>
          <w:color w:val="000000"/>
        </w:rPr>
      </w:pPr>
      <w:r w:rsidRPr="00440792">
        <w:rPr>
          <w:rFonts w:eastAsia="Times New Roman" w:cs="Times New Roman"/>
          <w:color w:val="000000"/>
          <w:u w:val="single"/>
        </w:rPr>
        <w:t>Trauma Focused Cognitive Behavioral Therapy (TF-CBT):</w:t>
      </w:r>
      <w:r w:rsidRPr="00440792">
        <w:rPr>
          <w:rFonts w:eastAsia="Times New Roman" w:cs="Times New Roman"/>
          <w:color w:val="000000"/>
        </w:rPr>
        <w:t xml:space="preserve">  This evidence-based practice model is being provided as a component of DCS’ Comprehensive Home Based Services.  Indiana is utilizing service mapping to identify appropriate families to participate in this service.  Children who have experienced significant trauma and have a non-offending caregiver who is able to participate in services are included in the target population.  Children are identified utilizing the Child and Adolescent Needs and Strengths (CANS) Assessment.  The number of children who have been assessed for TF-CBT and the number of referrals are listed in </w:t>
      </w:r>
      <w:r w:rsidR="00284DBF" w:rsidRPr="00440792">
        <w:rPr>
          <w:rFonts w:eastAsia="Times New Roman" w:cs="Times New Roman"/>
          <w:color w:val="000000"/>
        </w:rPr>
        <w:t>Table</w:t>
      </w:r>
      <w:r w:rsidRPr="00440792">
        <w:rPr>
          <w:rFonts w:eastAsia="Times New Roman" w:cs="Times New Roman"/>
          <w:color w:val="000000"/>
        </w:rPr>
        <w:t xml:space="preserve"> 1.  </w:t>
      </w:r>
    </w:p>
    <w:p w:rsidR="00C41C62" w:rsidRPr="00440792" w:rsidRDefault="00C41C62" w:rsidP="00C41C62">
      <w:pPr>
        <w:rPr>
          <w:rFonts w:eastAsia="Times New Roman" w:cs="Times New Roman"/>
          <w:color w:val="000000"/>
        </w:rPr>
      </w:pPr>
    </w:p>
    <w:p w:rsidR="00F2190A" w:rsidRPr="00440792" w:rsidRDefault="00C41C62" w:rsidP="00F2190A">
      <w:r w:rsidRPr="00940F4B">
        <w:t>Curren</w:t>
      </w:r>
      <w:r w:rsidRPr="00440792">
        <w:t>tly</w:t>
      </w:r>
      <w:r w:rsidR="00DC7A7D">
        <w:t>,</w:t>
      </w:r>
      <w:r w:rsidRPr="00440792">
        <w:t xml:space="preserve"> Indiana has </w:t>
      </w:r>
      <w:r w:rsidR="00AB0C9C">
        <w:t>127</w:t>
      </w:r>
      <w:r w:rsidRPr="00440792">
        <w:t xml:space="preserve"> certified TF-CBT clinicians.  They can be found at </w:t>
      </w:r>
      <w:hyperlink r:id="rId12" w:history="1">
        <w:r w:rsidRPr="00440792">
          <w:rPr>
            <w:rStyle w:val="Hyperlink"/>
          </w:rPr>
          <w:t>https://tfcbt.org/members/</w:t>
        </w:r>
      </w:hyperlink>
      <w:r w:rsidRPr="00440792">
        <w:t xml:space="preserve">.  The certification process requires the clinician be licensed and includes training, coaching and </w:t>
      </w:r>
      <w:r w:rsidR="00F2190A" w:rsidRPr="00440792">
        <w:t xml:space="preserve">consultation which can take up to 2 years to complete.  The number of therapists in the training process who will become certified is unknown.  DCS has provided Trauma Focused - Cognitive Behavioral Therapy (TF-CBT) training opportunities for therapists throughout Indiana during SFYs 2014 and 2015.  The Indiana Division of Mental Health and Addiction (DMHA), the Indiana Association of Resources and Child Advocacy (IARCA) and other agencies also provided training during this time period.  DCS does not have data for every person taking part in the training, but estimates the number in process to be greater than 500.  </w:t>
      </w:r>
    </w:p>
    <w:p w:rsidR="00620ACE" w:rsidRDefault="00620ACE" w:rsidP="00F2190A">
      <w:pPr>
        <w:rPr>
          <w:rFonts w:eastAsia="Times New Roman" w:cs="Times New Roman"/>
          <w:color w:val="000000"/>
        </w:rPr>
      </w:pPr>
    </w:p>
    <w:p w:rsidR="00C41C62" w:rsidRDefault="00C41C62" w:rsidP="00F2190A">
      <w:pPr>
        <w:rPr>
          <w:rFonts w:eastAsia="Times New Roman" w:cs="Times New Roman"/>
          <w:color w:val="000000"/>
        </w:rPr>
      </w:pPr>
      <w:r w:rsidRPr="00440792">
        <w:rPr>
          <w:rFonts w:eastAsia="Times New Roman" w:cs="Times New Roman"/>
          <w:color w:val="000000"/>
        </w:rPr>
        <w:t xml:space="preserve">Indiana’s </w:t>
      </w:r>
      <w:r w:rsidR="00A5038C">
        <w:rPr>
          <w:rFonts w:eastAsia="Times New Roman" w:cs="Times New Roman"/>
          <w:color w:val="000000"/>
        </w:rPr>
        <w:t>Waiver</w:t>
      </w:r>
      <w:r w:rsidRPr="00440792">
        <w:rPr>
          <w:rFonts w:eastAsia="Times New Roman" w:cs="Times New Roman"/>
          <w:color w:val="000000"/>
        </w:rPr>
        <w:t xml:space="preserve"> project remains focused on improving the effectiveness and efficiency of child welfare services through expanded eligibility and a broader service array.  DCS has routinely monitored the effectiveness of the</w:t>
      </w:r>
      <w:r w:rsidR="00F2190A" w:rsidRPr="00440792">
        <w:rPr>
          <w:rFonts w:eastAsia="Times New Roman" w:cs="Times New Roman"/>
          <w:color w:val="000000"/>
        </w:rPr>
        <w:t>ir</w:t>
      </w:r>
      <w:r w:rsidRPr="00440792">
        <w:rPr>
          <w:rFonts w:eastAsia="Times New Roman" w:cs="Times New Roman"/>
          <w:color w:val="000000"/>
        </w:rPr>
        <w:t xml:space="preserve"> practice model in order to establish goals and direction with regard to </w:t>
      </w:r>
      <w:r w:rsidR="00A5038C">
        <w:rPr>
          <w:rFonts w:eastAsia="Times New Roman" w:cs="Times New Roman"/>
          <w:color w:val="000000"/>
        </w:rPr>
        <w:t>Waiver</w:t>
      </w:r>
      <w:r w:rsidRPr="00440792">
        <w:rPr>
          <w:rFonts w:eastAsia="Times New Roman" w:cs="Times New Roman"/>
          <w:color w:val="000000"/>
        </w:rPr>
        <w:t xml:space="preserve"> spending and service delivery.  To further support these efforts, DCS has implemented a Continuous Quality Improvement (CQI) process to serve as the foundation for our continuum of service provision.   This CQI framework will serve as the method for evaluating service needs, determining the quality of service being delivered and the impact of services on child and family outcomes for existing as well as new </w:t>
      </w:r>
      <w:r w:rsidR="00A5038C">
        <w:rPr>
          <w:rFonts w:eastAsia="Times New Roman" w:cs="Times New Roman"/>
          <w:color w:val="000000"/>
        </w:rPr>
        <w:t>Waiver</w:t>
      </w:r>
      <w:r w:rsidRPr="00440792">
        <w:rPr>
          <w:rFonts w:eastAsia="Times New Roman" w:cs="Times New Roman"/>
          <w:color w:val="000000"/>
        </w:rPr>
        <w:t xml:space="preserve">-funded services. </w:t>
      </w:r>
    </w:p>
    <w:p w:rsidR="00620ACE" w:rsidRPr="00440792" w:rsidRDefault="00620ACE" w:rsidP="00F2190A">
      <w:pPr>
        <w:rPr>
          <w:rFonts w:eastAsia="Times New Roman" w:cs="Times New Roman"/>
          <w:color w:val="000000"/>
        </w:rPr>
      </w:pPr>
    </w:p>
    <w:p w:rsidR="000A7F5F" w:rsidRPr="00440792" w:rsidRDefault="000A7F5F" w:rsidP="000A7F5F">
      <w:pPr>
        <w:pStyle w:val="Heading2"/>
        <w:keepLines w:val="0"/>
        <w:spacing w:before="0"/>
      </w:pPr>
      <w:bookmarkStart w:id="2" w:name="_Toc43887872"/>
      <w:r w:rsidRPr="00440792">
        <w:t>Numbers in the Demonstration</w:t>
      </w:r>
      <w:bookmarkEnd w:id="2"/>
    </w:p>
    <w:p w:rsidR="00D947FC" w:rsidRPr="00440792" w:rsidRDefault="000A7F5F" w:rsidP="00544C99">
      <w:pPr>
        <w:rPr>
          <w:b/>
        </w:rPr>
      </w:pPr>
      <w:r w:rsidRPr="00440792">
        <w:t xml:space="preserve">All children and families in Indiana receiving services from DCS after July 1, 2012 have been assigned to the </w:t>
      </w:r>
      <w:r w:rsidR="00A5038C">
        <w:t>Waiver</w:t>
      </w:r>
      <w:r w:rsidRPr="00440792">
        <w:t xml:space="preserve"> demonstration and are thus considered </w:t>
      </w:r>
      <w:r w:rsidR="00A5038C">
        <w:t>Waiver</w:t>
      </w:r>
      <w:r w:rsidRPr="00440792">
        <w:t xml:space="preserve"> cases.  Since all children are covered under the </w:t>
      </w:r>
      <w:r w:rsidR="00A5038C">
        <w:t>Waiver</w:t>
      </w:r>
      <w:r w:rsidRPr="00440792">
        <w:t xml:space="preserve">, DCS is providing the number of cases referred for initiatives that began following the 2012 </w:t>
      </w:r>
      <w:r w:rsidR="00A5038C">
        <w:t>Waiver</w:t>
      </w:r>
      <w:r w:rsidRPr="00440792">
        <w:t xml:space="preserve"> initiation.  The services outlined below include those </w:t>
      </w:r>
      <w:r w:rsidR="0091128D" w:rsidRPr="00440792">
        <w:t xml:space="preserve">provided </w:t>
      </w:r>
      <w:r w:rsidRPr="00440792">
        <w:t xml:space="preserve">through the Children’s Mental Health Initiative and the Comprehensive Home Based Services programs.  Because of the extensive training funded by DCS and provided throughout the </w:t>
      </w:r>
      <w:r w:rsidR="00444BDC">
        <w:t>S</w:t>
      </w:r>
      <w:r w:rsidRPr="00440792">
        <w:t xml:space="preserve">tate, there are many more families receiving the Evidence Based Practice models outlined below.  For example, DCS continues to offer trainings in TF-CBT throughout the State for residential and community based providers.  Many families are receiving the service through residential programs and home-based therapy programs.  At this point, those services are not easily identified and isolated in the service tracking system.  DCS continues to work toward improving data collection for these services.  </w:t>
      </w:r>
    </w:p>
    <w:p w:rsidR="000A7F5F" w:rsidRPr="00440792" w:rsidRDefault="000A7F5F" w:rsidP="000A7F5F"/>
    <w:p w:rsidR="000A7F5F" w:rsidRPr="00440792" w:rsidRDefault="000A7F5F" w:rsidP="000A7F5F">
      <w:r w:rsidRPr="00440792">
        <w:t xml:space="preserve">*Children’s Mental Health Initiative </w:t>
      </w:r>
      <w:r w:rsidR="00DC7A7D">
        <w:t>(CMHI)</w:t>
      </w:r>
    </w:p>
    <w:p w:rsidR="000A7F5F" w:rsidRPr="00440792" w:rsidRDefault="000A7F5F" w:rsidP="0032600F">
      <w:pPr>
        <w:pStyle w:val="ListParagraph"/>
        <w:numPr>
          <w:ilvl w:val="0"/>
          <w:numId w:val="24"/>
        </w:numPr>
        <w:spacing w:after="0" w:line="240" w:lineRule="auto"/>
        <w:rPr>
          <w:rFonts w:asciiTheme="minorHAnsi" w:hAnsiTheme="minorHAnsi"/>
          <w:sz w:val="22"/>
          <w:szCs w:val="22"/>
        </w:rPr>
      </w:pPr>
      <w:r w:rsidRPr="00440792">
        <w:rPr>
          <w:rFonts w:asciiTheme="minorHAnsi" w:hAnsiTheme="minorHAnsi"/>
          <w:sz w:val="22"/>
          <w:szCs w:val="22"/>
        </w:rPr>
        <w:t>Assessment for Eligibility:  The total number of children who were referred for a CMHI assessment between the dates given.</w:t>
      </w:r>
    </w:p>
    <w:p w:rsidR="000A7F5F" w:rsidRPr="001C6595" w:rsidRDefault="000A7F5F" w:rsidP="0032600F">
      <w:pPr>
        <w:pStyle w:val="ListParagraph"/>
        <w:numPr>
          <w:ilvl w:val="0"/>
          <w:numId w:val="24"/>
        </w:numPr>
        <w:spacing w:after="0" w:line="240" w:lineRule="auto"/>
        <w:rPr>
          <w:rFonts w:asciiTheme="minorHAnsi" w:hAnsiTheme="minorHAnsi"/>
          <w:sz w:val="22"/>
          <w:szCs w:val="22"/>
        </w:rPr>
      </w:pPr>
      <w:r w:rsidRPr="00440792">
        <w:rPr>
          <w:rFonts w:asciiTheme="minorHAnsi" w:hAnsiTheme="minorHAnsi"/>
          <w:sz w:val="22"/>
          <w:szCs w:val="22"/>
        </w:rPr>
        <w:t xml:space="preserve"> Services:  The total number of children who had at least one referral for a CMHI service, other than an assessment, between the dates given. The same children may be counted as being referred for multiple years. Please note: the methodology for counting service referrals has changed from previous reports to provide more consistent reporting across demonstration programs. As a result, some counts may have changed.</w:t>
      </w:r>
      <w:r w:rsidRPr="00440792">
        <w:t xml:space="preserve"> </w:t>
      </w:r>
    </w:p>
    <w:p w:rsidR="001C6595" w:rsidRDefault="001C6595" w:rsidP="001C6595"/>
    <w:p w:rsidR="001C6595" w:rsidRDefault="001C6595" w:rsidP="001C6595"/>
    <w:p w:rsidR="001C6595" w:rsidRDefault="001C6595" w:rsidP="001C6595"/>
    <w:p w:rsidR="001C6595" w:rsidRDefault="001C6595" w:rsidP="001C6595"/>
    <w:p w:rsidR="001C6595" w:rsidRPr="001C6595" w:rsidRDefault="001C6595" w:rsidP="001C6595"/>
    <w:p w:rsidR="00D947FC" w:rsidRDefault="00D947FC" w:rsidP="00D947FC">
      <w:pPr>
        <w:pStyle w:val="Heading4"/>
      </w:pPr>
      <w:r w:rsidRPr="00440792">
        <w:t xml:space="preserve">Table </w:t>
      </w:r>
      <w:r w:rsidR="001C6595">
        <w:t>1</w:t>
      </w:r>
      <w:r w:rsidRPr="00440792">
        <w:t>. Numbers in the Demonstration</w:t>
      </w:r>
    </w:p>
    <w:tbl>
      <w:tblPr>
        <w:tblStyle w:val="MediumShading1-Accent11"/>
        <w:tblW w:w="10708" w:type="dxa"/>
        <w:tblInd w:w="-685" w:type="dxa"/>
        <w:tblLook w:val="04A0" w:firstRow="1" w:lastRow="0" w:firstColumn="1" w:lastColumn="0" w:noHBand="0" w:noVBand="1"/>
      </w:tblPr>
      <w:tblGrid>
        <w:gridCol w:w="3076"/>
        <w:gridCol w:w="972"/>
        <w:gridCol w:w="972"/>
        <w:gridCol w:w="972"/>
        <w:gridCol w:w="972"/>
        <w:gridCol w:w="874"/>
        <w:gridCol w:w="874"/>
        <w:gridCol w:w="998"/>
        <w:gridCol w:w="998"/>
      </w:tblGrid>
      <w:tr w:rsidR="001C6595" w:rsidRPr="00440792" w:rsidTr="001C65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6" w:type="dxa"/>
            <w:tcBorders>
              <w:top w:val="none" w:sz="0" w:space="0" w:color="auto"/>
              <w:left w:val="none" w:sz="0" w:space="0" w:color="auto"/>
              <w:bottom w:val="none" w:sz="0" w:space="0" w:color="auto"/>
              <w:right w:val="none" w:sz="0" w:space="0" w:color="auto"/>
            </w:tcBorders>
            <w:noWrap/>
            <w:hideMark/>
          </w:tcPr>
          <w:p w:rsidR="001C6595" w:rsidRPr="00440792" w:rsidRDefault="001C6595" w:rsidP="00CE1AFB"/>
          <w:p w:rsidR="001C6595" w:rsidRPr="00440792" w:rsidRDefault="001C6595" w:rsidP="00CE1AFB">
            <w:pPr>
              <w:rPr>
                <w:rFonts w:ascii="Calibri" w:hAnsi="Calibri"/>
              </w:rPr>
            </w:pPr>
            <w:r w:rsidRPr="00440792">
              <w:t>Service* Referrals</w:t>
            </w:r>
          </w:p>
        </w:tc>
        <w:tc>
          <w:tcPr>
            <w:tcW w:w="972" w:type="dxa"/>
            <w:tcBorders>
              <w:top w:val="none" w:sz="0" w:space="0" w:color="auto"/>
              <w:left w:val="none" w:sz="0" w:space="0" w:color="auto"/>
              <w:bottom w:val="none" w:sz="0" w:space="0" w:color="auto"/>
              <w:right w:val="none" w:sz="0" w:space="0" w:color="auto"/>
            </w:tcBorders>
            <w:noWrap/>
            <w:hideMark/>
          </w:tcPr>
          <w:p w:rsidR="001C6595" w:rsidRPr="00440792" w:rsidRDefault="001C6595" w:rsidP="00CE1AFB">
            <w:pPr>
              <w:jc w:val="center"/>
              <w:cnfStyle w:val="100000000000" w:firstRow="1" w:lastRow="0" w:firstColumn="0" w:lastColumn="0" w:oddVBand="0" w:evenVBand="0" w:oddHBand="0" w:evenHBand="0" w:firstRowFirstColumn="0" w:firstRowLastColumn="0" w:lastRowFirstColumn="0" w:lastRowLastColumn="0"/>
              <w:rPr>
                <w:sz w:val="16"/>
                <w:szCs w:val="16"/>
              </w:rPr>
            </w:pPr>
            <w:r w:rsidRPr="00440792">
              <w:rPr>
                <w:sz w:val="16"/>
                <w:szCs w:val="16"/>
              </w:rPr>
              <w:t>SFY2012</w:t>
            </w:r>
          </w:p>
          <w:p w:rsidR="001C6595" w:rsidRPr="00440792" w:rsidRDefault="001C6595" w:rsidP="00CE1AFB">
            <w:pPr>
              <w:jc w:val="center"/>
              <w:cnfStyle w:val="100000000000" w:firstRow="1" w:lastRow="0" w:firstColumn="0" w:lastColumn="0" w:oddVBand="0" w:evenVBand="0" w:oddHBand="0" w:evenHBand="0" w:firstRowFirstColumn="0" w:firstRowLastColumn="0" w:lastRowFirstColumn="0" w:lastRowLastColumn="0"/>
              <w:rPr>
                <w:rFonts w:ascii="Calibri" w:hAnsi="Calibri"/>
              </w:rPr>
            </w:pPr>
            <w:r>
              <w:rPr>
                <w:sz w:val="16"/>
                <w:szCs w:val="16"/>
              </w:rPr>
              <w:t>7/1/11-6/30/12</w:t>
            </w:r>
          </w:p>
        </w:tc>
        <w:tc>
          <w:tcPr>
            <w:tcW w:w="972" w:type="dxa"/>
            <w:tcBorders>
              <w:top w:val="none" w:sz="0" w:space="0" w:color="auto"/>
              <w:left w:val="none" w:sz="0" w:space="0" w:color="auto"/>
              <w:bottom w:val="none" w:sz="0" w:space="0" w:color="auto"/>
              <w:right w:val="none" w:sz="0" w:space="0" w:color="auto"/>
            </w:tcBorders>
            <w:noWrap/>
            <w:hideMark/>
          </w:tcPr>
          <w:p w:rsidR="001C6595" w:rsidRPr="00440792" w:rsidRDefault="001C6595" w:rsidP="00CE1AFB">
            <w:pPr>
              <w:jc w:val="center"/>
              <w:cnfStyle w:val="100000000000" w:firstRow="1" w:lastRow="0" w:firstColumn="0" w:lastColumn="0" w:oddVBand="0" w:evenVBand="0" w:oddHBand="0" w:evenHBand="0" w:firstRowFirstColumn="0" w:firstRowLastColumn="0" w:lastRowFirstColumn="0" w:lastRowLastColumn="0"/>
              <w:rPr>
                <w:sz w:val="16"/>
                <w:szCs w:val="16"/>
              </w:rPr>
            </w:pPr>
            <w:r w:rsidRPr="00440792">
              <w:rPr>
                <w:sz w:val="16"/>
                <w:szCs w:val="16"/>
              </w:rPr>
              <w:t>SFY2013</w:t>
            </w:r>
          </w:p>
          <w:p w:rsidR="001C6595" w:rsidRPr="00440792" w:rsidRDefault="001C6595" w:rsidP="00CE1AFB">
            <w:pPr>
              <w:jc w:val="center"/>
              <w:cnfStyle w:val="100000000000" w:firstRow="1" w:lastRow="0" w:firstColumn="0" w:lastColumn="0" w:oddVBand="0" w:evenVBand="0" w:oddHBand="0" w:evenHBand="0" w:firstRowFirstColumn="0" w:firstRowLastColumn="0" w:lastRowFirstColumn="0" w:lastRowLastColumn="0"/>
              <w:rPr>
                <w:rFonts w:ascii="Calibri" w:hAnsi="Calibri"/>
              </w:rPr>
            </w:pPr>
            <w:r>
              <w:rPr>
                <w:sz w:val="16"/>
                <w:szCs w:val="16"/>
              </w:rPr>
              <w:t>7/1/12-6/30/13</w:t>
            </w:r>
          </w:p>
        </w:tc>
        <w:tc>
          <w:tcPr>
            <w:tcW w:w="972" w:type="dxa"/>
            <w:tcBorders>
              <w:top w:val="none" w:sz="0" w:space="0" w:color="auto"/>
              <w:left w:val="none" w:sz="0" w:space="0" w:color="auto"/>
              <w:bottom w:val="none" w:sz="0" w:space="0" w:color="auto"/>
              <w:right w:val="none" w:sz="0" w:space="0" w:color="auto"/>
            </w:tcBorders>
            <w:noWrap/>
            <w:hideMark/>
          </w:tcPr>
          <w:p w:rsidR="001C6595" w:rsidRPr="00440792" w:rsidRDefault="001C6595" w:rsidP="00CE1AFB">
            <w:pPr>
              <w:jc w:val="center"/>
              <w:cnfStyle w:val="100000000000" w:firstRow="1" w:lastRow="0" w:firstColumn="0" w:lastColumn="0" w:oddVBand="0" w:evenVBand="0" w:oddHBand="0" w:evenHBand="0" w:firstRowFirstColumn="0" w:firstRowLastColumn="0" w:lastRowFirstColumn="0" w:lastRowLastColumn="0"/>
              <w:rPr>
                <w:sz w:val="16"/>
                <w:szCs w:val="16"/>
              </w:rPr>
            </w:pPr>
            <w:r w:rsidRPr="00440792">
              <w:rPr>
                <w:sz w:val="16"/>
                <w:szCs w:val="16"/>
              </w:rPr>
              <w:t>SFY2014</w:t>
            </w:r>
          </w:p>
          <w:p w:rsidR="001C6595" w:rsidRPr="00440792" w:rsidRDefault="001C6595" w:rsidP="00CE1AFB">
            <w:pPr>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7/1/13-6/30/14</w:t>
            </w:r>
          </w:p>
        </w:tc>
        <w:tc>
          <w:tcPr>
            <w:tcW w:w="972" w:type="dxa"/>
            <w:tcBorders>
              <w:top w:val="none" w:sz="0" w:space="0" w:color="auto"/>
              <w:left w:val="none" w:sz="0" w:space="0" w:color="auto"/>
              <w:bottom w:val="none" w:sz="0" w:space="0" w:color="auto"/>
              <w:right w:val="none" w:sz="0" w:space="0" w:color="auto"/>
            </w:tcBorders>
            <w:noWrap/>
            <w:hideMark/>
          </w:tcPr>
          <w:p w:rsidR="001C6595" w:rsidRPr="00440792" w:rsidRDefault="001C6595" w:rsidP="00CE1AFB">
            <w:pPr>
              <w:jc w:val="center"/>
              <w:cnfStyle w:val="100000000000" w:firstRow="1" w:lastRow="0" w:firstColumn="0" w:lastColumn="0" w:oddVBand="0" w:evenVBand="0" w:oddHBand="0" w:evenHBand="0" w:firstRowFirstColumn="0" w:firstRowLastColumn="0" w:lastRowFirstColumn="0" w:lastRowLastColumn="0"/>
              <w:rPr>
                <w:sz w:val="16"/>
                <w:szCs w:val="16"/>
              </w:rPr>
            </w:pPr>
            <w:r w:rsidRPr="00440792">
              <w:rPr>
                <w:sz w:val="16"/>
                <w:szCs w:val="16"/>
              </w:rPr>
              <w:t>SFY2015</w:t>
            </w:r>
          </w:p>
          <w:p w:rsidR="001C6595" w:rsidRPr="00440792" w:rsidRDefault="001C6595" w:rsidP="00CE1AFB">
            <w:pPr>
              <w:jc w:val="center"/>
              <w:cnfStyle w:val="100000000000" w:firstRow="1" w:lastRow="0" w:firstColumn="0" w:lastColumn="0" w:oddVBand="0" w:evenVBand="0" w:oddHBand="0" w:evenHBand="0" w:firstRowFirstColumn="0" w:firstRowLastColumn="0" w:lastRowFirstColumn="0" w:lastRowLastColumn="0"/>
              <w:rPr>
                <w:rFonts w:ascii="Calibri" w:hAnsi="Calibri"/>
              </w:rPr>
            </w:pPr>
            <w:r>
              <w:rPr>
                <w:sz w:val="16"/>
                <w:szCs w:val="16"/>
              </w:rPr>
              <w:t>7/1/14-6/30/15</w:t>
            </w:r>
          </w:p>
        </w:tc>
        <w:tc>
          <w:tcPr>
            <w:tcW w:w="874" w:type="dxa"/>
            <w:tcBorders>
              <w:top w:val="none" w:sz="0" w:space="0" w:color="auto"/>
              <w:left w:val="none" w:sz="0" w:space="0" w:color="auto"/>
              <w:bottom w:val="none" w:sz="0" w:space="0" w:color="auto"/>
              <w:right w:val="none" w:sz="0" w:space="0" w:color="auto"/>
            </w:tcBorders>
          </w:tcPr>
          <w:p w:rsidR="001C6595" w:rsidRPr="00440792" w:rsidRDefault="001C6595" w:rsidP="00CE1AFB">
            <w:pPr>
              <w:jc w:val="center"/>
              <w:cnfStyle w:val="100000000000" w:firstRow="1" w:lastRow="0" w:firstColumn="0" w:lastColumn="0" w:oddVBand="0" w:evenVBand="0" w:oddHBand="0" w:evenHBand="0" w:firstRowFirstColumn="0" w:firstRowLastColumn="0" w:lastRowFirstColumn="0" w:lastRowLastColumn="0"/>
              <w:rPr>
                <w:sz w:val="16"/>
                <w:szCs w:val="16"/>
              </w:rPr>
            </w:pPr>
            <w:r w:rsidRPr="00440792">
              <w:rPr>
                <w:sz w:val="16"/>
                <w:szCs w:val="16"/>
              </w:rPr>
              <w:t>SFY 2016</w:t>
            </w:r>
          </w:p>
          <w:p w:rsidR="001C6595" w:rsidRPr="00440792" w:rsidRDefault="001C6595" w:rsidP="00CE1AFB">
            <w:pPr>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7/1/15-6/30/16</w:t>
            </w:r>
          </w:p>
        </w:tc>
        <w:tc>
          <w:tcPr>
            <w:tcW w:w="874" w:type="dxa"/>
            <w:tcBorders>
              <w:top w:val="none" w:sz="0" w:space="0" w:color="auto"/>
              <w:left w:val="none" w:sz="0" w:space="0" w:color="auto"/>
              <w:bottom w:val="none" w:sz="0" w:space="0" w:color="auto"/>
              <w:right w:val="none" w:sz="0" w:space="0" w:color="auto"/>
            </w:tcBorders>
          </w:tcPr>
          <w:p w:rsidR="001C6595" w:rsidRPr="00440792" w:rsidRDefault="001C6595" w:rsidP="00CE1AFB">
            <w:pPr>
              <w:jc w:val="center"/>
              <w:cnfStyle w:val="100000000000" w:firstRow="1" w:lastRow="0" w:firstColumn="0" w:lastColumn="0" w:oddVBand="0" w:evenVBand="0" w:oddHBand="0" w:evenHBand="0" w:firstRowFirstColumn="0" w:firstRowLastColumn="0" w:lastRowFirstColumn="0" w:lastRowLastColumn="0"/>
              <w:rPr>
                <w:sz w:val="16"/>
                <w:szCs w:val="16"/>
              </w:rPr>
            </w:pPr>
            <w:r w:rsidRPr="00440792">
              <w:rPr>
                <w:sz w:val="16"/>
                <w:szCs w:val="16"/>
              </w:rPr>
              <w:t>SFY 2017</w:t>
            </w:r>
          </w:p>
          <w:p w:rsidR="001C6595" w:rsidRPr="00440792" w:rsidRDefault="001C6595" w:rsidP="00CE1AFB">
            <w:pPr>
              <w:jc w:val="center"/>
              <w:cnfStyle w:val="100000000000" w:firstRow="1" w:lastRow="0" w:firstColumn="0" w:lastColumn="0" w:oddVBand="0" w:evenVBand="0" w:oddHBand="0" w:evenHBand="0" w:firstRowFirstColumn="0" w:firstRowLastColumn="0" w:lastRowFirstColumn="0" w:lastRowLastColumn="0"/>
              <w:rPr>
                <w:sz w:val="16"/>
                <w:szCs w:val="16"/>
              </w:rPr>
            </w:pPr>
            <w:r w:rsidRPr="00440792">
              <w:rPr>
                <w:sz w:val="16"/>
                <w:szCs w:val="16"/>
              </w:rPr>
              <w:t>7/1/16-6/30/17</w:t>
            </w:r>
          </w:p>
        </w:tc>
        <w:tc>
          <w:tcPr>
            <w:tcW w:w="998" w:type="dxa"/>
            <w:tcBorders>
              <w:top w:val="none" w:sz="0" w:space="0" w:color="auto"/>
              <w:left w:val="none" w:sz="0" w:space="0" w:color="auto"/>
              <w:bottom w:val="none" w:sz="0" w:space="0" w:color="auto"/>
              <w:right w:val="none" w:sz="0" w:space="0" w:color="auto"/>
            </w:tcBorders>
          </w:tcPr>
          <w:p w:rsidR="001C6595" w:rsidRPr="000E14A6" w:rsidRDefault="001C6595" w:rsidP="00CE1AFB">
            <w:pPr>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Pr>
                <w:bCs w:val="0"/>
                <w:color w:val="FFFFFF"/>
                <w:sz w:val="16"/>
                <w:szCs w:val="16"/>
              </w:rPr>
              <w:t>SFY</w:t>
            </w:r>
            <w:r w:rsidRPr="000E14A6">
              <w:rPr>
                <w:bCs w:val="0"/>
                <w:color w:val="FFFFFF"/>
                <w:sz w:val="16"/>
                <w:szCs w:val="16"/>
              </w:rPr>
              <w:t xml:space="preserve"> 201</w:t>
            </w:r>
            <w:r>
              <w:rPr>
                <w:bCs w:val="0"/>
                <w:color w:val="FFFFFF"/>
                <w:sz w:val="16"/>
                <w:szCs w:val="16"/>
              </w:rPr>
              <w:t>8</w:t>
            </w:r>
          </w:p>
          <w:p w:rsidR="001C6595" w:rsidRDefault="001C6595" w:rsidP="00CE1AFB">
            <w:pPr>
              <w:jc w:val="center"/>
              <w:cnfStyle w:val="100000000000" w:firstRow="1" w:lastRow="0" w:firstColumn="0" w:lastColumn="0" w:oddVBand="0" w:evenVBand="0" w:oddHBand="0" w:evenHBand="0" w:firstRowFirstColumn="0" w:firstRowLastColumn="0" w:lastRowFirstColumn="0" w:lastRowLastColumn="0"/>
              <w:rPr>
                <w:b w:val="0"/>
                <w:bCs w:val="0"/>
                <w:color w:val="FFFFFF"/>
                <w:sz w:val="16"/>
                <w:szCs w:val="16"/>
              </w:rPr>
            </w:pPr>
            <w:r w:rsidRPr="000E14A6">
              <w:rPr>
                <w:bCs w:val="0"/>
                <w:color w:val="FFFFFF"/>
                <w:sz w:val="16"/>
                <w:szCs w:val="16"/>
              </w:rPr>
              <w:t>7/1/17-</w:t>
            </w:r>
            <w:r>
              <w:rPr>
                <w:bCs w:val="0"/>
                <w:color w:val="FFFFFF"/>
                <w:sz w:val="16"/>
                <w:szCs w:val="16"/>
              </w:rPr>
              <w:t>6/30</w:t>
            </w:r>
            <w:r w:rsidRPr="000E14A6">
              <w:rPr>
                <w:bCs w:val="0"/>
                <w:color w:val="FFFFFF"/>
                <w:sz w:val="16"/>
                <w:szCs w:val="16"/>
              </w:rPr>
              <w:t>/1</w:t>
            </w:r>
            <w:r>
              <w:rPr>
                <w:bCs w:val="0"/>
                <w:color w:val="FFFFFF"/>
                <w:sz w:val="16"/>
                <w:szCs w:val="16"/>
              </w:rPr>
              <w:t>8</w:t>
            </w:r>
          </w:p>
        </w:tc>
        <w:tc>
          <w:tcPr>
            <w:tcW w:w="998" w:type="dxa"/>
            <w:tcBorders>
              <w:top w:val="none" w:sz="0" w:space="0" w:color="auto"/>
              <w:left w:val="none" w:sz="0" w:space="0" w:color="auto"/>
              <w:bottom w:val="none" w:sz="0" w:space="0" w:color="auto"/>
              <w:right w:val="none" w:sz="0" w:space="0" w:color="auto"/>
            </w:tcBorders>
          </w:tcPr>
          <w:p w:rsidR="001C6595" w:rsidRDefault="001C6595" w:rsidP="00CE1AFB">
            <w:pPr>
              <w:jc w:val="center"/>
              <w:cnfStyle w:val="100000000000" w:firstRow="1" w:lastRow="0" w:firstColumn="0" w:lastColumn="0" w:oddVBand="0" w:evenVBand="0" w:oddHBand="0" w:evenHBand="0" w:firstRowFirstColumn="0" w:firstRowLastColumn="0" w:lastRowFirstColumn="0" w:lastRowLastColumn="0"/>
              <w:rPr>
                <w:bCs w:val="0"/>
                <w:color w:val="FFFFFF"/>
                <w:sz w:val="16"/>
                <w:szCs w:val="16"/>
              </w:rPr>
            </w:pPr>
            <w:r>
              <w:rPr>
                <w:bCs w:val="0"/>
                <w:color w:val="FFFFFF"/>
                <w:sz w:val="16"/>
                <w:szCs w:val="16"/>
              </w:rPr>
              <w:t xml:space="preserve">SFY 2019 </w:t>
            </w:r>
            <w:r w:rsidRPr="000E14A6">
              <w:rPr>
                <w:bCs w:val="0"/>
                <w:color w:val="FFFFFF"/>
                <w:sz w:val="16"/>
                <w:szCs w:val="16"/>
              </w:rPr>
              <w:t>7/1/</w:t>
            </w:r>
            <w:r>
              <w:rPr>
                <w:bCs w:val="0"/>
                <w:color w:val="FFFFFF"/>
                <w:sz w:val="16"/>
                <w:szCs w:val="16"/>
              </w:rPr>
              <w:t>18</w:t>
            </w:r>
            <w:r w:rsidRPr="000E14A6">
              <w:rPr>
                <w:bCs w:val="0"/>
                <w:color w:val="FFFFFF"/>
                <w:sz w:val="16"/>
                <w:szCs w:val="16"/>
              </w:rPr>
              <w:t>-</w:t>
            </w:r>
            <w:r>
              <w:rPr>
                <w:bCs w:val="0"/>
                <w:color w:val="FFFFFF"/>
                <w:sz w:val="16"/>
                <w:szCs w:val="16"/>
              </w:rPr>
              <w:t>6/30</w:t>
            </w:r>
            <w:r w:rsidRPr="000E14A6">
              <w:rPr>
                <w:bCs w:val="0"/>
                <w:color w:val="FFFFFF"/>
                <w:sz w:val="16"/>
                <w:szCs w:val="16"/>
              </w:rPr>
              <w:t>/1</w:t>
            </w:r>
            <w:r>
              <w:rPr>
                <w:bCs w:val="0"/>
                <w:color w:val="FFFFFF"/>
                <w:sz w:val="16"/>
                <w:szCs w:val="16"/>
              </w:rPr>
              <w:t>9</w:t>
            </w:r>
          </w:p>
        </w:tc>
      </w:tr>
      <w:tr w:rsidR="001C6595" w:rsidRPr="00440792" w:rsidTr="001C6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6" w:type="dxa"/>
            <w:tcBorders>
              <w:right w:val="none" w:sz="0" w:space="0" w:color="auto"/>
            </w:tcBorders>
            <w:noWrap/>
            <w:hideMark/>
          </w:tcPr>
          <w:p w:rsidR="001C6595" w:rsidRPr="00440792" w:rsidRDefault="001C6595" w:rsidP="00CE1AFB">
            <w:pPr>
              <w:rPr>
                <w:rFonts w:ascii="Calibri" w:hAnsi="Calibri"/>
                <w:color w:val="000000"/>
              </w:rPr>
            </w:pPr>
            <w:r w:rsidRPr="00440792">
              <w:rPr>
                <w:color w:val="000000"/>
              </w:rPr>
              <w:t>Alternatives for Families Cognitive Behavioral Therapy</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40792">
              <w:t>0</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40792">
              <w:t>0</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40792">
              <w:t>0</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40792">
              <w:t>11</w:t>
            </w:r>
          </w:p>
        </w:tc>
        <w:tc>
          <w:tcPr>
            <w:tcW w:w="874" w:type="dxa"/>
            <w:tcBorders>
              <w:left w:val="none" w:sz="0" w:space="0" w:color="auto"/>
              <w:right w:val="none" w:sz="0" w:space="0" w:color="auto"/>
            </w:tcBorders>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color w:val="000000"/>
              </w:rPr>
            </w:pPr>
            <w:r>
              <w:t>5</w:t>
            </w:r>
          </w:p>
        </w:tc>
        <w:tc>
          <w:tcPr>
            <w:tcW w:w="874" w:type="dxa"/>
            <w:tcBorders>
              <w:left w:val="none" w:sz="0" w:space="0" w:color="auto"/>
              <w:right w:val="none" w:sz="0" w:space="0" w:color="auto"/>
            </w:tcBorders>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pPr>
            <w:r w:rsidRPr="00440792">
              <w:t>2</w:t>
            </w:r>
          </w:p>
        </w:tc>
        <w:tc>
          <w:tcPr>
            <w:tcW w:w="998" w:type="dxa"/>
            <w:tcBorders>
              <w:left w:val="none" w:sz="0" w:space="0" w:color="auto"/>
              <w:right w:val="none" w:sz="0" w:space="0" w:color="auto"/>
            </w:tcBorders>
          </w:tcPr>
          <w:p w:rsidR="001C6595" w:rsidRDefault="001C6595" w:rsidP="00CE1AFB">
            <w:pPr>
              <w:jc w:val="center"/>
              <w:cnfStyle w:val="000000100000" w:firstRow="0" w:lastRow="0" w:firstColumn="0" w:lastColumn="0" w:oddVBand="0" w:evenVBand="0" w:oddHBand="1" w:evenHBand="0" w:firstRowFirstColumn="0" w:firstRowLastColumn="0" w:lastRowFirstColumn="0" w:lastRowLastColumn="0"/>
            </w:pPr>
            <w:r>
              <w:t>5</w:t>
            </w:r>
          </w:p>
        </w:tc>
        <w:tc>
          <w:tcPr>
            <w:tcW w:w="998" w:type="dxa"/>
            <w:tcBorders>
              <w:left w:val="none" w:sz="0" w:space="0" w:color="auto"/>
            </w:tcBorders>
          </w:tcPr>
          <w:p w:rsidR="001C6595" w:rsidRDefault="001C6595" w:rsidP="00CE1AFB">
            <w:pPr>
              <w:jc w:val="center"/>
              <w:cnfStyle w:val="000000100000" w:firstRow="0" w:lastRow="0" w:firstColumn="0" w:lastColumn="0" w:oddVBand="0" w:evenVBand="0" w:oddHBand="1" w:evenHBand="0" w:firstRowFirstColumn="0" w:firstRowLastColumn="0" w:lastRowFirstColumn="0" w:lastRowLastColumn="0"/>
            </w:pPr>
            <w:r>
              <w:t>1</w:t>
            </w:r>
          </w:p>
        </w:tc>
      </w:tr>
      <w:tr w:rsidR="001C6595" w:rsidRPr="00440792" w:rsidTr="001C659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6" w:type="dxa"/>
            <w:tcBorders>
              <w:right w:val="none" w:sz="0" w:space="0" w:color="auto"/>
            </w:tcBorders>
            <w:noWrap/>
            <w:hideMark/>
          </w:tcPr>
          <w:p w:rsidR="001C6595" w:rsidRPr="00440792" w:rsidRDefault="001C6595" w:rsidP="00CE1AFB">
            <w:pPr>
              <w:rPr>
                <w:rFonts w:ascii="Calibri" w:hAnsi="Calibri"/>
                <w:color w:val="000000"/>
              </w:rPr>
            </w:pPr>
            <w:r w:rsidRPr="00440792">
              <w:rPr>
                <w:color w:val="000000"/>
              </w:rPr>
              <w:t>Cognitive Behavioral Therapy</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440792">
              <w:t>0</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440792">
              <w:t>0</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440792">
              <w:t>4</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440792">
              <w:t>25</w:t>
            </w:r>
          </w:p>
        </w:tc>
        <w:tc>
          <w:tcPr>
            <w:tcW w:w="874" w:type="dxa"/>
            <w:tcBorders>
              <w:left w:val="none" w:sz="0" w:space="0" w:color="auto"/>
              <w:right w:val="none" w:sz="0" w:space="0" w:color="auto"/>
            </w:tcBorders>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rPr>
                <w:color w:val="000000"/>
              </w:rPr>
            </w:pPr>
            <w:r>
              <w:t>37</w:t>
            </w:r>
          </w:p>
        </w:tc>
        <w:tc>
          <w:tcPr>
            <w:tcW w:w="874" w:type="dxa"/>
            <w:tcBorders>
              <w:left w:val="none" w:sz="0" w:space="0" w:color="auto"/>
              <w:right w:val="none" w:sz="0" w:space="0" w:color="auto"/>
            </w:tcBorders>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pPr>
            <w:r w:rsidRPr="00440792">
              <w:t>28</w:t>
            </w:r>
          </w:p>
        </w:tc>
        <w:tc>
          <w:tcPr>
            <w:tcW w:w="998" w:type="dxa"/>
            <w:tcBorders>
              <w:left w:val="none" w:sz="0" w:space="0" w:color="auto"/>
              <w:right w:val="none" w:sz="0" w:space="0" w:color="auto"/>
            </w:tcBorders>
          </w:tcPr>
          <w:p w:rsidR="001C6595" w:rsidRDefault="001C6595" w:rsidP="00CE1AFB">
            <w:pPr>
              <w:jc w:val="center"/>
              <w:cnfStyle w:val="000000010000" w:firstRow="0" w:lastRow="0" w:firstColumn="0" w:lastColumn="0" w:oddVBand="0" w:evenVBand="0" w:oddHBand="0" w:evenHBand="1" w:firstRowFirstColumn="0" w:firstRowLastColumn="0" w:lastRowFirstColumn="0" w:lastRowLastColumn="0"/>
            </w:pPr>
            <w:r>
              <w:t>42</w:t>
            </w:r>
          </w:p>
        </w:tc>
        <w:tc>
          <w:tcPr>
            <w:tcW w:w="998" w:type="dxa"/>
            <w:tcBorders>
              <w:left w:val="none" w:sz="0" w:space="0" w:color="auto"/>
            </w:tcBorders>
          </w:tcPr>
          <w:p w:rsidR="001C6595" w:rsidRDefault="001C6595" w:rsidP="00CE1AFB">
            <w:pPr>
              <w:jc w:val="center"/>
              <w:cnfStyle w:val="000000010000" w:firstRow="0" w:lastRow="0" w:firstColumn="0" w:lastColumn="0" w:oddVBand="0" w:evenVBand="0" w:oddHBand="0" w:evenHBand="1" w:firstRowFirstColumn="0" w:firstRowLastColumn="0" w:lastRowFirstColumn="0" w:lastRowLastColumn="0"/>
            </w:pPr>
            <w:r>
              <w:t>11</w:t>
            </w:r>
          </w:p>
        </w:tc>
      </w:tr>
      <w:tr w:rsidR="001C6595" w:rsidRPr="00440792" w:rsidTr="001C6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6" w:type="dxa"/>
            <w:tcBorders>
              <w:right w:val="none" w:sz="0" w:space="0" w:color="auto"/>
            </w:tcBorders>
            <w:noWrap/>
            <w:hideMark/>
          </w:tcPr>
          <w:p w:rsidR="001C6595" w:rsidRPr="00440792" w:rsidRDefault="001C6595" w:rsidP="00CE1AFB">
            <w:pPr>
              <w:rPr>
                <w:rFonts w:ascii="Calibri" w:hAnsi="Calibri"/>
                <w:color w:val="000000"/>
              </w:rPr>
            </w:pPr>
            <w:r w:rsidRPr="00440792">
              <w:rPr>
                <w:color w:val="000000"/>
              </w:rPr>
              <w:t>Family Centered Treatment</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40792">
              <w:t>0</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40792">
              <w:t>0</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40792">
              <w:t>272</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40792">
              <w:t>359</w:t>
            </w:r>
          </w:p>
        </w:tc>
        <w:tc>
          <w:tcPr>
            <w:tcW w:w="874" w:type="dxa"/>
            <w:tcBorders>
              <w:left w:val="none" w:sz="0" w:space="0" w:color="auto"/>
              <w:right w:val="none" w:sz="0" w:space="0" w:color="auto"/>
            </w:tcBorders>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color w:val="000000"/>
              </w:rPr>
            </w:pPr>
            <w:r>
              <w:t>401</w:t>
            </w:r>
          </w:p>
        </w:tc>
        <w:tc>
          <w:tcPr>
            <w:tcW w:w="874" w:type="dxa"/>
            <w:tcBorders>
              <w:left w:val="none" w:sz="0" w:space="0" w:color="auto"/>
              <w:right w:val="none" w:sz="0" w:space="0" w:color="auto"/>
            </w:tcBorders>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pPr>
            <w:r w:rsidRPr="00440792">
              <w:t>422</w:t>
            </w:r>
          </w:p>
        </w:tc>
        <w:tc>
          <w:tcPr>
            <w:tcW w:w="998" w:type="dxa"/>
            <w:tcBorders>
              <w:left w:val="none" w:sz="0" w:space="0" w:color="auto"/>
              <w:right w:val="none" w:sz="0" w:space="0" w:color="auto"/>
            </w:tcBorders>
          </w:tcPr>
          <w:p w:rsidR="001C6595" w:rsidRDefault="001C6595" w:rsidP="00CE1AFB">
            <w:pPr>
              <w:jc w:val="center"/>
              <w:cnfStyle w:val="000000100000" w:firstRow="0" w:lastRow="0" w:firstColumn="0" w:lastColumn="0" w:oddVBand="0" w:evenVBand="0" w:oddHBand="1" w:evenHBand="0" w:firstRowFirstColumn="0" w:firstRowLastColumn="0" w:lastRowFirstColumn="0" w:lastRowLastColumn="0"/>
            </w:pPr>
            <w:r>
              <w:t>340</w:t>
            </w:r>
          </w:p>
        </w:tc>
        <w:tc>
          <w:tcPr>
            <w:tcW w:w="998" w:type="dxa"/>
            <w:tcBorders>
              <w:left w:val="none" w:sz="0" w:space="0" w:color="auto"/>
            </w:tcBorders>
          </w:tcPr>
          <w:p w:rsidR="001C6595" w:rsidRDefault="001C6595" w:rsidP="00CE1AFB">
            <w:pPr>
              <w:jc w:val="center"/>
              <w:cnfStyle w:val="000000100000" w:firstRow="0" w:lastRow="0" w:firstColumn="0" w:lastColumn="0" w:oddVBand="0" w:evenVBand="0" w:oddHBand="1" w:evenHBand="0" w:firstRowFirstColumn="0" w:firstRowLastColumn="0" w:lastRowFirstColumn="0" w:lastRowLastColumn="0"/>
            </w:pPr>
            <w:r>
              <w:t>333</w:t>
            </w:r>
          </w:p>
        </w:tc>
      </w:tr>
      <w:tr w:rsidR="001C6595" w:rsidRPr="00440792" w:rsidTr="001C659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6" w:type="dxa"/>
            <w:tcBorders>
              <w:right w:val="none" w:sz="0" w:space="0" w:color="auto"/>
            </w:tcBorders>
            <w:noWrap/>
            <w:hideMark/>
          </w:tcPr>
          <w:p w:rsidR="001C6595" w:rsidRPr="00440792" w:rsidRDefault="001C6595" w:rsidP="00CE1AFB">
            <w:pPr>
              <w:rPr>
                <w:rFonts w:ascii="Calibri" w:hAnsi="Calibri"/>
                <w:color w:val="000000"/>
              </w:rPr>
            </w:pPr>
            <w:r w:rsidRPr="00440792">
              <w:rPr>
                <w:color w:val="000000"/>
              </w:rPr>
              <w:t>Intercept</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440792">
              <w:t>116</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440792">
              <w:t>182</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440792">
              <w:t>201</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440792">
              <w:t>193</w:t>
            </w:r>
          </w:p>
        </w:tc>
        <w:tc>
          <w:tcPr>
            <w:tcW w:w="874" w:type="dxa"/>
            <w:tcBorders>
              <w:left w:val="none" w:sz="0" w:space="0" w:color="auto"/>
              <w:right w:val="none" w:sz="0" w:space="0" w:color="auto"/>
            </w:tcBorders>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rPr>
                <w:color w:val="000000"/>
              </w:rPr>
            </w:pPr>
            <w:r>
              <w:t>187</w:t>
            </w:r>
          </w:p>
        </w:tc>
        <w:tc>
          <w:tcPr>
            <w:tcW w:w="874" w:type="dxa"/>
            <w:tcBorders>
              <w:left w:val="none" w:sz="0" w:space="0" w:color="auto"/>
              <w:right w:val="none" w:sz="0" w:space="0" w:color="auto"/>
            </w:tcBorders>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pPr>
            <w:r w:rsidRPr="00440792">
              <w:t>175</w:t>
            </w:r>
          </w:p>
        </w:tc>
        <w:tc>
          <w:tcPr>
            <w:tcW w:w="998" w:type="dxa"/>
            <w:tcBorders>
              <w:left w:val="none" w:sz="0" w:space="0" w:color="auto"/>
              <w:right w:val="none" w:sz="0" w:space="0" w:color="auto"/>
            </w:tcBorders>
          </w:tcPr>
          <w:p w:rsidR="001C6595" w:rsidRDefault="001C6595" w:rsidP="00CE1AFB">
            <w:pPr>
              <w:jc w:val="center"/>
              <w:cnfStyle w:val="000000010000" w:firstRow="0" w:lastRow="0" w:firstColumn="0" w:lastColumn="0" w:oddVBand="0" w:evenVBand="0" w:oddHBand="0" w:evenHBand="1" w:firstRowFirstColumn="0" w:firstRowLastColumn="0" w:lastRowFirstColumn="0" w:lastRowLastColumn="0"/>
            </w:pPr>
            <w:r>
              <w:t>175</w:t>
            </w:r>
          </w:p>
        </w:tc>
        <w:tc>
          <w:tcPr>
            <w:tcW w:w="998" w:type="dxa"/>
            <w:tcBorders>
              <w:left w:val="none" w:sz="0" w:space="0" w:color="auto"/>
            </w:tcBorders>
          </w:tcPr>
          <w:p w:rsidR="001C6595" w:rsidRDefault="001C6595" w:rsidP="00CE1AFB">
            <w:pPr>
              <w:jc w:val="center"/>
              <w:cnfStyle w:val="000000010000" w:firstRow="0" w:lastRow="0" w:firstColumn="0" w:lastColumn="0" w:oddVBand="0" w:evenVBand="0" w:oddHBand="0" w:evenHBand="1" w:firstRowFirstColumn="0" w:firstRowLastColumn="0" w:lastRowFirstColumn="0" w:lastRowLastColumn="0"/>
            </w:pPr>
            <w:r>
              <w:t>246</w:t>
            </w:r>
          </w:p>
        </w:tc>
      </w:tr>
      <w:tr w:rsidR="001C6595" w:rsidRPr="00440792" w:rsidTr="001C6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6" w:type="dxa"/>
            <w:tcBorders>
              <w:right w:val="none" w:sz="0" w:space="0" w:color="auto"/>
            </w:tcBorders>
            <w:noWrap/>
            <w:hideMark/>
          </w:tcPr>
          <w:p w:rsidR="001C6595" w:rsidRPr="00440792" w:rsidRDefault="001C6595" w:rsidP="00CE1AFB">
            <w:pPr>
              <w:rPr>
                <w:rFonts w:ascii="Calibri" w:hAnsi="Calibri"/>
                <w:color w:val="000000"/>
              </w:rPr>
            </w:pPr>
            <w:r w:rsidRPr="00440792">
              <w:rPr>
                <w:color w:val="000000"/>
              </w:rPr>
              <w:t>Motivational Interviewing</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40792">
              <w:t>0</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40792">
              <w:t>0</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40792">
              <w:t>7</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40792">
              <w:t>82</w:t>
            </w:r>
          </w:p>
        </w:tc>
        <w:tc>
          <w:tcPr>
            <w:tcW w:w="874" w:type="dxa"/>
            <w:tcBorders>
              <w:left w:val="none" w:sz="0" w:space="0" w:color="auto"/>
              <w:right w:val="none" w:sz="0" w:space="0" w:color="auto"/>
            </w:tcBorders>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color w:val="000000"/>
              </w:rPr>
            </w:pPr>
            <w:r>
              <w:t>157</w:t>
            </w:r>
          </w:p>
        </w:tc>
        <w:tc>
          <w:tcPr>
            <w:tcW w:w="874" w:type="dxa"/>
            <w:tcBorders>
              <w:left w:val="none" w:sz="0" w:space="0" w:color="auto"/>
              <w:right w:val="none" w:sz="0" w:space="0" w:color="auto"/>
            </w:tcBorders>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pPr>
            <w:r w:rsidRPr="00440792">
              <w:t>219</w:t>
            </w:r>
          </w:p>
        </w:tc>
        <w:tc>
          <w:tcPr>
            <w:tcW w:w="998" w:type="dxa"/>
            <w:tcBorders>
              <w:left w:val="none" w:sz="0" w:space="0" w:color="auto"/>
              <w:right w:val="none" w:sz="0" w:space="0" w:color="auto"/>
            </w:tcBorders>
          </w:tcPr>
          <w:p w:rsidR="001C6595" w:rsidRDefault="001C6595" w:rsidP="00CE1AFB">
            <w:pPr>
              <w:jc w:val="center"/>
              <w:cnfStyle w:val="000000100000" w:firstRow="0" w:lastRow="0" w:firstColumn="0" w:lastColumn="0" w:oddVBand="0" w:evenVBand="0" w:oddHBand="1" w:evenHBand="0" w:firstRowFirstColumn="0" w:firstRowLastColumn="0" w:lastRowFirstColumn="0" w:lastRowLastColumn="0"/>
            </w:pPr>
            <w:r>
              <w:t>241</w:t>
            </w:r>
          </w:p>
        </w:tc>
        <w:tc>
          <w:tcPr>
            <w:tcW w:w="998" w:type="dxa"/>
            <w:tcBorders>
              <w:left w:val="none" w:sz="0" w:space="0" w:color="auto"/>
            </w:tcBorders>
          </w:tcPr>
          <w:p w:rsidR="001C6595" w:rsidRDefault="001C6595" w:rsidP="00CE1AFB">
            <w:pPr>
              <w:jc w:val="center"/>
              <w:cnfStyle w:val="000000100000" w:firstRow="0" w:lastRow="0" w:firstColumn="0" w:lastColumn="0" w:oddVBand="0" w:evenVBand="0" w:oddHBand="1" w:evenHBand="0" w:firstRowFirstColumn="0" w:firstRowLastColumn="0" w:lastRowFirstColumn="0" w:lastRowLastColumn="0"/>
            </w:pPr>
            <w:r>
              <w:t>273</w:t>
            </w:r>
          </w:p>
        </w:tc>
      </w:tr>
      <w:tr w:rsidR="001C6595" w:rsidRPr="00440792" w:rsidTr="001C659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6" w:type="dxa"/>
            <w:tcBorders>
              <w:right w:val="none" w:sz="0" w:space="0" w:color="auto"/>
            </w:tcBorders>
            <w:noWrap/>
            <w:hideMark/>
          </w:tcPr>
          <w:p w:rsidR="001C6595" w:rsidRPr="00440792" w:rsidRDefault="001C6595" w:rsidP="00CE1AFB">
            <w:pPr>
              <w:rPr>
                <w:rFonts w:ascii="Calibri" w:hAnsi="Calibri"/>
                <w:color w:val="000000"/>
              </w:rPr>
            </w:pPr>
            <w:r w:rsidRPr="00440792">
              <w:rPr>
                <w:color w:val="000000"/>
              </w:rPr>
              <w:t>Trauma Focused Cognitive Behavioral Therapy</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440792">
              <w:t>0</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440792">
              <w:t>0</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440792">
              <w:t>18</w:t>
            </w:r>
          </w:p>
        </w:tc>
        <w:tc>
          <w:tcPr>
            <w:tcW w:w="972" w:type="dxa"/>
            <w:tcBorders>
              <w:left w:val="none" w:sz="0" w:space="0" w:color="auto"/>
              <w:right w:val="none" w:sz="0" w:space="0" w:color="auto"/>
            </w:tcBorders>
            <w:noWrap/>
            <w:hideMark/>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440792">
              <w:t>98</w:t>
            </w:r>
          </w:p>
        </w:tc>
        <w:tc>
          <w:tcPr>
            <w:tcW w:w="874" w:type="dxa"/>
            <w:tcBorders>
              <w:left w:val="none" w:sz="0" w:space="0" w:color="auto"/>
              <w:right w:val="none" w:sz="0" w:space="0" w:color="auto"/>
            </w:tcBorders>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rPr>
                <w:color w:val="000000"/>
              </w:rPr>
            </w:pPr>
            <w:r>
              <w:t>110</w:t>
            </w:r>
          </w:p>
        </w:tc>
        <w:tc>
          <w:tcPr>
            <w:tcW w:w="874" w:type="dxa"/>
            <w:tcBorders>
              <w:left w:val="none" w:sz="0" w:space="0" w:color="auto"/>
              <w:right w:val="none" w:sz="0" w:space="0" w:color="auto"/>
            </w:tcBorders>
          </w:tcPr>
          <w:p w:rsidR="001C6595" w:rsidRPr="00440792" w:rsidRDefault="001C6595" w:rsidP="00CE1AFB">
            <w:pPr>
              <w:jc w:val="center"/>
              <w:cnfStyle w:val="000000010000" w:firstRow="0" w:lastRow="0" w:firstColumn="0" w:lastColumn="0" w:oddVBand="0" w:evenVBand="0" w:oddHBand="0" w:evenHBand="1" w:firstRowFirstColumn="0" w:firstRowLastColumn="0" w:lastRowFirstColumn="0" w:lastRowLastColumn="0"/>
            </w:pPr>
            <w:r w:rsidRPr="00440792">
              <w:t>83</w:t>
            </w:r>
          </w:p>
        </w:tc>
        <w:tc>
          <w:tcPr>
            <w:tcW w:w="998" w:type="dxa"/>
            <w:tcBorders>
              <w:left w:val="none" w:sz="0" w:space="0" w:color="auto"/>
              <w:right w:val="none" w:sz="0" w:space="0" w:color="auto"/>
            </w:tcBorders>
          </w:tcPr>
          <w:p w:rsidR="001C6595" w:rsidRDefault="001C6595" w:rsidP="00CE1AFB">
            <w:pPr>
              <w:jc w:val="center"/>
              <w:cnfStyle w:val="000000010000" w:firstRow="0" w:lastRow="0" w:firstColumn="0" w:lastColumn="0" w:oddVBand="0" w:evenVBand="0" w:oddHBand="0" w:evenHBand="1" w:firstRowFirstColumn="0" w:firstRowLastColumn="0" w:lastRowFirstColumn="0" w:lastRowLastColumn="0"/>
            </w:pPr>
            <w:r>
              <w:t>61</w:t>
            </w:r>
          </w:p>
        </w:tc>
        <w:tc>
          <w:tcPr>
            <w:tcW w:w="998" w:type="dxa"/>
            <w:tcBorders>
              <w:left w:val="none" w:sz="0" w:space="0" w:color="auto"/>
            </w:tcBorders>
          </w:tcPr>
          <w:p w:rsidR="001C6595" w:rsidRDefault="001C6595" w:rsidP="00CE1AFB">
            <w:pPr>
              <w:jc w:val="center"/>
              <w:cnfStyle w:val="000000010000" w:firstRow="0" w:lastRow="0" w:firstColumn="0" w:lastColumn="0" w:oddVBand="0" w:evenVBand="0" w:oddHBand="0" w:evenHBand="1" w:firstRowFirstColumn="0" w:firstRowLastColumn="0" w:lastRowFirstColumn="0" w:lastRowLastColumn="0"/>
            </w:pPr>
            <w:r>
              <w:t>56</w:t>
            </w:r>
          </w:p>
        </w:tc>
      </w:tr>
      <w:tr w:rsidR="001C6595" w:rsidRPr="00440792" w:rsidTr="001C6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6" w:type="dxa"/>
            <w:tcBorders>
              <w:right w:val="none" w:sz="0" w:space="0" w:color="auto"/>
            </w:tcBorders>
            <w:noWrap/>
          </w:tcPr>
          <w:p w:rsidR="001C6595" w:rsidRPr="00440792" w:rsidRDefault="001C6595" w:rsidP="00CE1AFB">
            <w:pPr>
              <w:rPr>
                <w:color w:val="000000"/>
              </w:rPr>
            </w:pPr>
            <w:r w:rsidRPr="00440792">
              <w:rPr>
                <w:color w:val="000000"/>
              </w:rPr>
              <w:t>START</w:t>
            </w:r>
          </w:p>
        </w:tc>
        <w:tc>
          <w:tcPr>
            <w:tcW w:w="972" w:type="dxa"/>
            <w:tcBorders>
              <w:left w:val="none" w:sz="0" w:space="0" w:color="auto"/>
              <w:right w:val="none" w:sz="0" w:space="0" w:color="auto"/>
            </w:tcBorders>
            <w:noWrap/>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pPr>
            <w:r w:rsidRPr="00440792">
              <w:t>0</w:t>
            </w:r>
          </w:p>
        </w:tc>
        <w:tc>
          <w:tcPr>
            <w:tcW w:w="972" w:type="dxa"/>
            <w:tcBorders>
              <w:left w:val="none" w:sz="0" w:space="0" w:color="auto"/>
              <w:right w:val="none" w:sz="0" w:space="0" w:color="auto"/>
            </w:tcBorders>
            <w:noWrap/>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pPr>
            <w:r w:rsidRPr="00440792">
              <w:t>0</w:t>
            </w:r>
          </w:p>
        </w:tc>
        <w:tc>
          <w:tcPr>
            <w:tcW w:w="972" w:type="dxa"/>
            <w:tcBorders>
              <w:left w:val="none" w:sz="0" w:space="0" w:color="auto"/>
              <w:right w:val="none" w:sz="0" w:space="0" w:color="auto"/>
            </w:tcBorders>
            <w:noWrap/>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pPr>
            <w:r w:rsidRPr="00440792">
              <w:t>14</w:t>
            </w:r>
          </w:p>
        </w:tc>
        <w:tc>
          <w:tcPr>
            <w:tcW w:w="972" w:type="dxa"/>
            <w:tcBorders>
              <w:left w:val="none" w:sz="0" w:space="0" w:color="auto"/>
              <w:right w:val="none" w:sz="0" w:space="0" w:color="auto"/>
            </w:tcBorders>
            <w:noWrap/>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rPr>
                <w:b/>
              </w:rPr>
            </w:pPr>
            <w:r w:rsidRPr="00440792">
              <w:rPr>
                <w:rStyle w:val="CommentSubjectChar"/>
              </w:rPr>
              <w:t>20</w:t>
            </w:r>
          </w:p>
        </w:tc>
        <w:tc>
          <w:tcPr>
            <w:tcW w:w="874" w:type="dxa"/>
            <w:tcBorders>
              <w:left w:val="none" w:sz="0" w:space="0" w:color="auto"/>
              <w:right w:val="none" w:sz="0" w:space="0" w:color="auto"/>
            </w:tcBorders>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pPr>
            <w:r w:rsidRPr="00440792">
              <w:t>19</w:t>
            </w:r>
          </w:p>
        </w:tc>
        <w:tc>
          <w:tcPr>
            <w:tcW w:w="874" w:type="dxa"/>
            <w:tcBorders>
              <w:left w:val="none" w:sz="0" w:space="0" w:color="auto"/>
              <w:right w:val="none" w:sz="0" w:space="0" w:color="auto"/>
            </w:tcBorders>
          </w:tcPr>
          <w:p w:rsidR="001C6595" w:rsidRPr="00440792" w:rsidRDefault="001C6595" w:rsidP="00CE1AFB">
            <w:pPr>
              <w:jc w:val="center"/>
              <w:cnfStyle w:val="000000100000" w:firstRow="0" w:lastRow="0" w:firstColumn="0" w:lastColumn="0" w:oddVBand="0" w:evenVBand="0" w:oddHBand="1" w:evenHBand="0" w:firstRowFirstColumn="0" w:firstRowLastColumn="0" w:lastRowFirstColumn="0" w:lastRowLastColumn="0"/>
            </w:pPr>
            <w:r w:rsidRPr="00440792">
              <w:t>21</w:t>
            </w:r>
          </w:p>
        </w:tc>
        <w:tc>
          <w:tcPr>
            <w:tcW w:w="998" w:type="dxa"/>
            <w:tcBorders>
              <w:left w:val="none" w:sz="0" w:space="0" w:color="auto"/>
              <w:right w:val="none" w:sz="0" w:space="0" w:color="auto"/>
            </w:tcBorders>
          </w:tcPr>
          <w:p w:rsidR="001C6595" w:rsidRDefault="001C6595" w:rsidP="00CE1AFB">
            <w:pPr>
              <w:jc w:val="center"/>
              <w:cnfStyle w:val="000000100000" w:firstRow="0" w:lastRow="0" w:firstColumn="0" w:lastColumn="0" w:oddVBand="0" w:evenVBand="0" w:oddHBand="1" w:evenHBand="0" w:firstRowFirstColumn="0" w:firstRowLastColumn="0" w:lastRowFirstColumn="0" w:lastRowLastColumn="0"/>
            </w:pPr>
            <w:r>
              <w:t>9</w:t>
            </w:r>
          </w:p>
        </w:tc>
        <w:tc>
          <w:tcPr>
            <w:tcW w:w="998" w:type="dxa"/>
            <w:tcBorders>
              <w:left w:val="none" w:sz="0" w:space="0" w:color="auto"/>
            </w:tcBorders>
          </w:tcPr>
          <w:p w:rsidR="001C6595" w:rsidRDefault="001C6595" w:rsidP="00CE1AFB">
            <w:pPr>
              <w:jc w:val="center"/>
              <w:cnfStyle w:val="000000100000" w:firstRow="0" w:lastRow="0" w:firstColumn="0" w:lastColumn="0" w:oddVBand="0" w:evenVBand="0" w:oddHBand="1" w:evenHBand="0" w:firstRowFirstColumn="0" w:firstRowLastColumn="0" w:lastRowFirstColumn="0" w:lastRowLastColumn="0"/>
            </w:pPr>
            <w:r>
              <w:t>0</w:t>
            </w:r>
          </w:p>
        </w:tc>
      </w:tr>
    </w:tbl>
    <w:p w:rsidR="000A7F5F" w:rsidRPr="00440792" w:rsidRDefault="000A7F5F" w:rsidP="000A7F5F">
      <w:pPr>
        <w:spacing w:after="120"/>
        <w:rPr>
          <w:b/>
          <w:sz w:val="20"/>
        </w:rPr>
      </w:pPr>
      <w:r w:rsidRPr="00440792">
        <w:rPr>
          <w:sz w:val="20"/>
        </w:rPr>
        <w:t xml:space="preserve">* Referrals counted during SFY during which they were created. All referrals are only counted once in </w:t>
      </w:r>
      <w:r w:rsidR="00284DBF" w:rsidRPr="00440792">
        <w:rPr>
          <w:sz w:val="20"/>
        </w:rPr>
        <w:t>Table</w:t>
      </w:r>
      <w:r w:rsidRPr="00440792">
        <w:rPr>
          <w:sz w:val="20"/>
        </w:rPr>
        <w:t>.</w:t>
      </w:r>
    </w:p>
    <w:p w:rsidR="00551689" w:rsidRPr="00440792" w:rsidRDefault="00551689">
      <w:pPr>
        <w:rPr>
          <w:rFonts w:asciiTheme="majorHAnsi" w:eastAsiaTheme="majorEastAsia" w:hAnsiTheme="majorHAnsi" w:cstheme="majorBidi"/>
          <w:color w:val="2E74B5" w:themeColor="accent1" w:themeShade="BF"/>
          <w:sz w:val="32"/>
          <w:szCs w:val="32"/>
        </w:rPr>
      </w:pPr>
      <w:r w:rsidRPr="00440792">
        <w:br w:type="page"/>
      </w:r>
    </w:p>
    <w:p w:rsidR="00551689" w:rsidRPr="00440792" w:rsidRDefault="00551689" w:rsidP="00551689">
      <w:pPr>
        <w:pStyle w:val="Heading1"/>
      </w:pPr>
      <w:bookmarkStart w:id="3" w:name="_Toc43887873"/>
      <w:r w:rsidRPr="00440792">
        <w:t>Evaluation Team</w:t>
      </w:r>
      <w:bookmarkEnd w:id="3"/>
    </w:p>
    <w:p w:rsidR="00023CD7" w:rsidRDefault="00023CD7" w:rsidP="00023CD7">
      <w:pPr>
        <w:rPr>
          <w:rFonts w:cstheme="minorHAnsi"/>
        </w:rPr>
      </w:pPr>
      <w:r>
        <w:rPr>
          <w:rFonts w:cstheme="minorHAnsi"/>
        </w:rPr>
        <w:t xml:space="preserve">On </w:t>
      </w:r>
      <w:r w:rsidRPr="00861ED9">
        <w:rPr>
          <w:rFonts w:cstheme="minorHAnsi"/>
        </w:rPr>
        <w:t>August 20, 2018</w:t>
      </w:r>
      <w:r>
        <w:rPr>
          <w:rFonts w:cstheme="minorHAnsi"/>
        </w:rPr>
        <w:t>, the Principal Investigator (PI), James A Hall, Ph.D. passed away.  Barbara Pierce, Ph.D. has stepped into the PI role</w:t>
      </w:r>
      <w:r w:rsidRPr="00861ED9">
        <w:rPr>
          <w:rFonts w:cstheme="minorHAnsi"/>
        </w:rPr>
        <w:t xml:space="preserve">. </w:t>
      </w:r>
    </w:p>
    <w:p w:rsidR="00023CD7" w:rsidRPr="0027731D" w:rsidRDefault="00023CD7" w:rsidP="00023CD7">
      <w:pPr>
        <w:rPr>
          <w:rFonts w:cstheme="minorHAnsi"/>
        </w:rPr>
      </w:pPr>
      <w:r w:rsidRPr="0027731D">
        <w:rPr>
          <w:rFonts w:cstheme="minorHAnsi"/>
        </w:rPr>
        <w:t>An Evaluation Team from the Indiana University School of Social Work and School of Medicine is conducting the evaluation of the Waiver. The Evaluation Team consists of:</w:t>
      </w:r>
    </w:p>
    <w:p w:rsidR="00023CD7" w:rsidRPr="0027731D" w:rsidRDefault="00023CD7" w:rsidP="00023CD7">
      <w:pPr>
        <w:rPr>
          <w:rFonts w:cstheme="minorHAnsi"/>
        </w:rPr>
      </w:pPr>
    </w:p>
    <w:p w:rsidR="00023CD7" w:rsidRPr="0027731D" w:rsidRDefault="00023CD7" w:rsidP="0032600F">
      <w:pPr>
        <w:numPr>
          <w:ilvl w:val="0"/>
          <w:numId w:val="20"/>
        </w:numPr>
        <w:ind w:left="720"/>
        <w:rPr>
          <w:rFonts w:cstheme="minorHAnsi"/>
        </w:rPr>
      </w:pPr>
      <w:r w:rsidRPr="0027731D">
        <w:rPr>
          <w:rFonts w:cstheme="minorHAnsi"/>
        </w:rPr>
        <w:t xml:space="preserve">Principal Investigator: </w:t>
      </w:r>
      <w:r>
        <w:rPr>
          <w:rFonts w:cstheme="minorHAnsi"/>
        </w:rPr>
        <w:t>Barbara J. Pierce,</w:t>
      </w:r>
      <w:r w:rsidRPr="0027731D">
        <w:rPr>
          <w:rFonts w:cstheme="minorHAnsi"/>
        </w:rPr>
        <w:t xml:space="preserve"> </w:t>
      </w:r>
      <w:r>
        <w:rPr>
          <w:rFonts w:cstheme="minorHAnsi"/>
        </w:rPr>
        <w:t xml:space="preserve">Ph.D., Associate </w:t>
      </w:r>
      <w:r w:rsidRPr="0027731D">
        <w:rPr>
          <w:rFonts w:cstheme="minorHAnsi"/>
        </w:rPr>
        <w:t xml:space="preserve">Professor </w:t>
      </w:r>
      <w:r>
        <w:rPr>
          <w:rFonts w:cstheme="minorHAnsi"/>
        </w:rPr>
        <w:t>in the School of Social Work, Robert Wood Johnson Clinical Scholar Fellow.</w:t>
      </w:r>
    </w:p>
    <w:p w:rsidR="00023CD7" w:rsidRPr="0027731D" w:rsidRDefault="00023CD7" w:rsidP="0032600F">
      <w:pPr>
        <w:numPr>
          <w:ilvl w:val="0"/>
          <w:numId w:val="20"/>
        </w:numPr>
        <w:ind w:left="720"/>
        <w:rPr>
          <w:rFonts w:cs="Times New Roman"/>
        </w:rPr>
      </w:pPr>
      <w:r w:rsidRPr="0027731D">
        <w:rPr>
          <w:rFonts w:cs="Times New Roman"/>
        </w:rPr>
        <w:t xml:space="preserve">Project Manager: Teresa (Tracy) </w:t>
      </w:r>
      <w:r w:rsidR="0043294E">
        <w:rPr>
          <w:rFonts w:cs="Times New Roman"/>
        </w:rPr>
        <w:t xml:space="preserve">M. </w:t>
      </w:r>
      <w:r w:rsidRPr="0027731D">
        <w:rPr>
          <w:rFonts w:cs="Times New Roman"/>
        </w:rPr>
        <w:t>Imburgia, MPH, Certified Clinical Research Professional (CCRP).</w:t>
      </w:r>
    </w:p>
    <w:p w:rsidR="00023CD7" w:rsidRPr="0027731D" w:rsidRDefault="00023CD7" w:rsidP="0032600F">
      <w:pPr>
        <w:numPr>
          <w:ilvl w:val="0"/>
          <w:numId w:val="20"/>
        </w:numPr>
        <w:ind w:left="720"/>
        <w:rPr>
          <w:rFonts w:cs="Times New Roman"/>
        </w:rPr>
      </w:pPr>
      <w:r w:rsidRPr="0027731D">
        <w:rPr>
          <w:rFonts w:cs="Times New Roman"/>
        </w:rPr>
        <w:t>Data Manager: Pediatrics IT Services</w:t>
      </w:r>
    </w:p>
    <w:p w:rsidR="00023CD7" w:rsidRDefault="00023CD7" w:rsidP="00D12CDD">
      <w:pPr>
        <w:numPr>
          <w:ilvl w:val="0"/>
          <w:numId w:val="20"/>
        </w:numPr>
        <w:ind w:left="720"/>
        <w:rPr>
          <w:rFonts w:cs="Times New Roman"/>
        </w:rPr>
      </w:pPr>
      <w:r w:rsidRPr="001E0F07">
        <w:rPr>
          <w:rFonts w:cs="Times New Roman"/>
        </w:rPr>
        <w:t xml:space="preserve">Statistician:  Devon </w:t>
      </w:r>
      <w:r w:rsidR="0043294E">
        <w:rPr>
          <w:rFonts w:cs="Times New Roman"/>
        </w:rPr>
        <w:t xml:space="preserve">J. </w:t>
      </w:r>
      <w:r w:rsidRPr="001E0F07">
        <w:rPr>
          <w:rFonts w:cs="Times New Roman"/>
        </w:rPr>
        <w:t>Hensel, Ph.D.</w:t>
      </w:r>
      <w:r w:rsidR="00D12CDD">
        <w:rPr>
          <w:rFonts w:cs="Times New Roman"/>
        </w:rPr>
        <w:t xml:space="preserve">,  </w:t>
      </w:r>
      <w:r w:rsidR="00D12CDD" w:rsidRPr="00D12CDD">
        <w:rPr>
          <w:rFonts w:cs="Times New Roman"/>
        </w:rPr>
        <w:t>Associate Research Professor of Pediatrics</w:t>
      </w:r>
      <w:r w:rsidR="00D12CDD">
        <w:rPr>
          <w:rFonts w:cs="Times New Roman"/>
        </w:rPr>
        <w:t xml:space="preserve"> and Sociology</w:t>
      </w:r>
    </w:p>
    <w:p w:rsidR="00023CD7" w:rsidRPr="00B541BB" w:rsidRDefault="00023CD7" w:rsidP="0032600F">
      <w:pPr>
        <w:numPr>
          <w:ilvl w:val="0"/>
          <w:numId w:val="20"/>
        </w:numPr>
        <w:ind w:left="720"/>
        <w:rPr>
          <w:rFonts w:cstheme="minorHAnsi"/>
        </w:rPr>
      </w:pPr>
      <w:r w:rsidRPr="001E0F07">
        <w:rPr>
          <w:rFonts w:cs="Times New Roman"/>
        </w:rPr>
        <w:t xml:space="preserve">Research Assistants: </w:t>
      </w:r>
    </w:p>
    <w:p w:rsidR="00023CD7" w:rsidRPr="00B541BB" w:rsidRDefault="00023CD7" w:rsidP="0032600F">
      <w:pPr>
        <w:numPr>
          <w:ilvl w:val="1"/>
          <w:numId w:val="20"/>
        </w:numPr>
        <w:rPr>
          <w:rFonts w:cstheme="minorHAnsi"/>
        </w:rPr>
      </w:pPr>
      <w:r w:rsidRPr="001E0F07">
        <w:rPr>
          <w:rFonts w:cs="Times New Roman"/>
        </w:rPr>
        <w:t xml:space="preserve">Jangmin Kim, Ph.D, </w:t>
      </w:r>
      <w:r>
        <w:rPr>
          <w:rFonts w:cs="Times New Roman"/>
        </w:rPr>
        <w:t>former IU doctoral student now Assistant Professor, Texas State University</w:t>
      </w:r>
    </w:p>
    <w:p w:rsidR="00023CD7" w:rsidRPr="00B541BB" w:rsidRDefault="00023CD7" w:rsidP="0032600F">
      <w:pPr>
        <w:numPr>
          <w:ilvl w:val="1"/>
          <w:numId w:val="20"/>
        </w:numPr>
        <w:rPr>
          <w:rFonts w:cstheme="minorHAnsi"/>
        </w:rPr>
      </w:pPr>
      <w:r>
        <w:rPr>
          <w:rFonts w:cs="Times New Roman"/>
        </w:rPr>
        <w:t>Eprise Armstrong-</w:t>
      </w:r>
      <w:r w:rsidRPr="001E0F07">
        <w:rPr>
          <w:rFonts w:cs="Times New Roman"/>
        </w:rPr>
        <w:t>Richardson, M.S.W.</w:t>
      </w:r>
      <w:r>
        <w:rPr>
          <w:rFonts w:cs="Times New Roman"/>
        </w:rPr>
        <w:t>, Ph.D. candidate</w:t>
      </w:r>
      <w:r w:rsidRPr="001E0F07">
        <w:rPr>
          <w:rFonts w:cs="Times New Roman"/>
        </w:rPr>
        <w:t xml:space="preserve">, </w:t>
      </w:r>
      <w:r>
        <w:rPr>
          <w:rFonts w:cs="Times New Roman"/>
        </w:rPr>
        <w:t>IU Presidential Scholar</w:t>
      </w:r>
    </w:p>
    <w:p w:rsidR="00023CD7" w:rsidRPr="00B050EB" w:rsidRDefault="00023CD7" w:rsidP="0032600F">
      <w:pPr>
        <w:numPr>
          <w:ilvl w:val="1"/>
          <w:numId w:val="20"/>
        </w:numPr>
        <w:rPr>
          <w:rFonts w:eastAsia="Times New Roman" w:cs="Times New Roman"/>
        </w:rPr>
      </w:pPr>
      <w:r w:rsidRPr="001E0F07">
        <w:rPr>
          <w:rFonts w:cs="Times New Roman"/>
        </w:rPr>
        <w:t>Kori R. Bloomquist, Ph.D.</w:t>
      </w:r>
      <w:r>
        <w:rPr>
          <w:rFonts w:cs="Times New Roman"/>
        </w:rPr>
        <w:t xml:space="preserve">, former IU doctoral student now Assistant Professor, Winthrop University, </w:t>
      </w:r>
    </w:p>
    <w:p w:rsidR="00023CD7" w:rsidRDefault="00023CD7" w:rsidP="0032600F">
      <w:pPr>
        <w:numPr>
          <w:ilvl w:val="1"/>
          <w:numId w:val="20"/>
        </w:numPr>
        <w:rPr>
          <w:rFonts w:cstheme="minorHAnsi"/>
        </w:rPr>
      </w:pPr>
      <w:r>
        <w:rPr>
          <w:rFonts w:cs="Times New Roman"/>
        </w:rPr>
        <w:t xml:space="preserve">Drew </w:t>
      </w:r>
      <w:r w:rsidR="00176804">
        <w:rPr>
          <w:rFonts w:cs="Times New Roman"/>
        </w:rPr>
        <w:t>Winters, Ph.D., M.S. W.</w:t>
      </w:r>
    </w:p>
    <w:p w:rsidR="00023CD7" w:rsidRPr="00450166" w:rsidRDefault="00023CD7" w:rsidP="0032600F">
      <w:pPr>
        <w:numPr>
          <w:ilvl w:val="1"/>
          <w:numId w:val="20"/>
        </w:numPr>
        <w:rPr>
          <w:rFonts w:cstheme="minorHAnsi"/>
        </w:rPr>
      </w:pPr>
      <w:r>
        <w:rPr>
          <w:rFonts w:cstheme="minorHAnsi"/>
        </w:rPr>
        <w:t>Finneran K. Muzzey, doctoral student, Michigan State University.</w:t>
      </w:r>
    </w:p>
    <w:p w:rsidR="002212B6" w:rsidRPr="00440792" w:rsidRDefault="002212B6" w:rsidP="002212B6">
      <w:pPr>
        <w:rPr>
          <w:rFonts w:cstheme="minorHAnsi"/>
        </w:rPr>
      </w:pPr>
    </w:p>
    <w:p w:rsidR="002212B6" w:rsidRPr="00440792" w:rsidRDefault="002212B6" w:rsidP="002212B6">
      <w:pPr>
        <w:rPr>
          <w:rFonts w:cstheme="minorHAnsi"/>
        </w:rPr>
      </w:pPr>
      <w:r w:rsidRPr="00440792">
        <w:rPr>
          <w:rFonts w:cstheme="minorHAnsi"/>
        </w:rPr>
        <w:t>In addition to the work provided for the evaluation terms and conditions, the Evaluation Team has been productive over the demonstration period with the following contributions to science as listed below.</w:t>
      </w:r>
    </w:p>
    <w:p w:rsidR="00551689" w:rsidRPr="00440792" w:rsidRDefault="00551689" w:rsidP="00551689">
      <w:pPr>
        <w:contextualSpacing/>
        <w:rPr>
          <w:rFonts w:ascii="Garamond" w:hAnsi="Garamond"/>
          <w:b/>
          <w:sz w:val="24"/>
          <w:szCs w:val="24"/>
        </w:rPr>
      </w:pPr>
    </w:p>
    <w:p w:rsidR="00551689" w:rsidRPr="00440792" w:rsidRDefault="00551689" w:rsidP="001350DC">
      <w:pPr>
        <w:pStyle w:val="Heading3"/>
      </w:pPr>
      <w:r w:rsidRPr="00440792">
        <w:t>Peer-reviewed Publications</w:t>
      </w:r>
    </w:p>
    <w:p w:rsidR="00023CD7" w:rsidRDefault="00023CD7" w:rsidP="0032600F">
      <w:pPr>
        <w:numPr>
          <w:ilvl w:val="0"/>
          <w:numId w:val="27"/>
        </w:numPr>
      </w:pPr>
      <w:r>
        <w:t>Kim, J., Trahan, M., Bellamy, J., &amp; Hall, J. A. (2019). Advancing the innovation of family meeting models: The role of teamwork and parent engagement in improving permanency. Children and Youth Services Review, 100, 147-155.</w:t>
      </w:r>
    </w:p>
    <w:p w:rsidR="00023CD7" w:rsidRDefault="00023CD7" w:rsidP="0032600F">
      <w:pPr>
        <w:numPr>
          <w:ilvl w:val="0"/>
          <w:numId w:val="27"/>
        </w:numPr>
      </w:pPr>
      <w:r>
        <w:t xml:space="preserve">Kim, J., Yi, E., Pierce, B., &amp; Hall, J. A. (2019). Effective workload management in child welfare: Understanding the relationship between caseload and workload. Social Policy &amp; Administration. DOI: https://doi.org/10.1111/spol.12499 </w:t>
      </w:r>
    </w:p>
    <w:p w:rsidR="00023CD7" w:rsidRDefault="00023CD7" w:rsidP="0032600F">
      <w:pPr>
        <w:numPr>
          <w:ilvl w:val="0"/>
          <w:numId w:val="27"/>
        </w:numPr>
      </w:pPr>
      <w:r>
        <w:t>Trahan, M., Kim, J., Bellamy, J., &amp; Hall, J. (2019). Parenting engagement in foster care placement stability and permanency. The Journal of the Society for Social Work and Research (In press).</w:t>
      </w:r>
    </w:p>
    <w:p w:rsidR="00023CD7" w:rsidRDefault="00023CD7" w:rsidP="0032600F">
      <w:pPr>
        <w:numPr>
          <w:ilvl w:val="0"/>
          <w:numId w:val="27"/>
        </w:numPr>
      </w:pPr>
      <w:r>
        <w:t>Bloomquist, K. R., Imburgia, T. M., Danh, M., Pierce, B., &amp; Hall, J. A. (2018). Studying process in a Title IV-E waiver evaluation project: Interviews with regional and executive managers. Journal of Public Child Welfare, 1-24.</w:t>
      </w:r>
    </w:p>
    <w:p w:rsidR="00023CD7" w:rsidRDefault="00023CD7" w:rsidP="0032600F">
      <w:pPr>
        <w:numPr>
          <w:ilvl w:val="0"/>
          <w:numId w:val="27"/>
        </w:numPr>
      </w:pPr>
      <w:r>
        <w:t>Kim, J., Imburgia, T. M., Armstrong‐Richardson, E., Jaggers, J. W., &amp; Hall, J. A. (2018). Effects of case characteristics on teamwork in family meetings. Child &amp; Family Social Work.</w:t>
      </w:r>
    </w:p>
    <w:p w:rsidR="00023CD7" w:rsidRDefault="00023CD7" w:rsidP="0032600F">
      <w:pPr>
        <w:numPr>
          <w:ilvl w:val="0"/>
          <w:numId w:val="27"/>
        </w:numPr>
      </w:pPr>
      <w:r>
        <w:t>Kim, J., Park T., Pierce B.J., Hall J.A. Interaction of Work Experience and Educational Background of Frontline Child Welfare Workers. (2018). Child Welfare Workers’ Perceptions of Supervisory Support: A Curvilinear Interaction of Work Experience and Educational Background, Human Service Organizations: Management, Leadership &amp; Governance. 42:3, 285-299, DOI: https://doi.org/10.1080/23303131.2017.1395775</w:t>
      </w:r>
    </w:p>
    <w:p w:rsidR="00023CD7" w:rsidRDefault="00023CD7" w:rsidP="0032600F">
      <w:pPr>
        <w:numPr>
          <w:ilvl w:val="0"/>
          <w:numId w:val="27"/>
        </w:numPr>
      </w:pPr>
      <w:r>
        <w:t>Jaggers, J. W., Richardson, E. A., &amp; Hall, J. A. (2018). Effect of Mental Health Treatment, Juvenile Justice Involvement, and Child Welfare Effectiveness on Severity of Mental Health Problems. Child Welfare, 96(3).</w:t>
      </w:r>
    </w:p>
    <w:p w:rsidR="00023CD7" w:rsidRDefault="00023CD7" w:rsidP="0032600F">
      <w:pPr>
        <w:numPr>
          <w:ilvl w:val="0"/>
          <w:numId w:val="27"/>
        </w:numPr>
      </w:pPr>
      <w:r>
        <w:t>Jaggers, J. W., Beerbower, E., Kondrat, D., Aalsma, M. C., &amp; Hall, J. A. (2018). Contextual Factors Influencing Recommendations for Service Provision by Guardian ad litem and Court-Appointed Special Advocates. Families in Society, 99(3), 244-255.</w:t>
      </w:r>
    </w:p>
    <w:p w:rsidR="00023CD7" w:rsidRDefault="00023CD7" w:rsidP="0032600F">
      <w:pPr>
        <w:numPr>
          <w:ilvl w:val="0"/>
          <w:numId w:val="27"/>
        </w:numPr>
      </w:pPr>
      <w:r>
        <w:t>Hall, J. A., Imburgia, T. M., Bloomquist, K. R., Kim, J., Pierce, B. J., Jaggers, J. W., Armstrong-Richardson, E., Danh, M., &amp; Hensel, D. J. (2017). Partnership for Multimethod Evaluation in Child Welfare: Title IV-E Waiver Demonstration Program. Child Welfare, 95(5).</w:t>
      </w:r>
    </w:p>
    <w:p w:rsidR="00023CD7" w:rsidRDefault="00023CD7" w:rsidP="0032600F">
      <w:pPr>
        <w:numPr>
          <w:ilvl w:val="0"/>
          <w:numId w:val="27"/>
        </w:numPr>
      </w:pPr>
      <w:r>
        <w:t>Pierce, B.J., Jaggers, J.W., Bloomquist K.R., Imburgia T.M., Danh, M., Hall, J.A. (2017). Utilization of concrete services in child welfare: A mixed-method analysis of a title IV-E Waiver demonstration program. Journal of Public Child Welfare. http://dx.doi.org/10.1080/15548732.2017.1377139</w:t>
      </w:r>
    </w:p>
    <w:p w:rsidR="00023CD7" w:rsidRDefault="00023CD7" w:rsidP="0032600F">
      <w:pPr>
        <w:numPr>
          <w:ilvl w:val="0"/>
          <w:numId w:val="27"/>
        </w:numPr>
      </w:pPr>
      <w:r>
        <w:t xml:space="preserve">Kim, J., Pierce, B. J., Jaggers, J., Imburgia, T., &amp; Hall, J. (2016). Improving child welfare services with family team meetings: A mixed methods analysis of caseworkers’ perceived challenges. Children and Youth Services Review 70 (2016): 261-268. http://dx.doi.org/10.1016/j.childyouth.2016.09.036 </w:t>
      </w:r>
    </w:p>
    <w:p w:rsidR="00023CD7" w:rsidRDefault="00023CD7" w:rsidP="0032600F">
      <w:pPr>
        <w:numPr>
          <w:ilvl w:val="0"/>
          <w:numId w:val="27"/>
        </w:numPr>
      </w:pPr>
      <w:r>
        <w:t>Jaggers, J.W.; Armstrong Richardson, E.; Aalsma, M.; Hall, J.A. (2015).  Resources, Race, &amp; Placement Frequency: An Analysis of Child Well-Being. Child Welfare, 94(6).</w:t>
      </w:r>
    </w:p>
    <w:p w:rsidR="00023CD7" w:rsidRDefault="00023CD7" w:rsidP="0032600F">
      <w:pPr>
        <w:numPr>
          <w:ilvl w:val="0"/>
          <w:numId w:val="27"/>
        </w:numPr>
      </w:pPr>
      <w:r>
        <w:t xml:space="preserve">Bloomquist, K.R., Imburgia, T.M., Danh, M., Pierce B.J., Hall, J.A. (2018) Studying process in a Title IV-E waiver evaluation project: Interviews with regional and executive managers. Journal of Public Child Welfare. https://doi.org/10.1080/15548732.2018.1473823 </w:t>
      </w:r>
    </w:p>
    <w:p w:rsidR="00023CD7" w:rsidRDefault="00023CD7" w:rsidP="00023CD7">
      <w:pPr>
        <w:ind w:left="770"/>
      </w:pPr>
    </w:p>
    <w:p w:rsidR="00551689" w:rsidRPr="00852EB6" w:rsidRDefault="00551689" w:rsidP="001350DC">
      <w:pPr>
        <w:pStyle w:val="Heading3"/>
        <w:rPr>
          <w:rFonts w:asciiTheme="minorHAnsi" w:hAnsiTheme="minorHAnsi"/>
        </w:rPr>
      </w:pPr>
      <w:r w:rsidRPr="00852EB6">
        <w:rPr>
          <w:rFonts w:asciiTheme="minorHAnsi" w:hAnsiTheme="minorHAnsi"/>
        </w:rPr>
        <w:t>Oral Presentations at National Conferences</w:t>
      </w:r>
    </w:p>
    <w:p w:rsidR="00F20CB6" w:rsidRPr="00852EB6" w:rsidRDefault="00F20CB6" w:rsidP="0032600F">
      <w:pPr>
        <w:pStyle w:val="ListParagraph"/>
        <w:numPr>
          <w:ilvl w:val="0"/>
          <w:numId w:val="35"/>
        </w:numPr>
        <w:rPr>
          <w:rFonts w:asciiTheme="minorHAnsi" w:hAnsiTheme="minorHAnsi"/>
          <w:sz w:val="22"/>
        </w:rPr>
      </w:pPr>
      <w:r w:rsidRPr="00852EB6">
        <w:rPr>
          <w:rFonts w:asciiTheme="minorHAnsi" w:hAnsiTheme="minorHAnsi"/>
          <w:sz w:val="22"/>
        </w:rPr>
        <w:t>Pierce BJ, Imburgia TM, Winters DE, Muzzey FK, Armstrong-Richardson E. Interventions of Indiana’s IV-E Waiver Demonstration. Oral symposium led by Pierce at the Society for Social Work and Research. Washington, DC in January, 2020.</w:t>
      </w:r>
    </w:p>
    <w:p w:rsidR="00F20CB6" w:rsidRPr="00852EB6" w:rsidRDefault="00F20CB6" w:rsidP="0032600F">
      <w:pPr>
        <w:pStyle w:val="ListParagraph"/>
        <w:numPr>
          <w:ilvl w:val="0"/>
          <w:numId w:val="35"/>
        </w:numPr>
        <w:rPr>
          <w:rFonts w:asciiTheme="minorHAnsi" w:hAnsiTheme="minorHAnsi"/>
          <w:sz w:val="22"/>
        </w:rPr>
      </w:pPr>
      <w:r w:rsidRPr="00852EB6">
        <w:rPr>
          <w:rFonts w:asciiTheme="minorHAnsi" w:hAnsiTheme="minorHAnsi"/>
          <w:sz w:val="22"/>
        </w:rPr>
        <w:t xml:space="preserve">Muzzey FK, Imburgia TM, Pierce BJ. Effectiveness of Family Centered Treatment Using Propensity Score Matching in the Indiana IV-E </w:t>
      </w:r>
      <w:r w:rsidR="00DC7A7D">
        <w:rPr>
          <w:rFonts w:asciiTheme="minorHAnsi" w:hAnsiTheme="minorHAnsi"/>
          <w:sz w:val="22"/>
        </w:rPr>
        <w:t>Waiver</w:t>
      </w:r>
      <w:r w:rsidRPr="00852EB6">
        <w:rPr>
          <w:rFonts w:asciiTheme="minorHAnsi" w:hAnsiTheme="minorHAnsi"/>
          <w:sz w:val="22"/>
        </w:rPr>
        <w:t xml:space="preserve"> Demonstration. Oral symposium presented by Muzzey at the Society for Social Work and Research. Washington, DC in January, 2020.</w:t>
      </w:r>
    </w:p>
    <w:p w:rsidR="00F20CB6" w:rsidRPr="00852EB6" w:rsidRDefault="00F20CB6" w:rsidP="0032600F">
      <w:pPr>
        <w:pStyle w:val="ListParagraph"/>
        <w:numPr>
          <w:ilvl w:val="0"/>
          <w:numId w:val="35"/>
        </w:numPr>
        <w:rPr>
          <w:rFonts w:asciiTheme="minorHAnsi" w:hAnsiTheme="minorHAnsi"/>
          <w:sz w:val="22"/>
        </w:rPr>
      </w:pPr>
      <w:r w:rsidRPr="00852EB6">
        <w:rPr>
          <w:rFonts w:asciiTheme="minorHAnsi" w:hAnsiTheme="minorHAnsi"/>
          <w:sz w:val="22"/>
        </w:rPr>
        <w:t xml:space="preserve">Imburgia TM, Armstrong-Richardson E, Winters DE, Pierce BJ. The Increase and Impact of Relative Placements on Safety, Permanency, and Well-Being during Indiana's IV-E </w:t>
      </w:r>
      <w:r w:rsidR="00DC7A7D">
        <w:rPr>
          <w:rFonts w:asciiTheme="minorHAnsi" w:hAnsiTheme="minorHAnsi"/>
          <w:sz w:val="22"/>
        </w:rPr>
        <w:t>Waiver</w:t>
      </w:r>
      <w:r w:rsidRPr="00852EB6">
        <w:rPr>
          <w:rFonts w:asciiTheme="minorHAnsi" w:hAnsiTheme="minorHAnsi"/>
          <w:sz w:val="22"/>
        </w:rPr>
        <w:t>. Oral symposium presented by Imburgia at the Society for Social Work and Research. Washington, DC in January, 2020.</w:t>
      </w:r>
    </w:p>
    <w:p w:rsidR="00F20CB6" w:rsidRPr="00852EB6" w:rsidRDefault="00F20CB6" w:rsidP="0032600F">
      <w:pPr>
        <w:pStyle w:val="ListParagraph"/>
        <w:numPr>
          <w:ilvl w:val="0"/>
          <w:numId w:val="35"/>
        </w:numPr>
        <w:rPr>
          <w:rFonts w:asciiTheme="minorHAnsi" w:hAnsiTheme="minorHAnsi"/>
          <w:sz w:val="22"/>
        </w:rPr>
      </w:pPr>
      <w:r w:rsidRPr="00852EB6">
        <w:rPr>
          <w:rFonts w:asciiTheme="minorHAnsi" w:hAnsiTheme="minorHAnsi"/>
          <w:sz w:val="22"/>
        </w:rPr>
        <w:t>Winters DE, Imburgia TM, Armstrong-Richardson E, Pierce BJ. Effects of Concrete Service Spending on Stability for Youth Receiving Child Welfare Services. Oral symposium presented by Winters at the Society for Social Work and Research. Washington, DC in January, 2020.</w:t>
      </w:r>
    </w:p>
    <w:p w:rsidR="004E4E27" w:rsidRDefault="004E4E27" w:rsidP="00852EB6">
      <w:pPr>
        <w:pStyle w:val="ListParagraph"/>
        <w:numPr>
          <w:ilvl w:val="0"/>
          <w:numId w:val="35"/>
        </w:numPr>
        <w:rPr>
          <w:rFonts w:asciiTheme="minorHAnsi" w:hAnsiTheme="minorHAnsi"/>
          <w:sz w:val="22"/>
          <w:szCs w:val="22"/>
        </w:rPr>
      </w:pPr>
      <w:r w:rsidRPr="00852EB6">
        <w:rPr>
          <w:rFonts w:asciiTheme="minorHAnsi" w:hAnsiTheme="minorHAnsi"/>
          <w:sz w:val="22"/>
          <w:szCs w:val="22"/>
        </w:rPr>
        <w:t>Kim J, Pierce BJ. Model</w:t>
      </w:r>
      <w:r>
        <w:rPr>
          <w:rFonts w:asciiTheme="minorHAnsi" w:hAnsiTheme="minorHAnsi"/>
          <w:sz w:val="22"/>
          <w:szCs w:val="22"/>
        </w:rPr>
        <w:t xml:space="preserve"> fidelity and child well-being in family team conference: The moderation effect of racial matching. Presented by Kim at the </w:t>
      </w:r>
      <w:r w:rsidRPr="004E4E27">
        <w:rPr>
          <w:rFonts w:asciiTheme="minorHAnsi" w:hAnsiTheme="minorHAnsi"/>
          <w:i/>
          <w:sz w:val="22"/>
          <w:szCs w:val="22"/>
        </w:rPr>
        <w:t xml:space="preserve">Society for Social Work </w:t>
      </w:r>
      <w:r>
        <w:rPr>
          <w:rFonts w:asciiTheme="minorHAnsi" w:hAnsiTheme="minorHAnsi"/>
          <w:i/>
          <w:sz w:val="22"/>
          <w:szCs w:val="22"/>
        </w:rPr>
        <w:t xml:space="preserve">and </w:t>
      </w:r>
      <w:r w:rsidRPr="004E4E27">
        <w:rPr>
          <w:rFonts w:asciiTheme="minorHAnsi" w:hAnsiTheme="minorHAnsi"/>
          <w:i/>
          <w:sz w:val="22"/>
          <w:szCs w:val="22"/>
        </w:rPr>
        <w:t>Research</w:t>
      </w:r>
      <w:r w:rsidRPr="00620ACE">
        <w:rPr>
          <w:rFonts w:asciiTheme="minorHAnsi" w:hAnsiTheme="minorHAnsi"/>
          <w:sz w:val="22"/>
          <w:szCs w:val="22"/>
        </w:rPr>
        <w:t>,</w:t>
      </w:r>
      <w:r>
        <w:rPr>
          <w:rFonts w:asciiTheme="minorHAnsi" w:hAnsiTheme="minorHAnsi"/>
          <w:sz w:val="22"/>
          <w:szCs w:val="22"/>
        </w:rPr>
        <w:t xml:space="preserve"> Washington, DC, January 2020.</w:t>
      </w:r>
    </w:p>
    <w:p w:rsidR="00620ACE" w:rsidRDefault="00620ACE" w:rsidP="00852EB6">
      <w:pPr>
        <w:pStyle w:val="ListParagraph"/>
        <w:numPr>
          <w:ilvl w:val="0"/>
          <w:numId w:val="35"/>
        </w:numPr>
        <w:rPr>
          <w:rFonts w:asciiTheme="minorHAnsi" w:hAnsiTheme="minorHAnsi"/>
          <w:sz w:val="22"/>
          <w:szCs w:val="22"/>
        </w:rPr>
      </w:pPr>
      <w:r w:rsidRPr="00620ACE">
        <w:rPr>
          <w:rFonts w:asciiTheme="minorHAnsi" w:hAnsiTheme="minorHAnsi"/>
          <w:sz w:val="22"/>
          <w:szCs w:val="22"/>
        </w:rPr>
        <w:t>Kim, J., Choi, M. J., &amp; Pierce, B. Does parent engagement enhance children’s well-being in Family Team Conference? Not a panacea for families with domestic violence. Poster presented at the 32nd Annual Research and Policy Conference on Child, Adolescent, and Young Adult Behavioral Health, Tampa, FL, March 2019.</w:t>
      </w:r>
    </w:p>
    <w:p w:rsidR="00620ACE" w:rsidRPr="00620ACE" w:rsidRDefault="00620ACE" w:rsidP="00852EB6">
      <w:pPr>
        <w:pStyle w:val="ListParagraph"/>
        <w:numPr>
          <w:ilvl w:val="0"/>
          <w:numId w:val="35"/>
        </w:numPr>
        <w:rPr>
          <w:rFonts w:asciiTheme="minorHAnsi" w:hAnsiTheme="minorHAnsi"/>
          <w:sz w:val="22"/>
          <w:szCs w:val="22"/>
        </w:rPr>
      </w:pPr>
      <w:r w:rsidRPr="00620ACE">
        <w:rPr>
          <w:rFonts w:asciiTheme="minorHAnsi" w:hAnsiTheme="minorHAnsi"/>
          <w:sz w:val="22"/>
          <w:szCs w:val="22"/>
        </w:rPr>
        <w:t>Trahan, M., Kim, J., Bellamy, J., &amp; Hall, J. Parenting engagement in foster care placement stability and permanency. Paper presented</w:t>
      </w:r>
      <w:r w:rsidR="004E4E27">
        <w:rPr>
          <w:rFonts w:asciiTheme="minorHAnsi" w:hAnsiTheme="minorHAnsi"/>
          <w:sz w:val="22"/>
          <w:szCs w:val="22"/>
        </w:rPr>
        <w:t xml:space="preserve"> my Trahan</w:t>
      </w:r>
      <w:r w:rsidRPr="00620ACE">
        <w:rPr>
          <w:rFonts w:asciiTheme="minorHAnsi" w:hAnsiTheme="minorHAnsi"/>
          <w:sz w:val="22"/>
          <w:szCs w:val="22"/>
        </w:rPr>
        <w:t xml:space="preserve"> at the </w:t>
      </w:r>
      <w:r w:rsidRPr="004E4E27">
        <w:rPr>
          <w:rFonts w:asciiTheme="minorHAnsi" w:hAnsiTheme="minorHAnsi"/>
          <w:i/>
          <w:sz w:val="22"/>
          <w:szCs w:val="22"/>
        </w:rPr>
        <w:t xml:space="preserve">Society for Social Work </w:t>
      </w:r>
      <w:r w:rsidR="004E4E27">
        <w:rPr>
          <w:rFonts w:asciiTheme="minorHAnsi" w:hAnsiTheme="minorHAnsi"/>
          <w:i/>
          <w:sz w:val="22"/>
          <w:szCs w:val="22"/>
        </w:rPr>
        <w:t xml:space="preserve">and </w:t>
      </w:r>
      <w:r w:rsidRPr="004E4E27">
        <w:rPr>
          <w:rFonts w:asciiTheme="minorHAnsi" w:hAnsiTheme="minorHAnsi"/>
          <w:i/>
          <w:sz w:val="22"/>
          <w:szCs w:val="22"/>
        </w:rPr>
        <w:t>Research</w:t>
      </w:r>
      <w:r w:rsidRPr="00620ACE">
        <w:rPr>
          <w:rFonts w:asciiTheme="minorHAnsi" w:hAnsiTheme="minorHAnsi"/>
          <w:sz w:val="22"/>
          <w:szCs w:val="22"/>
        </w:rPr>
        <w:t xml:space="preserve">, San Francisco, CA, January 2019 </w:t>
      </w:r>
    </w:p>
    <w:p w:rsidR="00551689" w:rsidRPr="00440792" w:rsidRDefault="00551689" w:rsidP="00852EB6">
      <w:pPr>
        <w:pStyle w:val="ListParagraph"/>
        <w:numPr>
          <w:ilvl w:val="0"/>
          <w:numId w:val="35"/>
        </w:numPr>
        <w:spacing w:after="0"/>
        <w:rPr>
          <w:rFonts w:asciiTheme="minorHAnsi" w:hAnsiTheme="minorHAnsi"/>
          <w:sz w:val="22"/>
          <w:szCs w:val="22"/>
        </w:rPr>
      </w:pPr>
      <w:r w:rsidRPr="00440792">
        <w:rPr>
          <w:rFonts w:asciiTheme="minorHAnsi" w:hAnsiTheme="minorHAnsi"/>
          <w:sz w:val="22"/>
          <w:szCs w:val="22"/>
        </w:rPr>
        <w:t xml:space="preserve">Yi, EH, Kim J, Jaggers JW, Pierce BJ, Hall JA. Evaluation of Service Quality in the Title IV-E </w:t>
      </w:r>
      <w:r w:rsidR="00A5038C">
        <w:rPr>
          <w:rFonts w:asciiTheme="minorHAnsi" w:hAnsiTheme="minorHAnsi"/>
          <w:sz w:val="22"/>
          <w:szCs w:val="22"/>
        </w:rPr>
        <w:t>Waiver</w:t>
      </w:r>
      <w:r w:rsidRPr="00440792">
        <w:rPr>
          <w:rFonts w:asciiTheme="minorHAnsi" w:hAnsiTheme="minorHAnsi"/>
          <w:sz w:val="22"/>
          <w:szCs w:val="22"/>
        </w:rPr>
        <w:t xml:space="preserve"> Demonstration Program in Indiana. Oral presentation presented by Yi at the </w:t>
      </w:r>
      <w:r w:rsidRPr="00440792">
        <w:rPr>
          <w:rFonts w:asciiTheme="minorHAnsi" w:hAnsiTheme="minorHAnsi"/>
          <w:i/>
          <w:sz w:val="22"/>
          <w:szCs w:val="22"/>
        </w:rPr>
        <w:t>63rd Annual Council on Social Work Education Annual Program Meeting</w:t>
      </w:r>
      <w:r w:rsidRPr="00440792">
        <w:rPr>
          <w:rFonts w:asciiTheme="minorHAnsi" w:hAnsiTheme="minorHAnsi"/>
          <w:sz w:val="22"/>
          <w:szCs w:val="22"/>
        </w:rPr>
        <w:t>. Dallas, TX, October 2017.</w:t>
      </w:r>
    </w:p>
    <w:p w:rsidR="00551689" w:rsidRPr="00440792" w:rsidRDefault="00551689" w:rsidP="00852EB6">
      <w:pPr>
        <w:pStyle w:val="ListParagraph"/>
        <w:numPr>
          <w:ilvl w:val="0"/>
          <w:numId w:val="35"/>
        </w:numPr>
        <w:spacing w:after="0"/>
        <w:rPr>
          <w:rFonts w:asciiTheme="minorHAnsi" w:hAnsiTheme="minorHAnsi"/>
          <w:sz w:val="22"/>
          <w:szCs w:val="22"/>
        </w:rPr>
      </w:pPr>
      <w:r w:rsidRPr="00440792">
        <w:rPr>
          <w:rFonts w:asciiTheme="minorHAnsi" w:hAnsiTheme="minorHAnsi"/>
          <w:sz w:val="22"/>
          <w:szCs w:val="22"/>
        </w:rPr>
        <w:t xml:space="preserve">Kim J, Park T, Pierce BJ, Hall JA. Supportive Supervision in Child Welfare: Interaction of Work Experience and Educational Background. Oral presentation presented by Kim at the </w:t>
      </w:r>
      <w:r w:rsidRPr="00440792">
        <w:rPr>
          <w:rFonts w:asciiTheme="minorHAnsi" w:hAnsiTheme="minorHAnsi"/>
          <w:i/>
          <w:sz w:val="22"/>
          <w:szCs w:val="22"/>
        </w:rPr>
        <w:t>63rd Annual Council on Social Work Education Annual Program Meeting</w:t>
      </w:r>
      <w:r w:rsidRPr="00440792">
        <w:rPr>
          <w:rFonts w:asciiTheme="minorHAnsi" w:hAnsiTheme="minorHAnsi"/>
          <w:sz w:val="22"/>
          <w:szCs w:val="22"/>
        </w:rPr>
        <w:t>. Dallas, TX, October 2017.</w:t>
      </w:r>
    </w:p>
    <w:p w:rsidR="00551689" w:rsidRPr="00440792" w:rsidRDefault="00551689" w:rsidP="00852EB6">
      <w:pPr>
        <w:pStyle w:val="ListParagraph"/>
        <w:numPr>
          <w:ilvl w:val="0"/>
          <w:numId w:val="35"/>
        </w:numPr>
        <w:spacing w:after="0"/>
        <w:rPr>
          <w:rFonts w:asciiTheme="minorHAnsi" w:hAnsiTheme="minorHAnsi"/>
          <w:sz w:val="22"/>
          <w:szCs w:val="22"/>
        </w:rPr>
      </w:pPr>
      <w:r w:rsidRPr="00440792">
        <w:rPr>
          <w:rFonts w:asciiTheme="minorHAnsi" w:hAnsiTheme="minorHAnsi"/>
          <w:sz w:val="22"/>
          <w:szCs w:val="22"/>
        </w:rPr>
        <w:t xml:space="preserve">Armstrong-Richardson E, Kim J, Imburgia TM, Jaggers JW, Hall JA. Relationship between Systems-Related Indicators and Connectivity among Transition Aged Youth in Foster Care. Oral platform presentation presented by Armstrong-Richardson at </w:t>
      </w:r>
      <w:r w:rsidRPr="00440792">
        <w:rPr>
          <w:rFonts w:asciiTheme="minorHAnsi" w:hAnsiTheme="minorHAnsi"/>
          <w:i/>
          <w:sz w:val="22"/>
          <w:szCs w:val="22"/>
        </w:rPr>
        <w:t>the Society for Adolescent Health and Medicine Annual Meeting,</w:t>
      </w:r>
      <w:r w:rsidRPr="00440792">
        <w:rPr>
          <w:rFonts w:asciiTheme="minorHAnsi" w:hAnsiTheme="minorHAnsi"/>
          <w:sz w:val="22"/>
          <w:szCs w:val="22"/>
        </w:rPr>
        <w:t xml:space="preserve"> New Orleans, March 2017. </w:t>
      </w:r>
    </w:p>
    <w:p w:rsidR="00551689" w:rsidRPr="00440792" w:rsidRDefault="00551689" w:rsidP="00852EB6">
      <w:pPr>
        <w:pStyle w:val="ListParagraph"/>
        <w:numPr>
          <w:ilvl w:val="0"/>
          <w:numId w:val="35"/>
        </w:numPr>
        <w:spacing w:after="0"/>
        <w:rPr>
          <w:rFonts w:asciiTheme="minorHAnsi" w:hAnsiTheme="minorHAnsi"/>
          <w:sz w:val="22"/>
          <w:szCs w:val="22"/>
        </w:rPr>
      </w:pPr>
      <w:r w:rsidRPr="00440792">
        <w:rPr>
          <w:rFonts w:asciiTheme="minorHAnsi" w:hAnsiTheme="minorHAnsi"/>
          <w:sz w:val="22"/>
          <w:szCs w:val="22"/>
        </w:rPr>
        <w:t xml:space="preserve">Hall JA, Imburgia TM, Kim J, Armstrong-Richardson E, Bloomquist KR, Pierce BJ.  Symposium: Multimethod Evaluation: Title IV-E </w:t>
      </w:r>
      <w:r w:rsidR="00A5038C">
        <w:rPr>
          <w:rFonts w:asciiTheme="minorHAnsi" w:hAnsiTheme="minorHAnsi"/>
          <w:sz w:val="22"/>
          <w:szCs w:val="22"/>
        </w:rPr>
        <w:t>Waiver</w:t>
      </w:r>
      <w:r w:rsidRPr="00440792">
        <w:rPr>
          <w:rFonts w:asciiTheme="minorHAnsi" w:hAnsiTheme="minorHAnsi"/>
          <w:sz w:val="22"/>
          <w:szCs w:val="22"/>
        </w:rPr>
        <w:t xml:space="preserve"> Demonstration Program. Symposium presented by Hall and Pierce at the </w:t>
      </w:r>
      <w:r w:rsidRPr="00440792">
        <w:rPr>
          <w:rFonts w:asciiTheme="minorHAnsi" w:hAnsiTheme="minorHAnsi"/>
          <w:i/>
          <w:sz w:val="22"/>
          <w:szCs w:val="22"/>
        </w:rPr>
        <w:t>Society for Social Work and Research</w:t>
      </w:r>
      <w:r w:rsidRPr="00440792">
        <w:rPr>
          <w:rFonts w:asciiTheme="minorHAnsi" w:hAnsiTheme="minorHAnsi"/>
          <w:sz w:val="22"/>
          <w:szCs w:val="22"/>
        </w:rPr>
        <w:t>, New Orleans, January 2017.</w:t>
      </w:r>
    </w:p>
    <w:p w:rsidR="00551689" w:rsidRPr="00440792" w:rsidRDefault="00551689" w:rsidP="00852EB6">
      <w:pPr>
        <w:pStyle w:val="ListParagraph"/>
        <w:numPr>
          <w:ilvl w:val="0"/>
          <w:numId w:val="35"/>
        </w:numPr>
        <w:spacing w:after="0"/>
        <w:rPr>
          <w:rFonts w:asciiTheme="minorHAnsi" w:hAnsiTheme="minorHAnsi"/>
          <w:sz w:val="22"/>
          <w:szCs w:val="22"/>
        </w:rPr>
      </w:pPr>
      <w:r w:rsidRPr="00440792">
        <w:rPr>
          <w:rFonts w:asciiTheme="minorHAnsi" w:hAnsiTheme="minorHAnsi"/>
          <w:sz w:val="22"/>
          <w:szCs w:val="22"/>
        </w:rPr>
        <w:t xml:space="preserve">Imburgia TM, Pierce BJ, Danh M, Bloomquist KR, Hall JA. Building Partnerships between Evaluators and Child Welfare Agencies through Continuous Quality Improvement and Instrument Development. Symposium presented by Kim at the </w:t>
      </w:r>
      <w:r w:rsidRPr="00440792">
        <w:rPr>
          <w:rFonts w:asciiTheme="minorHAnsi" w:hAnsiTheme="minorHAnsi"/>
          <w:i/>
          <w:sz w:val="22"/>
          <w:szCs w:val="22"/>
        </w:rPr>
        <w:t>Society for Social Work and Research</w:t>
      </w:r>
      <w:r w:rsidRPr="00440792">
        <w:rPr>
          <w:rFonts w:asciiTheme="minorHAnsi" w:hAnsiTheme="minorHAnsi"/>
          <w:sz w:val="22"/>
          <w:szCs w:val="22"/>
        </w:rPr>
        <w:t>, New Orleans, January 2017.</w:t>
      </w:r>
    </w:p>
    <w:p w:rsidR="00551689" w:rsidRPr="00440792" w:rsidRDefault="00551689" w:rsidP="00852EB6">
      <w:pPr>
        <w:pStyle w:val="ListParagraph"/>
        <w:numPr>
          <w:ilvl w:val="0"/>
          <w:numId w:val="35"/>
        </w:numPr>
        <w:spacing w:after="0"/>
        <w:rPr>
          <w:rFonts w:asciiTheme="minorHAnsi" w:hAnsiTheme="minorHAnsi"/>
          <w:sz w:val="22"/>
          <w:szCs w:val="22"/>
        </w:rPr>
      </w:pPr>
      <w:r w:rsidRPr="00440792">
        <w:rPr>
          <w:rFonts w:asciiTheme="minorHAnsi" w:hAnsiTheme="minorHAnsi"/>
          <w:sz w:val="22"/>
          <w:szCs w:val="22"/>
        </w:rPr>
        <w:t xml:space="preserve">Kim J and Armstrong-Richardson E. Improving the Quality of Teaming from Multiple Stakeholder Perspectives. Symposium presented by Imburgia at the </w:t>
      </w:r>
      <w:r w:rsidRPr="00440792">
        <w:rPr>
          <w:rFonts w:asciiTheme="minorHAnsi" w:hAnsiTheme="minorHAnsi"/>
          <w:i/>
          <w:sz w:val="22"/>
          <w:szCs w:val="22"/>
        </w:rPr>
        <w:t>Society for Social Work and Research</w:t>
      </w:r>
      <w:r w:rsidRPr="00440792">
        <w:rPr>
          <w:rFonts w:asciiTheme="minorHAnsi" w:hAnsiTheme="minorHAnsi"/>
          <w:sz w:val="22"/>
          <w:szCs w:val="22"/>
        </w:rPr>
        <w:t>, New Orleans, January 2017.</w:t>
      </w:r>
    </w:p>
    <w:p w:rsidR="00551689" w:rsidRPr="00440792" w:rsidRDefault="00551689" w:rsidP="00852EB6">
      <w:pPr>
        <w:pStyle w:val="ListParagraph"/>
        <w:numPr>
          <w:ilvl w:val="0"/>
          <w:numId w:val="35"/>
        </w:numPr>
        <w:spacing w:after="0"/>
        <w:rPr>
          <w:rFonts w:asciiTheme="minorHAnsi" w:hAnsiTheme="minorHAnsi"/>
          <w:sz w:val="22"/>
          <w:szCs w:val="22"/>
        </w:rPr>
      </w:pPr>
      <w:r w:rsidRPr="00440792">
        <w:rPr>
          <w:rFonts w:asciiTheme="minorHAnsi" w:hAnsiTheme="minorHAnsi"/>
          <w:sz w:val="22"/>
          <w:szCs w:val="22"/>
        </w:rPr>
        <w:t xml:space="preserve">Bloomquist KR and Imburgia TM. Exploring the Use and Impact of Concrete Services in Child Welfare Practice. Symposium presented by Bloomquist at the </w:t>
      </w:r>
      <w:r w:rsidRPr="00440792">
        <w:rPr>
          <w:rFonts w:asciiTheme="minorHAnsi" w:hAnsiTheme="minorHAnsi"/>
          <w:i/>
          <w:sz w:val="22"/>
          <w:szCs w:val="22"/>
        </w:rPr>
        <w:t>Society for Social Work and Research</w:t>
      </w:r>
      <w:r w:rsidRPr="00440792">
        <w:rPr>
          <w:rFonts w:asciiTheme="minorHAnsi" w:hAnsiTheme="minorHAnsi"/>
          <w:sz w:val="22"/>
          <w:szCs w:val="22"/>
        </w:rPr>
        <w:t>, New Orleans, January 2017.</w:t>
      </w:r>
    </w:p>
    <w:p w:rsidR="00551689" w:rsidRPr="00440792" w:rsidRDefault="00551689" w:rsidP="00852EB6">
      <w:pPr>
        <w:pStyle w:val="ListParagraph"/>
        <w:numPr>
          <w:ilvl w:val="0"/>
          <w:numId w:val="35"/>
        </w:numPr>
        <w:spacing w:after="0"/>
        <w:rPr>
          <w:rFonts w:asciiTheme="minorHAnsi" w:hAnsiTheme="minorHAnsi"/>
          <w:sz w:val="22"/>
          <w:szCs w:val="22"/>
        </w:rPr>
      </w:pPr>
      <w:r w:rsidRPr="00440792">
        <w:rPr>
          <w:rFonts w:asciiTheme="minorHAnsi" w:hAnsiTheme="minorHAnsi"/>
          <w:sz w:val="22"/>
          <w:szCs w:val="22"/>
        </w:rPr>
        <w:t xml:space="preserve">Bloomquist KR, Danh M, Imburgia TM, Pierce BJ, Hall JA, Jaggers J, Kim J. Using Qualitative Interviews in State-level Child Welfare Evaluation Research. </w:t>
      </w:r>
      <w:r w:rsidRPr="00440792">
        <w:rPr>
          <w:rFonts w:asciiTheme="minorHAnsi" w:hAnsiTheme="minorHAnsi"/>
          <w:noProof/>
          <w:sz w:val="22"/>
          <w:szCs w:val="22"/>
        </w:rPr>
        <w:t xml:space="preserve">Oral platform presented by Bloomquist </w:t>
      </w:r>
      <w:r w:rsidR="00F2190A" w:rsidRPr="00440792">
        <w:rPr>
          <w:rFonts w:asciiTheme="minorHAnsi" w:hAnsiTheme="minorHAnsi"/>
          <w:noProof/>
          <w:sz w:val="22"/>
          <w:szCs w:val="22"/>
        </w:rPr>
        <w:t xml:space="preserve">at the </w:t>
      </w:r>
      <w:r w:rsidRPr="00440792">
        <w:rPr>
          <w:rFonts w:asciiTheme="minorHAnsi" w:hAnsiTheme="minorHAnsi"/>
          <w:i/>
          <w:sz w:val="22"/>
          <w:szCs w:val="22"/>
        </w:rPr>
        <w:t>Annual meeting of the Tenth Annual Congress of Qualitative Inquiry</w:t>
      </w:r>
      <w:r w:rsidRPr="00440792">
        <w:rPr>
          <w:rFonts w:asciiTheme="minorHAnsi" w:hAnsiTheme="minorHAnsi"/>
          <w:sz w:val="22"/>
          <w:szCs w:val="22"/>
        </w:rPr>
        <w:t xml:space="preserve">, </w:t>
      </w:r>
      <w:r w:rsidRPr="00440792">
        <w:rPr>
          <w:rFonts w:asciiTheme="minorHAnsi" w:hAnsiTheme="minorHAnsi"/>
          <w:i/>
          <w:sz w:val="22"/>
          <w:szCs w:val="22"/>
        </w:rPr>
        <w:t>University of Illinois at Urbana-Champaign</w:t>
      </w:r>
      <w:r w:rsidRPr="00440792">
        <w:rPr>
          <w:rFonts w:asciiTheme="minorHAnsi" w:hAnsiTheme="minorHAnsi"/>
          <w:sz w:val="22"/>
          <w:szCs w:val="22"/>
        </w:rPr>
        <w:t>, Urbana, IL, May 2016</w:t>
      </w:r>
    </w:p>
    <w:p w:rsidR="00551689" w:rsidRPr="00440792" w:rsidRDefault="00551689" w:rsidP="00852EB6">
      <w:pPr>
        <w:pStyle w:val="ListParagraph"/>
        <w:numPr>
          <w:ilvl w:val="0"/>
          <w:numId w:val="35"/>
        </w:numPr>
        <w:spacing w:after="0"/>
        <w:rPr>
          <w:rFonts w:asciiTheme="minorHAnsi" w:hAnsiTheme="minorHAnsi"/>
          <w:sz w:val="22"/>
          <w:szCs w:val="22"/>
        </w:rPr>
      </w:pPr>
      <w:r w:rsidRPr="00440792">
        <w:rPr>
          <w:rFonts w:asciiTheme="minorHAnsi" w:hAnsiTheme="minorHAnsi"/>
          <w:sz w:val="22"/>
          <w:szCs w:val="22"/>
        </w:rPr>
        <w:t xml:space="preserve">Hall JA, Cummings T, Danh M, Bloomquist KR, Pierce BJ.  Symposium: Mixed Methods Evaluation: Title IV-E </w:t>
      </w:r>
      <w:r w:rsidR="00A5038C">
        <w:rPr>
          <w:rFonts w:asciiTheme="minorHAnsi" w:hAnsiTheme="minorHAnsi"/>
          <w:sz w:val="22"/>
          <w:szCs w:val="22"/>
        </w:rPr>
        <w:t>Waiver</w:t>
      </w:r>
      <w:r w:rsidRPr="00440792">
        <w:rPr>
          <w:rFonts w:asciiTheme="minorHAnsi" w:hAnsiTheme="minorHAnsi"/>
          <w:sz w:val="22"/>
          <w:szCs w:val="22"/>
        </w:rPr>
        <w:t xml:space="preserve"> Demonstration Program. </w:t>
      </w:r>
      <w:r w:rsidRPr="00440792">
        <w:rPr>
          <w:rFonts w:asciiTheme="minorHAnsi" w:hAnsiTheme="minorHAnsi"/>
          <w:noProof/>
          <w:sz w:val="22"/>
          <w:szCs w:val="22"/>
        </w:rPr>
        <w:t xml:space="preserve">Oral symposium presented by Hall at the </w:t>
      </w:r>
      <w:r w:rsidRPr="00440792">
        <w:rPr>
          <w:rFonts w:asciiTheme="minorHAnsi" w:hAnsiTheme="minorHAnsi"/>
          <w:i/>
          <w:sz w:val="22"/>
          <w:szCs w:val="22"/>
        </w:rPr>
        <w:t>Society for Social Work and Research</w:t>
      </w:r>
      <w:r w:rsidRPr="00440792">
        <w:rPr>
          <w:rFonts w:asciiTheme="minorHAnsi" w:hAnsiTheme="minorHAnsi"/>
          <w:sz w:val="22"/>
          <w:szCs w:val="22"/>
        </w:rPr>
        <w:t>. New Orleans, LA, January 2015.</w:t>
      </w:r>
      <w:r w:rsidRPr="00440792">
        <w:rPr>
          <w:rFonts w:asciiTheme="minorHAnsi" w:hAnsiTheme="minorHAnsi"/>
          <w:sz w:val="22"/>
          <w:szCs w:val="22"/>
        </w:rPr>
        <w:tab/>
      </w:r>
    </w:p>
    <w:p w:rsidR="00551689" w:rsidRPr="00440792" w:rsidRDefault="00551689" w:rsidP="00852EB6">
      <w:pPr>
        <w:pStyle w:val="ListParagraph"/>
        <w:numPr>
          <w:ilvl w:val="0"/>
          <w:numId w:val="35"/>
        </w:numPr>
        <w:spacing w:after="0"/>
        <w:rPr>
          <w:rFonts w:asciiTheme="minorHAnsi" w:hAnsiTheme="minorHAnsi"/>
          <w:sz w:val="22"/>
          <w:szCs w:val="22"/>
        </w:rPr>
      </w:pPr>
      <w:r w:rsidRPr="00440792">
        <w:rPr>
          <w:rFonts w:asciiTheme="minorHAnsi" w:hAnsiTheme="minorHAnsi"/>
          <w:sz w:val="22"/>
          <w:szCs w:val="22"/>
        </w:rPr>
        <w:t xml:space="preserve">Cummings T, Danh M, Bloomquist KR, Hensel D, Barton WH, Hall JA. Measuring child and adolescent well-being in the child welfare system. </w:t>
      </w:r>
      <w:r w:rsidRPr="00440792">
        <w:rPr>
          <w:rFonts w:asciiTheme="minorHAnsi" w:hAnsiTheme="minorHAnsi"/>
          <w:noProof/>
          <w:sz w:val="22"/>
          <w:szCs w:val="22"/>
        </w:rPr>
        <w:t xml:space="preserve">Oral symposium presented by Cummings at the </w:t>
      </w:r>
      <w:r w:rsidRPr="00440792">
        <w:rPr>
          <w:rFonts w:asciiTheme="minorHAnsi" w:hAnsiTheme="minorHAnsi"/>
          <w:i/>
          <w:sz w:val="22"/>
          <w:szCs w:val="22"/>
        </w:rPr>
        <w:t>Society for Social Work and Research</w:t>
      </w:r>
      <w:r w:rsidRPr="00440792">
        <w:rPr>
          <w:rFonts w:asciiTheme="minorHAnsi" w:hAnsiTheme="minorHAnsi"/>
          <w:sz w:val="22"/>
          <w:szCs w:val="22"/>
        </w:rPr>
        <w:t>. New Orleans, LA, January 2015.</w:t>
      </w:r>
    </w:p>
    <w:p w:rsidR="00551689" w:rsidRPr="00440792" w:rsidRDefault="00551689" w:rsidP="00852EB6">
      <w:pPr>
        <w:pStyle w:val="ListParagraph"/>
        <w:numPr>
          <w:ilvl w:val="0"/>
          <w:numId w:val="35"/>
        </w:numPr>
        <w:spacing w:after="0"/>
        <w:rPr>
          <w:rFonts w:asciiTheme="minorHAnsi" w:hAnsiTheme="minorHAnsi"/>
          <w:sz w:val="22"/>
          <w:szCs w:val="22"/>
        </w:rPr>
      </w:pPr>
      <w:r w:rsidRPr="00440792">
        <w:rPr>
          <w:rFonts w:asciiTheme="minorHAnsi" w:hAnsiTheme="minorHAnsi"/>
          <w:sz w:val="22"/>
          <w:szCs w:val="22"/>
        </w:rPr>
        <w:t xml:space="preserve">Danh M, Cummings T, Bloomquist KR, Hensel D, Barton WH, Hall JA. Family Case Manager Perceptions of Client Needs and System Services. </w:t>
      </w:r>
      <w:r w:rsidRPr="00440792">
        <w:rPr>
          <w:rFonts w:asciiTheme="minorHAnsi" w:hAnsiTheme="minorHAnsi"/>
          <w:noProof/>
          <w:sz w:val="22"/>
          <w:szCs w:val="22"/>
        </w:rPr>
        <w:t xml:space="preserve">Oral symposium presented by Danh at the </w:t>
      </w:r>
      <w:r w:rsidRPr="00440792">
        <w:rPr>
          <w:rFonts w:asciiTheme="minorHAnsi" w:hAnsiTheme="minorHAnsi"/>
          <w:i/>
          <w:sz w:val="22"/>
          <w:szCs w:val="22"/>
        </w:rPr>
        <w:t>Society for Social Work and Research</w:t>
      </w:r>
      <w:r w:rsidRPr="00440792">
        <w:rPr>
          <w:rFonts w:asciiTheme="minorHAnsi" w:hAnsiTheme="minorHAnsi"/>
          <w:sz w:val="22"/>
          <w:szCs w:val="22"/>
        </w:rPr>
        <w:t>. New Orleans, LA, January 2015.</w:t>
      </w:r>
    </w:p>
    <w:p w:rsidR="00551689" w:rsidRPr="00440792" w:rsidRDefault="00551689" w:rsidP="00852EB6">
      <w:pPr>
        <w:pStyle w:val="ListParagraph"/>
        <w:numPr>
          <w:ilvl w:val="0"/>
          <w:numId w:val="35"/>
        </w:numPr>
        <w:spacing w:after="0"/>
        <w:rPr>
          <w:rFonts w:asciiTheme="minorHAnsi" w:hAnsiTheme="minorHAnsi"/>
          <w:sz w:val="22"/>
          <w:szCs w:val="22"/>
        </w:rPr>
      </w:pPr>
      <w:r w:rsidRPr="00440792">
        <w:rPr>
          <w:rFonts w:asciiTheme="minorHAnsi" w:hAnsiTheme="minorHAnsi"/>
          <w:sz w:val="22"/>
          <w:szCs w:val="22"/>
        </w:rPr>
        <w:t xml:space="preserve">Bloomquist KR, Cummings T, Danh M, Hensel D, Barton WH, Hall JA. Regional &amp; Executive Manager Interviews 2013 &amp; 2014. </w:t>
      </w:r>
      <w:r w:rsidRPr="00440792">
        <w:rPr>
          <w:rFonts w:asciiTheme="minorHAnsi" w:hAnsiTheme="minorHAnsi"/>
          <w:noProof/>
          <w:sz w:val="22"/>
          <w:szCs w:val="22"/>
        </w:rPr>
        <w:t xml:space="preserve">Oral symposium presented by Bloomquist at the </w:t>
      </w:r>
      <w:r w:rsidRPr="00440792">
        <w:rPr>
          <w:rFonts w:asciiTheme="minorHAnsi" w:hAnsiTheme="minorHAnsi"/>
          <w:i/>
          <w:sz w:val="22"/>
          <w:szCs w:val="22"/>
        </w:rPr>
        <w:t>Society for Social Work and Research</w:t>
      </w:r>
      <w:r w:rsidRPr="00440792">
        <w:rPr>
          <w:rFonts w:asciiTheme="minorHAnsi" w:hAnsiTheme="minorHAnsi"/>
          <w:sz w:val="22"/>
          <w:szCs w:val="22"/>
        </w:rPr>
        <w:t>. New Orleans, LA, January 2015.</w:t>
      </w:r>
    </w:p>
    <w:p w:rsidR="00551689" w:rsidRPr="00440792" w:rsidRDefault="00551689" w:rsidP="00852EB6">
      <w:pPr>
        <w:pStyle w:val="ListParagraph"/>
        <w:numPr>
          <w:ilvl w:val="0"/>
          <w:numId w:val="35"/>
        </w:numPr>
        <w:spacing w:after="0"/>
        <w:rPr>
          <w:rFonts w:asciiTheme="minorHAnsi" w:hAnsiTheme="minorHAnsi"/>
          <w:sz w:val="22"/>
          <w:szCs w:val="22"/>
        </w:rPr>
      </w:pPr>
      <w:r w:rsidRPr="00440792">
        <w:rPr>
          <w:rFonts w:asciiTheme="minorHAnsi" w:hAnsiTheme="minorHAnsi"/>
          <w:sz w:val="22"/>
          <w:szCs w:val="22"/>
        </w:rPr>
        <w:t xml:space="preserve">Bloomquist, K. R. (2014). “Communication, Communication, Communication”: Qualitative Analysis in Title IV-E Evaluation Research. Poster presented at the </w:t>
      </w:r>
      <w:r w:rsidRPr="00440792">
        <w:rPr>
          <w:rFonts w:asciiTheme="minorHAnsi" w:hAnsiTheme="minorHAnsi"/>
          <w:i/>
          <w:sz w:val="22"/>
          <w:szCs w:val="22"/>
        </w:rPr>
        <w:t>60th Annual Council on Social Work Education Annual Program Meeting</w:t>
      </w:r>
      <w:r w:rsidRPr="00440792">
        <w:rPr>
          <w:rFonts w:asciiTheme="minorHAnsi" w:hAnsiTheme="minorHAnsi"/>
          <w:sz w:val="22"/>
          <w:szCs w:val="22"/>
        </w:rPr>
        <w:t>. Tampa, FL, October 2014.</w:t>
      </w:r>
    </w:p>
    <w:p w:rsidR="00551689" w:rsidRPr="00440792" w:rsidRDefault="00551689" w:rsidP="00852EB6">
      <w:pPr>
        <w:pStyle w:val="ListParagraph"/>
        <w:numPr>
          <w:ilvl w:val="0"/>
          <w:numId w:val="35"/>
        </w:numPr>
        <w:spacing w:after="0"/>
        <w:rPr>
          <w:rFonts w:asciiTheme="minorHAnsi" w:hAnsiTheme="minorHAnsi"/>
          <w:sz w:val="22"/>
          <w:szCs w:val="22"/>
        </w:rPr>
      </w:pPr>
      <w:r w:rsidRPr="00440792">
        <w:rPr>
          <w:rFonts w:asciiTheme="minorHAnsi" w:hAnsiTheme="minorHAnsi"/>
          <w:sz w:val="22"/>
          <w:szCs w:val="22"/>
        </w:rPr>
        <w:t xml:space="preserve">Bloomquist KR, Danh M, Graham-Dotson Y, Cummings T, Barton WH, Hall JA, Turney, B. Case Study Analysis in Child Welfare Evaluation Research. </w:t>
      </w:r>
      <w:r w:rsidRPr="00440792">
        <w:rPr>
          <w:rFonts w:asciiTheme="minorHAnsi" w:hAnsiTheme="minorHAnsi"/>
          <w:noProof/>
          <w:sz w:val="22"/>
          <w:szCs w:val="22"/>
        </w:rPr>
        <w:t xml:space="preserve">Oral platform presented by Bloomquist </w:t>
      </w:r>
      <w:r w:rsidRPr="00440792">
        <w:rPr>
          <w:rFonts w:asciiTheme="minorHAnsi" w:hAnsiTheme="minorHAnsi"/>
          <w:sz w:val="22"/>
          <w:szCs w:val="22"/>
        </w:rPr>
        <w:t xml:space="preserve">Annual meeting of the </w:t>
      </w:r>
      <w:r w:rsidRPr="00440792">
        <w:rPr>
          <w:rFonts w:asciiTheme="minorHAnsi" w:hAnsiTheme="minorHAnsi"/>
          <w:i/>
          <w:sz w:val="22"/>
          <w:szCs w:val="22"/>
        </w:rPr>
        <w:t>Tenth Annual Congress of Qualitative Inquiry, University of Illinois at Urbana-Champaign</w:t>
      </w:r>
      <w:r w:rsidRPr="00440792">
        <w:rPr>
          <w:rFonts w:asciiTheme="minorHAnsi" w:hAnsiTheme="minorHAnsi"/>
          <w:sz w:val="22"/>
          <w:szCs w:val="22"/>
        </w:rPr>
        <w:t>, Urbana, IL, May 2014.</w:t>
      </w:r>
    </w:p>
    <w:p w:rsidR="00551689" w:rsidRPr="00440792" w:rsidRDefault="00551689" w:rsidP="00551689">
      <w:pPr>
        <w:ind w:left="-360" w:firstLine="360"/>
        <w:contextualSpacing/>
        <w:rPr>
          <w:b/>
        </w:rPr>
      </w:pPr>
    </w:p>
    <w:p w:rsidR="00551689" w:rsidRPr="00440792" w:rsidRDefault="00551689" w:rsidP="001350DC">
      <w:pPr>
        <w:pStyle w:val="Heading3"/>
      </w:pPr>
      <w:r w:rsidRPr="00440792">
        <w:t>Poster Presentations at National Conferences</w:t>
      </w:r>
    </w:p>
    <w:p w:rsidR="0023515A" w:rsidRDefault="0023515A" w:rsidP="0032600F">
      <w:pPr>
        <w:pStyle w:val="ListParagraph"/>
        <w:numPr>
          <w:ilvl w:val="0"/>
          <w:numId w:val="22"/>
        </w:numPr>
        <w:rPr>
          <w:rFonts w:asciiTheme="minorHAnsi" w:hAnsiTheme="minorHAnsi"/>
          <w:sz w:val="22"/>
          <w:szCs w:val="22"/>
        </w:rPr>
      </w:pPr>
      <w:r>
        <w:rPr>
          <w:rFonts w:asciiTheme="minorHAnsi" w:hAnsiTheme="minorHAnsi"/>
          <w:sz w:val="22"/>
          <w:szCs w:val="22"/>
        </w:rPr>
        <w:t xml:space="preserve">Bloomquist KR, Pierce BJ. </w:t>
      </w:r>
      <w:r w:rsidRPr="0023515A">
        <w:rPr>
          <w:rFonts w:asciiTheme="minorHAnsi" w:hAnsiTheme="minorHAnsi"/>
          <w:sz w:val="22"/>
          <w:szCs w:val="22"/>
        </w:rPr>
        <w:t>Transitions from the Title IV-E Waiver to Family First Prevention and Services Era: Regional Child Welfare Managers’ Perceptions and Experiences</w:t>
      </w:r>
      <w:r>
        <w:rPr>
          <w:rFonts w:asciiTheme="minorHAnsi" w:hAnsiTheme="minorHAnsi"/>
          <w:sz w:val="22"/>
          <w:szCs w:val="22"/>
        </w:rPr>
        <w:t xml:space="preserve">. </w:t>
      </w:r>
      <w:r w:rsidRPr="005D3540">
        <w:rPr>
          <w:rFonts w:asciiTheme="minorHAnsi" w:hAnsiTheme="minorHAnsi"/>
          <w:i/>
          <w:sz w:val="22"/>
          <w:szCs w:val="22"/>
        </w:rPr>
        <w:t>16th International Congress of Qualitative Inquiry</w:t>
      </w:r>
      <w:r>
        <w:rPr>
          <w:rFonts w:asciiTheme="minorHAnsi" w:hAnsiTheme="minorHAnsi"/>
          <w:sz w:val="22"/>
          <w:szCs w:val="22"/>
        </w:rPr>
        <w:t>. Urbana, IL, May 2020.</w:t>
      </w:r>
    </w:p>
    <w:p w:rsidR="00620ACE" w:rsidRDefault="00620ACE" w:rsidP="0032600F">
      <w:pPr>
        <w:pStyle w:val="ListParagraph"/>
        <w:numPr>
          <w:ilvl w:val="0"/>
          <w:numId w:val="22"/>
        </w:numPr>
        <w:rPr>
          <w:rFonts w:asciiTheme="minorHAnsi" w:hAnsiTheme="minorHAnsi"/>
          <w:sz w:val="22"/>
          <w:szCs w:val="22"/>
        </w:rPr>
      </w:pPr>
      <w:r>
        <w:rPr>
          <w:rFonts w:asciiTheme="minorHAnsi" w:hAnsiTheme="minorHAnsi"/>
          <w:sz w:val="22"/>
          <w:szCs w:val="22"/>
        </w:rPr>
        <w:t>Bloomquist KR, Pierce BJ</w:t>
      </w:r>
      <w:r>
        <w:t xml:space="preserve">. </w:t>
      </w:r>
      <w:r w:rsidRPr="00620ACE">
        <w:rPr>
          <w:rFonts w:asciiTheme="minorHAnsi" w:hAnsiTheme="minorHAnsi"/>
          <w:sz w:val="22"/>
          <w:szCs w:val="22"/>
        </w:rPr>
        <w:t>Child Welfare Workforce Climate &amp; Caseworker Professional Well-being</w:t>
      </w:r>
      <w:r>
        <w:rPr>
          <w:rFonts w:asciiTheme="minorHAnsi" w:hAnsiTheme="minorHAnsi"/>
          <w:sz w:val="22"/>
          <w:szCs w:val="22"/>
        </w:rPr>
        <w:t>.</w:t>
      </w:r>
      <w:r w:rsidRPr="00620ACE">
        <w:t xml:space="preserve"> </w:t>
      </w:r>
      <w:r w:rsidRPr="005D3540">
        <w:rPr>
          <w:rFonts w:asciiTheme="minorHAnsi" w:hAnsiTheme="minorHAnsi"/>
          <w:i/>
          <w:sz w:val="22"/>
          <w:szCs w:val="22"/>
        </w:rPr>
        <w:t>35th annual International Society for Traumatic Stress Studies</w:t>
      </w:r>
      <w:r w:rsidR="0023515A">
        <w:rPr>
          <w:rFonts w:asciiTheme="minorHAnsi" w:hAnsiTheme="minorHAnsi"/>
          <w:sz w:val="22"/>
          <w:szCs w:val="22"/>
        </w:rPr>
        <w:t>.</w:t>
      </w:r>
      <w:r>
        <w:rPr>
          <w:rFonts w:asciiTheme="minorHAnsi" w:hAnsiTheme="minorHAnsi"/>
          <w:sz w:val="22"/>
          <w:szCs w:val="22"/>
        </w:rPr>
        <w:t xml:space="preserve"> Boston, MA, November 2019.</w:t>
      </w:r>
    </w:p>
    <w:p w:rsidR="00620ACE" w:rsidRPr="00620ACE" w:rsidRDefault="00620ACE" w:rsidP="0032600F">
      <w:pPr>
        <w:pStyle w:val="ListParagraph"/>
        <w:numPr>
          <w:ilvl w:val="0"/>
          <w:numId w:val="22"/>
        </w:numPr>
        <w:rPr>
          <w:rFonts w:asciiTheme="minorHAnsi" w:hAnsiTheme="minorHAnsi"/>
          <w:sz w:val="22"/>
          <w:szCs w:val="22"/>
        </w:rPr>
      </w:pPr>
      <w:r w:rsidRPr="00620ACE">
        <w:rPr>
          <w:rFonts w:asciiTheme="minorHAnsi" w:hAnsiTheme="minorHAnsi"/>
          <w:sz w:val="22"/>
          <w:szCs w:val="22"/>
        </w:rPr>
        <w:t xml:space="preserve">Muzzey FK, Imburgia TM, Pierce BJ. Effectiveness of Family Centered Treatment Using Propensity Score Matching in a Child Welfare Setting. </w:t>
      </w:r>
      <w:r w:rsidRPr="0023515A">
        <w:rPr>
          <w:rFonts w:asciiTheme="minorHAnsi" w:hAnsiTheme="minorHAnsi"/>
          <w:i/>
          <w:sz w:val="22"/>
          <w:szCs w:val="22"/>
        </w:rPr>
        <w:t>National Child Welfare Evaluation Summit</w:t>
      </w:r>
      <w:r w:rsidRPr="00620ACE">
        <w:rPr>
          <w:rFonts w:asciiTheme="minorHAnsi" w:hAnsiTheme="minorHAnsi"/>
          <w:sz w:val="22"/>
          <w:szCs w:val="22"/>
        </w:rPr>
        <w:t>. Washington, DC, August 2019.</w:t>
      </w:r>
    </w:p>
    <w:p w:rsidR="00620ACE" w:rsidRPr="00620ACE" w:rsidRDefault="00620ACE" w:rsidP="0032600F">
      <w:pPr>
        <w:pStyle w:val="ListParagraph"/>
        <w:numPr>
          <w:ilvl w:val="0"/>
          <w:numId w:val="22"/>
        </w:numPr>
        <w:rPr>
          <w:rFonts w:asciiTheme="minorHAnsi" w:hAnsiTheme="minorHAnsi"/>
          <w:sz w:val="22"/>
          <w:szCs w:val="22"/>
        </w:rPr>
      </w:pPr>
      <w:r w:rsidRPr="00620ACE">
        <w:rPr>
          <w:rFonts w:asciiTheme="minorHAnsi" w:hAnsiTheme="minorHAnsi"/>
          <w:sz w:val="22"/>
          <w:szCs w:val="22"/>
        </w:rPr>
        <w:t>Imburgia TM, Armstrong-Richardson E, Hensel DJ, Hall JA. Placement decisions impact on youth well-being in the foster care setting. Poster presentation at the Society for Adolescent Health and Medicine Annual Meeting, Washington, DC, March 2019.</w:t>
      </w:r>
    </w:p>
    <w:p w:rsidR="002212B6" w:rsidRPr="00440792" w:rsidRDefault="00551689" w:rsidP="0032600F">
      <w:pPr>
        <w:pStyle w:val="ListParagraph"/>
        <w:numPr>
          <w:ilvl w:val="0"/>
          <w:numId w:val="22"/>
        </w:numPr>
        <w:spacing w:after="0"/>
        <w:rPr>
          <w:rFonts w:asciiTheme="minorHAnsi" w:hAnsiTheme="minorHAnsi"/>
          <w:sz w:val="22"/>
          <w:szCs w:val="22"/>
        </w:rPr>
      </w:pPr>
      <w:r w:rsidRPr="00440792">
        <w:rPr>
          <w:rFonts w:asciiTheme="minorHAnsi" w:hAnsiTheme="minorHAnsi"/>
          <w:sz w:val="22"/>
          <w:szCs w:val="22"/>
        </w:rPr>
        <w:t xml:space="preserve">Imburgia TM, Hensel DJ, Pierce BJ, Armstrong-Richardson E, Hall JA. Strategies to improve adolescents’ status in caregiver substance abuse cases in the child welfare system. </w:t>
      </w:r>
      <w:r w:rsidRPr="00440792">
        <w:rPr>
          <w:rFonts w:asciiTheme="minorHAnsi" w:hAnsiTheme="minorHAnsi"/>
          <w:i/>
          <w:sz w:val="22"/>
          <w:szCs w:val="22"/>
        </w:rPr>
        <w:t>Society for Adolescent Health and Medicine Annual Meeting</w:t>
      </w:r>
      <w:r w:rsidRPr="00440792">
        <w:rPr>
          <w:rFonts w:asciiTheme="minorHAnsi" w:hAnsiTheme="minorHAnsi"/>
          <w:sz w:val="22"/>
          <w:szCs w:val="22"/>
        </w:rPr>
        <w:t xml:space="preserve">, Seattle, WA, March 2018. </w:t>
      </w:r>
    </w:p>
    <w:p w:rsidR="00551689" w:rsidRPr="00440792" w:rsidRDefault="00551689" w:rsidP="0032600F">
      <w:pPr>
        <w:pStyle w:val="ListParagraph"/>
        <w:numPr>
          <w:ilvl w:val="0"/>
          <w:numId w:val="22"/>
        </w:numPr>
        <w:spacing w:after="0"/>
        <w:rPr>
          <w:rFonts w:asciiTheme="minorHAnsi" w:hAnsiTheme="minorHAnsi"/>
          <w:sz w:val="22"/>
          <w:szCs w:val="22"/>
        </w:rPr>
      </w:pPr>
      <w:r w:rsidRPr="00440792">
        <w:rPr>
          <w:rFonts w:asciiTheme="minorHAnsi" w:hAnsiTheme="minorHAnsi"/>
          <w:sz w:val="22"/>
          <w:szCs w:val="22"/>
        </w:rPr>
        <w:t>Armstrong-Richardson E, Imburgia TM, Hall JA. Case Characteristics Influencing Difficulty Placing Child Welfare Children and Youth in Treatment Facilities</w:t>
      </w:r>
      <w:r w:rsidR="00F2190A" w:rsidRPr="00440792">
        <w:rPr>
          <w:rFonts w:asciiTheme="minorHAnsi" w:hAnsiTheme="minorHAnsi"/>
          <w:sz w:val="22"/>
          <w:szCs w:val="22"/>
        </w:rPr>
        <w:t>.</w:t>
      </w:r>
      <w:r w:rsidRPr="00440792">
        <w:rPr>
          <w:rFonts w:asciiTheme="minorHAnsi" w:hAnsiTheme="minorHAnsi"/>
          <w:sz w:val="22"/>
          <w:szCs w:val="22"/>
        </w:rPr>
        <w:t xml:space="preserve"> </w:t>
      </w:r>
      <w:r w:rsidRPr="00440792">
        <w:rPr>
          <w:rFonts w:asciiTheme="minorHAnsi" w:hAnsiTheme="minorHAnsi"/>
          <w:i/>
          <w:sz w:val="22"/>
          <w:szCs w:val="22"/>
        </w:rPr>
        <w:t>Society for Adolescent Health and Medicine Annual Me</w:t>
      </w:r>
      <w:r w:rsidR="002212B6" w:rsidRPr="00440792">
        <w:rPr>
          <w:rFonts w:asciiTheme="minorHAnsi" w:hAnsiTheme="minorHAnsi"/>
          <w:i/>
          <w:sz w:val="22"/>
          <w:szCs w:val="22"/>
        </w:rPr>
        <w:t>eting</w:t>
      </w:r>
      <w:r w:rsidR="002212B6" w:rsidRPr="00440792">
        <w:rPr>
          <w:rFonts w:asciiTheme="minorHAnsi" w:hAnsiTheme="minorHAnsi"/>
          <w:sz w:val="22"/>
          <w:szCs w:val="22"/>
        </w:rPr>
        <w:t>, Seattle, WA, March 2018.</w:t>
      </w:r>
    </w:p>
    <w:p w:rsidR="00551689" w:rsidRPr="00440792" w:rsidRDefault="00551689" w:rsidP="0032600F">
      <w:pPr>
        <w:pStyle w:val="ListParagraph"/>
        <w:numPr>
          <w:ilvl w:val="0"/>
          <w:numId w:val="22"/>
        </w:numPr>
        <w:spacing w:after="0"/>
        <w:rPr>
          <w:rFonts w:asciiTheme="minorHAnsi" w:hAnsiTheme="minorHAnsi"/>
          <w:sz w:val="22"/>
          <w:szCs w:val="22"/>
        </w:rPr>
      </w:pPr>
      <w:r w:rsidRPr="00440792">
        <w:rPr>
          <w:rFonts w:asciiTheme="minorHAnsi" w:hAnsiTheme="minorHAnsi"/>
          <w:sz w:val="22"/>
          <w:szCs w:val="22"/>
        </w:rPr>
        <w:t xml:space="preserve">Bloomquist KR, Pierce BJ. Qualitative evaluation: Justifications for concrete service usage in one IV-E </w:t>
      </w:r>
      <w:r w:rsidR="00A5038C">
        <w:rPr>
          <w:rFonts w:asciiTheme="minorHAnsi" w:hAnsiTheme="minorHAnsi"/>
          <w:sz w:val="22"/>
          <w:szCs w:val="22"/>
        </w:rPr>
        <w:t>Waiver</w:t>
      </w:r>
      <w:r w:rsidRPr="00440792">
        <w:rPr>
          <w:rFonts w:asciiTheme="minorHAnsi" w:hAnsiTheme="minorHAnsi"/>
          <w:sz w:val="22"/>
          <w:szCs w:val="22"/>
        </w:rPr>
        <w:t xml:space="preserve"> state. </w:t>
      </w:r>
      <w:r w:rsidRPr="00440792">
        <w:rPr>
          <w:rFonts w:asciiTheme="minorHAnsi" w:hAnsiTheme="minorHAnsi"/>
          <w:i/>
          <w:sz w:val="22"/>
          <w:szCs w:val="22"/>
        </w:rPr>
        <w:t>63rd Annual Council on Social Work Education Annual Program Meeting</w:t>
      </w:r>
      <w:r w:rsidRPr="00440792">
        <w:rPr>
          <w:rFonts w:asciiTheme="minorHAnsi" w:hAnsiTheme="minorHAnsi"/>
          <w:sz w:val="22"/>
          <w:szCs w:val="22"/>
        </w:rPr>
        <w:t>. Dallas, TX, October 2017</w:t>
      </w:r>
    </w:p>
    <w:p w:rsidR="00551689" w:rsidRPr="00440792" w:rsidRDefault="00551689" w:rsidP="0032600F">
      <w:pPr>
        <w:pStyle w:val="ListParagraph"/>
        <w:numPr>
          <w:ilvl w:val="0"/>
          <w:numId w:val="22"/>
        </w:numPr>
        <w:spacing w:after="0"/>
        <w:rPr>
          <w:rFonts w:asciiTheme="minorHAnsi" w:hAnsiTheme="minorHAnsi"/>
          <w:sz w:val="22"/>
          <w:szCs w:val="22"/>
        </w:rPr>
      </w:pPr>
      <w:r w:rsidRPr="00440792">
        <w:rPr>
          <w:rFonts w:asciiTheme="minorHAnsi" w:hAnsiTheme="minorHAnsi"/>
          <w:sz w:val="22"/>
          <w:szCs w:val="22"/>
        </w:rPr>
        <w:t xml:space="preserve">Armstrong-Richardson E, Imburgia TM, Pierce BJ, Jaggers JW. The Impact of Youth Engagement on Child Welfare Service Satisfaction.  </w:t>
      </w:r>
      <w:r w:rsidRPr="00440792">
        <w:rPr>
          <w:rFonts w:asciiTheme="minorHAnsi" w:hAnsiTheme="minorHAnsi"/>
          <w:i/>
          <w:sz w:val="22"/>
          <w:szCs w:val="22"/>
        </w:rPr>
        <w:t>20</w:t>
      </w:r>
      <w:r w:rsidRPr="00440792">
        <w:rPr>
          <w:rFonts w:asciiTheme="minorHAnsi" w:hAnsiTheme="minorHAnsi"/>
          <w:i/>
          <w:sz w:val="22"/>
          <w:szCs w:val="22"/>
          <w:vertAlign w:val="superscript"/>
        </w:rPr>
        <w:t>th</w:t>
      </w:r>
      <w:r w:rsidRPr="00440792">
        <w:rPr>
          <w:rFonts w:asciiTheme="minorHAnsi" w:hAnsiTheme="minorHAnsi"/>
          <w:i/>
          <w:sz w:val="22"/>
          <w:szCs w:val="22"/>
        </w:rPr>
        <w:t xml:space="preserve"> National Conference on Child Abuse and Neglect</w:t>
      </w:r>
      <w:r w:rsidRPr="00440792">
        <w:rPr>
          <w:rFonts w:asciiTheme="minorHAnsi" w:hAnsiTheme="minorHAnsi"/>
          <w:sz w:val="22"/>
          <w:szCs w:val="22"/>
        </w:rPr>
        <w:t>. Washington, DC, August 2016.</w:t>
      </w:r>
    </w:p>
    <w:p w:rsidR="00551689" w:rsidRPr="00440792" w:rsidRDefault="00551689" w:rsidP="0032600F">
      <w:pPr>
        <w:pStyle w:val="ListParagraph"/>
        <w:numPr>
          <w:ilvl w:val="0"/>
          <w:numId w:val="22"/>
        </w:numPr>
        <w:spacing w:after="0"/>
        <w:rPr>
          <w:rFonts w:asciiTheme="minorHAnsi" w:hAnsiTheme="minorHAnsi"/>
          <w:sz w:val="22"/>
          <w:szCs w:val="22"/>
        </w:rPr>
      </w:pPr>
      <w:r w:rsidRPr="00440792">
        <w:rPr>
          <w:rFonts w:asciiTheme="minorHAnsi" w:hAnsiTheme="minorHAnsi"/>
          <w:sz w:val="22"/>
          <w:szCs w:val="22"/>
        </w:rPr>
        <w:t xml:space="preserve">Cummings T, Hensel DJ, Danh M, Bloomquist KR, Pierce BJ, Kim J, Jaggers JW, Hall JA. The Difference in Age: Case Workers Perceptions of Youth in the Child Welfare System.  </w:t>
      </w:r>
      <w:r w:rsidRPr="00440792">
        <w:rPr>
          <w:rFonts w:asciiTheme="minorHAnsi" w:hAnsiTheme="minorHAnsi"/>
          <w:i/>
          <w:sz w:val="22"/>
          <w:szCs w:val="22"/>
        </w:rPr>
        <w:t>Society for Adolescent Health and Medicine Annual Meeting</w:t>
      </w:r>
      <w:r w:rsidRPr="00440792">
        <w:rPr>
          <w:rFonts w:asciiTheme="minorHAnsi" w:hAnsiTheme="minorHAnsi"/>
          <w:sz w:val="22"/>
          <w:szCs w:val="22"/>
        </w:rPr>
        <w:t>, Washington, DC, March 2016.</w:t>
      </w:r>
    </w:p>
    <w:p w:rsidR="00551689" w:rsidRPr="00440792" w:rsidRDefault="00551689" w:rsidP="0032600F">
      <w:pPr>
        <w:pStyle w:val="ListParagraph"/>
        <w:numPr>
          <w:ilvl w:val="0"/>
          <w:numId w:val="22"/>
        </w:numPr>
        <w:spacing w:after="0"/>
        <w:rPr>
          <w:rFonts w:asciiTheme="minorHAnsi" w:hAnsiTheme="minorHAnsi"/>
          <w:sz w:val="22"/>
          <w:szCs w:val="22"/>
        </w:rPr>
      </w:pPr>
      <w:r w:rsidRPr="00440792">
        <w:rPr>
          <w:rFonts w:asciiTheme="minorHAnsi" w:hAnsiTheme="minorHAnsi"/>
          <w:sz w:val="22"/>
          <w:szCs w:val="22"/>
        </w:rPr>
        <w:t xml:space="preserve">Cummings T, Hensel DJ, Bloomquist KR, Danh M, Pierce BJ, Hall JA. Increased Use of Concrete Services for Child Welfare in Title IV-E </w:t>
      </w:r>
      <w:r w:rsidR="00A5038C">
        <w:rPr>
          <w:rFonts w:asciiTheme="minorHAnsi" w:hAnsiTheme="minorHAnsi"/>
          <w:sz w:val="22"/>
          <w:szCs w:val="22"/>
        </w:rPr>
        <w:t>Waiver</w:t>
      </w:r>
      <w:r w:rsidRPr="00440792">
        <w:rPr>
          <w:rFonts w:asciiTheme="minorHAnsi" w:hAnsiTheme="minorHAnsi"/>
          <w:sz w:val="22"/>
          <w:szCs w:val="22"/>
        </w:rPr>
        <w:t xml:space="preserve"> Expansions. </w:t>
      </w:r>
      <w:r w:rsidRPr="00440792">
        <w:rPr>
          <w:rFonts w:asciiTheme="minorHAnsi" w:hAnsiTheme="minorHAnsi"/>
          <w:i/>
          <w:sz w:val="22"/>
          <w:szCs w:val="22"/>
        </w:rPr>
        <w:t>Society for Adolescent Health and Medicine Annual Meeting</w:t>
      </w:r>
      <w:r w:rsidRPr="00440792">
        <w:rPr>
          <w:rFonts w:asciiTheme="minorHAnsi" w:hAnsiTheme="minorHAnsi"/>
          <w:sz w:val="22"/>
          <w:szCs w:val="22"/>
        </w:rPr>
        <w:t>, Los Angeles, CA, March 2015.</w:t>
      </w:r>
    </w:p>
    <w:p w:rsidR="00551689" w:rsidRPr="00440792" w:rsidRDefault="00551689" w:rsidP="0032600F">
      <w:pPr>
        <w:pStyle w:val="ListParagraph"/>
        <w:numPr>
          <w:ilvl w:val="0"/>
          <w:numId w:val="22"/>
        </w:numPr>
        <w:spacing w:after="0"/>
        <w:rPr>
          <w:rFonts w:asciiTheme="minorHAnsi" w:hAnsiTheme="minorHAnsi"/>
          <w:sz w:val="22"/>
          <w:szCs w:val="22"/>
        </w:rPr>
      </w:pPr>
      <w:r w:rsidRPr="00440792">
        <w:rPr>
          <w:rFonts w:asciiTheme="minorHAnsi" w:hAnsiTheme="minorHAnsi"/>
          <w:sz w:val="22"/>
          <w:szCs w:val="22"/>
        </w:rPr>
        <w:t xml:space="preserve">Danh M, Cummings T, Bloomquist KR, Hensel DJ, Hall J, Barton WH. The Effects of Child Welfare Cases on Child Well-being. </w:t>
      </w:r>
      <w:r w:rsidRPr="00440792">
        <w:rPr>
          <w:rFonts w:asciiTheme="minorHAnsi" w:hAnsiTheme="minorHAnsi"/>
          <w:i/>
          <w:sz w:val="22"/>
          <w:szCs w:val="22"/>
        </w:rPr>
        <w:t>Society for Adolescent Health and Medicine Annual Meeting</w:t>
      </w:r>
      <w:r w:rsidRPr="00440792">
        <w:rPr>
          <w:rFonts w:asciiTheme="minorHAnsi" w:hAnsiTheme="minorHAnsi"/>
          <w:sz w:val="22"/>
          <w:szCs w:val="22"/>
        </w:rPr>
        <w:t>, Austin, TX, March 2014.</w:t>
      </w:r>
    </w:p>
    <w:p w:rsidR="00551689" w:rsidRPr="00440792" w:rsidRDefault="00551689" w:rsidP="00551689">
      <w:pPr>
        <w:rPr>
          <w:rFonts w:cstheme="minorHAnsi"/>
        </w:rPr>
      </w:pPr>
    </w:p>
    <w:p w:rsidR="004D3F06" w:rsidRPr="00440792" w:rsidRDefault="004D3F06" w:rsidP="00551689">
      <w:pPr>
        <w:rPr>
          <w:rFonts w:asciiTheme="majorHAnsi" w:eastAsiaTheme="majorEastAsia" w:hAnsiTheme="majorHAnsi" w:cstheme="majorBidi"/>
          <w:color w:val="2E74B5" w:themeColor="accent1" w:themeShade="BF"/>
          <w:sz w:val="32"/>
          <w:szCs w:val="32"/>
        </w:rPr>
      </w:pPr>
    </w:p>
    <w:p w:rsidR="002212B6" w:rsidRPr="00440792" w:rsidRDefault="002212B6">
      <w:pPr>
        <w:rPr>
          <w:rFonts w:asciiTheme="majorHAnsi" w:eastAsiaTheme="majorEastAsia" w:hAnsiTheme="majorHAnsi" w:cstheme="majorBidi"/>
          <w:color w:val="2E74B5" w:themeColor="accent1" w:themeShade="BF"/>
          <w:sz w:val="32"/>
          <w:szCs w:val="32"/>
        </w:rPr>
      </w:pPr>
      <w:r w:rsidRPr="00440792">
        <w:br w:type="page"/>
      </w:r>
    </w:p>
    <w:p w:rsidR="00061B69" w:rsidRPr="00440792" w:rsidRDefault="00061B69" w:rsidP="00061B69">
      <w:pPr>
        <w:pStyle w:val="Heading1"/>
      </w:pPr>
      <w:bookmarkStart w:id="4" w:name="_Toc43887874"/>
      <w:r w:rsidRPr="00440792">
        <w:t>Outcome</w:t>
      </w:r>
      <w:r w:rsidR="00B6336E" w:rsidRPr="00440792">
        <w:t xml:space="preserve"> Study</w:t>
      </w:r>
      <w:bookmarkEnd w:id="4"/>
    </w:p>
    <w:p w:rsidR="00B45C01" w:rsidRPr="00B45C01" w:rsidRDefault="00B45C01" w:rsidP="003A7173">
      <w:pPr>
        <w:pStyle w:val="Heading2"/>
      </w:pPr>
      <w:bookmarkStart w:id="5" w:name="_Toc43887875"/>
      <w:r w:rsidRPr="00B45C01">
        <w:t>Re-entries and Relative Placements</w:t>
      </w:r>
      <w:bookmarkEnd w:id="5"/>
    </w:p>
    <w:p w:rsidR="00B45C01" w:rsidRPr="00B45C01" w:rsidRDefault="00B45C01" w:rsidP="001C6595">
      <w:pPr>
        <w:rPr>
          <w:rFonts w:cs="Calibri"/>
        </w:rPr>
      </w:pPr>
      <w:r w:rsidRPr="00B45C01">
        <w:rPr>
          <w:rFonts w:cs="Calibri"/>
        </w:rPr>
        <w:t xml:space="preserve">The State and the Evaluation Team prepared a data pull so that the Evaluation Team could look at case types, demographic characteristics, case characteristics, and where those cases were located around the state.  Data were pulled to answer </w:t>
      </w:r>
      <w:r w:rsidR="00073142">
        <w:rPr>
          <w:rFonts w:cs="Calibri"/>
        </w:rPr>
        <w:t>two</w:t>
      </w:r>
      <w:r w:rsidRPr="00B45C01">
        <w:rPr>
          <w:rFonts w:cs="Calibri"/>
        </w:rPr>
        <w:t xml:space="preserve"> research questions:</w:t>
      </w:r>
    </w:p>
    <w:p w:rsidR="00073142" w:rsidRDefault="00073142" w:rsidP="00C51A1C">
      <w:pPr>
        <w:rPr>
          <w:rFonts w:cs="Calibri"/>
          <w:b/>
        </w:rPr>
      </w:pPr>
    </w:p>
    <w:p w:rsidR="00C51A1C" w:rsidRPr="00073142" w:rsidRDefault="00073142" w:rsidP="00C51A1C">
      <w:pPr>
        <w:rPr>
          <w:b/>
        </w:rPr>
      </w:pPr>
      <w:r>
        <w:rPr>
          <w:rFonts w:cs="Calibri"/>
          <w:b/>
        </w:rPr>
        <w:t xml:space="preserve">1. </w:t>
      </w:r>
      <w:r w:rsidR="00B45C01" w:rsidRPr="00073142">
        <w:rPr>
          <w:rFonts w:cs="Calibri"/>
          <w:b/>
        </w:rPr>
        <w:t xml:space="preserve">What are the case characteristics and demographics of cases that re-enter care after a </w:t>
      </w:r>
      <w:r w:rsidR="00663661">
        <w:rPr>
          <w:rFonts w:cs="Calibri"/>
          <w:b/>
        </w:rPr>
        <w:t xml:space="preserve">CHINS </w:t>
      </w:r>
      <w:r w:rsidR="00B45C01" w:rsidRPr="00073142">
        <w:rPr>
          <w:rFonts w:cs="Calibri"/>
          <w:b/>
        </w:rPr>
        <w:t xml:space="preserve">case closure? </w:t>
      </w:r>
    </w:p>
    <w:p w:rsidR="00C51A1C" w:rsidRDefault="00C51A1C" w:rsidP="00C51A1C"/>
    <w:p w:rsidR="00C51A1C" w:rsidRDefault="00C51A1C" w:rsidP="00C51A1C">
      <w:r>
        <w:t xml:space="preserve">Any re-entry within 360 days was </w:t>
      </w:r>
      <w:r w:rsidRPr="00000BE6">
        <w:rPr>
          <w:b/>
          <w:i/>
          <w:u w:val="single"/>
        </w:rPr>
        <w:t>more likely</w:t>
      </w:r>
      <w:r>
        <w:t xml:space="preserve"> with:</w:t>
      </w:r>
    </w:p>
    <w:p w:rsidR="00C51A1C" w:rsidRPr="00C51A1C" w:rsidRDefault="00C51A1C" w:rsidP="00C51A1C">
      <w:pPr>
        <w:pStyle w:val="ListParagraph"/>
        <w:numPr>
          <w:ilvl w:val="0"/>
          <w:numId w:val="50"/>
        </w:numPr>
        <w:spacing w:after="0" w:line="240" w:lineRule="auto"/>
        <w:rPr>
          <w:rFonts w:asciiTheme="minorHAnsi" w:hAnsiTheme="minorHAnsi"/>
          <w:sz w:val="22"/>
          <w:szCs w:val="22"/>
        </w:rPr>
      </w:pPr>
      <w:r w:rsidRPr="00C51A1C">
        <w:rPr>
          <w:rFonts w:asciiTheme="minorHAnsi" w:hAnsiTheme="minorHAnsi"/>
          <w:sz w:val="22"/>
          <w:szCs w:val="22"/>
        </w:rPr>
        <w:t>Older age</w:t>
      </w:r>
      <w:r w:rsidR="00FB5AB6">
        <w:rPr>
          <w:rFonts w:asciiTheme="minorHAnsi" w:hAnsiTheme="minorHAnsi"/>
          <w:sz w:val="22"/>
          <w:szCs w:val="22"/>
        </w:rPr>
        <w:t xml:space="preserve"> of the child</w:t>
      </w:r>
      <w:r w:rsidRPr="00C51A1C">
        <w:rPr>
          <w:rFonts w:asciiTheme="minorHAnsi" w:hAnsiTheme="minorHAnsi"/>
          <w:sz w:val="22"/>
          <w:szCs w:val="22"/>
        </w:rPr>
        <w:t xml:space="preserve"> at case entry</w:t>
      </w:r>
    </w:p>
    <w:p w:rsidR="00C51A1C" w:rsidRPr="00C51A1C" w:rsidRDefault="00C51A1C" w:rsidP="00C51A1C">
      <w:pPr>
        <w:pStyle w:val="ListParagraph"/>
        <w:numPr>
          <w:ilvl w:val="0"/>
          <w:numId w:val="50"/>
        </w:numPr>
        <w:spacing w:after="0" w:line="240" w:lineRule="auto"/>
        <w:rPr>
          <w:rFonts w:asciiTheme="minorHAnsi" w:hAnsiTheme="minorHAnsi"/>
          <w:sz w:val="22"/>
          <w:szCs w:val="22"/>
        </w:rPr>
      </w:pPr>
      <w:r w:rsidRPr="00C51A1C">
        <w:rPr>
          <w:rFonts w:asciiTheme="minorHAnsi" w:hAnsiTheme="minorHAnsi"/>
          <w:sz w:val="22"/>
          <w:szCs w:val="22"/>
        </w:rPr>
        <w:t>More time out of the home</w:t>
      </w:r>
    </w:p>
    <w:p w:rsidR="00C51A1C" w:rsidRPr="00C51A1C" w:rsidRDefault="00C51A1C" w:rsidP="00C51A1C">
      <w:pPr>
        <w:pStyle w:val="ListParagraph"/>
        <w:numPr>
          <w:ilvl w:val="0"/>
          <w:numId w:val="50"/>
        </w:numPr>
        <w:spacing w:after="0" w:line="240" w:lineRule="auto"/>
        <w:rPr>
          <w:rFonts w:asciiTheme="minorHAnsi" w:hAnsiTheme="minorHAnsi"/>
          <w:sz w:val="22"/>
          <w:szCs w:val="22"/>
        </w:rPr>
      </w:pPr>
      <w:r w:rsidRPr="00C51A1C">
        <w:rPr>
          <w:rFonts w:asciiTheme="minorHAnsi" w:hAnsiTheme="minorHAnsi"/>
          <w:sz w:val="22"/>
          <w:szCs w:val="22"/>
        </w:rPr>
        <w:t>Removal reasons of:</w:t>
      </w:r>
    </w:p>
    <w:p w:rsidR="00C51A1C" w:rsidRPr="00C51A1C" w:rsidRDefault="00C51A1C" w:rsidP="00C51A1C">
      <w:pPr>
        <w:pStyle w:val="ListParagraph"/>
        <w:numPr>
          <w:ilvl w:val="1"/>
          <w:numId w:val="50"/>
        </w:numPr>
        <w:spacing w:after="0" w:line="240" w:lineRule="auto"/>
        <w:rPr>
          <w:rFonts w:asciiTheme="minorHAnsi" w:hAnsiTheme="minorHAnsi"/>
          <w:sz w:val="22"/>
          <w:szCs w:val="22"/>
        </w:rPr>
      </w:pPr>
      <w:r w:rsidRPr="00C51A1C">
        <w:rPr>
          <w:rFonts w:asciiTheme="minorHAnsi" w:hAnsiTheme="minorHAnsi"/>
          <w:sz w:val="22"/>
          <w:szCs w:val="22"/>
        </w:rPr>
        <w:t>Neglect</w:t>
      </w:r>
    </w:p>
    <w:p w:rsidR="00C51A1C" w:rsidRPr="00C51A1C" w:rsidRDefault="00C51A1C" w:rsidP="00C51A1C">
      <w:pPr>
        <w:pStyle w:val="ListParagraph"/>
        <w:numPr>
          <w:ilvl w:val="1"/>
          <w:numId w:val="50"/>
        </w:numPr>
        <w:spacing w:after="0" w:line="240" w:lineRule="auto"/>
        <w:rPr>
          <w:rFonts w:asciiTheme="minorHAnsi" w:hAnsiTheme="minorHAnsi"/>
          <w:sz w:val="22"/>
          <w:szCs w:val="22"/>
        </w:rPr>
      </w:pPr>
      <w:r w:rsidRPr="00C51A1C">
        <w:rPr>
          <w:rFonts w:asciiTheme="minorHAnsi" w:hAnsiTheme="minorHAnsi"/>
          <w:sz w:val="22"/>
          <w:szCs w:val="22"/>
        </w:rPr>
        <w:t>Physical abuse</w:t>
      </w:r>
    </w:p>
    <w:p w:rsidR="00C51A1C" w:rsidRPr="00C51A1C" w:rsidRDefault="00C51A1C" w:rsidP="00C51A1C">
      <w:pPr>
        <w:pStyle w:val="ListParagraph"/>
        <w:numPr>
          <w:ilvl w:val="1"/>
          <w:numId w:val="50"/>
        </w:numPr>
        <w:spacing w:after="0" w:line="240" w:lineRule="auto"/>
        <w:rPr>
          <w:rFonts w:asciiTheme="minorHAnsi" w:hAnsiTheme="minorHAnsi"/>
          <w:sz w:val="22"/>
          <w:szCs w:val="22"/>
        </w:rPr>
      </w:pPr>
      <w:r w:rsidRPr="00C51A1C">
        <w:rPr>
          <w:rFonts w:asciiTheme="minorHAnsi" w:hAnsiTheme="minorHAnsi"/>
          <w:sz w:val="22"/>
          <w:szCs w:val="22"/>
        </w:rPr>
        <w:t>Unable to cope</w:t>
      </w:r>
    </w:p>
    <w:p w:rsidR="00C51A1C" w:rsidRPr="00C51A1C" w:rsidRDefault="00C51A1C" w:rsidP="00C51A1C">
      <w:pPr>
        <w:pStyle w:val="ListParagraph"/>
        <w:numPr>
          <w:ilvl w:val="1"/>
          <w:numId w:val="50"/>
        </w:numPr>
        <w:spacing w:after="0" w:line="240" w:lineRule="auto"/>
        <w:rPr>
          <w:rFonts w:asciiTheme="minorHAnsi" w:hAnsiTheme="minorHAnsi"/>
          <w:sz w:val="22"/>
          <w:szCs w:val="22"/>
        </w:rPr>
      </w:pPr>
      <w:r w:rsidRPr="00C51A1C">
        <w:rPr>
          <w:rFonts w:asciiTheme="minorHAnsi" w:hAnsiTheme="minorHAnsi"/>
          <w:sz w:val="22"/>
          <w:szCs w:val="22"/>
        </w:rPr>
        <w:t>Parent in jail</w:t>
      </w:r>
    </w:p>
    <w:p w:rsidR="00C51A1C" w:rsidRPr="00C51A1C" w:rsidRDefault="00C51A1C" w:rsidP="00C51A1C">
      <w:pPr>
        <w:pStyle w:val="ListParagraph"/>
        <w:numPr>
          <w:ilvl w:val="0"/>
          <w:numId w:val="50"/>
        </w:numPr>
        <w:spacing w:after="0" w:line="240" w:lineRule="auto"/>
        <w:rPr>
          <w:rFonts w:asciiTheme="minorHAnsi" w:hAnsiTheme="minorHAnsi"/>
          <w:sz w:val="22"/>
          <w:szCs w:val="22"/>
        </w:rPr>
      </w:pPr>
      <w:r w:rsidRPr="00C51A1C">
        <w:rPr>
          <w:rFonts w:asciiTheme="minorHAnsi" w:hAnsiTheme="minorHAnsi"/>
          <w:sz w:val="22"/>
          <w:szCs w:val="22"/>
        </w:rPr>
        <w:t>Greater number of removal reasons</w:t>
      </w:r>
      <w:r w:rsidR="00FB5AB6">
        <w:rPr>
          <w:rFonts w:asciiTheme="minorHAnsi" w:hAnsiTheme="minorHAnsi"/>
          <w:sz w:val="22"/>
          <w:szCs w:val="22"/>
        </w:rPr>
        <w:t xml:space="preserve"> for a child</w:t>
      </w:r>
    </w:p>
    <w:p w:rsidR="00C51A1C" w:rsidRPr="00C51A1C" w:rsidRDefault="00C51A1C" w:rsidP="00C51A1C">
      <w:pPr>
        <w:pStyle w:val="ListParagraph"/>
        <w:numPr>
          <w:ilvl w:val="0"/>
          <w:numId w:val="50"/>
        </w:numPr>
        <w:spacing w:after="0" w:line="240" w:lineRule="auto"/>
        <w:rPr>
          <w:rFonts w:asciiTheme="minorHAnsi" w:hAnsiTheme="minorHAnsi"/>
          <w:sz w:val="22"/>
          <w:szCs w:val="22"/>
        </w:rPr>
      </w:pPr>
      <w:r w:rsidRPr="00C51A1C">
        <w:rPr>
          <w:rFonts w:asciiTheme="minorHAnsi" w:hAnsiTheme="minorHAnsi"/>
          <w:sz w:val="22"/>
          <w:szCs w:val="22"/>
        </w:rPr>
        <w:t>Informal adjustment vs. child in need of CHINS</w:t>
      </w:r>
    </w:p>
    <w:p w:rsidR="00C51A1C" w:rsidRPr="00C51A1C" w:rsidRDefault="00C51A1C" w:rsidP="00C51A1C">
      <w:pPr>
        <w:pStyle w:val="ListParagraph"/>
        <w:numPr>
          <w:ilvl w:val="0"/>
          <w:numId w:val="50"/>
        </w:numPr>
        <w:spacing w:after="0" w:line="240" w:lineRule="auto"/>
        <w:rPr>
          <w:rFonts w:asciiTheme="minorHAnsi" w:hAnsiTheme="minorHAnsi"/>
          <w:sz w:val="22"/>
          <w:szCs w:val="22"/>
        </w:rPr>
      </w:pPr>
      <w:r w:rsidRPr="00C51A1C">
        <w:rPr>
          <w:rFonts w:asciiTheme="minorHAnsi" w:hAnsiTheme="minorHAnsi"/>
          <w:sz w:val="22"/>
          <w:szCs w:val="22"/>
        </w:rPr>
        <w:t>Resource type:</w:t>
      </w:r>
    </w:p>
    <w:p w:rsidR="00C51A1C" w:rsidRPr="00C51A1C" w:rsidRDefault="00C51A1C" w:rsidP="00C51A1C">
      <w:pPr>
        <w:pStyle w:val="ListParagraph"/>
        <w:numPr>
          <w:ilvl w:val="1"/>
          <w:numId w:val="50"/>
        </w:numPr>
        <w:spacing w:after="0" w:line="240" w:lineRule="auto"/>
        <w:rPr>
          <w:rFonts w:asciiTheme="minorHAnsi" w:hAnsiTheme="minorHAnsi"/>
          <w:sz w:val="22"/>
          <w:szCs w:val="22"/>
        </w:rPr>
      </w:pPr>
      <w:r w:rsidRPr="00C51A1C">
        <w:rPr>
          <w:rFonts w:asciiTheme="minorHAnsi" w:hAnsiTheme="minorHAnsi"/>
          <w:sz w:val="22"/>
          <w:szCs w:val="22"/>
        </w:rPr>
        <w:t>Residential vs. foster family</w:t>
      </w:r>
    </w:p>
    <w:p w:rsidR="00C51A1C" w:rsidRPr="00C51A1C" w:rsidRDefault="00C51A1C" w:rsidP="00C51A1C">
      <w:pPr>
        <w:pStyle w:val="ListParagraph"/>
        <w:numPr>
          <w:ilvl w:val="1"/>
          <w:numId w:val="50"/>
        </w:numPr>
        <w:spacing w:after="0" w:line="240" w:lineRule="auto"/>
        <w:rPr>
          <w:rFonts w:asciiTheme="minorHAnsi" w:hAnsiTheme="minorHAnsi"/>
          <w:sz w:val="22"/>
          <w:szCs w:val="22"/>
        </w:rPr>
      </w:pPr>
      <w:r w:rsidRPr="00C51A1C">
        <w:rPr>
          <w:rFonts w:asciiTheme="minorHAnsi" w:hAnsiTheme="minorHAnsi"/>
          <w:sz w:val="22"/>
          <w:szCs w:val="22"/>
        </w:rPr>
        <w:t>Placement provider vs. foster family</w:t>
      </w:r>
    </w:p>
    <w:p w:rsidR="00C51A1C" w:rsidRPr="00C51A1C" w:rsidRDefault="00C51A1C" w:rsidP="00C51A1C">
      <w:pPr>
        <w:pStyle w:val="ListParagraph"/>
        <w:numPr>
          <w:ilvl w:val="0"/>
          <w:numId w:val="50"/>
        </w:numPr>
        <w:spacing w:after="0" w:line="240" w:lineRule="auto"/>
        <w:rPr>
          <w:rFonts w:asciiTheme="minorHAnsi" w:hAnsiTheme="minorHAnsi"/>
          <w:sz w:val="22"/>
          <w:szCs w:val="22"/>
        </w:rPr>
      </w:pPr>
      <w:r w:rsidRPr="00C51A1C">
        <w:rPr>
          <w:rFonts w:asciiTheme="minorHAnsi" w:hAnsiTheme="minorHAnsi"/>
          <w:sz w:val="22"/>
          <w:szCs w:val="22"/>
        </w:rPr>
        <w:t>Residential placement vs. child not removed</w:t>
      </w:r>
    </w:p>
    <w:p w:rsidR="00C51A1C" w:rsidRPr="00C51A1C" w:rsidRDefault="00C51A1C" w:rsidP="00C51A1C">
      <w:pPr>
        <w:pStyle w:val="ListParagraph"/>
        <w:numPr>
          <w:ilvl w:val="0"/>
          <w:numId w:val="50"/>
        </w:numPr>
        <w:spacing w:after="0" w:line="240" w:lineRule="auto"/>
        <w:rPr>
          <w:rFonts w:asciiTheme="minorHAnsi" w:hAnsiTheme="minorHAnsi"/>
          <w:sz w:val="22"/>
          <w:szCs w:val="22"/>
        </w:rPr>
      </w:pPr>
      <w:r w:rsidRPr="00C51A1C">
        <w:rPr>
          <w:rFonts w:asciiTheme="minorHAnsi" w:hAnsiTheme="minorHAnsi"/>
          <w:sz w:val="22"/>
          <w:szCs w:val="22"/>
        </w:rPr>
        <w:t>Service rec:</w:t>
      </w:r>
    </w:p>
    <w:p w:rsidR="00C51A1C" w:rsidRPr="00C51A1C" w:rsidRDefault="001844A3" w:rsidP="00C51A1C">
      <w:pPr>
        <w:pStyle w:val="ListParagraph"/>
        <w:numPr>
          <w:ilvl w:val="1"/>
          <w:numId w:val="50"/>
        </w:numPr>
        <w:spacing w:after="0" w:line="240" w:lineRule="auto"/>
        <w:rPr>
          <w:rFonts w:asciiTheme="minorHAnsi" w:hAnsiTheme="minorHAnsi"/>
          <w:sz w:val="22"/>
          <w:szCs w:val="22"/>
        </w:rPr>
      </w:pPr>
      <w:r>
        <w:rPr>
          <w:rFonts w:asciiTheme="minorHAnsi" w:hAnsiTheme="minorHAnsi"/>
          <w:sz w:val="22"/>
          <w:szCs w:val="22"/>
        </w:rPr>
        <w:t>High intensity treatments</w:t>
      </w:r>
      <w:r w:rsidR="00C51A1C" w:rsidRPr="00C51A1C">
        <w:rPr>
          <w:rFonts w:asciiTheme="minorHAnsi" w:hAnsiTheme="minorHAnsi"/>
          <w:sz w:val="22"/>
          <w:szCs w:val="22"/>
        </w:rPr>
        <w:t xml:space="preserve"> vs. no t</w:t>
      </w:r>
      <w:r w:rsidR="00073142">
        <w:rPr>
          <w:rFonts w:asciiTheme="minorHAnsi" w:hAnsiTheme="minorHAnsi"/>
          <w:sz w:val="22"/>
          <w:szCs w:val="22"/>
        </w:rPr>
        <w:t>reatment</w:t>
      </w:r>
    </w:p>
    <w:p w:rsidR="00C51A1C" w:rsidRPr="00C51A1C" w:rsidRDefault="00C51A1C" w:rsidP="00C51A1C">
      <w:pPr>
        <w:pStyle w:val="ListParagraph"/>
        <w:numPr>
          <w:ilvl w:val="1"/>
          <w:numId w:val="50"/>
        </w:numPr>
        <w:spacing w:after="0" w:line="240" w:lineRule="auto"/>
        <w:rPr>
          <w:rFonts w:asciiTheme="minorHAnsi" w:hAnsiTheme="minorHAnsi"/>
          <w:sz w:val="22"/>
          <w:szCs w:val="22"/>
        </w:rPr>
      </w:pPr>
      <w:r w:rsidRPr="00C51A1C">
        <w:rPr>
          <w:rFonts w:asciiTheme="minorHAnsi" w:hAnsiTheme="minorHAnsi"/>
          <w:sz w:val="22"/>
          <w:szCs w:val="22"/>
        </w:rPr>
        <w:t>Intensive community</w:t>
      </w:r>
      <w:r w:rsidR="001844A3">
        <w:rPr>
          <w:rFonts w:asciiTheme="minorHAnsi" w:hAnsiTheme="minorHAnsi"/>
          <w:sz w:val="22"/>
          <w:szCs w:val="22"/>
        </w:rPr>
        <w:t xml:space="preserve"> services</w:t>
      </w:r>
      <w:r w:rsidRPr="00C51A1C">
        <w:rPr>
          <w:rFonts w:asciiTheme="minorHAnsi" w:hAnsiTheme="minorHAnsi"/>
          <w:sz w:val="22"/>
          <w:szCs w:val="22"/>
        </w:rPr>
        <w:t xml:space="preserve"> vs. no </w:t>
      </w:r>
      <w:r w:rsidR="00073142">
        <w:rPr>
          <w:rFonts w:asciiTheme="minorHAnsi" w:hAnsiTheme="minorHAnsi"/>
          <w:sz w:val="22"/>
          <w:szCs w:val="22"/>
        </w:rPr>
        <w:t>treatment</w:t>
      </w:r>
    </w:p>
    <w:p w:rsidR="00C51A1C" w:rsidRPr="00C51A1C" w:rsidRDefault="00C51A1C" w:rsidP="00C51A1C"/>
    <w:p w:rsidR="00C51A1C" w:rsidRPr="00C51A1C" w:rsidRDefault="00C51A1C" w:rsidP="00C51A1C">
      <w:r w:rsidRPr="00C51A1C">
        <w:t xml:space="preserve">Any re-entry within 360 days was </w:t>
      </w:r>
      <w:r w:rsidRPr="00C51A1C">
        <w:rPr>
          <w:b/>
          <w:i/>
          <w:u w:val="single"/>
        </w:rPr>
        <w:t>less likely</w:t>
      </w:r>
      <w:r w:rsidRPr="00C51A1C">
        <w:t xml:space="preserve"> with:</w:t>
      </w:r>
    </w:p>
    <w:p w:rsidR="00C51A1C" w:rsidRPr="00C51A1C" w:rsidRDefault="00C51A1C" w:rsidP="00C51A1C">
      <w:pPr>
        <w:pStyle w:val="ListParagraph"/>
        <w:numPr>
          <w:ilvl w:val="0"/>
          <w:numId w:val="50"/>
        </w:numPr>
        <w:spacing w:after="0" w:line="240" w:lineRule="auto"/>
        <w:rPr>
          <w:rFonts w:asciiTheme="minorHAnsi" w:hAnsiTheme="minorHAnsi"/>
          <w:sz w:val="22"/>
          <w:szCs w:val="22"/>
        </w:rPr>
      </w:pPr>
      <w:r w:rsidRPr="00C51A1C">
        <w:rPr>
          <w:rFonts w:asciiTheme="minorHAnsi" w:hAnsiTheme="minorHAnsi"/>
          <w:sz w:val="22"/>
          <w:szCs w:val="22"/>
        </w:rPr>
        <w:t>Removal reasons of:</w:t>
      </w:r>
    </w:p>
    <w:p w:rsidR="00C51A1C" w:rsidRPr="00C51A1C" w:rsidRDefault="00C51A1C" w:rsidP="00C51A1C">
      <w:pPr>
        <w:pStyle w:val="ListParagraph"/>
        <w:numPr>
          <w:ilvl w:val="1"/>
          <w:numId w:val="50"/>
        </w:numPr>
        <w:spacing w:after="0" w:line="240" w:lineRule="auto"/>
        <w:rPr>
          <w:rFonts w:asciiTheme="minorHAnsi" w:hAnsiTheme="minorHAnsi"/>
          <w:sz w:val="22"/>
          <w:szCs w:val="22"/>
        </w:rPr>
      </w:pPr>
      <w:r w:rsidRPr="00C51A1C">
        <w:rPr>
          <w:rFonts w:asciiTheme="minorHAnsi" w:hAnsiTheme="minorHAnsi"/>
          <w:sz w:val="22"/>
          <w:szCs w:val="22"/>
        </w:rPr>
        <w:t>In ad</w:t>
      </w:r>
      <w:r w:rsidR="001844A3">
        <w:rPr>
          <w:rFonts w:asciiTheme="minorHAnsi" w:hAnsiTheme="minorHAnsi"/>
          <w:sz w:val="22"/>
          <w:szCs w:val="22"/>
        </w:rPr>
        <w:t>optive</w:t>
      </w:r>
      <w:r w:rsidRPr="00C51A1C">
        <w:rPr>
          <w:rFonts w:asciiTheme="minorHAnsi" w:hAnsiTheme="minorHAnsi"/>
          <w:sz w:val="22"/>
          <w:szCs w:val="22"/>
        </w:rPr>
        <w:t xml:space="preserve"> house </w:t>
      </w:r>
    </w:p>
    <w:p w:rsidR="00C51A1C" w:rsidRPr="00C51A1C" w:rsidRDefault="00C51A1C" w:rsidP="00C51A1C">
      <w:pPr>
        <w:pStyle w:val="ListParagraph"/>
        <w:numPr>
          <w:ilvl w:val="1"/>
          <w:numId w:val="50"/>
        </w:numPr>
        <w:spacing w:after="0" w:line="240" w:lineRule="auto"/>
        <w:rPr>
          <w:rFonts w:asciiTheme="minorHAnsi" w:hAnsiTheme="minorHAnsi"/>
          <w:sz w:val="22"/>
          <w:szCs w:val="22"/>
        </w:rPr>
      </w:pPr>
      <w:r w:rsidRPr="00C51A1C">
        <w:rPr>
          <w:rFonts w:asciiTheme="minorHAnsi" w:hAnsiTheme="minorHAnsi"/>
          <w:sz w:val="22"/>
          <w:szCs w:val="22"/>
        </w:rPr>
        <w:t>Child with a disability</w:t>
      </w:r>
    </w:p>
    <w:p w:rsidR="00C51A1C" w:rsidRPr="00C51A1C" w:rsidRDefault="00C51A1C" w:rsidP="00C51A1C"/>
    <w:p w:rsidR="00C51A1C" w:rsidRPr="00073142" w:rsidRDefault="00073142" w:rsidP="00C51A1C">
      <w:pPr>
        <w:rPr>
          <w:b/>
        </w:rPr>
      </w:pPr>
      <w:r w:rsidRPr="00073142">
        <w:rPr>
          <w:b/>
        </w:rPr>
        <w:t xml:space="preserve">2. </w:t>
      </w:r>
      <w:r w:rsidR="00C51A1C" w:rsidRPr="00073142">
        <w:rPr>
          <w:b/>
        </w:rPr>
        <w:t>What approaches (licensed vs. unlicensed) in relative care have been successful in re-uniting families and what obstacles are found when placing children with relatives?</w:t>
      </w:r>
    </w:p>
    <w:p w:rsidR="00C51A1C" w:rsidRPr="00C51A1C" w:rsidRDefault="00C51A1C" w:rsidP="00C51A1C"/>
    <w:p w:rsidR="00C51A1C" w:rsidRPr="00C51A1C" w:rsidRDefault="00C51A1C" w:rsidP="00C51A1C">
      <w:r w:rsidRPr="00C51A1C">
        <w:t>Having a family member (vs. non-family) is associated with:</w:t>
      </w:r>
    </w:p>
    <w:p w:rsidR="00C51A1C" w:rsidRPr="00C51A1C" w:rsidRDefault="00C51A1C" w:rsidP="00C51A1C">
      <w:pPr>
        <w:pStyle w:val="ListParagraph"/>
        <w:numPr>
          <w:ilvl w:val="0"/>
          <w:numId w:val="50"/>
        </w:numPr>
        <w:spacing w:after="0" w:line="240" w:lineRule="auto"/>
        <w:rPr>
          <w:rFonts w:asciiTheme="minorHAnsi" w:hAnsiTheme="minorHAnsi"/>
          <w:sz w:val="22"/>
          <w:szCs w:val="22"/>
        </w:rPr>
      </w:pPr>
      <w:r w:rsidRPr="00C51A1C">
        <w:rPr>
          <w:rFonts w:asciiTheme="minorHAnsi" w:hAnsiTheme="minorHAnsi"/>
          <w:sz w:val="22"/>
          <w:szCs w:val="22"/>
        </w:rPr>
        <w:t>Lower number of placements</w:t>
      </w:r>
    </w:p>
    <w:p w:rsidR="00C51A1C" w:rsidRPr="00C51A1C" w:rsidRDefault="00C51A1C" w:rsidP="00C51A1C">
      <w:pPr>
        <w:pStyle w:val="ListParagraph"/>
        <w:numPr>
          <w:ilvl w:val="0"/>
          <w:numId w:val="50"/>
        </w:numPr>
        <w:spacing w:after="0" w:line="240" w:lineRule="auto"/>
        <w:rPr>
          <w:rFonts w:asciiTheme="minorHAnsi" w:hAnsiTheme="minorHAnsi"/>
          <w:sz w:val="22"/>
          <w:szCs w:val="22"/>
        </w:rPr>
      </w:pPr>
      <w:r w:rsidRPr="00C51A1C">
        <w:rPr>
          <w:rFonts w:asciiTheme="minorHAnsi" w:hAnsiTheme="minorHAnsi"/>
          <w:sz w:val="22"/>
          <w:szCs w:val="22"/>
        </w:rPr>
        <w:t>Higher likelihood that caregiver is able to manage child’s stress (vs all other categories)</w:t>
      </w:r>
    </w:p>
    <w:p w:rsidR="00C51A1C" w:rsidRPr="00C51A1C" w:rsidRDefault="00C51A1C" w:rsidP="00C51A1C">
      <w:pPr>
        <w:pStyle w:val="ListParagraph"/>
        <w:numPr>
          <w:ilvl w:val="0"/>
          <w:numId w:val="50"/>
        </w:numPr>
        <w:spacing w:after="0" w:line="240" w:lineRule="auto"/>
        <w:rPr>
          <w:rFonts w:asciiTheme="minorHAnsi" w:hAnsiTheme="minorHAnsi"/>
          <w:sz w:val="22"/>
          <w:szCs w:val="22"/>
        </w:rPr>
      </w:pPr>
      <w:r w:rsidRPr="00C51A1C">
        <w:rPr>
          <w:rFonts w:asciiTheme="minorHAnsi" w:hAnsiTheme="minorHAnsi"/>
          <w:sz w:val="22"/>
          <w:szCs w:val="22"/>
        </w:rPr>
        <w:t>Higher likelihood that caregiver has significant network (vs. all other categories)</w:t>
      </w:r>
    </w:p>
    <w:p w:rsidR="00C51A1C" w:rsidRPr="00C51A1C" w:rsidRDefault="00C51A1C" w:rsidP="00C51A1C"/>
    <w:p w:rsidR="00C51A1C" w:rsidRPr="00C51A1C" w:rsidRDefault="005A28CB" w:rsidP="00C51A1C">
      <w:r>
        <w:t>Within Relative placements, h</w:t>
      </w:r>
      <w:r w:rsidR="00C51A1C" w:rsidRPr="00C51A1C">
        <w:t>aving a licensed relative (vs. not) is associated with:</w:t>
      </w:r>
    </w:p>
    <w:p w:rsidR="00C51A1C" w:rsidRPr="00C51A1C" w:rsidRDefault="00C51A1C" w:rsidP="00C51A1C">
      <w:pPr>
        <w:pStyle w:val="ListParagraph"/>
        <w:numPr>
          <w:ilvl w:val="0"/>
          <w:numId w:val="51"/>
        </w:numPr>
        <w:spacing w:after="0" w:line="240" w:lineRule="auto"/>
        <w:rPr>
          <w:rFonts w:asciiTheme="minorHAnsi" w:hAnsiTheme="minorHAnsi"/>
          <w:sz w:val="22"/>
          <w:szCs w:val="22"/>
        </w:rPr>
      </w:pPr>
      <w:r w:rsidRPr="00C51A1C">
        <w:rPr>
          <w:rFonts w:asciiTheme="minorHAnsi" w:hAnsiTheme="minorHAnsi"/>
          <w:sz w:val="22"/>
          <w:szCs w:val="22"/>
        </w:rPr>
        <w:t>Lower number of placements</w:t>
      </w:r>
    </w:p>
    <w:p w:rsidR="00C51A1C" w:rsidRPr="00C51A1C" w:rsidRDefault="00C51A1C" w:rsidP="00C51A1C">
      <w:pPr>
        <w:pStyle w:val="ListParagraph"/>
        <w:numPr>
          <w:ilvl w:val="0"/>
          <w:numId w:val="51"/>
        </w:numPr>
        <w:spacing w:after="0" w:line="240" w:lineRule="auto"/>
        <w:rPr>
          <w:rFonts w:asciiTheme="minorHAnsi" w:hAnsiTheme="minorHAnsi"/>
          <w:sz w:val="22"/>
          <w:szCs w:val="22"/>
        </w:rPr>
      </w:pPr>
      <w:r w:rsidRPr="00C51A1C">
        <w:rPr>
          <w:rFonts w:asciiTheme="minorHAnsi" w:hAnsiTheme="minorHAnsi"/>
          <w:sz w:val="22"/>
          <w:szCs w:val="22"/>
        </w:rPr>
        <w:t>Higher likelihood that caregiver is able to manage child’s stress (vs all other categories)</w:t>
      </w:r>
    </w:p>
    <w:p w:rsidR="00C51A1C" w:rsidRPr="00C51A1C" w:rsidRDefault="00C51A1C" w:rsidP="00C51A1C">
      <w:pPr>
        <w:pStyle w:val="ListParagraph"/>
        <w:numPr>
          <w:ilvl w:val="0"/>
          <w:numId w:val="51"/>
        </w:numPr>
        <w:spacing w:after="0" w:line="240" w:lineRule="auto"/>
        <w:rPr>
          <w:rFonts w:asciiTheme="minorHAnsi" w:hAnsiTheme="minorHAnsi"/>
          <w:sz w:val="22"/>
          <w:szCs w:val="22"/>
        </w:rPr>
      </w:pPr>
      <w:r w:rsidRPr="00C51A1C">
        <w:rPr>
          <w:rFonts w:asciiTheme="minorHAnsi" w:hAnsiTheme="minorHAnsi"/>
          <w:sz w:val="22"/>
          <w:szCs w:val="22"/>
        </w:rPr>
        <w:t>Higher likelihood that caregiver has significant network (vs. all other categories)</w:t>
      </w:r>
    </w:p>
    <w:p w:rsidR="002D42B2" w:rsidRPr="00440792" w:rsidRDefault="002D42B2" w:rsidP="002D42B2"/>
    <w:p w:rsidR="00456170" w:rsidRPr="00440792" w:rsidRDefault="00456170" w:rsidP="00456170">
      <w:pPr>
        <w:sectPr w:rsidR="00456170" w:rsidRPr="00440792" w:rsidSect="00456170">
          <w:headerReference w:type="default" r:id="rId13"/>
          <w:footerReference w:type="default" r:id="rId14"/>
          <w:pgSz w:w="12240" w:h="15840"/>
          <w:pgMar w:top="720" w:right="1440" w:bottom="1440" w:left="1440" w:header="288" w:footer="720" w:gutter="0"/>
          <w:pgNumType w:start="1"/>
          <w:cols w:space="720"/>
          <w:titlePg/>
          <w:docGrid w:linePitch="360"/>
        </w:sectPr>
      </w:pPr>
    </w:p>
    <w:p w:rsidR="008A5C92" w:rsidRDefault="008A5C92" w:rsidP="008A5C92">
      <w:pPr>
        <w:pStyle w:val="Heading2"/>
      </w:pPr>
      <w:bookmarkStart w:id="6" w:name="_Toc43887876"/>
      <w:r>
        <w:t>Relative Placements</w:t>
      </w:r>
      <w:r w:rsidR="00E574CD">
        <w:t xml:space="preserve"> (QSR Data)</w:t>
      </w:r>
      <w:r w:rsidR="00286DF9">
        <w:rPr>
          <w:rStyle w:val="FootnoteReference"/>
        </w:rPr>
        <w:footnoteReference w:id="3"/>
      </w:r>
      <w:bookmarkEnd w:id="6"/>
    </w:p>
    <w:p w:rsidR="008A5C92" w:rsidRDefault="008A5C92" w:rsidP="008A5C92">
      <w:r>
        <w:t xml:space="preserve">In the </w:t>
      </w:r>
      <w:r w:rsidR="00071571">
        <w:t>original Final Report</w:t>
      </w:r>
      <w:r>
        <w:t>, outcome data demonstrated that t</w:t>
      </w:r>
      <w:r w:rsidRPr="00440792">
        <w:t>he percentage of children placed out of the home with relatives increased from the baseline to the end of the outcome years, with half being placed with relatives in 2016</w:t>
      </w:r>
      <w:r w:rsidR="00071571">
        <w:t xml:space="preserve"> (see below in Table </w:t>
      </w:r>
      <w:r w:rsidR="00073142">
        <w:t>2</w:t>
      </w:r>
      <w:r w:rsidR="00071571">
        <w:t>)</w:t>
      </w:r>
      <w:r w:rsidRPr="00440792">
        <w:t xml:space="preserve">.  </w:t>
      </w:r>
    </w:p>
    <w:p w:rsidR="00071571" w:rsidRDefault="00071571" w:rsidP="008A5C92"/>
    <w:p w:rsidR="00071571" w:rsidRPr="00440792" w:rsidRDefault="00071571" w:rsidP="00071571">
      <w:pPr>
        <w:pStyle w:val="Heading4"/>
      </w:pPr>
      <w:r>
        <w:t xml:space="preserve">Table </w:t>
      </w:r>
      <w:r w:rsidR="00073142">
        <w:t>2</w:t>
      </w:r>
      <w:r>
        <w:t>. Relative Placements 2011-2016</w:t>
      </w:r>
    </w:p>
    <w:tbl>
      <w:tblPr>
        <w:tblW w:w="10365" w:type="dxa"/>
        <w:tblInd w:w="90" w:type="dxa"/>
        <w:tblLook w:val="04A0" w:firstRow="1" w:lastRow="0" w:firstColumn="1" w:lastColumn="0" w:noHBand="0" w:noVBand="1"/>
      </w:tblPr>
      <w:tblGrid>
        <w:gridCol w:w="3510"/>
        <w:gridCol w:w="1141"/>
        <w:gridCol w:w="1319"/>
        <w:gridCol w:w="964"/>
        <w:gridCol w:w="1142"/>
        <w:gridCol w:w="1142"/>
        <w:gridCol w:w="1138"/>
        <w:gridCol w:w="9"/>
      </w:tblGrid>
      <w:tr w:rsidR="008A5C92" w:rsidRPr="00440792" w:rsidTr="008A5C92">
        <w:trPr>
          <w:gridAfter w:val="1"/>
          <w:wAfter w:w="9" w:type="dxa"/>
          <w:trHeight w:val="206"/>
        </w:trPr>
        <w:tc>
          <w:tcPr>
            <w:tcW w:w="3510" w:type="dxa"/>
            <w:tcBorders>
              <w:top w:val="nil"/>
              <w:left w:val="nil"/>
              <w:bottom w:val="nil"/>
              <w:right w:val="nil"/>
            </w:tcBorders>
            <w:shd w:val="clear" w:color="auto" w:fill="auto"/>
            <w:vAlign w:val="bottom"/>
            <w:hideMark/>
          </w:tcPr>
          <w:p w:rsidR="008A5C92" w:rsidRPr="00440792" w:rsidRDefault="008A5C92" w:rsidP="006B1A5A">
            <w:pPr>
              <w:rPr>
                <w:rFonts w:ascii="Times New Roman" w:eastAsia="Times New Roman" w:hAnsi="Times New Roman"/>
                <w:sz w:val="20"/>
                <w:szCs w:val="20"/>
              </w:rPr>
            </w:pPr>
            <w:r>
              <w:t xml:space="preserve">  </w:t>
            </w:r>
          </w:p>
        </w:tc>
        <w:tc>
          <w:tcPr>
            <w:tcW w:w="2460" w:type="dxa"/>
            <w:gridSpan w:val="2"/>
            <w:tcBorders>
              <w:top w:val="single" w:sz="4" w:space="0" w:color="auto"/>
              <w:left w:val="single" w:sz="4" w:space="0" w:color="auto"/>
              <w:right w:val="single" w:sz="4" w:space="0" w:color="auto"/>
            </w:tcBorders>
            <w:shd w:val="clear" w:color="auto" w:fill="auto"/>
            <w:vAlign w:val="bottom"/>
          </w:tcPr>
          <w:p w:rsidR="008A5C92" w:rsidRPr="00440792" w:rsidRDefault="008A5C92" w:rsidP="006B1A5A">
            <w:pPr>
              <w:jc w:val="center"/>
              <w:rPr>
                <w:rFonts w:eastAsia="Times New Roman"/>
                <w:color w:val="000000"/>
                <w:sz w:val="20"/>
                <w:szCs w:val="18"/>
                <w:u w:val="single"/>
              </w:rPr>
            </w:pPr>
            <w:r w:rsidRPr="00440792">
              <w:rPr>
                <w:rFonts w:eastAsia="Times New Roman"/>
                <w:color w:val="000000"/>
                <w:sz w:val="20"/>
                <w:szCs w:val="18"/>
                <w:u w:val="single"/>
              </w:rPr>
              <w:t>Baseline</w:t>
            </w:r>
          </w:p>
        </w:tc>
        <w:tc>
          <w:tcPr>
            <w:tcW w:w="4386" w:type="dxa"/>
            <w:gridSpan w:val="4"/>
            <w:tcBorders>
              <w:top w:val="single" w:sz="4" w:space="0" w:color="auto"/>
              <w:left w:val="single" w:sz="4" w:space="0" w:color="auto"/>
              <w:right w:val="single" w:sz="4" w:space="0" w:color="auto"/>
            </w:tcBorders>
            <w:shd w:val="clear" w:color="auto" w:fill="auto"/>
            <w:vAlign w:val="bottom"/>
          </w:tcPr>
          <w:p w:rsidR="008A5C92" w:rsidRPr="00440792" w:rsidRDefault="008A5C92" w:rsidP="006B1A5A">
            <w:pPr>
              <w:jc w:val="center"/>
              <w:rPr>
                <w:rFonts w:eastAsia="Times New Roman"/>
                <w:color w:val="000000"/>
                <w:sz w:val="20"/>
                <w:szCs w:val="18"/>
                <w:u w:val="single"/>
              </w:rPr>
            </w:pPr>
            <w:r w:rsidRPr="00440792">
              <w:rPr>
                <w:rFonts w:eastAsia="Times New Roman"/>
                <w:color w:val="000000"/>
                <w:sz w:val="20"/>
                <w:szCs w:val="18"/>
                <w:u w:val="single"/>
              </w:rPr>
              <w:t>Outcome Years</w:t>
            </w:r>
          </w:p>
        </w:tc>
      </w:tr>
      <w:tr w:rsidR="008A5C92" w:rsidRPr="00440792" w:rsidTr="008A5C92">
        <w:trPr>
          <w:trHeight w:val="514"/>
        </w:trPr>
        <w:tc>
          <w:tcPr>
            <w:tcW w:w="3510" w:type="dxa"/>
            <w:tcBorders>
              <w:top w:val="nil"/>
              <w:left w:val="nil"/>
              <w:bottom w:val="single" w:sz="4" w:space="0" w:color="auto"/>
              <w:right w:val="nil"/>
            </w:tcBorders>
            <w:shd w:val="clear" w:color="auto" w:fill="auto"/>
            <w:vAlign w:val="bottom"/>
            <w:hideMark/>
          </w:tcPr>
          <w:p w:rsidR="008A5C92" w:rsidRPr="00440792" w:rsidRDefault="008A5C92" w:rsidP="006B1A5A">
            <w:pPr>
              <w:rPr>
                <w:rFonts w:ascii="Times New Roman" w:eastAsia="Times New Roman" w:hAnsi="Times New Roman"/>
                <w:sz w:val="20"/>
                <w:szCs w:val="20"/>
              </w:rPr>
            </w:pPr>
          </w:p>
        </w:tc>
        <w:tc>
          <w:tcPr>
            <w:tcW w:w="1141" w:type="dxa"/>
            <w:tcBorders>
              <w:top w:val="nil"/>
              <w:left w:val="single" w:sz="4" w:space="0" w:color="auto"/>
              <w:bottom w:val="single" w:sz="4" w:space="0" w:color="auto"/>
              <w:right w:val="nil"/>
            </w:tcBorders>
            <w:shd w:val="clear" w:color="auto" w:fill="auto"/>
            <w:vAlign w:val="bottom"/>
            <w:hideMark/>
          </w:tcPr>
          <w:p w:rsidR="008A5C92" w:rsidRPr="00440792" w:rsidRDefault="008A5C92" w:rsidP="006B1A5A">
            <w:pPr>
              <w:jc w:val="center"/>
              <w:rPr>
                <w:rFonts w:eastAsia="Times New Roman"/>
                <w:color w:val="000000"/>
                <w:sz w:val="20"/>
                <w:szCs w:val="18"/>
              </w:rPr>
            </w:pPr>
            <w:r w:rsidRPr="00440792">
              <w:rPr>
                <w:rFonts w:eastAsia="Times New Roman"/>
                <w:color w:val="000000"/>
                <w:sz w:val="20"/>
                <w:szCs w:val="18"/>
              </w:rPr>
              <w:t>2011</w:t>
            </w:r>
          </w:p>
        </w:tc>
        <w:tc>
          <w:tcPr>
            <w:tcW w:w="1319" w:type="dxa"/>
            <w:tcBorders>
              <w:top w:val="nil"/>
              <w:left w:val="nil"/>
              <w:bottom w:val="single" w:sz="4" w:space="0" w:color="auto"/>
              <w:right w:val="single" w:sz="4" w:space="0" w:color="auto"/>
            </w:tcBorders>
            <w:shd w:val="clear" w:color="auto" w:fill="auto"/>
            <w:vAlign w:val="bottom"/>
            <w:hideMark/>
          </w:tcPr>
          <w:p w:rsidR="008A5C92" w:rsidRPr="00440792" w:rsidRDefault="008A5C92" w:rsidP="006B1A5A">
            <w:pPr>
              <w:jc w:val="center"/>
              <w:rPr>
                <w:rFonts w:eastAsia="Times New Roman"/>
                <w:color w:val="000000"/>
                <w:sz w:val="20"/>
                <w:szCs w:val="18"/>
              </w:rPr>
            </w:pPr>
            <w:r w:rsidRPr="00440792">
              <w:rPr>
                <w:rFonts w:eastAsia="Times New Roman"/>
                <w:color w:val="000000"/>
                <w:sz w:val="20"/>
                <w:szCs w:val="18"/>
              </w:rPr>
              <w:t>2012</w:t>
            </w:r>
          </w:p>
        </w:tc>
        <w:tc>
          <w:tcPr>
            <w:tcW w:w="964" w:type="dxa"/>
            <w:tcBorders>
              <w:top w:val="nil"/>
              <w:left w:val="nil"/>
              <w:bottom w:val="single" w:sz="4" w:space="0" w:color="auto"/>
              <w:right w:val="nil"/>
            </w:tcBorders>
            <w:shd w:val="clear" w:color="auto" w:fill="auto"/>
            <w:vAlign w:val="bottom"/>
            <w:hideMark/>
          </w:tcPr>
          <w:p w:rsidR="008A5C92" w:rsidRPr="00440792" w:rsidRDefault="008A5C92" w:rsidP="006B1A5A">
            <w:pPr>
              <w:jc w:val="center"/>
              <w:rPr>
                <w:rFonts w:eastAsia="Times New Roman"/>
                <w:color w:val="000000"/>
                <w:sz w:val="20"/>
                <w:szCs w:val="18"/>
              </w:rPr>
            </w:pPr>
            <w:r w:rsidRPr="00440792">
              <w:rPr>
                <w:rFonts w:eastAsia="Times New Roman"/>
                <w:color w:val="000000"/>
                <w:sz w:val="20"/>
                <w:szCs w:val="18"/>
              </w:rPr>
              <w:t>2013</w:t>
            </w:r>
          </w:p>
        </w:tc>
        <w:tc>
          <w:tcPr>
            <w:tcW w:w="1142" w:type="dxa"/>
            <w:tcBorders>
              <w:top w:val="nil"/>
              <w:left w:val="nil"/>
              <w:bottom w:val="single" w:sz="4" w:space="0" w:color="auto"/>
            </w:tcBorders>
            <w:shd w:val="clear" w:color="auto" w:fill="auto"/>
            <w:vAlign w:val="bottom"/>
            <w:hideMark/>
          </w:tcPr>
          <w:p w:rsidR="008A5C92" w:rsidRPr="00440792" w:rsidRDefault="008A5C92" w:rsidP="006B1A5A">
            <w:pPr>
              <w:jc w:val="center"/>
              <w:rPr>
                <w:rFonts w:eastAsia="Times New Roman"/>
                <w:color w:val="000000"/>
                <w:sz w:val="20"/>
                <w:szCs w:val="18"/>
              </w:rPr>
            </w:pPr>
            <w:r w:rsidRPr="00440792">
              <w:rPr>
                <w:rFonts w:eastAsia="Times New Roman"/>
                <w:color w:val="000000"/>
                <w:sz w:val="20"/>
                <w:szCs w:val="18"/>
              </w:rPr>
              <w:t>2014</w:t>
            </w:r>
          </w:p>
        </w:tc>
        <w:tc>
          <w:tcPr>
            <w:tcW w:w="1142" w:type="dxa"/>
            <w:tcBorders>
              <w:top w:val="nil"/>
              <w:bottom w:val="single" w:sz="4" w:space="0" w:color="auto"/>
            </w:tcBorders>
            <w:vAlign w:val="bottom"/>
          </w:tcPr>
          <w:p w:rsidR="008A5C92" w:rsidRPr="00440792" w:rsidRDefault="008A5C92" w:rsidP="006B1A5A">
            <w:pPr>
              <w:jc w:val="center"/>
              <w:rPr>
                <w:rFonts w:eastAsia="Times New Roman"/>
                <w:color w:val="000000"/>
                <w:sz w:val="20"/>
                <w:szCs w:val="18"/>
              </w:rPr>
            </w:pPr>
            <w:r w:rsidRPr="00440792">
              <w:rPr>
                <w:rFonts w:eastAsia="Times New Roman"/>
                <w:color w:val="000000"/>
                <w:sz w:val="20"/>
                <w:szCs w:val="18"/>
              </w:rPr>
              <w:t>2015</w:t>
            </w:r>
          </w:p>
        </w:tc>
        <w:tc>
          <w:tcPr>
            <w:tcW w:w="1147" w:type="dxa"/>
            <w:gridSpan w:val="2"/>
            <w:tcBorders>
              <w:top w:val="nil"/>
              <w:bottom w:val="single" w:sz="4" w:space="0" w:color="auto"/>
              <w:right w:val="single" w:sz="4" w:space="0" w:color="auto"/>
            </w:tcBorders>
            <w:vAlign w:val="bottom"/>
          </w:tcPr>
          <w:p w:rsidR="008A5C92" w:rsidRPr="00440792" w:rsidRDefault="008A5C92" w:rsidP="006B1A5A">
            <w:pPr>
              <w:jc w:val="center"/>
              <w:rPr>
                <w:rFonts w:eastAsia="Times New Roman"/>
                <w:color w:val="000000"/>
                <w:sz w:val="20"/>
                <w:szCs w:val="18"/>
              </w:rPr>
            </w:pPr>
            <w:r w:rsidRPr="00440792">
              <w:rPr>
                <w:rFonts w:eastAsia="Times New Roman"/>
                <w:color w:val="000000"/>
                <w:sz w:val="20"/>
                <w:szCs w:val="18"/>
              </w:rPr>
              <w:t>2016</w:t>
            </w:r>
          </w:p>
        </w:tc>
      </w:tr>
      <w:tr w:rsidR="008A5C92" w:rsidRPr="00440792" w:rsidTr="008A5C92">
        <w:trPr>
          <w:trHeight w:val="303"/>
        </w:trPr>
        <w:tc>
          <w:tcPr>
            <w:tcW w:w="3510" w:type="dxa"/>
            <w:tcBorders>
              <w:top w:val="single" w:sz="4" w:space="0" w:color="auto"/>
              <w:left w:val="single" w:sz="4" w:space="0" w:color="auto"/>
              <w:right w:val="nil"/>
            </w:tcBorders>
            <w:shd w:val="clear" w:color="auto" w:fill="auto"/>
            <w:vAlign w:val="bottom"/>
            <w:hideMark/>
          </w:tcPr>
          <w:p w:rsidR="008A5C92" w:rsidRDefault="008A5C92" w:rsidP="006B1A5A">
            <w:pPr>
              <w:rPr>
                <w:rFonts w:eastAsia="Times New Roman"/>
                <w:color w:val="000000"/>
                <w:sz w:val="20"/>
                <w:szCs w:val="18"/>
              </w:rPr>
            </w:pPr>
            <w:r w:rsidRPr="00440792">
              <w:rPr>
                <w:rFonts w:eastAsia="Times New Roman"/>
                <w:color w:val="000000"/>
                <w:sz w:val="20"/>
                <w:szCs w:val="18"/>
              </w:rPr>
              <w:t xml:space="preserve">Percentage of children placed in out-of-home care with a </w:t>
            </w:r>
            <w:r w:rsidRPr="00440792">
              <w:rPr>
                <w:rFonts w:eastAsia="Times New Roman"/>
                <w:color w:val="000000"/>
                <w:sz w:val="20"/>
                <w:szCs w:val="18"/>
                <w:u w:val="single"/>
              </w:rPr>
              <w:t>relative</w:t>
            </w:r>
            <w:r w:rsidRPr="00440792">
              <w:rPr>
                <w:rFonts w:eastAsia="Times New Roman"/>
                <w:color w:val="000000"/>
                <w:sz w:val="20"/>
                <w:szCs w:val="18"/>
              </w:rPr>
              <w:t xml:space="preserve"> on 9/30</w:t>
            </w:r>
          </w:p>
          <w:p w:rsidR="008A5C92" w:rsidRPr="00440792" w:rsidRDefault="008A5C92" w:rsidP="006B1A5A">
            <w:pPr>
              <w:rPr>
                <w:rFonts w:eastAsia="Times New Roman"/>
                <w:color w:val="000000"/>
                <w:sz w:val="20"/>
                <w:szCs w:val="18"/>
              </w:rPr>
            </w:pPr>
          </w:p>
        </w:tc>
        <w:tc>
          <w:tcPr>
            <w:tcW w:w="1141" w:type="dxa"/>
            <w:tcBorders>
              <w:top w:val="nil"/>
              <w:left w:val="single" w:sz="4" w:space="0" w:color="auto"/>
              <w:right w:val="nil"/>
            </w:tcBorders>
            <w:shd w:val="clear" w:color="auto" w:fill="auto"/>
            <w:vAlign w:val="center"/>
            <w:hideMark/>
          </w:tcPr>
          <w:p w:rsidR="008A5C92" w:rsidRPr="00440792" w:rsidRDefault="008A5C92" w:rsidP="008A5C92">
            <w:pPr>
              <w:jc w:val="center"/>
              <w:rPr>
                <w:rFonts w:eastAsia="Times New Roman"/>
                <w:color w:val="000000"/>
                <w:sz w:val="20"/>
                <w:szCs w:val="18"/>
              </w:rPr>
            </w:pPr>
            <w:r w:rsidRPr="00440792">
              <w:rPr>
                <w:rFonts w:eastAsia="Times New Roman"/>
                <w:color w:val="000000"/>
                <w:sz w:val="20"/>
                <w:szCs w:val="18"/>
              </w:rPr>
              <w:t>37.0%</w:t>
            </w:r>
          </w:p>
        </w:tc>
        <w:tc>
          <w:tcPr>
            <w:tcW w:w="1319" w:type="dxa"/>
            <w:tcBorders>
              <w:top w:val="nil"/>
              <w:left w:val="nil"/>
              <w:right w:val="single" w:sz="4" w:space="0" w:color="auto"/>
            </w:tcBorders>
            <w:shd w:val="clear" w:color="auto" w:fill="auto"/>
            <w:vAlign w:val="center"/>
          </w:tcPr>
          <w:p w:rsidR="008A5C92" w:rsidRPr="00440792" w:rsidRDefault="008A5C92" w:rsidP="008A5C92">
            <w:pPr>
              <w:jc w:val="center"/>
              <w:rPr>
                <w:rFonts w:eastAsia="Times New Roman"/>
                <w:color w:val="000000"/>
                <w:sz w:val="20"/>
                <w:szCs w:val="18"/>
              </w:rPr>
            </w:pPr>
            <w:r w:rsidRPr="00440792">
              <w:rPr>
                <w:rFonts w:eastAsia="Times New Roman"/>
                <w:color w:val="000000"/>
                <w:sz w:val="20"/>
                <w:szCs w:val="18"/>
              </w:rPr>
              <w:t>39.8%</w:t>
            </w:r>
          </w:p>
        </w:tc>
        <w:tc>
          <w:tcPr>
            <w:tcW w:w="964" w:type="dxa"/>
            <w:tcBorders>
              <w:top w:val="single" w:sz="4" w:space="0" w:color="auto"/>
              <w:left w:val="nil"/>
              <w:right w:val="nil"/>
            </w:tcBorders>
            <w:shd w:val="clear" w:color="auto" w:fill="auto"/>
            <w:vAlign w:val="center"/>
          </w:tcPr>
          <w:p w:rsidR="008A5C92" w:rsidRPr="00440792" w:rsidRDefault="008A5C92" w:rsidP="008A5C92">
            <w:pPr>
              <w:jc w:val="center"/>
              <w:rPr>
                <w:rFonts w:eastAsia="Times New Roman"/>
                <w:color w:val="000000"/>
                <w:sz w:val="20"/>
                <w:szCs w:val="18"/>
              </w:rPr>
            </w:pPr>
            <w:r w:rsidRPr="00440792">
              <w:rPr>
                <w:rFonts w:eastAsia="Times New Roman"/>
                <w:color w:val="000000"/>
                <w:sz w:val="20"/>
                <w:szCs w:val="18"/>
              </w:rPr>
              <w:t>42.3%</w:t>
            </w:r>
          </w:p>
        </w:tc>
        <w:tc>
          <w:tcPr>
            <w:tcW w:w="1142" w:type="dxa"/>
            <w:tcBorders>
              <w:top w:val="single" w:sz="4" w:space="0" w:color="auto"/>
              <w:left w:val="nil"/>
            </w:tcBorders>
            <w:shd w:val="clear" w:color="auto" w:fill="auto"/>
            <w:vAlign w:val="center"/>
          </w:tcPr>
          <w:p w:rsidR="008A5C92" w:rsidRPr="00440792" w:rsidRDefault="008A5C92" w:rsidP="008A5C92">
            <w:pPr>
              <w:jc w:val="center"/>
              <w:rPr>
                <w:rFonts w:eastAsia="Times New Roman"/>
                <w:color w:val="000000"/>
                <w:sz w:val="20"/>
                <w:szCs w:val="18"/>
              </w:rPr>
            </w:pPr>
            <w:r w:rsidRPr="00440792">
              <w:rPr>
                <w:rFonts w:eastAsia="Times New Roman"/>
                <w:color w:val="000000"/>
                <w:sz w:val="20"/>
                <w:szCs w:val="18"/>
              </w:rPr>
              <w:t>45.0%</w:t>
            </w:r>
          </w:p>
        </w:tc>
        <w:tc>
          <w:tcPr>
            <w:tcW w:w="1142" w:type="dxa"/>
            <w:tcBorders>
              <w:top w:val="single" w:sz="4" w:space="0" w:color="auto"/>
            </w:tcBorders>
            <w:vAlign w:val="center"/>
          </w:tcPr>
          <w:p w:rsidR="008A5C92" w:rsidRPr="00440792" w:rsidRDefault="008A5C92" w:rsidP="008A5C92">
            <w:pPr>
              <w:jc w:val="center"/>
              <w:rPr>
                <w:rFonts w:eastAsia="Times New Roman"/>
                <w:color w:val="000000"/>
                <w:sz w:val="20"/>
                <w:szCs w:val="18"/>
              </w:rPr>
            </w:pPr>
            <w:r w:rsidRPr="00440792">
              <w:rPr>
                <w:rFonts w:eastAsia="Times New Roman"/>
                <w:color w:val="000000"/>
                <w:sz w:val="20"/>
                <w:szCs w:val="18"/>
              </w:rPr>
              <w:t>48.3%</w:t>
            </w:r>
          </w:p>
        </w:tc>
        <w:tc>
          <w:tcPr>
            <w:tcW w:w="1147" w:type="dxa"/>
            <w:gridSpan w:val="2"/>
            <w:tcBorders>
              <w:top w:val="single" w:sz="4" w:space="0" w:color="auto"/>
              <w:right w:val="single" w:sz="4" w:space="0" w:color="auto"/>
            </w:tcBorders>
            <w:vAlign w:val="center"/>
          </w:tcPr>
          <w:p w:rsidR="008A5C92" w:rsidRPr="00440792" w:rsidRDefault="008A5C92" w:rsidP="008A5C92">
            <w:pPr>
              <w:jc w:val="center"/>
              <w:rPr>
                <w:rFonts w:eastAsia="Times New Roman"/>
                <w:color w:val="000000"/>
                <w:sz w:val="20"/>
                <w:szCs w:val="18"/>
              </w:rPr>
            </w:pPr>
            <w:r w:rsidRPr="00440792">
              <w:rPr>
                <w:rFonts w:eastAsia="Times New Roman"/>
                <w:color w:val="000000"/>
                <w:sz w:val="20"/>
                <w:szCs w:val="18"/>
              </w:rPr>
              <w:t>50.4%</w:t>
            </w:r>
          </w:p>
        </w:tc>
      </w:tr>
      <w:tr w:rsidR="008A5C92" w:rsidRPr="00440792" w:rsidTr="008A5C92">
        <w:trPr>
          <w:trHeight w:val="303"/>
        </w:trPr>
        <w:tc>
          <w:tcPr>
            <w:tcW w:w="3510" w:type="dxa"/>
            <w:tcBorders>
              <w:top w:val="nil"/>
              <w:left w:val="single" w:sz="4" w:space="0" w:color="auto"/>
              <w:bottom w:val="single" w:sz="4" w:space="0" w:color="auto"/>
              <w:right w:val="nil"/>
            </w:tcBorders>
            <w:shd w:val="clear" w:color="auto" w:fill="auto"/>
            <w:vAlign w:val="bottom"/>
            <w:hideMark/>
          </w:tcPr>
          <w:p w:rsidR="008A5C92" w:rsidRPr="00440792" w:rsidRDefault="008A5C92" w:rsidP="006B1A5A">
            <w:pPr>
              <w:rPr>
                <w:rFonts w:eastAsia="Times New Roman"/>
                <w:color w:val="000000"/>
                <w:sz w:val="20"/>
                <w:szCs w:val="18"/>
              </w:rPr>
            </w:pPr>
            <w:r w:rsidRPr="00440792">
              <w:rPr>
                <w:rFonts w:eastAsia="Times New Roman"/>
                <w:color w:val="000000"/>
                <w:sz w:val="20"/>
                <w:szCs w:val="18"/>
              </w:rPr>
              <w:t xml:space="preserve">Percentage of children placed in out-of-home care with a </w:t>
            </w:r>
            <w:r w:rsidRPr="00440792">
              <w:rPr>
                <w:rFonts w:eastAsia="Times New Roman"/>
                <w:color w:val="000000"/>
                <w:sz w:val="20"/>
                <w:szCs w:val="18"/>
                <w:u w:val="single"/>
              </w:rPr>
              <w:t>non-relative</w:t>
            </w:r>
            <w:r w:rsidRPr="00440792">
              <w:rPr>
                <w:rFonts w:eastAsia="Times New Roman"/>
                <w:color w:val="000000"/>
                <w:sz w:val="20"/>
                <w:szCs w:val="18"/>
              </w:rPr>
              <w:t xml:space="preserve"> on 9/30</w:t>
            </w:r>
          </w:p>
        </w:tc>
        <w:tc>
          <w:tcPr>
            <w:tcW w:w="1141" w:type="dxa"/>
            <w:tcBorders>
              <w:top w:val="nil"/>
              <w:left w:val="single" w:sz="4" w:space="0" w:color="auto"/>
              <w:bottom w:val="single" w:sz="4" w:space="0" w:color="auto"/>
              <w:right w:val="nil"/>
            </w:tcBorders>
            <w:shd w:val="clear" w:color="auto" w:fill="auto"/>
            <w:vAlign w:val="center"/>
            <w:hideMark/>
          </w:tcPr>
          <w:p w:rsidR="008A5C92" w:rsidRPr="00440792" w:rsidRDefault="008A5C92" w:rsidP="008A5C92">
            <w:pPr>
              <w:jc w:val="center"/>
              <w:rPr>
                <w:rFonts w:eastAsia="Times New Roman"/>
                <w:color w:val="000000"/>
                <w:sz w:val="20"/>
                <w:szCs w:val="18"/>
              </w:rPr>
            </w:pPr>
            <w:r w:rsidRPr="00440792">
              <w:rPr>
                <w:rFonts w:eastAsia="Times New Roman"/>
                <w:color w:val="000000"/>
                <w:sz w:val="20"/>
                <w:szCs w:val="18"/>
              </w:rPr>
              <w:t>63.0%</w:t>
            </w:r>
          </w:p>
        </w:tc>
        <w:tc>
          <w:tcPr>
            <w:tcW w:w="1319" w:type="dxa"/>
            <w:tcBorders>
              <w:top w:val="nil"/>
              <w:left w:val="nil"/>
              <w:bottom w:val="single" w:sz="4" w:space="0" w:color="auto"/>
              <w:right w:val="single" w:sz="4" w:space="0" w:color="auto"/>
            </w:tcBorders>
            <w:shd w:val="clear" w:color="auto" w:fill="auto"/>
            <w:vAlign w:val="center"/>
          </w:tcPr>
          <w:p w:rsidR="008A5C92" w:rsidRPr="00440792" w:rsidRDefault="008A5C92" w:rsidP="008A5C92">
            <w:pPr>
              <w:jc w:val="center"/>
              <w:rPr>
                <w:rFonts w:eastAsia="Times New Roman"/>
                <w:color w:val="000000"/>
                <w:sz w:val="20"/>
                <w:szCs w:val="18"/>
              </w:rPr>
            </w:pPr>
            <w:r w:rsidRPr="00440792">
              <w:rPr>
                <w:rFonts w:eastAsia="Times New Roman"/>
                <w:color w:val="000000"/>
                <w:sz w:val="20"/>
                <w:szCs w:val="18"/>
              </w:rPr>
              <w:t>60.2%</w:t>
            </w:r>
          </w:p>
        </w:tc>
        <w:tc>
          <w:tcPr>
            <w:tcW w:w="964" w:type="dxa"/>
            <w:tcBorders>
              <w:top w:val="nil"/>
              <w:left w:val="nil"/>
              <w:bottom w:val="single" w:sz="4" w:space="0" w:color="auto"/>
              <w:right w:val="nil"/>
            </w:tcBorders>
            <w:shd w:val="clear" w:color="auto" w:fill="auto"/>
            <w:vAlign w:val="center"/>
          </w:tcPr>
          <w:p w:rsidR="008A5C92" w:rsidRPr="00440792" w:rsidRDefault="008A5C92" w:rsidP="008A5C92">
            <w:pPr>
              <w:jc w:val="center"/>
              <w:rPr>
                <w:rFonts w:eastAsia="Times New Roman"/>
                <w:color w:val="000000"/>
                <w:sz w:val="20"/>
                <w:szCs w:val="18"/>
              </w:rPr>
            </w:pPr>
            <w:r w:rsidRPr="00440792">
              <w:rPr>
                <w:rFonts w:eastAsia="Times New Roman"/>
                <w:color w:val="000000"/>
                <w:sz w:val="20"/>
                <w:szCs w:val="18"/>
              </w:rPr>
              <w:t>55.4%</w:t>
            </w:r>
          </w:p>
        </w:tc>
        <w:tc>
          <w:tcPr>
            <w:tcW w:w="1142" w:type="dxa"/>
            <w:tcBorders>
              <w:top w:val="nil"/>
              <w:left w:val="nil"/>
              <w:bottom w:val="single" w:sz="4" w:space="0" w:color="auto"/>
            </w:tcBorders>
            <w:shd w:val="clear" w:color="auto" w:fill="auto"/>
            <w:vAlign w:val="center"/>
          </w:tcPr>
          <w:p w:rsidR="008A5C92" w:rsidRPr="00440792" w:rsidRDefault="008A5C92" w:rsidP="008A5C92">
            <w:pPr>
              <w:jc w:val="center"/>
              <w:rPr>
                <w:rFonts w:eastAsia="Times New Roman"/>
                <w:color w:val="000000"/>
                <w:sz w:val="20"/>
                <w:szCs w:val="18"/>
              </w:rPr>
            </w:pPr>
            <w:r w:rsidRPr="00440792">
              <w:rPr>
                <w:rFonts w:eastAsia="Times New Roman"/>
                <w:color w:val="000000"/>
                <w:sz w:val="20"/>
                <w:szCs w:val="18"/>
              </w:rPr>
              <w:t>53.3%</w:t>
            </w:r>
          </w:p>
        </w:tc>
        <w:tc>
          <w:tcPr>
            <w:tcW w:w="1142" w:type="dxa"/>
            <w:tcBorders>
              <w:bottom w:val="single" w:sz="4" w:space="0" w:color="auto"/>
            </w:tcBorders>
            <w:vAlign w:val="center"/>
          </w:tcPr>
          <w:p w:rsidR="008A5C92" w:rsidRPr="00440792" w:rsidRDefault="008A5C92" w:rsidP="008A5C92">
            <w:pPr>
              <w:jc w:val="center"/>
              <w:rPr>
                <w:rFonts w:eastAsia="Times New Roman"/>
                <w:color w:val="000000"/>
                <w:sz w:val="20"/>
                <w:szCs w:val="18"/>
              </w:rPr>
            </w:pPr>
            <w:r w:rsidRPr="00440792">
              <w:rPr>
                <w:rFonts w:eastAsia="Times New Roman"/>
                <w:color w:val="000000"/>
                <w:sz w:val="20"/>
                <w:szCs w:val="18"/>
              </w:rPr>
              <w:t>50.0%</w:t>
            </w:r>
          </w:p>
        </w:tc>
        <w:tc>
          <w:tcPr>
            <w:tcW w:w="1147" w:type="dxa"/>
            <w:gridSpan w:val="2"/>
            <w:tcBorders>
              <w:bottom w:val="single" w:sz="4" w:space="0" w:color="auto"/>
              <w:right w:val="single" w:sz="4" w:space="0" w:color="auto"/>
            </w:tcBorders>
            <w:vAlign w:val="center"/>
          </w:tcPr>
          <w:p w:rsidR="008A5C92" w:rsidRPr="00440792" w:rsidRDefault="008A5C92" w:rsidP="008A5C92">
            <w:pPr>
              <w:jc w:val="center"/>
              <w:rPr>
                <w:rFonts w:eastAsia="Times New Roman"/>
                <w:color w:val="000000"/>
                <w:sz w:val="20"/>
                <w:szCs w:val="18"/>
              </w:rPr>
            </w:pPr>
            <w:r w:rsidRPr="00440792">
              <w:rPr>
                <w:rFonts w:eastAsia="Times New Roman"/>
                <w:color w:val="000000"/>
                <w:sz w:val="20"/>
                <w:szCs w:val="18"/>
              </w:rPr>
              <w:t>47.9%</w:t>
            </w:r>
          </w:p>
        </w:tc>
      </w:tr>
    </w:tbl>
    <w:p w:rsidR="003F6CBD" w:rsidRDefault="003F6CBD" w:rsidP="00EA34BF"/>
    <w:p w:rsidR="00C7720A" w:rsidRDefault="00C7720A" w:rsidP="00EA34BF"/>
    <w:p w:rsidR="00EA34BF" w:rsidRDefault="003F6CBD" w:rsidP="00EA34BF">
      <w:r>
        <w:t>Q</w:t>
      </w:r>
      <w:r w:rsidR="00EA34BF">
        <w:t>SR data are available to better investigate relative placements in regards to the main goals of the Waiver – Safety, permanency, and well-being.</w:t>
      </w:r>
    </w:p>
    <w:p w:rsidR="00EA34BF" w:rsidRDefault="00EA34BF" w:rsidP="00EA34BF">
      <w:r>
        <w:t>The QSR provides data from the following years:</w:t>
      </w:r>
    </w:p>
    <w:p w:rsidR="00EA34BF" w:rsidRPr="00440792" w:rsidRDefault="00EA34BF" w:rsidP="0032600F">
      <w:pPr>
        <w:pStyle w:val="ListParagraph"/>
        <w:numPr>
          <w:ilvl w:val="0"/>
          <w:numId w:val="26"/>
        </w:numPr>
        <w:spacing w:after="0" w:line="240" w:lineRule="auto"/>
        <w:rPr>
          <w:rFonts w:ascii="Calibri" w:eastAsia="Malgun Gothic" w:hAnsi="Calibri"/>
        </w:rPr>
      </w:pPr>
      <w:r w:rsidRPr="00440792">
        <w:rPr>
          <w:rFonts w:ascii="Calibri" w:eastAsia="Malgun Gothic" w:hAnsi="Calibri"/>
        </w:rPr>
        <w:t xml:space="preserve">Round 1 (R1 in the Figures) based on a representative state-wide sample of 512 cases reviewed between July 2007 and June 2009 and </w:t>
      </w:r>
    </w:p>
    <w:p w:rsidR="00EA34BF" w:rsidRPr="00440792" w:rsidRDefault="00EA34BF" w:rsidP="0032600F">
      <w:pPr>
        <w:pStyle w:val="ListParagraph"/>
        <w:numPr>
          <w:ilvl w:val="0"/>
          <w:numId w:val="26"/>
        </w:numPr>
        <w:spacing w:after="0" w:line="240" w:lineRule="auto"/>
        <w:rPr>
          <w:rFonts w:ascii="Calibri" w:eastAsia="Malgun Gothic" w:hAnsi="Calibri"/>
        </w:rPr>
      </w:pPr>
      <w:r w:rsidRPr="00440792">
        <w:rPr>
          <w:rFonts w:ascii="Calibri" w:eastAsia="Malgun Gothic" w:hAnsi="Calibri"/>
        </w:rPr>
        <w:t xml:space="preserve">Round 2 (R2 in the Figures), based on a representative state-wide sample of 585 cases reviewed between July 2009 and July 2011, </w:t>
      </w:r>
    </w:p>
    <w:p w:rsidR="00EA34BF" w:rsidRPr="00440792" w:rsidRDefault="00EA34BF" w:rsidP="0032600F">
      <w:pPr>
        <w:pStyle w:val="ListParagraph"/>
        <w:numPr>
          <w:ilvl w:val="0"/>
          <w:numId w:val="26"/>
        </w:numPr>
        <w:spacing w:after="0" w:line="240" w:lineRule="auto"/>
        <w:rPr>
          <w:rFonts w:ascii="Calibri" w:eastAsia="Malgun Gothic" w:hAnsi="Calibri"/>
        </w:rPr>
      </w:pPr>
      <w:r w:rsidRPr="00440792">
        <w:rPr>
          <w:rFonts w:ascii="Calibri" w:eastAsia="Malgun Gothic" w:hAnsi="Calibri"/>
        </w:rPr>
        <w:t xml:space="preserve">Round 3 (R3 in the Figures) based on a representative state-wide sample of 515 cases reviewed between September 2011 and July 2013, </w:t>
      </w:r>
    </w:p>
    <w:p w:rsidR="00EA34BF" w:rsidRPr="00440792" w:rsidRDefault="00EA34BF" w:rsidP="0032600F">
      <w:pPr>
        <w:pStyle w:val="ListParagraph"/>
        <w:numPr>
          <w:ilvl w:val="0"/>
          <w:numId w:val="26"/>
        </w:numPr>
        <w:spacing w:after="0" w:line="240" w:lineRule="auto"/>
        <w:rPr>
          <w:rFonts w:ascii="Calibri" w:eastAsia="Malgun Gothic" w:hAnsi="Calibri"/>
        </w:rPr>
      </w:pPr>
      <w:r w:rsidRPr="00440792">
        <w:rPr>
          <w:rFonts w:ascii="Calibri" w:eastAsia="Malgun Gothic" w:hAnsi="Calibri"/>
        </w:rPr>
        <w:t xml:space="preserve">Round 4 (R4 in the Figures) based on a representative state-wide sample of 497 cases reviewed between September 2013 and April 2015, and </w:t>
      </w:r>
    </w:p>
    <w:p w:rsidR="00EA34BF" w:rsidRDefault="00EA34BF" w:rsidP="0032600F">
      <w:pPr>
        <w:pStyle w:val="ListParagraph"/>
        <w:numPr>
          <w:ilvl w:val="0"/>
          <w:numId w:val="26"/>
        </w:numPr>
        <w:spacing w:after="0" w:line="240" w:lineRule="auto"/>
        <w:rPr>
          <w:rFonts w:ascii="Calibri" w:eastAsia="Malgun Gothic" w:hAnsi="Calibri"/>
        </w:rPr>
      </w:pPr>
      <w:r w:rsidRPr="00440792">
        <w:rPr>
          <w:rFonts w:ascii="Calibri" w:eastAsia="Malgun Gothic" w:hAnsi="Calibri"/>
        </w:rPr>
        <w:t xml:space="preserve">Round 5 (R5 in the Figures) based on a representative state-wide sample of 502 cases reviewed between September 2015 and June 2017.  </w:t>
      </w:r>
    </w:p>
    <w:p w:rsidR="00E37242" w:rsidRDefault="00E37242" w:rsidP="00EA34BF">
      <w:pPr>
        <w:rPr>
          <w:rFonts w:ascii="Calibri" w:eastAsia="Malgun Gothic" w:hAnsi="Calibri"/>
        </w:rPr>
      </w:pPr>
    </w:p>
    <w:p w:rsidR="00EA34BF" w:rsidRDefault="00EA34BF" w:rsidP="00EA34BF">
      <w:pPr>
        <w:rPr>
          <w:rFonts w:ascii="Calibri" w:eastAsia="Malgun Gothic" w:hAnsi="Calibri"/>
        </w:rPr>
      </w:pPr>
      <w:r>
        <w:rPr>
          <w:rFonts w:ascii="Calibri" w:eastAsia="Malgun Gothic" w:hAnsi="Calibri"/>
        </w:rPr>
        <w:t>This analysis uses all cases in the QSR (2611) from 2007 to 2017 to investigate the role of relative placements on the primary outcomes of safety, permanency, and well-being.</w:t>
      </w:r>
    </w:p>
    <w:p w:rsidR="00EA34BF" w:rsidRDefault="00EA34BF" w:rsidP="00EA34BF">
      <w:pPr>
        <w:rPr>
          <w:rFonts w:ascii="Calibri" w:eastAsia="Malgun Gothic" w:hAnsi="Calibri"/>
        </w:rPr>
      </w:pPr>
      <w:r>
        <w:rPr>
          <w:rFonts w:ascii="Calibri" w:eastAsia="Malgun Gothic" w:hAnsi="Calibri"/>
        </w:rPr>
        <w:t xml:space="preserve">Definitions of the indicators can be found in </w:t>
      </w:r>
      <w:r w:rsidRPr="003C70CE">
        <w:rPr>
          <w:rFonts w:ascii="Calibri" w:eastAsia="Malgun Gothic" w:hAnsi="Calibri"/>
          <w:b/>
          <w:i/>
        </w:rPr>
        <w:t>Appendix A</w:t>
      </w:r>
      <w:r>
        <w:rPr>
          <w:rFonts w:ascii="Calibri" w:eastAsia="Malgun Gothic" w:hAnsi="Calibri"/>
        </w:rPr>
        <w:t>.</w:t>
      </w:r>
    </w:p>
    <w:p w:rsidR="00EA34BF" w:rsidRDefault="00EA34BF" w:rsidP="00EA34BF">
      <w:pPr>
        <w:rPr>
          <w:rFonts w:ascii="Calibri" w:eastAsia="Malgun Gothic" w:hAnsi="Calibri"/>
        </w:rPr>
      </w:pPr>
      <w:r>
        <w:rPr>
          <w:rFonts w:ascii="Calibri" w:eastAsia="Malgun Gothic" w:hAnsi="Calibri"/>
        </w:rPr>
        <w:br w:type="page"/>
      </w:r>
    </w:p>
    <w:p w:rsidR="00EA34BF" w:rsidRPr="00D33CBC" w:rsidRDefault="00EA34BF" w:rsidP="00EA34BF">
      <w:pPr>
        <w:pStyle w:val="Heading4"/>
      </w:pPr>
      <w:r w:rsidRPr="00D33CBC">
        <w:t xml:space="preserve">Table </w:t>
      </w:r>
      <w:r w:rsidR="00073142">
        <w:t>3</w:t>
      </w:r>
      <w:r w:rsidRPr="00D33CBC">
        <w:t>. Differences between Custodial (in-home), relative placements, and non-relative placements</w:t>
      </w:r>
    </w:p>
    <w:tbl>
      <w:tblPr>
        <w:tblStyle w:val="GridTable4-Accent111"/>
        <w:tblW w:w="0" w:type="auto"/>
        <w:tblLayout w:type="fixed"/>
        <w:tblLook w:val="04A0" w:firstRow="1" w:lastRow="0" w:firstColumn="1" w:lastColumn="0" w:noHBand="0" w:noVBand="1"/>
      </w:tblPr>
      <w:tblGrid>
        <w:gridCol w:w="3235"/>
        <w:gridCol w:w="1223"/>
        <w:gridCol w:w="1223"/>
        <w:gridCol w:w="1223"/>
        <w:gridCol w:w="1371"/>
        <w:gridCol w:w="1075"/>
      </w:tblGrid>
      <w:tr w:rsidR="00EA34BF" w:rsidRPr="00D33CBC" w:rsidTr="005178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Borders>
              <w:top w:val="none" w:sz="0" w:space="0" w:color="auto"/>
              <w:left w:val="none" w:sz="0" w:space="0" w:color="auto"/>
              <w:bottom w:val="none" w:sz="0" w:space="0" w:color="auto"/>
              <w:right w:val="none" w:sz="0" w:space="0" w:color="auto"/>
            </w:tcBorders>
            <w:vAlign w:val="bottom"/>
          </w:tcPr>
          <w:p w:rsidR="00EA34BF" w:rsidRPr="00D33CBC" w:rsidRDefault="005178E4" w:rsidP="005178E4">
            <w:r>
              <w:t>Outcome and Practice Indicators</w:t>
            </w:r>
          </w:p>
        </w:tc>
        <w:tc>
          <w:tcPr>
            <w:tcW w:w="1223" w:type="dxa"/>
            <w:tcBorders>
              <w:top w:val="none" w:sz="0" w:space="0" w:color="auto"/>
              <w:left w:val="none" w:sz="0" w:space="0" w:color="auto"/>
              <w:bottom w:val="none" w:sz="0" w:space="0" w:color="auto"/>
              <w:right w:val="none" w:sz="0" w:space="0" w:color="auto"/>
            </w:tcBorders>
            <w:vAlign w:val="bottom"/>
          </w:tcPr>
          <w:p w:rsidR="00EA34BF" w:rsidRPr="00D33CBC" w:rsidRDefault="00EA34BF" w:rsidP="005178E4">
            <w:pPr>
              <w:jc w:val="center"/>
              <w:cnfStyle w:val="100000000000" w:firstRow="1" w:lastRow="0" w:firstColumn="0" w:lastColumn="0" w:oddVBand="0" w:evenVBand="0" w:oddHBand="0" w:evenHBand="0" w:firstRowFirstColumn="0" w:firstRowLastColumn="0" w:lastRowFirstColumn="0" w:lastRowLastColumn="0"/>
            </w:pPr>
            <w:r w:rsidRPr="00D33CBC">
              <w:t>Custodial Home (C</w:t>
            </w:r>
            <w:r w:rsidR="00324D7E" w:rsidRPr="002F6157">
              <w:rPr>
                <w:vertAlign w:val="superscript"/>
              </w:rPr>
              <w:t>†</w:t>
            </w:r>
            <w:r w:rsidRPr="00D33CBC">
              <w:t>)</w:t>
            </w:r>
          </w:p>
        </w:tc>
        <w:tc>
          <w:tcPr>
            <w:tcW w:w="1223" w:type="dxa"/>
            <w:tcBorders>
              <w:top w:val="none" w:sz="0" w:space="0" w:color="auto"/>
              <w:left w:val="none" w:sz="0" w:space="0" w:color="auto"/>
              <w:bottom w:val="none" w:sz="0" w:space="0" w:color="auto"/>
              <w:right w:val="none" w:sz="0" w:space="0" w:color="auto"/>
            </w:tcBorders>
            <w:vAlign w:val="bottom"/>
          </w:tcPr>
          <w:p w:rsidR="00EA34BF" w:rsidRPr="00D33CBC" w:rsidRDefault="00EA34BF" w:rsidP="005178E4">
            <w:pPr>
              <w:jc w:val="center"/>
              <w:cnfStyle w:val="100000000000" w:firstRow="1" w:lastRow="0" w:firstColumn="0" w:lastColumn="0" w:oddVBand="0" w:evenVBand="0" w:oddHBand="0" w:evenHBand="0" w:firstRowFirstColumn="0" w:firstRowLastColumn="0" w:lastRowFirstColumn="0" w:lastRowLastColumn="0"/>
            </w:pPr>
            <w:r w:rsidRPr="00D33CBC">
              <w:t>Relative Home</w:t>
            </w:r>
          </w:p>
          <w:p w:rsidR="00EA34BF" w:rsidRPr="00D33CBC" w:rsidRDefault="00EA34BF" w:rsidP="005178E4">
            <w:pPr>
              <w:jc w:val="center"/>
              <w:cnfStyle w:val="100000000000" w:firstRow="1" w:lastRow="0" w:firstColumn="0" w:lastColumn="0" w:oddVBand="0" w:evenVBand="0" w:oddHBand="0" w:evenHBand="0" w:firstRowFirstColumn="0" w:firstRowLastColumn="0" w:lastRowFirstColumn="0" w:lastRowLastColumn="0"/>
            </w:pPr>
            <w:r w:rsidRPr="00D33CBC">
              <w:t>(R</w:t>
            </w:r>
            <w:r w:rsidR="00324D7E" w:rsidRPr="002F6157">
              <w:rPr>
                <w:vertAlign w:val="superscript"/>
              </w:rPr>
              <w:t>‡</w:t>
            </w:r>
            <w:r w:rsidRPr="00D33CBC">
              <w:t>)</w:t>
            </w:r>
          </w:p>
        </w:tc>
        <w:tc>
          <w:tcPr>
            <w:tcW w:w="1223" w:type="dxa"/>
            <w:tcBorders>
              <w:top w:val="none" w:sz="0" w:space="0" w:color="auto"/>
              <w:left w:val="none" w:sz="0" w:space="0" w:color="auto"/>
              <w:bottom w:val="none" w:sz="0" w:space="0" w:color="auto"/>
              <w:right w:val="none" w:sz="0" w:space="0" w:color="auto"/>
            </w:tcBorders>
            <w:vAlign w:val="bottom"/>
          </w:tcPr>
          <w:p w:rsidR="00EA34BF" w:rsidRPr="00D33CBC" w:rsidRDefault="00EA34BF" w:rsidP="005178E4">
            <w:pPr>
              <w:jc w:val="center"/>
              <w:cnfStyle w:val="100000000000" w:firstRow="1" w:lastRow="0" w:firstColumn="0" w:lastColumn="0" w:oddVBand="0" w:evenVBand="0" w:oddHBand="0" w:evenHBand="0" w:firstRowFirstColumn="0" w:firstRowLastColumn="0" w:lastRowFirstColumn="0" w:lastRowLastColumn="0"/>
            </w:pPr>
            <w:r w:rsidRPr="00D33CBC">
              <w:t>Non-relative Home (F</w:t>
            </w:r>
            <w:r w:rsidR="00324D7E" w:rsidRPr="00324D7E">
              <w:rPr>
                <w:vertAlign w:val="superscript"/>
              </w:rPr>
              <w:t>¥</w:t>
            </w:r>
            <w:r w:rsidRPr="00D33CBC">
              <w:t>)</w:t>
            </w:r>
          </w:p>
        </w:tc>
        <w:tc>
          <w:tcPr>
            <w:tcW w:w="1371" w:type="dxa"/>
            <w:tcBorders>
              <w:top w:val="none" w:sz="0" w:space="0" w:color="auto"/>
              <w:left w:val="none" w:sz="0" w:space="0" w:color="auto"/>
              <w:bottom w:val="none" w:sz="0" w:space="0" w:color="auto"/>
              <w:right w:val="none" w:sz="0" w:space="0" w:color="auto"/>
            </w:tcBorders>
            <w:vAlign w:val="bottom"/>
          </w:tcPr>
          <w:p w:rsidR="00EA34BF" w:rsidRPr="00D33CBC" w:rsidRDefault="00EA34BF" w:rsidP="005178E4">
            <w:pPr>
              <w:jc w:val="center"/>
              <w:cnfStyle w:val="100000000000" w:firstRow="1" w:lastRow="0" w:firstColumn="0" w:lastColumn="0" w:oddVBand="0" w:evenVBand="0" w:oddHBand="0" w:evenHBand="0" w:firstRowFirstColumn="0" w:firstRowLastColumn="0" w:lastRowFirstColumn="0" w:lastRowLastColumn="0"/>
            </w:pPr>
            <w:r w:rsidRPr="00D33CBC">
              <w:t>Significance</w:t>
            </w:r>
          </w:p>
        </w:tc>
        <w:tc>
          <w:tcPr>
            <w:tcW w:w="1075" w:type="dxa"/>
            <w:tcBorders>
              <w:top w:val="none" w:sz="0" w:space="0" w:color="auto"/>
              <w:left w:val="none" w:sz="0" w:space="0" w:color="auto"/>
              <w:bottom w:val="none" w:sz="0" w:space="0" w:color="auto"/>
              <w:right w:val="none" w:sz="0" w:space="0" w:color="auto"/>
            </w:tcBorders>
            <w:vAlign w:val="bottom"/>
          </w:tcPr>
          <w:p w:rsidR="00EA34BF" w:rsidRPr="00D33CBC" w:rsidRDefault="00EA34BF" w:rsidP="005178E4">
            <w:pPr>
              <w:jc w:val="center"/>
              <w:cnfStyle w:val="100000000000" w:firstRow="1" w:lastRow="0" w:firstColumn="0" w:lastColumn="0" w:oddVBand="0" w:evenVBand="0" w:oddHBand="0" w:evenHBand="0" w:firstRowFirstColumn="0" w:firstRowLastColumn="0" w:lastRowFirstColumn="0" w:lastRowLastColumn="0"/>
            </w:pPr>
            <w:r w:rsidRPr="00D33CBC">
              <w:t>Post -hoc</w:t>
            </w:r>
          </w:p>
        </w:tc>
      </w:tr>
      <w:tr w:rsidR="005178E4" w:rsidRPr="00D33CBC" w:rsidTr="00517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rsidR="005178E4" w:rsidRPr="005178E4" w:rsidRDefault="005178E4" w:rsidP="005178E4">
            <w:pPr>
              <w:rPr>
                <w:i/>
              </w:rPr>
            </w:pPr>
            <w:r w:rsidRPr="005178E4">
              <w:rPr>
                <w:i/>
              </w:rPr>
              <w:t>Outcome Indicators</w:t>
            </w:r>
          </w:p>
        </w:tc>
        <w:tc>
          <w:tcPr>
            <w:tcW w:w="1223" w:type="dxa"/>
          </w:tcPr>
          <w:p w:rsidR="005178E4" w:rsidRPr="00D33CBC" w:rsidRDefault="005178E4" w:rsidP="005178E4">
            <w:pPr>
              <w:cnfStyle w:val="000000100000" w:firstRow="0" w:lastRow="0" w:firstColumn="0" w:lastColumn="0" w:oddVBand="0" w:evenVBand="0" w:oddHBand="1" w:evenHBand="0" w:firstRowFirstColumn="0" w:firstRowLastColumn="0" w:lastRowFirstColumn="0" w:lastRowLastColumn="0"/>
            </w:pPr>
          </w:p>
        </w:tc>
        <w:tc>
          <w:tcPr>
            <w:tcW w:w="1223" w:type="dxa"/>
          </w:tcPr>
          <w:p w:rsidR="005178E4" w:rsidRPr="00D33CBC" w:rsidRDefault="005178E4" w:rsidP="005178E4">
            <w:pPr>
              <w:cnfStyle w:val="000000100000" w:firstRow="0" w:lastRow="0" w:firstColumn="0" w:lastColumn="0" w:oddVBand="0" w:evenVBand="0" w:oddHBand="1" w:evenHBand="0" w:firstRowFirstColumn="0" w:firstRowLastColumn="0" w:lastRowFirstColumn="0" w:lastRowLastColumn="0"/>
            </w:pPr>
          </w:p>
        </w:tc>
        <w:tc>
          <w:tcPr>
            <w:tcW w:w="1223" w:type="dxa"/>
          </w:tcPr>
          <w:p w:rsidR="005178E4" w:rsidRPr="00D33CBC" w:rsidRDefault="005178E4" w:rsidP="005178E4">
            <w:pPr>
              <w:cnfStyle w:val="000000100000" w:firstRow="0" w:lastRow="0" w:firstColumn="0" w:lastColumn="0" w:oddVBand="0" w:evenVBand="0" w:oddHBand="1" w:evenHBand="0" w:firstRowFirstColumn="0" w:firstRowLastColumn="0" w:lastRowFirstColumn="0" w:lastRowLastColumn="0"/>
            </w:pPr>
          </w:p>
        </w:tc>
        <w:tc>
          <w:tcPr>
            <w:tcW w:w="1371" w:type="dxa"/>
          </w:tcPr>
          <w:p w:rsidR="005178E4" w:rsidRPr="00D33CBC" w:rsidRDefault="005178E4" w:rsidP="005178E4">
            <w:pPr>
              <w:cnfStyle w:val="000000100000" w:firstRow="0" w:lastRow="0" w:firstColumn="0" w:lastColumn="0" w:oddVBand="0" w:evenVBand="0" w:oddHBand="1" w:evenHBand="0" w:firstRowFirstColumn="0" w:firstRowLastColumn="0" w:lastRowFirstColumn="0" w:lastRowLastColumn="0"/>
            </w:pPr>
          </w:p>
        </w:tc>
        <w:tc>
          <w:tcPr>
            <w:tcW w:w="1075" w:type="dxa"/>
          </w:tcPr>
          <w:p w:rsidR="005178E4" w:rsidRPr="00D33CBC" w:rsidRDefault="005178E4" w:rsidP="005178E4">
            <w:pPr>
              <w:cnfStyle w:val="000000100000" w:firstRow="0" w:lastRow="0" w:firstColumn="0" w:lastColumn="0" w:oddVBand="0" w:evenVBand="0" w:oddHBand="1" w:evenHBand="0" w:firstRowFirstColumn="0" w:firstRowLastColumn="0" w:lastRowFirstColumn="0" w:lastRowLastColumn="0"/>
            </w:pPr>
          </w:p>
        </w:tc>
      </w:tr>
      <w:tr w:rsidR="00EA34BF" w:rsidRPr="00D33CBC" w:rsidTr="005178E4">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Safety</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4.89</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5.20</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5.30</w:t>
            </w:r>
          </w:p>
        </w:tc>
        <w:tc>
          <w:tcPr>
            <w:tcW w:w="1371"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w:t>
            </w:r>
          </w:p>
        </w:tc>
        <w:tc>
          <w:tcPr>
            <w:tcW w:w="1075"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RF &gt; C</w:t>
            </w:r>
          </w:p>
        </w:tc>
      </w:tr>
      <w:tr w:rsidR="00EA34BF" w:rsidRPr="00D33CBC" w:rsidTr="00517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Behavioral health</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4.97</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5.05</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4.47</w:t>
            </w:r>
          </w:p>
        </w:tc>
        <w:tc>
          <w:tcPr>
            <w:tcW w:w="1371"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w:t>
            </w:r>
          </w:p>
        </w:tc>
        <w:tc>
          <w:tcPr>
            <w:tcW w:w="1075"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CR &gt; F</w:t>
            </w:r>
          </w:p>
        </w:tc>
      </w:tr>
      <w:tr w:rsidR="00EA34BF" w:rsidRPr="00D33CBC" w:rsidTr="005178E4">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Permanency</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4.14</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3.46</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3.33</w:t>
            </w:r>
          </w:p>
        </w:tc>
        <w:tc>
          <w:tcPr>
            <w:tcW w:w="1371"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w:t>
            </w:r>
          </w:p>
        </w:tc>
        <w:tc>
          <w:tcPr>
            <w:tcW w:w="1075"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C &gt; RF</w:t>
            </w:r>
          </w:p>
        </w:tc>
      </w:tr>
      <w:tr w:rsidR="00EA34BF" w:rsidRPr="00D33CBC" w:rsidTr="00517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Stability</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3.97</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3.97</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3.91</w:t>
            </w:r>
          </w:p>
        </w:tc>
        <w:tc>
          <w:tcPr>
            <w:tcW w:w="1371"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p>
        </w:tc>
        <w:tc>
          <w:tcPr>
            <w:tcW w:w="1075"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C &gt; F</w:t>
            </w:r>
          </w:p>
        </w:tc>
      </w:tr>
      <w:tr w:rsidR="00EA34BF" w:rsidRPr="00D33CBC" w:rsidTr="005178E4">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Well-being</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5.05</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5.15</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4.87</w:t>
            </w:r>
          </w:p>
        </w:tc>
        <w:tc>
          <w:tcPr>
            <w:tcW w:w="1371"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w:t>
            </w:r>
          </w:p>
        </w:tc>
        <w:tc>
          <w:tcPr>
            <w:tcW w:w="1075"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R &gt; C &gt; F</w:t>
            </w:r>
          </w:p>
        </w:tc>
      </w:tr>
      <w:tr w:rsidR="00EA34BF" w:rsidRPr="00D33CBC" w:rsidTr="00517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Path to independence</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3.72</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3.57</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3.48</w:t>
            </w:r>
          </w:p>
        </w:tc>
        <w:tc>
          <w:tcPr>
            <w:tcW w:w="1371"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NS</w:t>
            </w:r>
          </w:p>
        </w:tc>
        <w:tc>
          <w:tcPr>
            <w:tcW w:w="1075"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p>
        </w:tc>
      </w:tr>
      <w:tr w:rsidR="005178E4" w:rsidRPr="00D33CBC" w:rsidTr="005178E4">
        <w:tc>
          <w:tcPr>
            <w:cnfStyle w:val="001000000000" w:firstRow="0" w:lastRow="0" w:firstColumn="1" w:lastColumn="0" w:oddVBand="0" w:evenVBand="0" w:oddHBand="0" w:evenHBand="0" w:firstRowFirstColumn="0" w:firstRowLastColumn="0" w:lastRowFirstColumn="0" w:lastRowLastColumn="0"/>
            <w:tcW w:w="3235" w:type="dxa"/>
          </w:tcPr>
          <w:p w:rsidR="005178E4" w:rsidRPr="005178E4" w:rsidRDefault="005178E4" w:rsidP="005178E4">
            <w:pPr>
              <w:rPr>
                <w:i/>
              </w:rPr>
            </w:pPr>
            <w:r w:rsidRPr="005178E4">
              <w:rPr>
                <w:i/>
              </w:rPr>
              <w:t>Practice Performance Indicators</w:t>
            </w:r>
          </w:p>
        </w:tc>
        <w:tc>
          <w:tcPr>
            <w:tcW w:w="1223" w:type="dxa"/>
          </w:tcPr>
          <w:p w:rsidR="005178E4" w:rsidRPr="00D33CBC" w:rsidRDefault="005178E4" w:rsidP="005178E4">
            <w:pPr>
              <w:cnfStyle w:val="000000000000" w:firstRow="0" w:lastRow="0" w:firstColumn="0" w:lastColumn="0" w:oddVBand="0" w:evenVBand="0" w:oddHBand="0" w:evenHBand="0" w:firstRowFirstColumn="0" w:firstRowLastColumn="0" w:lastRowFirstColumn="0" w:lastRowLastColumn="0"/>
            </w:pPr>
          </w:p>
        </w:tc>
        <w:tc>
          <w:tcPr>
            <w:tcW w:w="1223" w:type="dxa"/>
          </w:tcPr>
          <w:p w:rsidR="005178E4" w:rsidRPr="00D33CBC" w:rsidRDefault="005178E4" w:rsidP="005178E4">
            <w:pPr>
              <w:cnfStyle w:val="000000000000" w:firstRow="0" w:lastRow="0" w:firstColumn="0" w:lastColumn="0" w:oddVBand="0" w:evenVBand="0" w:oddHBand="0" w:evenHBand="0" w:firstRowFirstColumn="0" w:firstRowLastColumn="0" w:lastRowFirstColumn="0" w:lastRowLastColumn="0"/>
            </w:pPr>
          </w:p>
        </w:tc>
        <w:tc>
          <w:tcPr>
            <w:tcW w:w="1223" w:type="dxa"/>
          </w:tcPr>
          <w:p w:rsidR="005178E4" w:rsidRPr="00D33CBC" w:rsidRDefault="005178E4" w:rsidP="005178E4">
            <w:pPr>
              <w:cnfStyle w:val="000000000000" w:firstRow="0" w:lastRow="0" w:firstColumn="0" w:lastColumn="0" w:oddVBand="0" w:evenVBand="0" w:oddHBand="0" w:evenHBand="0" w:firstRowFirstColumn="0" w:firstRowLastColumn="0" w:lastRowFirstColumn="0" w:lastRowLastColumn="0"/>
            </w:pPr>
          </w:p>
        </w:tc>
        <w:tc>
          <w:tcPr>
            <w:tcW w:w="1371" w:type="dxa"/>
          </w:tcPr>
          <w:p w:rsidR="005178E4" w:rsidRPr="00D33CBC" w:rsidRDefault="005178E4" w:rsidP="005178E4">
            <w:pPr>
              <w:cnfStyle w:val="000000000000" w:firstRow="0" w:lastRow="0" w:firstColumn="0" w:lastColumn="0" w:oddVBand="0" w:evenVBand="0" w:oddHBand="0" w:evenHBand="0" w:firstRowFirstColumn="0" w:firstRowLastColumn="0" w:lastRowFirstColumn="0" w:lastRowLastColumn="0"/>
            </w:pPr>
          </w:p>
        </w:tc>
        <w:tc>
          <w:tcPr>
            <w:tcW w:w="1075" w:type="dxa"/>
          </w:tcPr>
          <w:p w:rsidR="005178E4" w:rsidRPr="00D33CBC" w:rsidRDefault="005178E4" w:rsidP="005178E4">
            <w:pPr>
              <w:cnfStyle w:val="000000000000" w:firstRow="0" w:lastRow="0" w:firstColumn="0" w:lastColumn="0" w:oddVBand="0" w:evenVBand="0" w:oddHBand="0" w:evenHBand="0" w:firstRowFirstColumn="0" w:firstRowLastColumn="0" w:lastRowFirstColumn="0" w:lastRowLastColumn="0"/>
            </w:pPr>
          </w:p>
        </w:tc>
      </w:tr>
      <w:tr w:rsidR="005178E4" w:rsidRPr="00D33CBC" w:rsidTr="00517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Assessing and understanding the child</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4.14</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4.24</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4.15</w:t>
            </w:r>
          </w:p>
        </w:tc>
        <w:tc>
          <w:tcPr>
            <w:tcW w:w="1371"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NS</w:t>
            </w:r>
          </w:p>
        </w:tc>
        <w:tc>
          <w:tcPr>
            <w:tcW w:w="1075"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p>
        </w:tc>
      </w:tr>
      <w:tr w:rsidR="005178E4" w:rsidRPr="00D33CBC" w:rsidTr="005178E4">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Cultural recognition</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4.71</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4.99</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4.59</w:t>
            </w:r>
          </w:p>
        </w:tc>
        <w:tc>
          <w:tcPr>
            <w:tcW w:w="1371"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w:t>
            </w:r>
          </w:p>
        </w:tc>
        <w:tc>
          <w:tcPr>
            <w:tcW w:w="1075"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R &gt; C &gt; F</w:t>
            </w:r>
          </w:p>
        </w:tc>
      </w:tr>
      <w:tr w:rsidR="005178E4" w:rsidRPr="00D33CBC" w:rsidTr="00517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Long term view</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3.62</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3.24</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3.26</w:t>
            </w:r>
          </w:p>
        </w:tc>
        <w:tc>
          <w:tcPr>
            <w:tcW w:w="1371"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w:t>
            </w:r>
          </w:p>
        </w:tc>
        <w:tc>
          <w:tcPr>
            <w:tcW w:w="1075"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C &gt; RF</w:t>
            </w:r>
          </w:p>
        </w:tc>
      </w:tr>
      <w:tr w:rsidR="005178E4" w:rsidRPr="00D33CBC" w:rsidTr="005178E4">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Child and Family planning process</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3.55</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3.32</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3.35</w:t>
            </w:r>
          </w:p>
        </w:tc>
        <w:tc>
          <w:tcPr>
            <w:tcW w:w="1371"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w:t>
            </w:r>
          </w:p>
        </w:tc>
        <w:tc>
          <w:tcPr>
            <w:tcW w:w="1075"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C &gt; RF</w:t>
            </w:r>
          </w:p>
        </w:tc>
      </w:tr>
      <w:tr w:rsidR="005178E4" w:rsidRPr="00D33CBC" w:rsidTr="00517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Planning transition and life adjustments</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3.68</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3.45</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3.43</w:t>
            </w:r>
          </w:p>
        </w:tc>
        <w:tc>
          <w:tcPr>
            <w:tcW w:w="1371"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w:t>
            </w:r>
          </w:p>
        </w:tc>
        <w:tc>
          <w:tcPr>
            <w:tcW w:w="1075"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C &gt; RF</w:t>
            </w:r>
          </w:p>
        </w:tc>
      </w:tr>
      <w:tr w:rsidR="005178E4" w:rsidRPr="00D33CBC" w:rsidTr="005178E4">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Maintaining relationships with:</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p>
        </w:tc>
        <w:tc>
          <w:tcPr>
            <w:tcW w:w="1371"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p>
        </w:tc>
        <w:tc>
          <w:tcPr>
            <w:tcW w:w="1075"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p>
        </w:tc>
      </w:tr>
      <w:tr w:rsidR="005178E4" w:rsidRPr="00D33CBC" w:rsidTr="00517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 xml:space="preserve">   Birth mother</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3.88</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4.13</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3.79</w:t>
            </w:r>
          </w:p>
        </w:tc>
        <w:tc>
          <w:tcPr>
            <w:tcW w:w="1371"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w:t>
            </w:r>
          </w:p>
        </w:tc>
        <w:tc>
          <w:tcPr>
            <w:tcW w:w="1075"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R &gt; F</w:t>
            </w:r>
          </w:p>
        </w:tc>
      </w:tr>
      <w:tr w:rsidR="005178E4" w:rsidRPr="00D33CBC" w:rsidTr="005178E4">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 xml:space="preserve">   Birth father</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2.87</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3.08</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2.71</w:t>
            </w:r>
          </w:p>
        </w:tc>
        <w:tc>
          <w:tcPr>
            <w:tcW w:w="1371"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w:t>
            </w:r>
          </w:p>
        </w:tc>
        <w:tc>
          <w:tcPr>
            <w:tcW w:w="1075"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R &gt; F</w:t>
            </w:r>
          </w:p>
        </w:tc>
      </w:tr>
      <w:tr w:rsidR="005178E4" w:rsidRPr="00D33CBC" w:rsidTr="00517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 xml:space="preserve">   Siblings</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4.25</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4.44</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3.75</w:t>
            </w:r>
          </w:p>
        </w:tc>
        <w:tc>
          <w:tcPr>
            <w:tcW w:w="1371"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w:t>
            </w:r>
          </w:p>
        </w:tc>
        <w:tc>
          <w:tcPr>
            <w:tcW w:w="1075"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R &gt; F</w:t>
            </w:r>
          </w:p>
        </w:tc>
      </w:tr>
      <w:tr w:rsidR="005178E4" w:rsidRPr="00D33CBC" w:rsidTr="005178E4">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Six month forecast</w:t>
            </w:r>
          </w:p>
          <w:p w:rsidR="00EA34BF" w:rsidRPr="005178E4" w:rsidRDefault="00EA34BF" w:rsidP="005178E4">
            <w:pPr>
              <w:rPr>
                <w:b w:val="0"/>
              </w:rPr>
            </w:pPr>
            <w:r w:rsidRPr="005178E4">
              <w:rPr>
                <w:b w:val="0"/>
              </w:rPr>
              <w:t>(range 1-3)</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2.05</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2.16</w:t>
            </w:r>
          </w:p>
        </w:tc>
        <w:tc>
          <w:tcPr>
            <w:tcW w:w="1223"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2.12</w:t>
            </w:r>
          </w:p>
        </w:tc>
        <w:tc>
          <w:tcPr>
            <w:tcW w:w="1371"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w:t>
            </w:r>
          </w:p>
        </w:tc>
        <w:tc>
          <w:tcPr>
            <w:tcW w:w="1075" w:type="dxa"/>
          </w:tcPr>
          <w:p w:rsidR="00EA34BF" w:rsidRPr="00D33CBC" w:rsidRDefault="00EA34BF" w:rsidP="005178E4">
            <w:pPr>
              <w:cnfStyle w:val="000000000000" w:firstRow="0" w:lastRow="0" w:firstColumn="0" w:lastColumn="0" w:oddVBand="0" w:evenVBand="0" w:oddHBand="0" w:evenHBand="0" w:firstRowFirstColumn="0" w:firstRowLastColumn="0" w:lastRowFirstColumn="0" w:lastRowLastColumn="0"/>
            </w:pPr>
            <w:r w:rsidRPr="00D33CBC">
              <w:t>R &gt; F &gt; C</w:t>
            </w:r>
          </w:p>
        </w:tc>
      </w:tr>
      <w:tr w:rsidR="005178E4" w:rsidRPr="00D33CBC" w:rsidTr="00517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rsidR="00EA34BF" w:rsidRPr="005178E4" w:rsidRDefault="00EA34BF" w:rsidP="005178E4">
            <w:pPr>
              <w:rPr>
                <w:b w:val="0"/>
              </w:rPr>
            </w:pPr>
            <w:r w:rsidRPr="005178E4">
              <w:rPr>
                <w:b w:val="0"/>
              </w:rPr>
              <w:t>Age of the child</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7.14</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6.09</w:t>
            </w:r>
          </w:p>
        </w:tc>
        <w:tc>
          <w:tcPr>
            <w:tcW w:w="1223"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8.18</w:t>
            </w:r>
          </w:p>
        </w:tc>
        <w:tc>
          <w:tcPr>
            <w:tcW w:w="1371"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w:t>
            </w:r>
          </w:p>
        </w:tc>
        <w:tc>
          <w:tcPr>
            <w:tcW w:w="1075" w:type="dxa"/>
          </w:tcPr>
          <w:p w:rsidR="00EA34BF" w:rsidRPr="00D33CBC" w:rsidRDefault="00EA34BF" w:rsidP="005178E4">
            <w:pPr>
              <w:cnfStyle w:val="000000100000" w:firstRow="0" w:lastRow="0" w:firstColumn="0" w:lastColumn="0" w:oddVBand="0" w:evenVBand="0" w:oddHBand="1" w:evenHBand="0" w:firstRowFirstColumn="0" w:firstRowLastColumn="0" w:lastRowFirstColumn="0" w:lastRowLastColumn="0"/>
            </w:pPr>
            <w:r w:rsidRPr="00D33CBC">
              <w:t>F &gt; C &gt; R</w:t>
            </w:r>
          </w:p>
        </w:tc>
      </w:tr>
    </w:tbl>
    <w:p w:rsidR="00FB5AB6" w:rsidRPr="00D70B74" w:rsidRDefault="00EA34BF" w:rsidP="00EA34BF">
      <w:pPr>
        <w:rPr>
          <w:i/>
        </w:rPr>
      </w:pPr>
      <w:r w:rsidRPr="00D33CBC">
        <w:t>**p&lt;.01, ***p&lt;.001, NS=Not Significant</w:t>
      </w:r>
      <w:r w:rsidR="00FB5AB6" w:rsidRPr="00324D7E">
        <w:t xml:space="preserve"> </w:t>
      </w:r>
      <w:r w:rsidR="00FB5AB6" w:rsidRPr="00D70B74">
        <w:rPr>
          <w:vertAlign w:val="superscript"/>
        </w:rPr>
        <w:t>†</w:t>
      </w:r>
      <w:r w:rsidR="00FB5AB6" w:rsidRPr="00324D7E">
        <w:t xml:space="preserve">C: Custodial, in-home placement, </w:t>
      </w:r>
      <w:r w:rsidR="00324D7E" w:rsidRPr="00324D7E">
        <w:rPr>
          <w:vertAlign w:val="superscript"/>
        </w:rPr>
        <w:t>‡</w:t>
      </w:r>
      <w:r w:rsidR="00324D7E" w:rsidRPr="00324D7E">
        <w:t xml:space="preserve">R: Relative/Kinship </w:t>
      </w:r>
      <w:r w:rsidR="00FB5AB6" w:rsidRPr="00324D7E">
        <w:t xml:space="preserve">placement, </w:t>
      </w:r>
      <w:r w:rsidR="00324D7E" w:rsidRPr="00324D7E">
        <w:rPr>
          <w:vertAlign w:val="superscript"/>
        </w:rPr>
        <w:t>¥</w:t>
      </w:r>
      <w:r w:rsidR="00FB5AB6" w:rsidRPr="00324D7E">
        <w:t>F: Non-relative foster placement</w:t>
      </w:r>
    </w:p>
    <w:p w:rsidR="00EA34BF" w:rsidRPr="00D33CBC" w:rsidRDefault="00EA34BF" w:rsidP="00EA34BF"/>
    <w:p w:rsidR="00EA34BF" w:rsidRPr="00D33CBC" w:rsidRDefault="00EA34BF" w:rsidP="00EA34BF">
      <w:r>
        <w:t>Children</w:t>
      </w:r>
      <w:r w:rsidRPr="00D33CBC">
        <w:t xml:space="preserve"> in relative care had significantly higher safety scores than in-home, higher behavioral health scores than non-relative placements, lower permanency scores than children in in-home care, and higher well-being scores than children in in-home and children in non-relative placements (Table </w:t>
      </w:r>
      <w:r w:rsidR="00073142">
        <w:t>3</w:t>
      </w:r>
      <w:r w:rsidRPr="00D33CBC">
        <w:t>). Children in relative care, when compared to those in non-relative placements, had higher scores in cultural recognition, maintaining relationships with family members, better six month forecast scores, and were younger children.</w:t>
      </w:r>
    </w:p>
    <w:p w:rsidR="00EA34BF" w:rsidRPr="00D33CBC" w:rsidRDefault="00EA34BF" w:rsidP="00EA34BF">
      <w:r w:rsidRPr="00D33CBC">
        <w:br w:type="page"/>
      </w:r>
    </w:p>
    <w:p w:rsidR="00EA34BF" w:rsidRPr="00D33CBC" w:rsidRDefault="00EA34BF" w:rsidP="00EA34BF">
      <w:pPr>
        <w:pStyle w:val="Heading4"/>
      </w:pPr>
      <w:r w:rsidRPr="00D33CBC">
        <w:t xml:space="preserve">Table </w:t>
      </w:r>
      <w:r w:rsidR="00073142">
        <w:t>4</w:t>
      </w:r>
      <w:r w:rsidRPr="00D33CBC">
        <w:t>. Differences in case demographics between Custodial (in-home), relative placements, and non-relative placements</w:t>
      </w:r>
    </w:p>
    <w:tbl>
      <w:tblPr>
        <w:tblStyle w:val="GridTable4-Accent111"/>
        <w:tblW w:w="9355" w:type="dxa"/>
        <w:tblLayout w:type="fixed"/>
        <w:tblLook w:val="04A0" w:firstRow="1" w:lastRow="0" w:firstColumn="1" w:lastColumn="0" w:noHBand="0" w:noVBand="1"/>
      </w:tblPr>
      <w:tblGrid>
        <w:gridCol w:w="3775"/>
        <w:gridCol w:w="1395"/>
        <w:gridCol w:w="1395"/>
        <w:gridCol w:w="1395"/>
        <w:gridCol w:w="1395"/>
      </w:tblGrid>
      <w:tr w:rsidR="00EA34BF" w:rsidRPr="00D33CBC" w:rsidTr="00C772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Borders>
              <w:top w:val="none" w:sz="0" w:space="0" w:color="auto"/>
              <w:left w:val="none" w:sz="0" w:space="0" w:color="auto"/>
              <w:bottom w:val="none" w:sz="0" w:space="0" w:color="auto"/>
              <w:right w:val="none" w:sz="0" w:space="0" w:color="auto"/>
            </w:tcBorders>
            <w:vAlign w:val="bottom"/>
          </w:tcPr>
          <w:p w:rsidR="00EA34BF" w:rsidRPr="00D33CBC" w:rsidRDefault="00C7720A" w:rsidP="00C7720A">
            <w:r>
              <w:t>Case Characteristics</w:t>
            </w:r>
          </w:p>
        </w:tc>
        <w:tc>
          <w:tcPr>
            <w:tcW w:w="1395" w:type="dxa"/>
            <w:tcBorders>
              <w:top w:val="none" w:sz="0" w:space="0" w:color="auto"/>
              <w:left w:val="none" w:sz="0" w:space="0" w:color="auto"/>
              <w:bottom w:val="none" w:sz="0" w:space="0" w:color="auto"/>
              <w:right w:val="none" w:sz="0" w:space="0" w:color="auto"/>
            </w:tcBorders>
            <w:vAlign w:val="bottom"/>
          </w:tcPr>
          <w:p w:rsidR="00EA34BF" w:rsidRPr="00D33CBC" w:rsidRDefault="00EA34BF" w:rsidP="00C7720A">
            <w:pPr>
              <w:jc w:val="center"/>
              <w:cnfStyle w:val="100000000000" w:firstRow="1" w:lastRow="0" w:firstColumn="0" w:lastColumn="0" w:oddVBand="0" w:evenVBand="0" w:oddHBand="0" w:evenHBand="0" w:firstRowFirstColumn="0" w:firstRowLastColumn="0" w:lastRowFirstColumn="0" w:lastRowLastColumn="0"/>
            </w:pPr>
            <w:r w:rsidRPr="00D33CBC">
              <w:t>Custodial Home (C)</w:t>
            </w:r>
          </w:p>
        </w:tc>
        <w:tc>
          <w:tcPr>
            <w:tcW w:w="1395" w:type="dxa"/>
            <w:tcBorders>
              <w:top w:val="none" w:sz="0" w:space="0" w:color="auto"/>
              <w:left w:val="none" w:sz="0" w:space="0" w:color="auto"/>
              <w:bottom w:val="none" w:sz="0" w:space="0" w:color="auto"/>
              <w:right w:val="none" w:sz="0" w:space="0" w:color="auto"/>
            </w:tcBorders>
            <w:vAlign w:val="bottom"/>
          </w:tcPr>
          <w:p w:rsidR="00EA34BF" w:rsidRPr="00D33CBC" w:rsidRDefault="00EA34BF" w:rsidP="00C7720A">
            <w:pPr>
              <w:jc w:val="center"/>
              <w:cnfStyle w:val="100000000000" w:firstRow="1" w:lastRow="0" w:firstColumn="0" w:lastColumn="0" w:oddVBand="0" w:evenVBand="0" w:oddHBand="0" w:evenHBand="0" w:firstRowFirstColumn="0" w:firstRowLastColumn="0" w:lastRowFirstColumn="0" w:lastRowLastColumn="0"/>
            </w:pPr>
            <w:r w:rsidRPr="00D33CBC">
              <w:t>Relative Home</w:t>
            </w:r>
          </w:p>
          <w:p w:rsidR="00EA34BF" w:rsidRPr="00D33CBC" w:rsidRDefault="00EA34BF" w:rsidP="00C7720A">
            <w:pPr>
              <w:jc w:val="center"/>
              <w:cnfStyle w:val="100000000000" w:firstRow="1" w:lastRow="0" w:firstColumn="0" w:lastColumn="0" w:oddVBand="0" w:evenVBand="0" w:oddHBand="0" w:evenHBand="0" w:firstRowFirstColumn="0" w:firstRowLastColumn="0" w:lastRowFirstColumn="0" w:lastRowLastColumn="0"/>
            </w:pPr>
            <w:r w:rsidRPr="00D33CBC">
              <w:t>(R)</w:t>
            </w:r>
          </w:p>
        </w:tc>
        <w:tc>
          <w:tcPr>
            <w:tcW w:w="1395" w:type="dxa"/>
            <w:tcBorders>
              <w:top w:val="none" w:sz="0" w:space="0" w:color="auto"/>
              <w:left w:val="none" w:sz="0" w:space="0" w:color="auto"/>
              <w:bottom w:val="none" w:sz="0" w:space="0" w:color="auto"/>
              <w:right w:val="none" w:sz="0" w:space="0" w:color="auto"/>
            </w:tcBorders>
            <w:vAlign w:val="bottom"/>
          </w:tcPr>
          <w:p w:rsidR="00EA34BF" w:rsidRPr="00D33CBC" w:rsidRDefault="00EA34BF" w:rsidP="00C7720A">
            <w:pPr>
              <w:jc w:val="center"/>
              <w:cnfStyle w:val="100000000000" w:firstRow="1" w:lastRow="0" w:firstColumn="0" w:lastColumn="0" w:oddVBand="0" w:evenVBand="0" w:oddHBand="0" w:evenHBand="0" w:firstRowFirstColumn="0" w:firstRowLastColumn="0" w:lastRowFirstColumn="0" w:lastRowLastColumn="0"/>
            </w:pPr>
            <w:r w:rsidRPr="00D33CBC">
              <w:t>Non-relative Home (F)</w:t>
            </w:r>
          </w:p>
        </w:tc>
        <w:tc>
          <w:tcPr>
            <w:tcW w:w="1395" w:type="dxa"/>
            <w:tcBorders>
              <w:top w:val="none" w:sz="0" w:space="0" w:color="auto"/>
              <w:left w:val="none" w:sz="0" w:space="0" w:color="auto"/>
              <w:bottom w:val="none" w:sz="0" w:space="0" w:color="auto"/>
              <w:right w:val="none" w:sz="0" w:space="0" w:color="auto"/>
            </w:tcBorders>
            <w:vAlign w:val="bottom"/>
          </w:tcPr>
          <w:p w:rsidR="00EA34BF" w:rsidRPr="00D33CBC" w:rsidRDefault="00EA34BF" w:rsidP="00C7720A">
            <w:pPr>
              <w:jc w:val="center"/>
              <w:cnfStyle w:val="100000000000" w:firstRow="1" w:lastRow="0" w:firstColumn="0" w:lastColumn="0" w:oddVBand="0" w:evenVBand="0" w:oddHBand="0" w:evenHBand="0" w:firstRowFirstColumn="0" w:firstRowLastColumn="0" w:lastRowFirstColumn="0" w:lastRowLastColumn="0"/>
            </w:pPr>
            <w:r w:rsidRPr="00D33CBC">
              <w:t>Significance</w:t>
            </w:r>
          </w:p>
        </w:tc>
      </w:tr>
      <w:tr w:rsidR="00EA34BF" w:rsidRPr="00D33CBC"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i/>
              </w:rPr>
            </w:pPr>
            <w:r w:rsidRPr="00D33CBC">
              <w:rPr>
                <w:b w:val="0"/>
                <w:i/>
              </w:rPr>
              <w:t>Race</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w:t>
            </w:r>
          </w:p>
        </w:tc>
      </w:tr>
      <w:tr w:rsidR="00EA34BF" w:rsidRPr="00D33CBC"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White</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76.2%</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46.8%</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68.2%</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p>
        </w:tc>
      </w:tr>
      <w:tr w:rsidR="00EA34BF" w:rsidRPr="00D33CBC"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African American</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15.4%</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13.9%</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22.1%</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p>
        </w:tc>
      </w:tr>
      <w:tr w:rsidR="00EA34BF" w:rsidRPr="00D33CBC"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Gender Female</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50.8%</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46.9%</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51.7%</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NS</w:t>
            </w:r>
          </w:p>
        </w:tc>
      </w:tr>
      <w:tr w:rsidR="00EA34BF" w:rsidRPr="00D33CBC"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i/>
              </w:rPr>
            </w:pPr>
            <w:r w:rsidRPr="00D33CBC">
              <w:rPr>
                <w:b w:val="0"/>
                <w:i/>
              </w:rPr>
              <w:t>Case Type</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w:t>
            </w:r>
          </w:p>
        </w:tc>
      </w:tr>
      <w:tr w:rsidR="00EA34BF" w:rsidRPr="00D33CBC"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CHINS</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55.1%</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83.6%</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73.6%</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p>
        </w:tc>
      </w:tr>
      <w:tr w:rsidR="00EA34BF" w:rsidRPr="00D33CBC"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Adoption</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1.0%</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4.3%</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17.9%</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p>
        </w:tc>
      </w:tr>
      <w:tr w:rsidR="00EA34BF" w:rsidRPr="00D33CBC"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Informal Adjustment</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20.1%</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.2%</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.4%</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p>
        </w:tc>
      </w:tr>
      <w:tr w:rsidR="00EA34BF" w:rsidRPr="00D33CBC"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Assessment</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23.7%</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11.9%</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8.2%</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p>
        </w:tc>
      </w:tr>
      <w:tr w:rsidR="00EA34BF" w:rsidRPr="00D33CBC"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i/>
              </w:rPr>
            </w:pPr>
            <w:r w:rsidRPr="00D33CBC">
              <w:rPr>
                <w:b w:val="0"/>
                <w:i/>
              </w:rPr>
              <w:t>Special Characteristics of the child</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p>
        </w:tc>
      </w:tr>
      <w:tr w:rsidR="00EA34BF" w:rsidRPr="00D33CBC"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Behavioral Problems</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19.5%</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17.0%</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33.5%</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w:t>
            </w:r>
          </w:p>
        </w:tc>
      </w:tr>
      <w:tr w:rsidR="00EA34BF" w:rsidRPr="00D33CBC"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Emotional Disturbance </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11.2%</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11.7%</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23.1%</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w:t>
            </w:r>
          </w:p>
        </w:tc>
      </w:tr>
      <w:tr w:rsidR="00EA34BF" w:rsidRPr="00D33CBC"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History of sexual abuse</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7.8%</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5.9%</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15.3%</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w:t>
            </w:r>
          </w:p>
        </w:tc>
      </w:tr>
      <w:tr w:rsidR="00EA34BF" w:rsidRPr="00D33CBC"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Domestic violence</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6.1%</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7.0%</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2.9%</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w:t>
            </w:r>
          </w:p>
        </w:tc>
      </w:tr>
      <w:tr w:rsidR="00EA34BF" w:rsidRPr="00D33CBC"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Juvenile justice involved</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3.2%</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1.9%</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4.4%</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w:t>
            </w:r>
          </w:p>
        </w:tc>
      </w:tr>
      <w:tr w:rsidR="00EA34BF" w:rsidRPr="00D33CBC"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Birth mother ward of the state</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17.1%</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14.3%</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30.7%</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w:t>
            </w:r>
          </w:p>
        </w:tc>
      </w:tr>
      <w:tr w:rsidR="00EA34BF" w:rsidRPr="00D33CBC"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i/>
              </w:rPr>
            </w:pPr>
            <w:r w:rsidRPr="00D33CBC">
              <w:rPr>
                <w:b w:val="0"/>
                <w:i/>
              </w:rPr>
              <w:t>Caregiver Stress Factors</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p>
        </w:tc>
      </w:tr>
      <w:tr w:rsidR="00EA34BF" w:rsidRPr="00D33CBC"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Alcohol dependence</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12.8%</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15.5%</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13.1%</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NS</w:t>
            </w:r>
          </w:p>
        </w:tc>
      </w:tr>
      <w:tr w:rsidR="00EA34BF" w:rsidRPr="00D33CBC"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Drug Abuse</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47.5%</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71.6%</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50.8%</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w:t>
            </w:r>
          </w:p>
        </w:tc>
      </w:tr>
      <w:tr w:rsidR="00EA34BF" w:rsidRPr="00D33CBC"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Mental health problems</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34.8%</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46.7%</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40.8%</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w:t>
            </w:r>
          </w:p>
        </w:tc>
      </w:tr>
      <w:tr w:rsidR="00EA34BF" w:rsidRPr="00D33CBC"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Domestic Violence</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31.4%</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41.6%</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30.6%</w:t>
            </w:r>
          </w:p>
        </w:tc>
        <w:tc>
          <w:tcPr>
            <w:tcW w:w="1395" w:type="dxa"/>
          </w:tcPr>
          <w:p w:rsidR="00EA34BF" w:rsidRPr="00D33CBC" w:rsidRDefault="00EA34BF" w:rsidP="006B1A5A">
            <w:pPr>
              <w:cnfStyle w:val="000000100000" w:firstRow="0" w:lastRow="0" w:firstColumn="0" w:lastColumn="0" w:oddVBand="0" w:evenVBand="0" w:oddHBand="1" w:evenHBand="0" w:firstRowFirstColumn="0" w:firstRowLastColumn="0" w:lastRowFirstColumn="0" w:lastRowLastColumn="0"/>
            </w:pPr>
            <w:r w:rsidRPr="00D33CBC">
              <w:t>***</w:t>
            </w:r>
          </w:p>
        </w:tc>
      </w:tr>
      <w:tr w:rsidR="00EA34BF" w:rsidRPr="00D33CBC"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D33CBC" w:rsidRDefault="00EA34BF" w:rsidP="006B1A5A">
            <w:pPr>
              <w:rPr>
                <w:b w:val="0"/>
              </w:rPr>
            </w:pPr>
            <w:r w:rsidRPr="00D33CBC">
              <w:rPr>
                <w:b w:val="0"/>
              </w:rPr>
              <w:t xml:space="preserve">   Income</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37.1%</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44.2%</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37.7%</w:t>
            </w:r>
          </w:p>
        </w:tc>
        <w:tc>
          <w:tcPr>
            <w:tcW w:w="1395" w:type="dxa"/>
          </w:tcPr>
          <w:p w:rsidR="00EA34BF" w:rsidRPr="00D33CBC" w:rsidRDefault="00EA34BF" w:rsidP="006B1A5A">
            <w:pPr>
              <w:cnfStyle w:val="000000000000" w:firstRow="0" w:lastRow="0" w:firstColumn="0" w:lastColumn="0" w:oddVBand="0" w:evenVBand="0" w:oddHBand="0" w:evenHBand="0" w:firstRowFirstColumn="0" w:firstRowLastColumn="0" w:lastRowFirstColumn="0" w:lastRowLastColumn="0"/>
            </w:pPr>
            <w:r w:rsidRPr="00D33CBC">
              <w:t>*</w:t>
            </w:r>
          </w:p>
        </w:tc>
      </w:tr>
    </w:tbl>
    <w:p w:rsidR="00EA34BF" w:rsidRPr="00D33CBC" w:rsidRDefault="00EA34BF" w:rsidP="00EA34BF">
      <w:r w:rsidRPr="00D33CBC">
        <w:t>*p&lt;.05, ***p&lt;.001, NS=Not Significant</w:t>
      </w:r>
    </w:p>
    <w:p w:rsidR="00C7720A" w:rsidRDefault="00C7720A" w:rsidP="00EA34BF"/>
    <w:p w:rsidR="00EA34BF" w:rsidRPr="00D33CBC" w:rsidRDefault="00EA34BF" w:rsidP="00EA34BF">
      <w:r w:rsidRPr="00D33CBC">
        <w:t xml:space="preserve">Relative placements had the highest percentage of CHINS cases at 84%, and non-relative placements had the highest percentage of adoption cases seen in Table </w:t>
      </w:r>
      <w:r w:rsidR="00073142">
        <w:t>4</w:t>
      </w:r>
      <w:r w:rsidRPr="00D33CBC">
        <w:t>.   Children with behavioral problems, emotional disturbances, sexual abuse, juvenile justice involved,</w:t>
      </w:r>
      <w:r w:rsidRPr="00B70126">
        <w:t xml:space="preserve"> </w:t>
      </w:r>
      <w:r w:rsidRPr="00324D7E">
        <w:t>and having a birth mother who was a ward of the state were more likely in non-relative placements</w:t>
      </w:r>
      <w:r w:rsidRPr="00D33CBC">
        <w:t>.  Children with caregivers who have a history of drug abuse, mental health problems, income stress, and domestic violence were more likely to be in relative placements.</w:t>
      </w:r>
    </w:p>
    <w:p w:rsidR="00C7720A" w:rsidRDefault="00C7720A" w:rsidP="00EA34BF"/>
    <w:p w:rsidR="00EA34BF" w:rsidRPr="00D33CBC" w:rsidRDefault="00EA34BF" w:rsidP="00EA34BF">
      <w:r w:rsidRPr="00D33CBC">
        <w:t xml:space="preserve">The next step of the analysis was to see if and to what degree the placement contributes to safety, permanency, and well-being.  Using only out of home cases (relative and non-relative placements only), stepwise linear regressions were performed on safety, permanency, and well-being along with behavioral health and stability (Table </w:t>
      </w:r>
      <w:r w:rsidR="00073142">
        <w:t>5</w:t>
      </w:r>
      <w:r w:rsidRPr="00D33CBC">
        <w:t>).</w:t>
      </w:r>
    </w:p>
    <w:p w:rsidR="00C7720A" w:rsidRDefault="00C7720A" w:rsidP="00EA34BF"/>
    <w:p w:rsidR="00EA34BF" w:rsidRPr="00D33CBC" w:rsidRDefault="00EA34BF" w:rsidP="00EA34BF">
      <w:r w:rsidRPr="00D33CBC">
        <w:t xml:space="preserve">Variables included the models: Child’s age, race (white), case open over 18 months, </w:t>
      </w:r>
      <w:r w:rsidRPr="00D33CBC">
        <w:rPr>
          <w:b/>
        </w:rPr>
        <w:t>relative vs non-relative placement (Rel. vs Non-Rel.)</w:t>
      </w:r>
      <w:r w:rsidRPr="00D33CBC">
        <w:t>, caregiver domestic violence, caregiver drug abuse, child’s behavioral problems, child’s emotional distress, birth mother ward, assessing and understanding the child, assessing and understanding the family, long term view, planning transitions/life adjustments, intervention adequacy, engaging, maintaining relationships with family, case type (CHINS case).</w:t>
      </w:r>
    </w:p>
    <w:p w:rsidR="00EA34BF" w:rsidRDefault="00EA34BF" w:rsidP="00EA34BF">
      <w:r w:rsidRPr="00D33CBC">
        <w:t xml:space="preserve">The </w:t>
      </w:r>
      <w:r w:rsidRPr="00D33CBC">
        <w:rPr>
          <w:b/>
          <w:i/>
        </w:rPr>
        <w:t xml:space="preserve">β </w:t>
      </w:r>
      <w:r w:rsidRPr="00D33CBC">
        <w:t>or standardized beta can be interpreted as the following:  for every 1 point increase in the predictor variable, the outcome (safety, permanency, or well-being) scores increases by</w:t>
      </w:r>
      <w:r w:rsidRPr="00D33CBC">
        <w:rPr>
          <w:b/>
          <w:i/>
        </w:rPr>
        <w:t xml:space="preserve"> β</w:t>
      </w:r>
      <w:r>
        <w:t>.</w:t>
      </w:r>
      <w:r w:rsidRPr="00D33CBC">
        <w:t xml:space="preserve">  All of the indicators listed in Table 6 were all statistically significant at p&lt;.05.</w:t>
      </w:r>
    </w:p>
    <w:p w:rsidR="00D70B74" w:rsidRPr="00D33CBC" w:rsidRDefault="00D70B74" w:rsidP="00EA34BF"/>
    <w:p w:rsidR="00EA34BF" w:rsidRPr="00D33CBC" w:rsidRDefault="00EA34BF" w:rsidP="006B1A5A">
      <w:r w:rsidRPr="00D33CBC">
        <w:t xml:space="preserve">Safety – Being in a Rel. vs Non-Rel. placement on average decreased the safety score by -.096.  </w:t>
      </w:r>
    </w:p>
    <w:p w:rsidR="00EA34BF" w:rsidRDefault="00EA34BF" w:rsidP="006B1A5A">
      <w:pPr>
        <w:ind w:left="720"/>
      </w:pPr>
      <w:r w:rsidRPr="00D33CBC">
        <w:t>Assessing and understanding the child had the highest impact on safety where for every 1 point increase in the assessing score, there was a .277 point increase in the safety score. Being a CHINS case (</w:t>
      </w:r>
      <w:r w:rsidRPr="00D33CBC">
        <w:rPr>
          <w:i/>
        </w:rPr>
        <w:t>β</w:t>
      </w:r>
      <w:r w:rsidRPr="00D33CBC">
        <w:t>=.128) and a having a caregiver with a history of drug abuse (</w:t>
      </w:r>
      <w:r w:rsidRPr="00D33CBC">
        <w:rPr>
          <w:i/>
        </w:rPr>
        <w:t>β</w:t>
      </w:r>
      <w:r w:rsidRPr="00D33CBC">
        <w:t>=.076) significantly contributed to higher safety scores, where a child with behavioral problems (</w:t>
      </w:r>
      <w:r w:rsidRPr="00D33CBC">
        <w:rPr>
          <w:i/>
        </w:rPr>
        <w:t>β</w:t>
      </w:r>
      <w:r w:rsidRPr="00D33CBC">
        <w:t>=-.120) contributed to a lower safety score.</w:t>
      </w:r>
    </w:p>
    <w:p w:rsidR="006B1A5A" w:rsidRPr="00D33CBC" w:rsidRDefault="006B1A5A" w:rsidP="006B1A5A">
      <w:pPr>
        <w:ind w:left="720"/>
      </w:pPr>
    </w:p>
    <w:p w:rsidR="00EA34BF" w:rsidRPr="00D33CBC" w:rsidRDefault="00EA34BF" w:rsidP="006B1A5A">
      <w:r w:rsidRPr="00D33CBC">
        <w:t>Permanency – Being in a Rel. vs Non-Rel</w:t>
      </w:r>
      <w:r w:rsidRPr="00D33CBC">
        <w:rPr>
          <w:b/>
        </w:rPr>
        <w:t>.</w:t>
      </w:r>
      <w:r w:rsidRPr="00D33CBC">
        <w:t xml:space="preserve"> on average increased the permanency score by .098.</w:t>
      </w:r>
      <w:r w:rsidRPr="00D33CBC">
        <w:tab/>
      </w:r>
    </w:p>
    <w:p w:rsidR="00EA34BF" w:rsidRDefault="00EA34BF" w:rsidP="006B1A5A">
      <w:pPr>
        <w:ind w:left="1350"/>
      </w:pPr>
      <w:r w:rsidRPr="00D33CBC">
        <w:t>Having a long term view had th</w:t>
      </w:r>
      <w:r>
        <w:t xml:space="preserve">e highest impact on permanency </w:t>
      </w:r>
      <w:r w:rsidRPr="00D33CBC">
        <w:t>(</w:t>
      </w:r>
      <w:r w:rsidRPr="00D33CBC">
        <w:rPr>
          <w:i/>
        </w:rPr>
        <w:t>β</w:t>
      </w:r>
      <w:r w:rsidRPr="00D33CBC">
        <w:t>=.621).  Intervention adequacy (</w:t>
      </w:r>
      <w:r w:rsidRPr="00D33CBC">
        <w:rPr>
          <w:i/>
        </w:rPr>
        <w:t>β</w:t>
      </w:r>
      <w:r w:rsidRPr="00D33CBC">
        <w:t>=.093), planning transitions and life adjustments (</w:t>
      </w:r>
      <w:r w:rsidRPr="00D33CBC">
        <w:rPr>
          <w:i/>
        </w:rPr>
        <w:t>β</w:t>
      </w:r>
      <w:r w:rsidRPr="00D33CBC">
        <w:t>=.078), and being white (</w:t>
      </w:r>
      <w:r w:rsidRPr="00D33CBC">
        <w:rPr>
          <w:i/>
        </w:rPr>
        <w:t>β</w:t>
      </w:r>
      <w:r w:rsidRPr="00D33CBC">
        <w:t>=.054) additionally contributed to higher permanency scores.</w:t>
      </w:r>
    </w:p>
    <w:p w:rsidR="006B1A5A" w:rsidRPr="00D33CBC" w:rsidRDefault="006B1A5A" w:rsidP="006B1A5A">
      <w:pPr>
        <w:ind w:left="1350"/>
      </w:pPr>
    </w:p>
    <w:p w:rsidR="00EA34BF" w:rsidRPr="00D33CBC" w:rsidRDefault="00EA34BF" w:rsidP="006B1A5A">
      <w:r w:rsidRPr="00D33CBC">
        <w:t>Well-being – Being in a Rel. vs Non-Rel. placement on average increased the well-being score by .148.</w:t>
      </w:r>
    </w:p>
    <w:p w:rsidR="00EA34BF" w:rsidRPr="00D33CBC" w:rsidRDefault="00EA34BF" w:rsidP="006B1A5A">
      <w:pPr>
        <w:tabs>
          <w:tab w:val="left" w:pos="1170"/>
        </w:tabs>
      </w:pPr>
      <w:r w:rsidRPr="00D33CBC">
        <w:tab/>
        <w:t>Assessing and understanding the child had the highest impact on well-being (</w:t>
      </w:r>
      <w:r w:rsidRPr="00D33CBC">
        <w:rPr>
          <w:i/>
        </w:rPr>
        <w:t>β</w:t>
      </w:r>
      <w:r w:rsidRPr="00D33CBC">
        <w:t xml:space="preserve">=.360). </w:t>
      </w:r>
    </w:p>
    <w:p w:rsidR="00EA34BF" w:rsidRDefault="00EA34BF" w:rsidP="006B1A5A">
      <w:pPr>
        <w:ind w:left="1170"/>
      </w:pPr>
      <w:r w:rsidRPr="00D33CBC">
        <w:t>Children with behavioral health problems (</w:t>
      </w:r>
      <w:r w:rsidRPr="00D33CBC">
        <w:rPr>
          <w:i/>
        </w:rPr>
        <w:t>β</w:t>
      </w:r>
      <w:r w:rsidRPr="00D33CBC">
        <w:t>=-.165), older children (-.161), children with emotional disturbances (</w:t>
      </w:r>
      <w:r w:rsidRPr="00D33CBC">
        <w:rPr>
          <w:i/>
        </w:rPr>
        <w:t>β</w:t>
      </w:r>
      <w:r w:rsidRPr="00D33CBC">
        <w:t>=-.096) contributed to lower well-being scores.  Being a CHINS case (</w:t>
      </w:r>
      <w:r w:rsidRPr="00D33CBC">
        <w:rPr>
          <w:i/>
        </w:rPr>
        <w:t>β</w:t>
      </w:r>
      <w:r w:rsidRPr="00D33CBC">
        <w:t>=.097), cases open over 18 months (</w:t>
      </w:r>
      <w:r w:rsidRPr="00D33CBC">
        <w:rPr>
          <w:i/>
        </w:rPr>
        <w:t>β</w:t>
      </w:r>
      <w:r w:rsidRPr="00D33CBC">
        <w:t>=.073), and caregivers with a history of drug abuse (</w:t>
      </w:r>
      <w:r w:rsidRPr="00D33CBC">
        <w:rPr>
          <w:i/>
        </w:rPr>
        <w:t>β</w:t>
      </w:r>
      <w:r w:rsidRPr="00D33CBC">
        <w:t>=.067) contributed to higher well-being scores.</w:t>
      </w:r>
    </w:p>
    <w:p w:rsidR="006B1A5A" w:rsidRPr="00D33CBC" w:rsidRDefault="006B1A5A" w:rsidP="006B1A5A">
      <w:pPr>
        <w:ind w:left="1170"/>
      </w:pPr>
    </w:p>
    <w:p w:rsidR="00EA34BF" w:rsidRPr="00D33CBC" w:rsidRDefault="00EA34BF" w:rsidP="006B1A5A">
      <w:r w:rsidRPr="00D33CBC">
        <w:t xml:space="preserve">Behavioral health – Being in a Rel. vs.  Non-Rel. placement on average increased the behavioral health </w:t>
      </w:r>
    </w:p>
    <w:p w:rsidR="00EA34BF" w:rsidRDefault="00EA34BF" w:rsidP="006B1A5A">
      <w:pPr>
        <w:ind w:left="1440"/>
      </w:pPr>
      <w:r w:rsidRPr="00D33CBC">
        <w:t>score by .092.  Children with behavioral problems had the highest impact on lower behavioral health scores (</w:t>
      </w:r>
      <w:r w:rsidRPr="00D33CBC">
        <w:rPr>
          <w:i/>
        </w:rPr>
        <w:t>β</w:t>
      </w:r>
      <w:r w:rsidRPr="00D33CBC">
        <w:t>=-.384).  Assessing and understanding the child contributed to higher behavioral health scores (</w:t>
      </w:r>
      <w:r w:rsidRPr="00D33CBC">
        <w:rPr>
          <w:i/>
        </w:rPr>
        <w:t>β</w:t>
      </w:r>
      <w:r w:rsidRPr="00D33CBC">
        <w:t>=.206).</w:t>
      </w:r>
      <w:r>
        <w:t xml:space="preserve">  Other drivers of behavioral health scores are seen in </w:t>
      </w:r>
      <w:r w:rsidRPr="00073142">
        <w:t xml:space="preserve">table </w:t>
      </w:r>
      <w:r w:rsidR="00073142" w:rsidRPr="00073142">
        <w:t>5</w:t>
      </w:r>
      <w:r w:rsidRPr="00073142">
        <w:t>.</w:t>
      </w:r>
    </w:p>
    <w:p w:rsidR="006B1A5A" w:rsidRPr="00D33CBC" w:rsidRDefault="006B1A5A" w:rsidP="006B1A5A">
      <w:pPr>
        <w:ind w:left="1440"/>
      </w:pPr>
    </w:p>
    <w:p w:rsidR="00EA34BF" w:rsidRPr="00D33CBC" w:rsidRDefault="00EA34BF" w:rsidP="006B1A5A">
      <w:r w:rsidRPr="00D33CBC">
        <w:t>Stability – Being in a Rel. vs. Non-Rel. placement on average increased the stability score by .071.</w:t>
      </w:r>
    </w:p>
    <w:p w:rsidR="006B1A5A" w:rsidRDefault="00EA34BF" w:rsidP="006B1A5A">
      <w:pPr>
        <w:ind w:left="720"/>
        <w:sectPr w:rsidR="006B1A5A" w:rsidSect="006B1A5A">
          <w:pgSz w:w="12240" w:h="15840"/>
          <w:pgMar w:top="720" w:right="1440" w:bottom="1440" w:left="1440" w:header="288" w:footer="720" w:gutter="0"/>
          <w:cols w:space="720"/>
          <w:docGrid w:linePitch="360"/>
        </w:sectPr>
      </w:pPr>
      <w:r w:rsidRPr="00D33CBC">
        <w:t>Being a CHINS case (</w:t>
      </w:r>
      <w:r w:rsidRPr="00D33CBC">
        <w:rPr>
          <w:i/>
        </w:rPr>
        <w:t>β</w:t>
      </w:r>
      <w:r w:rsidRPr="00D33CBC">
        <w:t>=-.194), assessing and understanding the child (</w:t>
      </w:r>
      <w:r w:rsidRPr="00D33CBC">
        <w:rPr>
          <w:i/>
        </w:rPr>
        <w:t>β</w:t>
      </w:r>
      <w:r w:rsidRPr="00D33CBC">
        <w:t>=.172), long term view planning (</w:t>
      </w:r>
      <w:r w:rsidRPr="00D33CBC">
        <w:rPr>
          <w:i/>
        </w:rPr>
        <w:t>β</w:t>
      </w:r>
      <w:r w:rsidRPr="00D33CBC">
        <w:t>=.165), planning transitions and life adjustments (</w:t>
      </w:r>
      <w:r w:rsidRPr="00D33CBC">
        <w:rPr>
          <w:i/>
        </w:rPr>
        <w:t>β</w:t>
      </w:r>
      <w:r w:rsidRPr="00D33CBC">
        <w:t>=111), cases open longer than 18 months (</w:t>
      </w:r>
      <w:r w:rsidRPr="00D33CBC">
        <w:rPr>
          <w:i/>
        </w:rPr>
        <w:t>β</w:t>
      </w:r>
      <w:r w:rsidRPr="00D33CBC">
        <w:t>=.108), and engaging (</w:t>
      </w:r>
      <w:r w:rsidRPr="00D33CBC">
        <w:rPr>
          <w:i/>
        </w:rPr>
        <w:t>β</w:t>
      </w:r>
      <w:r w:rsidRPr="00D33CBC">
        <w:t>=.75) all contributed to higher stability scores. A child with behavioral problems (</w:t>
      </w:r>
      <w:r w:rsidRPr="00D33CBC">
        <w:rPr>
          <w:i/>
        </w:rPr>
        <w:t>β</w:t>
      </w:r>
      <w:r w:rsidRPr="00D33CBC">
        <w:t>=-.130) and children with a birth mother who was a ward of the state (</w:t>
      </w:r>
      <w:r w:rsidRPr="00D33CBC">
        <w:rPr>
          <w:i/>
        </w:rPr>
        <w:t>β</w:t>
      </w:r>
      <w:r w:rsidRPr="00D33CBC">
        <w:t>=-.084) contributed to lower stability scores.</w:t>
      </w:r>
    </w:p>
    <w:p w:rsidR="00EA34BF" w:rsidRDefault="00EA34BF" w:rsidP="00EA34BF">
      <w:pPr>
        <w:pStyle w:val="Heading4"/>
      </w:pPr>
      <w:r>
        <w:t xml:space="preserve">Table </w:t>
      </w:r>
      <w:r w:rsidR="00073142">
        <w:t>5</w:t>
      </w:r>
      <w:r>
        <w:t>.  The impact of relative placements on safety, permanency, and well-being outcomes.</w:t>
      </w:r>
    </w:p>
    <w:tbl>
      <w:tblPr>
        <w:tblStyle w:val="GridTable4-Accent111"/>
        <w:tblW w:w="14670" w:type="dxa"/>
        <w:tblInd w:w="-630" w:type="dxa"/>
        <w:tblLayout w:type="fixed"/>
        <w:tblLook w:val="04A0" w:firstRow="1" w:lastRow="0" w:firstColumn="1" w:lastColumn="0" w:noHBand="0" w:noVBand="1"/>
      </w:tblPr>
      <w:tblGrid>
        <w:gridCol w:w="3330"/>
        <w:gridCol w:w="720"/>
        <w:gridCol w:w="900"/>
        <w:gridCol w:w="3150"/>
        <w:gridCol w:w="720"/>
        <w:gridCol w:w="900"/>
        <w:gridCol w:w="3325"/>
        <w:gridCol w:w="720"/>
        <w:gridCol w:w="905"/>
      </w:tblGrid>
      <w:tr w:rsidR="00EA34BF" w:rsidTr="006B1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0" w:type="dxa"/>
            <w:gridSpan w:val="3"/>
            <w:tcBorders>
              <w:top w:val="nil"/>
              <w:left w:val="nil"/>
              <w:bottom w:val="nil"/>
              <w:right w:val="single" w:sz="4" w:space="0" w:color="E7E6E6" w:themeColor="background2"/>
            </w:tcBorders>
          </w:tcPr>
          <w:p w:rsidR="00EA34BF" w:rsidRPr="00A62B56" w:rsidRDefault="00EA34BF" w:rsidP="00EA34BF">
            <w:r w:rsidRPr="00A62B56">
              <w:t>Safety</w:t>
            </w:r>
          </w:p>
        </w:tc>
        <w:tc>
          <w:tcPr>
            <w:tcW w:w="4770" w:type="dxa"/>
            <w:gridSpan w:val="3"/>
            <w:tcBorders>
              <w:top w:val="nil"/>
              <w:left w:val="single" w:sz="4" w:space="0" w:color="E7E6E6" w:themeColor="background2"/>
              <w:bottom w:val="nil"/>
              <w:right w:val="single" w:sz="4" w:space="0" w:color="E7E6E6" w:themeColor="background2"/>
            </w:tcBorders>
          </w:tcPr>
          <w:p w:rsidR="00EA34BF" w:rsidRPr="00A62B56" w:rsidRDefault="00EA34BF" w:rsidP="00EA34BF">
            <w:pPr>
              <w:cnfStyle w:val="100000000000" w:firstRow="1" w:lastRow="0" w:firstColumn="0" w:lastColumn="0" w:oddVBand="0" w:evenVBand="0" w:oddHBand="0" w:evenHBand="0" w:firstRowFirstColumn="0" w:firstRowLastColumn="0" w:lastRowFirstColumn="0" w:lastRowLastColumn="0"/>
            </w:pPr>
            <w:r w:rsidRPr="00A62B56">
              <w:t>Permanency</w:t>
            </w:r>
          </w:p>
        </w:tc>
        <w:tc>
          <w:tcPr>
            <w:tcW w:w="4950" w:type="dxa"/>
            <w:gridSpan w:val="3"/>
            <w:tcBorders>
              <w:top w:val="nil"/>
              <w:left w:val="single" w:sz="4" w:space="0" w:color="E7E6E6" w:themeColor="background2"/>
              <w:bottom w:val="nil"/>
              <w:right w:val="nil"/>
            </w:tcBorders>
          </w:tcPr>
          <w:p w:rsidR="00EA34BF" w:rsidRPr="00A62B56" w:rsidRDefault="00EA34BF" w:rsidP="00EA34BF">
            <w:pPr>
              <w:cnfStyle w:val="100000000000" w:firstRow="1" w:lastRow="0" w:firstColumn="0" w:lastColumn="0" w:oddVBand="0" w:evenVBand="0" w:oddHBand="0" w:evenHBand="0" w:firstRowFirstColumn="0" w:firstRowLastColumn="0" w:lastRowFirstColumn="0" w:lastRowLastColumn="0"/>
            </w:pPr>
            <w:r w:rsidRPr="00A62B56">
              <w:t>Well-being</w:t>
            </w:r>
          </w:p>
        </w:tc>
      </w:tr>
      <w:tr w:rsidR="00EA34BF"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top w:val="nil"/>
            </w:tcBorders>
          </w:tcPr>
          <w:p w:rsidR="00EA34BF" w:rsidRPr="00A62B56" w:rsidRDefault="00EA34BF" w:rsidP="00EA34BF">
            <w:pPr>
              <w:rPr>
                <w:i/>
              </w:rPr>
            </w:pPr>
            <w:r w:rsidRPr="00A62B56">
              <w:rPr>
                <w:i/>
              </w:rPr>
              <w:t xml:space="preserve"> r</w:t>
            </w:r>
            <w:r w:rsidRPr="00A62B56">
              <w:rPr>
                <w:i/>
                <w:vertAlign w:val="superscript"/>
              </w:rPr>
              <w:t>2</w:t>
            </w:r>
            <w:r w:rsidRPr="00A62B56">
              <w:rPr>
                <w:i/>
              </w:rPr>
              <w:t>=.131, p&lt;.001</w:t>
            </w:r>
          </w:p>
        </w:tc>
        <w:tc>
          <w:tcPr>
            <w:tcW w:w="720" w:type="dxa"/>
            <w:tcBorders>
              <w:top w:val="nil"/>
            </w:tcBorders>
          </w:tcPr>
          <w:p w:rsidR="00EA34BF" w:rsidRPr="00A62B56" w:rsidRDefault="00EA34BF" w:rsidP="00EA34BF">
            <w:pPr>
              <w:cnfStyle w:val="000000100000" w:firstRow="0" w:lastRow="0" w:firstColumn="0" w:lastColumn="0" w:oddVBand="0" w:evenVBand="0" w:oddHBand="1" w:evenHBand="0" w:firstRowFirstColumn="0" w:firstRowLastColumn="0" w:lastRowFirstColumn="0" w:lastRowLastColumn="0"/>
              <w:rPr>
                <w:b/>
                <w:i/>
              </w:rPr>
            </w:pPr>
            <w:r w:rsidRPr="00A62B56">
              <w:rPr>
                <w:b/>
                <w:i/>
              </w:rPr>
              <w:t>β</w:t>
            </w:r>
          </w:p>
        </w:tc>
        <w:tc>
          <w:tcPr>
            <w:tcW w:w="900" w:type="dxa"/>
            <w:tcBorders>
              <w:top w:val="nil"/>
            </w:tcBorders>
          </w:tcPr>
          <w:p w:rsidR="00EA34BF" w:rsidRPr="00A62B56" w:rsidRDefault="00EA34BF" w:rsidP="00EA34BF">
            <w:pPr>
              <w:cnfStyle w:val="000000100000" w:firstRow="0" w:lastRow="0" w:firstColumn="0" w:lastColumn="0" w:oddVBand="0" w:evenVBand="0" w:oddHBand="1" w:evenHBand="0" w:firstRowFirstColumn="0" w:firstRowLastColumn="0" w:lastRowFirstColumn="0" w:lastRowLastColumn="0"/>
              <w:rPr>
                <w:b/>
                <w:i/>
              </w:rPr>
            </w:pPr>
            <w:r w:rsidRPr="00A62B56">
              <w:rPr>
                <w:b/>
                <w:i/>
              </w:rPr>
              <w:t>p-value</w:t>
            </w:r>
          </w:p>
        </w:tc>
        <w:tc>
          <w:tcPr>
            <w:tcW w:w="3150" w:type="dxa"/>
            <w:tcBorders>
              <w:top w:val="nil"/>
            </w:tcBorders>
          </w:tcPr>
          <w:p w:rsidR="00EA34BF" w:rsidRPr="00A62B56" w:rsidRDefault="00EA34BF" w:rsidP="00EA34BF">
            <w:pPr>
              <w:cnfStyle w:val="000000100000" w:firstRow="0" w:lastRow="0" w:firstColumn="0" w:lastColumn="0" w:oddVBand="0" w:evenVBand="0" w:oddHBand="1" w:evenHBand="0" w:firstRowFirstColumn="0" w:firstRowLastColumn="0" w:lastRowFirstColumn="0" w:lastRowLastColumn="0"/>
              <w:rPr>
                <w:b/>
                <w:i/>
              </w:rPr>
            </w:pPr>
            <w:r w:rsidRPr="00A62B56">
              <w:rPr>
                <w:b/>
                <w:i/>
              </w:rPr>
              <w:t>r</w:t>
            </w:r>
            <w:r w:rsidRPr="00A62B56">
              <w:rPr>
                <w:b/>
                <w:i/>
                <w:vertAlign w:val="superscript"/>
              </w:rPr>
              <w:t>2</w:t>
            </w:r>
            <w:r w:rsidRPr="00A62B56">
              <w:rPr>
                <w:b/>
                <w:i/>
              </w:rPr>
              <w:t>=.576, p&lt;.001</w:t>
            </w:r>
          </w:p>
        </w:tc>
        <w:tc>
          <w:tcPr>
            <w:tcW w:w="720" w:type="dxa"/>
            <w:tcBorders>
              <w:top w:val="nil"/>
            </w:tcBorders>
          </w:tcPr>
          <w:p w:rsidR="00EA34BF" w:rsidRPr="00A62B56" w:rsidRDefault="00EA34BF" w:rsidP="00EA34BF">
            <w:pPr>
              <w:cnfStyle w:val="000000100000" w:firstRow="0" w:lastRow="0" w:firstColumn="0" w:lastColumn="0" w:oddVBand="0" w:evenVBand="0" w:oddHBand="1" w:evenHBand="0" w:firstRowFirstColumn="0" w:firstRowLastColumn="0" w:lastRowFirstColumn="0" w:lastRowLastColumn="0"/>
              <w:rPr>
                <w:b/>
                <w:i/>
              </w:rPr>
            </w:pPr>
            <w:r w:rsidRPr="00A62B56">
              <w:rPr>
                <w:b/>
                <w:i/>
              </w:rPr>
              <w:t>β</w:t>
            </w:r>
          </w:p>
        </w:tc>
        <w:tc>
          <w:tcPr>
            <w:tcW w:w="900" w:type="dxa"/>
            <w:tcBorders>
              <w:top w:val="nil"/>
            </w:tcBorders>
          </w:tcPr>
          <w:p w:rsidR="00EA34BF" w:rsidRPr="00A62B56" w:rsidRDefault="00EA34BF" w:rsidP="00EA34BF">
            <w:pPr>
              <w:cnfStyle w:val="000000100000" w:firstRow="0" w:lastRow="0" w:firstColumn="0" w:lastColumn="0" w:oddVBand="0" w:evenVBand="0" w:oddHBand="1" w:evenHBand="0" w:firstRowFirstColumn="0" w:firstRowLastColumn="0" w:lastRowFirstColumn="0" w:lastRowLastColumn="0"/>
              <w:rPr>
                <w:b/>
                <w:i/>
              </w:rPr>
            </w:pPr>
            <w:r w:rsidRPr="00A62B56">
              <w:rPr>
                <w:b/>
                <w:i/>
              </w:rPr>
              <w:t>p-value</w:t>
            </w:r>
          </w:p>
        </w:tc>
        <w:tc>
          <w:tcPr>
            <w:tcW w:w="3325" w:type="dxa"/>
            <w:tcBorders>
              <w:top w:val="nil"/>
            </w:tcBorders>
          </w:tcPr>
          <w:p w:rsidR="00EA34BF" w:rsidRPr="00A62B56" w:rsidRDefault="00EA34BF" w:rsidP="00EA34BF">
            <w:pPr>
              <w:cnfStyle w:val="000000100000" w:firstRow="0" w:lastRow="0" w:firstColumn="0" w:lastColumn="0" w:oddVBand="0" w:evenVBand="0" w:oddHBand="1" w:evenHBand="0" w:firstRowFirstColumn="0" w:firstRowLastColumn="0" w:lastRowFirstColumn="0" w:lastRowLastColumn="0"/>
              <w:rPr>
                <w:b/>
                <w:i/>
              </w:rPr>
            </w:pPr>
            <w:r w:rsidRPr="00A62B56">
              <w:rPr>
                <w:b/>
                <w:i/>
              </w:rPr>
              <w:t>r</w:t>
            </w:r>
            <w:r w:rsidRPr="00A62B56">
              <w:rPr>
                <w:b/>
                <w:i/>
                <w:vertAlign w:val="superscript"/>
              </w:rPr>
              <w:t>2</w:t>
            </w:r>
            <w:r w:rsidRPr="00A62B56">
              <w:rPr>
                <w:b/>
                <w:i/>
              </w:rPr>
              <w:t>=.372, p&lt;.001</w:t>
            </w:r>
          </w:p>
        </w:tc>
        <w:tc>
          <w:tcPr>
            <w:tcW w:w="720" w:type="dxa"/>
            <w:tcBorders>
              <w:top w:val="nil"/>
            </w:tcBorders>
          </w:tcPr>
          <w:p w:rsidR="00EA34BF" w:rsidRPr="00A62B56" w:rsidRDefault="00EA34BF" w:rsidP="00EA34BF">
            <w:pPr>
              <w:cnfStyle w:val="000000100000" w:firstRow="0" w:lastRow="0" w:firstColumn="0" w:lastColumn="0" w:oddVBand="0" w:evenVBand="0" w:oddHBand="1" w:evenHBand="0" w:firstRowFirstColumn="0" w:firstRowLastColumn="0" w:lastRowFirstColumn="0" w:lastRowLastColumn="0"/>
              <w:rPr>
                <w:b/>
                <w:i/>
              </w:rPr>
            </w:pPr>
            <w:r w:rsidRPr="00A62B56">
              <w:rPr>
                <w:b/>
                <w:i/>
              </w:rPr>
              <w:t>β</w:t>
            </w:r>
          </w:p>
        </w:tc>
        <w:tc>
          <w:tcPr>
            <w:tcW w:w="905" w:type="dxa"/>
            <w:tcBorders>
              <w:top w:val="nil"/>
            </w:tcBorders>
          </w:tcPr>
          <w:p w:rsidR="00EA34BF" w:rsidRPr="00A62B56" w:rsidRDefault="00EA34BF" w:rsidP="00EA34BF">
            <w:pPr>
              <w:cnfStyle w:val="000000100000" w:firstRow="0" w:lastRow="0" w:firstColumn="0" w:lastColumn="0" w:oddVBand="0" w:evenVBand="0" w:oddHBand="1" w:evenHBand="0" w:firstRowFirstColumn="0" w:firstRowLastColumn="0" w:lastRowFirstColumn="0" w:lastRowLastColumn="0"/>
              <w:rPr>
                <w:b/>
                <w:i/>
              </w:rPr>
            </w:pPr>
            <w:r w:rsidRPr="00A62B56">
              <w:rPr>
                <w:b/>
                <w:i/>
              </w:rPr>
              <w:t>p-value</w:t>
            </w:r>
          </w:p>
        </w:tc>
      </w:tr>
      <w:tr w:rsidR="00EA34BF" w:rsidTr="006B1A5A">
        <w:tc>
          <w:tcPr>
            <w:cnfStyle w:val="001000000000" w:firstRow="0" w:lastRow="0" w:firstColumn="1" w:lastColumn="0" w:oddVBand="0" w:evenVBand="0" w:oddHBand="0" w:evenHBand="0" w:firstRowFirstColumn="0" w:firstRowLastColumn="0" w:lastRowFirstColumn="0" w:lastRowLastColumn="0"/>
            <w:tcW w:w="3330" w:type="dxa"/>
          </w:tcPr>
          <w:p w:rsidR="00EA34BF" w:rsidRPr="00EB30A1" w:rsidRDefault="00EA34BF" w:rsidP="00EA34BF">
            <w:pPr>
              <w:rPr>
                <w:b w:val="0"/>
              </w:rPr>
            </w:pPr>
            <w:r w:rsidRPr="00EB30A1">
              <w:rPr>
                <w:b w:val="0"/>
              </w:rPr>
              <w:t xml:space="preserve">Assessing/Understanding the child </w:t>
            </w:r>
          </w:p>
        </w:tc>
        <w:tc>
          <w:tcPr>
            <w:tcW w:w="72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.277</w:t>
            </w:r>
          </w:p>
        </w:tc>
        <w:tc>
          <w:tcPr>
            <w:tcW w:w="90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.0001</w:t>
            </w:r>
          </w:p>
        </w:tc>
        <w:tc>
          <w:tcPr>
            <w:tcW w:w="315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Long term view planning</w:t>
            </w:r>
          </w:p>
        </w:tc>
        <w:tc>
          <w:tcPr>
            <w:tcW w:w="72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.621</w:t>
            </w:r>
          </w:p>
        </w:tc>
        <w:tc>
          <w:tcPr>
            <w:tcW w:w="90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.0001</w:t>
            </w:r>
          </w:p>
        </w:tc>
        <w:tc>
          <w:tcPr>
            <w:tcW w:w="3325"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Assessing/Understanding the child</w:t>
            </w:r>
          </w:p>
        </w:tc>
        <w:tc>
          <w:tcPr>
            <w:tcW w:w="720" w:type="dxa"/>
          </w:tcPr>
          <w:p w:rsidR="00EA34BF" w:rsidRPr="004108A4" w:rsidRDefault="00EA34BF" w:rsidP="00EA34BF">
            <w:pPr>
              <w:cnfStyle w:val="000000000000" w:firstRow="0" w:lastRow="0" w:firstColumn="0" w:lastColumn="0" w:oddVBand="0" w:evenVBand="0" w:oddHBand="0" w:evenHBand="0" w:firstRowFirstColumn="0" w:firstRowLastColumn="0" w:lastRowFirstColumn="0" w:lastRowLastColumn="0"/>
            </w:pPr>
            <w:r w:rsidRPr="004108A4">
              <w:t>.360</w:t>
            </w:r>
          </w:p>
        </w:tc>
        <w:tc>
          <w:tcPr>
            <w:tcW w:w="905" w:type="dxa"/>
          </w:tcPr>
          <w:p w:rsidR="00EA34BF" w:rsidRDefault="00EA34BF" w:rsidP="00EA34BF">
            <w:pPr>
              <w:cnfStyle w:val="000000000000" w:firstRow="0" w:lastRow="0" w:firstColumn="0" w:lastColumn="0" w:oddVBand="0" w:evenVBand="0" w:oddHBand="0" w:evenHBand="0" w:firstRowFirstColumn="0" w:firstRowLastColumn="0" w:lastRowFirstColumn="0" w:lastRowLastColumn="0"/>
            </w:pPr>
            <w:r w:rsidRPr="00346DB2">
              <w:t>.0001</w:t>
            </w:r>
          </w:p>
        </w:tc>
      </w:tr>
      <w:tr w:rsidR="00EA34BF"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rsidR="00EA34BF" w:rsidRPr="00EB30A1" w:rsidRDefault="00EA34BF" w:rsidP="00EA34BF">
            <w:pPr>
              <w:rPr>
                <w:b w:val="0"/>
              </w:rPr>
            </w:pPr>
            <w:r w:rsidRPr="00EB30A1">
              <w:rPr>
                <w:b w:val="0"/>
              </w:rPr>
              <w:t xml:space="preserve">CHINS case </w:t>
            </w:r>
          </w:p>
        </w:tc>
        <w:tc>
          <w:tcPr>
            <w:tcW w:w="720"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r w:rsidRPr="00EB30A1">
              <w:t>.128</w:t>
            </w:r>
          </w:p>
        </w:tc>
        <w:tc>
          <w:tcPr>
            <w:tcW w:w="900"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r w:rsidRPr="00EB30A1">
              <w:t>.0001</w:t>
            </w:r>
          </w:p>
        </w:tc>
        <w:tc>
          <w:tcPr>
            <w:tcW w:w="3150" w:type="dxa"/>
          </w:tcPr>
          <w:p w:rsidR="00EA34BF" w:rsidRPr="00A62B56" w:rsidRDefault="00EA34BF" w:rsidP="00EA34BF">
            <w:pPr>
              <w:cnfStyle w:val="000000100000" w:firstRow="0" w:lastRow="0" w:firstColumn="0" w:lastColumn="0" w:oddVBand="0" w:evenVBand="0" w:oddHBand="1" w:evenHBand="0" w:firstRowFirstColumn="0" w:firstRowLastColumn="0" w:lastRowFirstColumn="0" w:lastRowLastColumn="0"/>
              <w:rPr>
                <w:b/>
              </w:rPr>
            </w:pPr>
            <w:r w:rsidRPr="00A62B56">
              <w:rPr>
                <w:b/>
              </w:rPr>
              <w:t xml:space="preserve">Relative vs Non-Rel. placement </w:t>
            </w:r>
          </w:p>
        </w:tc>
        <w:tc>
          <w:tcPr>
            <w:tcW w:w="720" w:type="dxa"/>
          </w:tcPr>
          <w:p w:rsidR="00EA34BF" w:rsidRPr="0046603E" w:rsidRDefault="00EA34BF" w:rsidP="00EA34BF">
            <w:pPr>
              <w:cnfStyle w:val="000000100000" w:firstRow="0" w:lastRow="0" w:firstColumn="0" w:lastColumn="0" w:oddVBand="0" w:evenVBand="0" w:oddHBand="1" w:evenHBand="0" w:firstRowFirstColumn="0" w:firstRowLastColumn="0" w:lastRowFirstColumn="0" w:lastRowLastColumn="0"/>
            </w:pPr>
            <w:r w:rsidRPr="0046603E">
              <w:t>.098</w:t>
            </w:r>
          </w:p>
        </w:tc>
        <w:tc>
          <w:tcPr>
            <w:tcW w:w="900" w:type="dxa"/>
          </w:tcPr>
          <w:p w:rsidR="00EA34BF" w:rsidRPr="0046603E" w:rsidRDefault="00EA34BF" w:rsidP="00EA34BF">
            <w:pPr>
              <w:cnfStyle w:val="000000100000" w:firstRow="0" w:lastRow="0" w:firstColumn="0" w:lastColumn="0" w:oddVBand="0" w:evenVBand="0" w:oddHBand="1" w:evenHBand="0" w:firstRowFirstColumn="0" w:firstRowLastColumn="0" w:lastRowFirstColumn="0" w:lastRowLastColumn="0"/>
            </w:pPr>
            <w:r w:rsidRPr="0046603E">
              <w:t>.0001</w:t>
            </w:r>
          </w:p>
        </w:tc>
        <w:tc>
          <w:tcPr>
            <w:tcW w:w="3325"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r w:rsidRPr="00EB30A1">
              <w:t>Child with behavioral problems</w:t>
            </w:r>
          </w:p>
        </w:tc>
        <w:tc>
          <w:tcPr>
            <w:tcW w:w="720" w:type="dxa"/>
          </w:tcPr>
          <w:p w:rsidR="00EA34BF" w:rsidRPr="004108A4" w:rsidRDefault="00EA34BF" w:rsidP="00EA34BF">
            <w:pPr>
              <w:cnfStyle w:val="000000100000" w:firstRow="0" w:lastRow="0" w:firstColumn="0" w:lastColumn="0" w:oddVBand="0" w:evenVBand="0" w:oddHBand="1" w:evenHBand="0" w:firstRowFirstColumn="0" w:firstRowLastColumn="0" w:lastRowFirstColumn="0" w:lastRowLastColumn="0"/>
            </w:pPr>
            <w:r w:rsidRPr="004108A4">
              <w:t>-.165</w:t>
            </w:r>
          </w:p>
        </w:tc>
        <w:tc>
          <w:tcPr>
            <w:tcW w:w="905" w:type="dxa"/>
          </w:tcPr>
          <w:p w:rsidR="00EA34BF" w:rsidRDefault="00EA34BF" w:rsidP="00EA34BF">
            <w:pPr>
              <w:cnfStyle w:val="000000100000" w:firstRow="0" w:lastRow="0" w:firstColumn="0" w:lastColumn="0" w:oddVBand="0" w:evenVBand="0" w:oddHBand="1" w:evenHBand="0" w:firstRowFirstColumn="0" w:firstRowLastColumn="0" w:lastRowFirstColumn="0" w:lastRowLastColumn="0"/>
            </w:pPr>
            <w:r w:rsidRPr="00346DB2">
              <w:t>.0001</w:t>
            </w:r>
          </w:p>
        </w:tc>
      </w:tr>
      <w:tr w:rsidR="00EA34BF" w:rsidTr="006B1A5A">
        <w:tc>
          <w:tcPr>
            <w:cnfStyle w:val="001000000000" w:firstRow="0" w:lastRow="0" w:firstColumn="1" w:lastColumn="0" w:oddVBand="0" w:evenVBand="0" w:oddHBand="0" w:evenHBand="0" w:firstRowFirstColumn="0" w:firstRowLastColumn="0" w:lastRowFirstColumn="0" w:lastRowLastColumn="0"/>
            <w:tcW w:w="3330" w:type="dxa"/>
          </w:tcPr>
          <w:p w:rsidR="00EA34BF" w:rsidRPr="00EB30A1" w:rsidRDefault="00EA34BF" w:rsidP="00EA34BF">
            <w:pPr>
              <w:rPr>
                <w:b w:val="0"/>
              </w:rPr>
            </w:pPr>
            <w:r w:rsidRPr="00EB30A1">
              <w:rPr>
                <w:b w:val="0"/>
              </w:rPr>
              <w:t xml:space="preserve">Child with behavioral problems </w:t>
            </w:r>
          </w:p>
        </w:tc>
        <w:tc>
          <w:tcPr>
            <w:tcW w:w="72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-.120</w:t>
            </w:r>
          </w:p>
        </w:tc>
        <w:tc>
          <w:tcPr>
            <w:tcW w:w="90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.001</w:t>
            </w:r>
          </w:p>
        </w:tc>
        <w:tc>
          <w:tcPr>
            <w:tcW w:w="315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Intervention adequacy</w:t>
            </w:r>
          </w:p>
        </w:tc>
        <w:tc>
          <w:tcPr>
            <w:tcW w:w="72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.093</w:t>
            </w:r>
          </w:p>
        </w:tc>
        <w:tc>
          <w:tcPr>
            <w:tcW w:w="90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.001</w:t>
            </w:r>
          </w:p>
        </w:tc>
        <w:tc>
          <w:tcPr>
            <w:tcW w:w="3325"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Child’s age</w:t>
            </w:r>
          </w:p>
        </w:tc>
        <w:tc>
          <w:tcPr>
            <w:tcW w:w="720" w:type="dxa"/>
          </w:tcPr>
          <w:p w:rsidR="00EA34BF" w:rsidRPr="004108A4" w:rsidRDefault="00EA34BF" w:rsidP="00EA34BF">
            <w:pPr>
              <w:cnfStyle w:val="000000000000" w:firstRow="0" w:lastRow="0" w:firstColumn="0" w:lastColumn="0" w:oddVBand="0" w:evenVBand="0" w:oddHBand="0" w:evenHBand="0" w:firstRowFirstColumn="0" w:firstRowLastColumn="0" w:lastRowFirstColumn="0" w:lastRowLastColumn="0"/>
            </w:pPr>
            <w:r w:rsidRPr="004108A4">
              <w:t>-.161</w:t>
            </w:r>
          </w:p>
        </w:tc>
        <w:tc>
          <w:tcPr>
            <w:tcW w:w="905" w:type="dxa"/>
          </w:tcPr>
          <w:p w:rsidR="00EA34BF" w:rsidRDefault="00EA34BF" w:rsidP="00EA34BF">
            <w:pPr>
              <w:cnfStyle w:val="000000000000" w:firstRow="0" w:lastRow="0" w:firstColumn="0" w:lastColumn="0" w:oddVBand="0" w:evenVBand="0" w:oddHBand="0" w:evenHBand="0" w:firstRowFirstColumn="0" w:firstRowLastColumn="0" w:lastRowFirstColumn="0" w:lastRowLastColumn="0"/>
            </w:pPr>
            <w:r w:rsidRPr="00346DB2">
              <w:t>.0001</w:t>
            </w:r>
          </w:p>
        </w:tc>
      </w:tr>
      <w:tr w:rsidR="00EA34BF"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rsidR="00EA34BF" w:rsidRPr="0046603E" w:rsidRDefault="00EA34BF" w:rsidP="00EA34BF">
            <w:r w:rsidRPr="0046603E">
              <w:t xml:space="preserve">Relative vs </w:t>
            </w:r>
            <w:r>
              <w:t>Non-Rel.</w:t>
            </w:r>
            <w:r w:rsidRPr="0046603E">
              <w:t xml:space="preserve"> placement </w:t>
            </w:r>
          </w:p>
        </w:tc>
        <w:tc>
          <w:tcPr>
            <w:tcW w:w="720" w:type="dxa"/>
          </w:tcPr>
          <w:p w:rsidR="00EA34BF" w:rsidRPr="0046603E" w:rsidRDefault="00EA34BF" w:rsidP="00EA34BF">
            <w:pPr>
              <w:cnfStyle w:val="000000100000" w:firstRow="0" w:lastRow="0" w:firstColumn="0" w:lastColumn="0" w:oddVBand="0" w:evenVBand="0" w:oddHBand="1" w:evenHBand="0" w:firstRowFirstColumn="0" w:firstRowLastColumn="0" w:lastRowFirstColumn="0" w:lastRowLastColumn="0"/>
            </w:pPr>
            <w:r w:rsidRPr="0046603E">
              <w:t>-.096</w:t>
            </w:r>
          </w:p>
        </w:tc>
        <w:tc>
          <w:tcPr>
            <w:tcW w:w="900" w:type="dxa"/>
          </w:tcPr>
          <w:p w:rsidR="00EA34BF" w:rsidRPr="0046603E" w:rsidRDefault="00EA34BF" w:rsidP="00EA34BF">
            <w:pPr>
              <w:cnfStyle w:val="000000100000" w:firstRow="0" w:lastRow="0" w:firstColumn="0" w:lastColumn="0" w:oddVBand="0" w:evenVBand="0" w:oddHBand="1" w:evenHBand="0" w:firstRowFirstColumn="0" w:firstRowLastColumn="0" w:lastRowFirstColumn="0" w:lastRowLastColumn="0"/>
            </w:pPr>
            <w:r w:rsidRPr="0046603E">
              <w:t>.005</w:t>
            </w:r>
          </w:p>
        </w:tc>
        <w:tc>
          <w:tcPr>
            <w:tcW w:w="3150"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r w:rsidRPr="00EB30A1">
              <w:t>Planning</w:t>
            </w:r>
            <w:r>
              <w:t xml:space="preserve"> transitions/</w:t>
            </w:r>
            <w:r w:rsidRPr="00EB30A1">
              <w:t xml:space="preserve">life </w:t>
            </w:r>
            <w:r>
              <w:t>adjust.</w:t>
            </w:r>
          </w:p>
        </w:tc>
        <w:tc>
          <w:tcPr>
            <w:tcW w:w="720"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r w:rsidRPr="00EB30A1">
              <w:t>.078</w:t>
            </w:r>
          </w:p>
        </w:tc>
        <w:tc>
          <w:tcPr>
            <w:tcW w:w="900"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r w:rsidRPr="00EB30A1">
              <w:t>.015</w:t>
            </w:r>
          </w:p>
        </w:tc>
        <w:tc>
          <w:tcPr>
            <w:tcW w:w="3325" w:type="dxa"/>
          </w:tcPr>
          <w:p w:rsidR="00EA34BF" w:rsidRPr="00A62B56" w:rsidRDefault="00EA34BF" w:rsidP="00EA34BF">
            <w:pPr>
              <w:cnfStyle w:val="000000100000" w:firstRow="0" w:lastRow="0" w:firstColumn="0" w:lastColumn="0" w:oddVBand="0" w:evenVBand="0" w:oddHBand="1" w:evenHBand="0" w:firstRowFirstColumn="0" w:firstRowLastColumn="0" w:lastRowFirstColumn="0" w:lastRowLastColumn="0"/>
              <w:rPr>
                <w:b/>
              </w:rPr>
            </w:pPr>
            <w:r w:rsidRPr="00A62B56">
              <w:rPr>
                <w:b/>
              </w:rPr>
              <w:t xml:space="preserve">Relative vs Non-Rel. placement </w:t>
            </w:r>
          </w:p>
        </w:tc>
        <w:tc>
          <w:tcPr>
            <w:tcW w:w="720" w:type="dxa"/>
          </w:tcPr>
          <w:p w:rsidR="00EA34BF" w:rsidRPr="0046603E" w:rsidRDefault="00EA34BF" w:rsidP="00EA34BF">
            <w:pPr>
              <w:cnfStyle w:val="000000100000" w:firstRow="0" w:lastRow="0" w:firstColumn="0" w:lastColumn="0" w:oddVBand="0" w:evenVBand="0" w:oddHBand="1" w:evenHBand="0" w:firstRowFirstColumn="0" w:firstRowLastColumn="0" w:lastRowFirstColumn="0" w:lastRowLastColumn="0"/>
            </w:pPr>
            <w:r w:rsidRPr="0046603E">
              <w:t>.148</w:t>
            </w:r>
          </w:p>
        </w:tc>
        <w:tc>
          <w:tcPr>
            <w:tcW w:w="905" w:type="dxa"/>
          </w:tcPr>
          <w:p w:rsidR="00EA34BF" w:rsidRPr="0046603E" w:rsidRDefault="00EA34BF" w:rsidP="00EA34BF">
            <w:pPr>
              <w:cnfStyle w:val="000000100000" w:firstRow="0" w:lastRow="0" w:firstColumn="0" w:lastColumn="0" w:oddVBand="0" w:evenVBand="0" w:oddHBand="1" w:evenHBand="0" w:firstRowFirstColumn="0" w:firstRowLastColumn="0" w:lastRowFirstColumn="0" w:lastRowLastColumn="0"/>
            </w:pPr>
            <w:r w:rsidRPr="0046603E">
              <w:t>.0001</w:t>
            </w:r>
          </w:p>
        </w:tc>
      </w:tr>
      <w:tr w:rsidR="00EA34BF" w:rsidTr="006B1A5A">
        <w:tc>
          <w:tcPr>
            <w:cnfStyle w:val="001000000000" w:firstRow="0" w:lastRow="0" w:firstColumn="1" w:lastColumn="0" w:oddVBand="0" w:evenVBand="0" w:oddHBand="0" w:evenHBand="0" w:firstRowFirstColumn="0" w:firstRowLastColumn="0" w:lastRowFirstColumn="0" w:lastRowLastColumn="0"/>
            <w:tcW w:w="3330" w:type="dxa"/>
          </w:tcPr>
          <w:p w:rsidR="00EA34BF" w:rsidRPr="00EB30A1" w:rsidRDefault="00EA34BF" w:rsidP="00EA34BF">
            <w:pPr>
              <w:rPr>
                <w:b w:val="0"/>
              </w:rPr>
            </w:pPr>
            <w:r w:rsidRPr="00EB30A1">
              <w:rPr>
                <w:b w:val="0"/>
              </w:rPr>
              <w:t xml:space="preserve">Caregivers with drug abuse </w:t>
            </w:r>
          </w:p>
        </w:tc>
        <w:tc>
          <w:tcPr>
            <w:tcW w:w="72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.078</w:t>
            </w:r>
          </w:p>
        </w:tc>
        <w:tc>
          <w:tcPr>
            <w:tcW w:w="90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.022</w:t>
            </w:r>
          </w:p>
        </w:tc>
        <w:tc>
          <w:tcPr>
            <w:tcW w:w="315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Race white</w:t>
            </w:r>
          </w:p>
        </w:tc>
        <w:tc>
          <w:tcPr>
            <w:tcW w:w="72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.054</w:t>
            </w:r>
          </w:p>
        </w:tc>
        <w:tc>
          <w:tcPr>
            <w:tcW w:w="90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.022</w:t>
            </w:r>
          </w:p>
        </w:tc>
        <w:tc>
          <w:tcPr>
            <w:tcW w:w="3325"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CHINS case</w:t>
            </w:r>
          </w:p>
        </w:tc>
        <w:tc>
          <w:tcPr>
            <w:tcW w:w="720" w:type="dxa"/>
          </w:tcPr>
          <w:p w:rsidR="00EA34BF" w:rsidRPr="004108A4" w:rsidRDefault="00EA34BF" w:rsidP="00EA34BF">
            <w:pPr>
              <w:cnfStyle w:val="000000000000" w:firstRow="0" w:lastRow="0" w:firstColumn="0" w:lastColumn="0" w:oddVBand="0" w:evenVBand="0" w:oddHBand="0" w:evenHBand="0" w:firstRowFirstColumn="0" w:firstRowLastColumn="0" w:lastRowFirstColumn="0" w:lastRowLastColumn="0"/>
            </w:pPr>
            <w:r w:rsidRPr="004108A4">
              <w:t>.097</w:t>
            </w:r>
          </w:p>
        </w:tc>
        <w:tc>
          <w:tcPr>
            <w:tcW w:w="905" w:type="dxa"/>
          </w:tcPr>
          <w:p w:rsidR="00EA34BF" w:rsidRPr="00EA3C17" w:rsidRDefault="00EA34BF" w:rsidP="00EA34BF">
            <w:pPr>
              <w:cnfStyle w:val="000000000000" w:firstRow="0" w:lastRow="0" w:firstColumn="0" w:lastColumn="0" w:oddVBand="0" w:evenVBand="0" w:oddHBand="0" w:evenHBand="0" w:firstRowFirstColumn="0" w:firstRowLastColumn="0" w:lastRowFirstColumn="0" w:lastRowLastColumn="0"/>
            </w:pPr>
            <w:r w:rsidRPr="00EA3C17">
              <w:t>.001</w:t>
            </w:r>
          </w:p>
        </w:tc>
      </w:tr>
      <w:tr w:rsidR="00EA34BF"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rsidR="00EA34BF" w:rsidRPr="00EB30A1" w:rsidRDefault="00EA34BF" w:rsidP="00EA34BF">
            <w:pPr>
              <w:rPr>
                <w:b w:val="0"/>
              </w:rPr>
            </w:pPr>
          </w:p>
        </w:tc>
        <w:tc>
          <w:tcPr>
            <w:tcW w:w="720"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p>
        </w:tc>
        <w:tc>
          <w:tcPr>
            <w:tcW w:w="900"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p>
        </w:tc>
        <w:tc>
          <w:tcPr>
            <w:tcW w:w="3150"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r w:rsidRPr="00EB30A1">
              <w:t>Child with behavioral problems</w:t>
            </w:r>
          </w:p>
        </w:tc>
        <w:tc>
          <w:tcPr>
            <w:tcW w:w="720"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r w:rsidRPr="00EB30A1">
              <w:t>-.052</w:t>
            </w:r>
          </w:p>
        </w:tc>
        <w:tc>
          <w:tcPr>
            <w:tcW w:w="900"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r w:rsidRPr="00EB30A1">
              <w:t>.028</w:t>
            </w:r>
          </w:p>
        </w:tc>
        <w:tc>
          <w:tcPr>
            <w:tcW w:w="3325"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r w:rsidRPr="00EB30A1">
              <w:t>Child with emotional disturbance</w:t>
            </w:r>
          </w:p>
        </w:tc>
        <w:tc>
          <w:tcPr>
            <w:tcW w:w="720" w:type="dxa"/>
          </w:tcPr>
          <w:p w:rsidR="00EA34BF" w:rsidRPr="004108A4" w:rsidRDefault="00EA34BF" w:rsidP="00EA34BF">
            <w:pPr>
              <w:cnfStyle w:val="000000100000" w:firstRow="0" w:lastRow="0" w:firstColumn="0" w:lastColumn="0" w:oddVBand="0" w:evenVBand="0" w:oddHBand="1" w:evenHBand="0" w:firstRowFirstColumn="0" w:firstRowLastColumn="0" w:lastRowFirstColumn="0" w:lastRowLastColumn="0"/>
            </w:pPr>
            <w:r w:rsidRPr="004108A4">
              <w:t>-.096</w:t>
            </w:r>
          </w:p>
        </w:tc>
        <w:tc>
          <w:tcPr>
            <w:tcW w:w="905" w:type="dxa"/>
          </w:tcPr>
          <w:p w:rsidR="00EA34BF" w:rsidRPr="00EA3C17" w:rsidRDefault="00EA34BF" w:rsidP="00EA34BF">
            <w:pPr>
              <w:cnfStyle w:val="000000100000" w:firstRow="0" w:lastRow="0" w:firstColumn="0" w:lastColumn="0" w:oddVBand="0" w:evenVBand="0" w:oddHBand="1" w:evenHBand="0" w:firstRowFirstColumn="0" w:firstRowLastColumn="0" w:lastRowFirstColumn="0" w:lastRowLastColumn="0"/>
            </w:pPr>
            <w:r w:rsidRPr="00EA3C17">
              <w:t>.002</w:t>
            </w:r>
          </w:p>
        </w:tc>
      </w:tr>
      <w:tr w:rsidR="00EA34BF" w:rsidTr="006B1A5A">
        <w:tc>
          <w:tcPr>
            <w:cnfStyle w:val="001000000000" w:firstRow="0" w:lastRow="0" w:firstColumn="1" w:lastColumn="0" w:oddVBand="0" w:evenVBand="0" w:oddHBand="0" w:evenHBand="0" w:firstRowFirstColumn="0" w:firstRowLastColumn="0" w:lastRowFirstColumn="0" w:lastRowLastColumn="0"/>
            <w:tcW w:w="3330" w:type="dxa"/>
          </w:tcPr>
          <w:p w:rsidR="00EA34BF" w:rsidRPr="00EB30A1" w:rsidRDefault="00EA34BF" w:rsidP="00EA34BF">
            <w:pPr>
              <w:rPr>
                <w:b w:val="0"/>
              </w:rPr>
            </w:pPr>
          </w:p>
        </w:tc>
        <w:tc>
          <w:tcPr>
            <w:tcW w:w="72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p>
        </w:tc>
        <w:tc>
          <w:tcPr>
            <w:tcW w:w="90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p>
        </w:tc>
        <w:tc>
          <w:tcPr>
            <w:tcW w:w="315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p>
        </w:tc>
        <w:tc>
          <w:tcPr>
            <w:tcW w:w="72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p>
        </w:tc>
        <w:tc>
          <w:tcPr>
            <w:tcW w:w="900"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p>
        </w:tc>
        <w:tc>
          <w:tcPr>
            <w:tcW w:w="3325" w:type="dxa"/>
          </w:tcPr>
          <w:p w:rsidR="00EA34BF" w:rsidRPr="00EB30A1" w:rsidRDefault="00EA34BF" w:rsidP="00EA34BF">
            <w:pPr>
              <w:cnfStyle w:val="000000000000" w:firstRow="0" w:lastRow="0" w:firstColumn="0" w:lastColumn="0" w:oddVBand="0" w:evenVBand="0" w:oddHBand="0" w:evenHBand="0" w:firstRowFirstColumn="0" w:firstRowLastColumn="0" w:lastRowFirstColumn="0" w:lastRowLastColumn="0"/>
            </w:pPr>
            <w:r w:rsidRPr="00EB30A1">
              <w:t>Case open longer than 18 months</w:t>
            </w:r>
          </w:p>
        </w:tc>
        <w:tc>
          <w:tcPr>
            <w:tcW w:w="720" w:type="dxa"/>
          </w:tcPr>
          <w:p w:rsidR="00EA34BF" w:rsidRPr="004108A4" w:rsidRDefault="00EA34BF" w:rsidP="00EA34BF">
            <w:pPr>
              <w:cnfStyle w:val="000000000000" w:firstRow="0" w:lastRow="0" w:firstColumn="0" w:lastColumn="0" w:oddVBand="0" w:evenVBand="0" w:oddHBand="0" w:evenHBand="0" w:firstRowFirstColumn="0" w:firstRowLastColumn="0" w:lastRowFirstColumn="0" w:lastRowLastColumn="0"/>
            </w:pPr>
            <w:r w:rsidRPr="004108A4">
              <w:t>.073</w:t>
            </w:r>
          </w:p>
        </w:tc>
        <w:tc>
          <w:tcPr>
            <w:tcW w:w="905" w:type="dxa"/>
          </w:tcPr>
          <w:p w:rsidR="00EA34BF" w:rsidRPr="00EA3C17" w:rsidRDefault="00EA34BF" w:rsidP="00EA34BF">
            <w:pPr>
              <w:cnfStyle w:val="000000000000" w:firstRow="0" w:lastRow="0" w:firstColumn="0" w:lastColumn="0" w:oddVBand="0" w:evenVBand="0" w:oddHBand="0" w:evenHBand="0" w:firstRowFirstColumn="0" w:firstRowLastColumn="0" w:lastRowFirstColumn="0" w:lastRowLastColumn="0"/>
            </w:pPr>
            <w:r w:rsidRPr="00EA3C17">
              <w:t>.015</w:t>
            </w:r>
          </w:p>
        </w:tc>
      </w:tr>
      <w:tr w:rsidR="00EA34BF"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rsidR="00EA34BF" w:rsidRPr="00EB30A1" w:rsidRDefault="00EA34BF" w:rsidP="00EA34BF">
            <w:pPr>
              <w:rPr>
                <w:b w:val="0"/>
              </w:rPr>
            </w:pPr>
          </w:p>
        </w:tc>
        <w:tc>
          <w:tcPr>
            <w:tcW w:w="720"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p>
        </w:tc>
        <w:tc>
          <w:tcPr>
            <w:tcW w:w="900"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p>
        </w:tc>
        <w:tc>
          <w:tcPr>
            <w:tcW w:w="3150"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p>
        </w:tc>
        <w:tc>
          <w:tcPr>
            <w:tcW w:w="720"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p>
        </w:tc>
        <w:tc>
          <w:tcPr>
            <w:tcW w:w="900"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p>
        </w:tc>
        <w:tc>
          <w:tcPr>
            <w:tcW w:w="3325" w:type="dxa"/>
          </w:tcPr>
          <w:p w:rsidR="00EA34BF" w:rsidRPr="00EB30A1" w:rsidRDefault="00EA34BF" w:rsidP="00EA34BF">
            <w:pPr>
              <w:cnfStyle w:val="000000100000" w:firstRow="0" w:lastRow="0" w:firstColumn="0" w:lastColumn="0" w:oddVBand="0" w:evenVBand="0" w:oddHBand="1" w:evenHBand="0" w:firstRowFirstColumn="0" w:firstRowLastColumn="0" w:lastRowFirstColumn="0" w:lastRowLastColumn="0"/>
            </w:pPr>
            <w:r w:rsidRPr="00EB30A1">
              <w:t>Caregivers with drug abuse</w:t>
            </w:r>
          </w:p>
        </w:tc>
        <w:tc>
          <w:tcPr>
            <w:tcW w:w="720" w:type="dxa"/>
          </w:tcPr>
          <w:p w:rsidR="00EA34BF" w:rsidRDefault="00EA34BF" w:rsidP="00EA34BF">
            <w:pPr>
              <w:cnfStyle w:val="000000100000" w:firstRow="0" w:lastRow="0" w:firstColumn="0" w:lastColumn="0" w:oddVBand="0" w:evenVBand="0" w:oddHBand="1" w:evenHBand="0" w:firstRowFirstColumn="0" w:firstRowLastColumn="0" w:lastRowFirstColumn="0" w:lastRowLastColumn="0"/>
            </w:pPr>
            <w:r w:rsidRPr="004108A4">
              <w:t>.067</w:t>
            </w:r>
          </w:p>
        </w:tc>
        <w:tc>
          <w:tcPr>
            <w:tcW w:w="905" w:type="dxa"/>
          </w:tcPr>
          <w:p w:rsidR="00EA34BF" w:rsidRDefault="00EA34BF" w:rsidP="00EA34BF">
            <w:pPr>
              <w:cnfStyle w:val="000000100000" w:firstRow="0" w:lastRow="0" w:firstColumn="0" w:lastColumn="0" w:oddVBand="0" w:evenVBand="0" w:oddHBand="1" w:evenHBand="0" w:firstRowFirstColumn="0" w:firstRowLastColumn="0" w:lastRowFirstColumn="0" w:lastRowLastColumn="0"/>
            </w:pPr>
            <w:r w:rsidRPr="00EA3C17">
              <w:t>.023</w:t>
            </w:r>
          </w:p>
        </w:tc>
      </w:tr>
    </w:tbl>
    <w:p w:rsidR="00EA34BF" w:rsidRDefault="00EA34BF" w:rsidP="00EA34BF"/>
    <w:p w:rsidR="00EA34BF" w:rsidRDefault="00EA34BF" w:rsidP="00EA34BF"/>
    <w:p w:rsidR="00EA34BF" w:rsidRDefault="00EA34BF" w:rsidP="00EA34BF"/>
    <w:tbl>
      <w:tblPr>
        <w:tblStyle w:val="GridTable4-Accent111"/>
        <w:tblW w:w="11425" w:type="dxa"/>
        <w:tblLayout w:type="fixed"/>
        <w:tblLook w:val="04A0" w:firstRow="1" w:lastRow="0" w:firstColumn="1" w:lastColumn="0" w:noHBand="0" w:noVBand="1"/>
      </w:tblPr>
      <w:tblGrid>
        <w:gridCol w:w="3955"/>
        <w:gridCol w:w="810"/>
        <w:gridCol w:w="990"/>
        <w:gridCol w:w="4050"/>
        <w:gridCol w:w="720"/>
        <w:gridCol w:w="900"/>
      </w:tblGrid>
      <w:tr w:rsidR="00EA34BF" w:rsidTr="00EA34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Borders>
              <w:top w:val="none" w:sz="0" w:space="0" w:color="auto"/>
              <w:left w:val="none" w:sz="0" w:space="0" w:color="auto"/>
              <w:bottom w:val="none" w:sz="0" w:space="0" w:color="auto"/>
              <w:right w:val="none" w:sz="0" w:space="0" w:color="auto"/>
            </w:tcBorders>
          </w:tcPr>
          <w:p w:rsidR="00EA34BF" w:rsidRDefault="00EA34BF" w:rsidP="00EA34BF">
            <w:r>
              <w:t>Behavioral health</w:t>
            </w:r>
          </w:p>
        </w:tc>
        <w:tc>
          <w:tcPr>
            <w:tcW w:w="810" w:type="dxa"/>
            <w:tcBorders>
              <w:top w:val="none" w:sz="0" w:space="0" w:color="auto"/>
              <w:left w:val="none" w:sz="0" w:space="0" w:color="auto"/>
              <w:bottom w:val="none" w:sz="0" w:space="0" w:color="auto"/>
              <w:right w:val="none" w:sz="0" w:space="0" w:color="auto"/>
            </w:tcBorders>
          </w:tcPr>
          <w:p w:rsidR="00EA34BF" w:rsidRDefault="00EA34BF" w:rsidP="00EA34BF">
            <w:pPr>
              <w:cnfStyle w:val="100000000000" w:firstRow="1" w:lastRow="0" w:firstColumn="0" w:lastColumn="0" w:oddVBand="0" w:evenVBand="0" w:oddHBand="0" w:evenHBand="0" w:firstRowFirstColumn="0" w:firstRowLastColumn="0" w:lastRowFirstColumn="0" w:lastRowLastColumn="0"/>
            </w:pPr>
          </w:p>
        </w:tc>
        <w:tc>
          <w:tcPr>
            <w:tcW w:w="990" w:type="dxa"/>
            <w:tcBorders>
              <w:top w:val="none" w:sz="0" w:space="0" w:color="auto"/>
              <w:left w:val="none" w:sz="0" w:space="0" w:color="auto"/>
              <w:bottom w:val="none" w:sz="0" w:space="0" w:color="auto"/>
              <w:right w:val="none" w:sz="0" w:space="0" w:color="auto"/>
            </w:tcBorders>
          </w:tcPr>
          <w:p w:rsidR="00EA34BF" w:rsidRDefault="00EA34BF" w:rsidP="00EA34BF">
            <w:pPr>
              <w:cnfStyle w:val="100000000000" w:firstRow="1" w:lastRow="0" w:firstColumn="0" w:lastColumn="0" w:oddVBand="0" w:evenVBand="0" w:oddHBand="0" w:evenHBand="0" w:firstRowFirstColumn="0" w:firstRowLastColumn="0" w:lastRowFirstColumn="0" w:lastRowLastColumn="0"/>
            </w:pPr>
          </w:p>
        </w:tc>
        <w:tc>
          <w:tcPr>
            <w:tcW w:w="4050" w:type="dxa"/>
            <w:tcBorders>
              <w:top w:val="none" w:sz="0" w:space="0" w:color="auto"/>
              <w:left w:val="none" w:sz="0" w:space="0" w:color="auto"/>
              <w:bottom w:val="none" w:sz="0" w:space="0" w:color="auto"/>
              <w:right w:val="none" w:sz="0" w:space="0" w:color="auto"/>
            </w:tcBorders>
          </w:tcPr>
          <w:p w:rsidR="00EA34BF" w:rsidRDefault="00EA34BF" w:rsidP="00EA34BF">
            <w:pPr>
              <w:cnfStyle w:val="100000000000" w:firstRow="1" w:lastRow="0" w:firstColumn="0" w:lastColumn="0" w:oddVBand="0" w:evenVBand="0" w:oddHBand="0" w:evenHBand="0" w:firstRowFirstColumn="0" w:firstRowLastColumn="0" w:lastRowFirstColumn="0" w:lastRowLastColumn="0"/>
            </w:pPr>
            <w:r>
              <w:t>Stability</w:t>
            </w:r>
          </w:p>
        </w:tc>
        <w:tc>
          <w:tcPr>
            <w:tcW w:w="720" w:type="dxa"/>
            <w:tcBorders>
              <w:top w:val="none" w:sz="0" w:space="0" w:color="auto"/>
              <w:left w:val="none" w:sz="0" w:space="0" w:color="auto"/>
              <w:bottom w:val="none" w:sz="0" w:space="0" w:color="auto"/>
              <w:right w:val="none" w:sz="0" w:space="0" w:color="auto"/>
            </w:tcBorders>
          </w:tcPr>
          <w:p w:rsidR="00EA34BF" w:rsidRDefault="00EA34BF" w:rsidP="00EA34BF">
            <w:pPr>
              <w:cnfStyle w:val="100000000000" w:firstRow="1" w:lastRow="0" w:firstColumn="0" w:lastColumn="0" w:oddVBand="0" w:evenVBand="0" w:oddHBand="0" w:evenHBand="0" w:firstRowFirstColumn="0" w:firstRowLastColumn="0" w:lastRowFirstColumn="0" w:lastRowLastColumn="0"/>
            </w:pPr>
          </w:p>
        </w:tc>
        <w:tc>
          <w:tcPr>
            <w:tcW w:w="900" w:type="dxa"/>
            <w:tcBorders>
              <w:top w:val="none" w:sz="0" w:space="0" w:color="auto"/>
              <w:left w:val="none" w:sz="0" w:space="0" w:color="auto"/>
              <w:bottom w:val="none" w:sz="0" w:space="0" w:color="auto"/>
              <w:right w:val="none" w:sz="0" w:space="0" w:color="auto"/>
            </w:tcBorders>
          </w:tcPr>
          <w:p w:rsidR="00EA34BF" w:rsidRDefault="00EA34BF" w:rsidP="00EA34BF">
            <w:pPr>
              <w:cnfStyle w:val="100000000000" w:firstRow="1" w:lastRow="0" w:firstColumn="0" w:lastColumn="0" w:oddVBand="0" w:evenVBand="0" w:oddHBand="0" w:evenHBand="0" w:firstRowFirstColumn="0" w:firstRowLastColumn="0" w:lastRowFirstColumn="0" w:lastRowLastColumn="0"/>
            </w:pPr>
          </w:p>
        </w:tc>
      </w:tr>
      <w:tr w:rsidR="00EA34BF" w:rsidTr="00EA3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rsidR="00EA34BF" w:rsidRPr="00A62B56" w:rsidRDefault="00EA34BF" w:rsidP="00EA34BF">
            <w:pPr>
              <w:rPr>
                <w:i/>
              </w:rPr>
            </w:pPr>
            <w:r w:rsidRPr="00A62B56">
              <w:rPr>
                <w:i/>
              </w:rPr>
              <w:t>r</w:t>
            </w:r>
            <w:r w:rsidRPr="00A62B56">
              <w:rPr>
                <w:i/>
                <w:vertAlign w:val="superscript"/>
              </w:rPr>
              <w:t>2</w:t>
            </w:r>
            <w:r w:rsidRPr="00A62B56">
              <w:rPr>
                <w:i/>
              </w:rPr>
              <w:t>=.432, p&lt;.001</w:t>
            </w:r>
          </w:p>
        </w:tc>
        <w:tc>
          <w:tcPr>
            <w:tcW w:w="810" w:type="dxa"/>
          </w:tcPr>
          <w:p w:rsidR="00EA34BF" w:rsidRPr="00A62B56" w:rsidRDefault="00EA34BF" w:rsidP="00EA34BF">
            <w:pPr>
              <w:cnfStyle w:val="000000100000" w:firstRow="0" w:lastRow="0" w:firstColumn="0" w:lastColumn="0" w:oddVBand="0" w:evenVBand="0" w:oddHBand="1" w:evenHBand="0" w:firstRowFirstColumn="0" w:firstRowLastColumn="0" w:lastRowFirstColumn="0" w:lastRowLastColumn="0"/>
              <w:rPr>
                <w:b/>
                <w:i/>
              </w:rPr>
            </w:pPr>
            <w:r w:rsidRPr="00A62B56">
              <w:rPr>
                <w:b/>
                <w:i/>
              </w:rPr>
              <w:t>β</w:t>
            </w:r>
          </w:p>
        </w:tc>
        <w:tc>
          <w:tcPr>
            <w:tcW w:w="990" w:type="dxa"/>
          </w:tcPr>
          <w:p w:rsidR="00EA34BF" w:rsidRPr="00A62B56" w:rsidRDefault="00EA34BF" w:rsidP="00EA34BF">
            <w:pPr>
              <w:cnfStyle w:val="000000100000" w:firstRow="0" w:lastRow="0" w:firstColumn="0" w:lastColumn="0" w:oddVBand="0" w:evenVBand="0" w:oddHBand="1" w:evenHBand="0" w:firstRowFirstColumn="0" w:firstRowLastColumn="0" w:lastRowFirstColumn="0" w:lastRowLastColumn="0"/>
              <w:rPr>
                <w:b/>
                <w:i/>
              </w:rPr>
            </w:pPr>
            <w:r w:rsidRPr="00A62B56">
              <w:rPr>
                <w:b/>
                <w:i/>
              </w:rPr>
              <w:t>p-value</w:t>
            </w:r>
          </w:p>
        </w:tc>
        <w:tc>
          <w:tcPr>
            <w:tcW w:w="4050" w:type="dxa"/>
          </w:tcPr>
          <w:p w:rsidR="00EA34BF" w:rsidRPr="00A62B56" w:rsidRDefault="00EA34BF" w:rsidP="00EA34BF">
            <w:pPr>
              <w:cnfStyle w:val="000000100000" w:firstRow="0" w:lastRow="0" w:firstColumn="0" w:lastColumn="0" w:oddVBand="0" w:evenVBand="0" w:oddHBand="1" w:evenHBand="0" w:firstRowFirstColumn="0" w:firstRowLastColumn="0" w:lastRowFirstColumn="0" w:lastRowLastColumn="0"/>
              <w:rPr>
                <w:b/>
                <w:i/>
              </w:rPr>
            </w:pPr>
            <w:r w:rsidRPr="00A62B56">
              <w:rPr>
                <w:b/>
                <w:i/>
              </w:rPr>
              <w:t>r</w:t>
            </w:r>
            <w:r w:rsidRPr="00A62B56">
              <w:rPr>
                <w:b/>
                <w:i/>
                <w:vertAlign w:val="superscript"/>
              </w:rPr>
              <w:t>2</w:t>
            </w:r>
            <w:r w:rsidRPr="00A62B56">
              <w:rPr>
                <w:b/>
                <w:i/>
              </w:rPr>
              <w:t>=.175, p&lt;.001</w:t>
            </w:r>
          </w:p>
        </w:tc>
        <w:tc>
          <w:tcPr>
            <w:tcW w:w="720" w:type="dxa"/>
          </w:tcPr>
          <w:p w:rsidR="00EA34BF" w:rsidRPr="00A62B56" w:rsidRDefault="00EA34BF" w:rsidP="00EA34BF">
            <w:pPr>
              <w:cnfStyle w:val="000000100000" w:firstRow="0" w:lastRow="0" w:firstColumn="0" w:lastColumn="0" w:oddVBand="0" w:evenVBand="0" w:oddHBand="1" w:evenHBand="0" w:firstRowFirstColumn="0" w:firstRowLastColumn="0" w:lastRowFirstColumn="0" w:lastRowLastColumn="0"/>
              <w:rPr>
                <w:b/>
                <w:i/>
              </w:rPr>
            </w:pPr>
            <w:r w:rsidRPr="00A62B56">
              <w:rPr>
                <w:b/>
                <w:i/>
              </w:rPr>
              <w:t>β</w:t>
            </w:r>
          </w:p>
        </w:tc>
        <w:tc>
          <w:tcPr>
            <w:tcW w:w="900" w:type="dxa"/>
          </w:tcPr>
          <w:p w:rsidR="00EA34BF" w:rsidRPr="00A62B56" w:rsidRDefault="00EA34BF" w:rsidP="00EA34BF">
            <w:pPr>
              <w:cnfStyle w:val="000000100000" w:firstRow="0" w:lastRow="0" w:firstColumn="0" w:lastColumn="0" w:oddVBand="0" w:evenVBand="0" w:oddHBand="1" w:evenHBand="0" w:firstRowFirstColumn="0" w:firstRowLastColumn="0" w:lastRowFirstColumn="0" w:lastRowLastColumn="0"/>
              <w:rPr>
                <w:b/>
                <w:i/>
              </w:rPr>
            </w:pPr>
            <w:r w:rsidRPr="00A62B56">
              <w:rPr>
                <w:b/>
                <w:i/>
              </w:rPr>
              <w:t>p-value</w:t>
            </w:r>
          </w:p>
        </w:tc>
      </w:tr>
      <w:tr w:rsidR="00EA34BF" w:rsidTr="00EA34BF">
        <w:tc>
          <w:tcPr>
            <w:cnfStyle w:val="001000000000" w:firstRow="0" w:lastRow="0" w:firstColumn="1" w:lastColumn="0" w:oddVBand="0" w:evenVBand="0" w:oddHBand="0" w:evenHBand="0" w:firstRowFirstColumn="0" w:firstRowLastColumn="0" w:lastRowFirstColumn="0" w:lastRowLastColumn="0"/>
            <w:tcW w:w="3955" w:type="dxa"/>
          </w:tcPr>
          <w:p w:rsidR="00EA34BF" w:rsidRPr="00D8223B" w:rsidRDefault="00EA34BF" w:rsidP="00EA34BF">
            <w:pPr>
              <w:rPr>
                <w:b w:val="0"/>
              </w:rPr>
            </w:pPr>
            <w:r w:rsidRPr="00D8223B">
              <w:rPr>
                <w:b w:val="0"/>
              </w:rPr>
              <w:t>Child with behavioral problems</w:t>
            </w:r>
          </w:p>
        </w:tc>
        <w:tc>
          <w:tcPr>
            <w:tcW w:w="810" w:type="dxa"/>
          </w:tcPr>
          <w:p w:rsidR="00EA34BF" w:rsidRPr="000F193D" w:rsidRDefault="00EA34BF" w:rsidP="00EA34BF">
            <w:pPr>
              <w:cnfStyle w:val="000000000000" w:firstRow="0" w:lastRow="0" w:firstColumn="0" w:lastColumn="0" w:oddVBand="0" w:evenVBand="0" w:oddHBand="0" w:evenHBand="0" w:firstRowFirstColumn="0" w:firstRowLastColumn="0" w:lastRowFirstColumn="0" w:lastRowLastColumn="0"/>
              <w:rPr>
                <w:rFonts w:cs="Arial"/>
                <w:szCs w:val="18"/>
              </w:rPr>
            </w:pPr>
            <w:r w:rsidRPr="000F193D">
              <w:rPr>
                <w:rFonts w:cs="Arial"/>
                <w:szCs w:val="18"/>
              </w:rPr>
              <w:t>-.384</w:t>
            </w:r>
          </w:p>
        </w:tc>
        <w:tc>
          <w:tcPr>
            <w:tcW w:w="990" w:type="dxa"/>
          </w:tcPr>
          <w:p w:rsidR="00EA34BF" w:rsidRDefault="00EA34BF" w:rsidP="00EA34BF">
            <w:pPr>
              <w:cnfStyle w:val="000000000000" w:firstRow="0" w:lastRow="0" w:firstColumn="0" w:lastColumn="0" w:oddVBand="0" w:evenVBand="0" w:oddHBand="0" w:evenHBand="0" w:firstRowFirstColumn="0" w:firstRowLastColumn="0" w:lastRowFirstColumn="0" w:lastRowLastColumn="0"/>
            </w:pPr>
            <w:r w:rsidRPr="0003510D">
              <w:t>.0001</w:t>
            </w:r>
          </w:p>
        </w:tc>
        <w:tc>
          <w:tcPr>
            <w:tcW w:w="4050" w:type="dxa"/>
          </w:tcPr>
          <w:p w:rsidR="00EA34BF" w:rsidRDefault="00EA34BF" w:rsidP="00EA34BF">
            <w:pPr>
              <w:cnfStyle w:val="000000000000" w:firstRow="0" w:lastRow="0" w:firstColumn="0" w:lastColumn="0" w:oddVBand="0" w:evenVBand="0" w:oddHBand="0" w:evenHBand="0" w:firstRowFirstColumn="0" w:firstRowLastColumn="0" w:lastRowFirstColumn="0" w:lastRowLastColumn="0"/>
            </w:pPr>
            <w:r>
              <w:t>CHINS case</w:t>
            </w:r>
          </w:p>
        </w:tc>
        <w:tc>
          <w:tcPr>
            <w:tcW w:w="720" w:type="dxa"/>
          </w:tcPr>
          <w:p w:rsidR="00EA34BF" w:rsidRPr="00524DF1" w:rsidRDefault="00EA34BF" w:rsidP="00EA34BF">
            <w:pPr>
              <w:cnfStyle w:val="000000000000" w:firstRow="0" w:lastRow="0" w:firstColumn="0" w:lastColumn="0" w:oddVBand="0" w:evenVBand="0" w:oddHBand="0" w:evenHBand="0" w:firstRowFirstColumn="0" w:firstRowLastColumn="0" w:lastRowFirstColumn="0" w:lastRowLastColumn="0"/>
            </w:pPr>
            <w:r w:rsidRPr="00524DF1">
              <w:t>.194</w:t>
            </w:r>
          </w:p>
        </w:tc>
        <w:tc>
          <w:tcPr>
            <w:tcW w:w="900" w:type="dxa"/>
          </w:tcPr>
          <w:p w:rsidR="00EA34BF" w:rsidRDefault="00EA34BF" w:rsidP="00EA34BF">
            <w:pPr>
              <w:cnfStyle w:val="000000000000" w:firstRow="0" w:lastRow="0" w:firstColumn="0" w:lastColumn="0" w:oddVBand="0" w:evenVBand="0" w:oddHBand="0" w:evenHBand="0" w:firstRowFirstColumn="0" w:firstRowLastColumn="0" w:lastRowFirstColumn="0" w:lastRowLastColumn="0"/>
            </w:pPr>
            <w:r w:rsidRPr="000E73E0">
              <w:t>.0001</w:t>
            </w:r>
          </w:p>
        </w:tc>
      </w:tr>
      <w:tr w:rsidR="00EA34BF" w:rsidTr="00EA3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rsidR="00EA34BF" w:rsidRPr="00D8223B" w:rsidRDefault="00EA34BF" w:rsidP="00EA34BF">
            <w:pPr>
              <w:rPr>
                <w:b w:val="0"/>
              </w:rPr>
            </w:pPr>
            <w:r w:rsidRPr="00D8223B">
              <w:rPr>
                <w:b w:val="0"/>
              </w:rPr>
              <w:t>Assessing/Understanding the child</w:t>
            </w:r>
          </w:p>
        </w:tc>
        <w:tc>
          <w:tcPr>
            <w:tcW w:w="810" w:type="dxa"/>
          </w:tcPr>
          <w:p w:rsidR="00EA34BF" w:rsidRPr="000F193D" w:rsidRDefault="00EA34BF" w:rsidP="00EA34BF">
            <w:pPr>
              <w:cnfStyle w:val="000000100000" w:firstRow="0" w:lastRow="0" w:firstColumn="0" w:lastColumn="0" w:oddVBand="0" w:evenVBand="0" w:oddHBand="1" w:evenHBand="0" w:firstRowFirstColumn="0" w:firstRowLastColumn="0" w:lastRowFirstColumn="0" w:lastRowLastColumn="0"/>
              <w:rPr>
                <w:rFonts w:cs="Arial"/>
                <w:szCs w:val="18"/>
              </w:rPr>
            </w:pPr>
            <w:r w:rsidRPr="000F193D">
              <w:rPr>
                <w:rFonts w:cs="Arial"/>
                <w:szCs w:val="18"/>
              </w:rPr>
              <w:t>.206</w:t>
            </w:r>
          </w:p>
        </w:tc>
        <w:tc>
          <w:tcPr>
            <w:tcW w:w="990" w:type="dxa"/>
          </w:tcPr>
          <w:p w:rsidR="00EA34BF" w:rsidRDefault="00EA34BF" w:rsidP="00EA34BF">
            <w:pPr>
              <w:cnfStyle w:val="000000100000" w:firstRow="0" w:lastRow="0" w:firstColumn="0" w:lastColumn="0" w:oddVBand="0" w:evenVBand="0" w:oddHBand="1" w:evenHBand="0" w:firstRowFirstColumn="0" w:firstRowLastColumn="0" w:lastRowFirstColumn="0" w:lastRowLastColumn="0"/>
            </w:pPr>
            <w:r w:rsidRPr="0003510D">
              <w:t>.0001</w:t>
            </w:r>
          </w:p>
        </w:tc>
        <w:tc>
          <w:tcPr>
            <w:tcW w:w="4050" w:type="dxa"/>
          </w:tcPr>
          <w:p w:rsidR="00EA34BF" w:rsidRDefault="00EA34BF" w:rsidP="00EA34BF">
            <w:pPr>
              <w:cnfStyle w:val="000000100000" w:firstRow="0" w:lastRow="0" w:firstColumn="0" w:lastColumn="0" w:oddVBand="0" w:evenVBand="0" w:oddHBand="1" w:evenHBand="0" w:firstRowFirstColumn="0" w:firstRowLastColumn="0" w:lastRowFirstColumn="0" w:lastRowLastColumn="0"/>
            </w:pPr>
            <w:r w:rsidRPr="00785AB9">
              <w:t>Assessing/Understanding the child</w:t>
            </w:r>
          </w:p>
        </w:tc>
        <w:tc>
          <w:tcPr>
            <w:tcW w:w="720" w:type="dxa"/>
          </w:tcPr>
          <w:p w:rsidR="00EA34BF" w:rsidRPr="00524DF1" w:rsidRDefault="00EA34BF" w:rsidP="00EA34BF">
            <w:pPr>
              <w:cnfStyle w:val="000000100000" w:firstRow="0" w:lastRow="0" w:firstColumn="0" w:lastColumn="0" w:oddVBand="0" w:evenVBand="0" w:oddHBand="1" w:evenHBand="0" w:firstRowFirstColumn="0" w:firstRowLastColumn="0" w:lastRowFirstColumn="0" w:lastRowLastColumn="0"/>
            </w:pPr>
            <w:r w:rsidRPr="00524DF1">
              <w:t>.172</w:t>
            </w:r>
          </w:p>
        </w:tc>
        <w:tc>
          <w:tcPr>
            <w:tcW w:w="900" w:type="dxa"/>
          </w:tcPr>
          <w:p w:rsidR="00EA34BF" w:rsidRDefault="00EA34BF" w:rsidP="00EA34BF">
            <w:pPr>
              <w:cnfStyle w:val="000000100000" w:firstRow="0" w:lastRow="0" w:firstColumn="0" w:lastColumn="0" w:oddVBand="0" w:evenVBand="0" w:oddHBand="1" w:evenHBand="0" w:firstRowFirstColumn="0" w:firstRowLastColumn="0" w:lastRowFirstColumn="0" w:lastRowLastColumn="0"/>
            </w:pPr>
            <w:r w:rsidRPr="000E73E0">
              <w:t>.0001</w:t>
            </w:r>
          </w:p>
        </w:tc>
      </w:tr>
      <w:tr w:rsidR="00EA34BF" w:rsidTr="00EA34BF">
        <w:tc>
          <w:tcPr>
            <w:cnfStyle w:val="001000000000" w:firstRow="0" w:lastRow="0" w:firstColumn="1" w:lastColumn="0" w:oddVBand="0" w:evenVBand="0" w:oddHBand="0" w:evenHBand="0" w:firstRowFirstColumn="0" w:firstRowLastColumn="0" w:lastRowFirstColumn="0" w:lastRowLastColumn="0"/>
            <w:tcW w:w="3955" w:type="dxa"/>
          </w:tcPr>
          <w:p w:rsidR="00EA34BF" w:rsidRPr="00D8223B" w:rsidRDefault="00EA34BF" w:rsidP="00EA34BF">
            <w:pPr>
              <w:rPr>
                <w:b w:val="0"/>
              </w:rPr>
            </w:pPr>
            <w:r w:rsidRPr="00D8223B">
              <w:rPr>
                <w:b w:val="0"/>
              </w:rPr>
              <w:t xml:space="preserve">Child with </w:t>
            </w:r>
            <w:r>
              <w:rPr>
                <w:b w:val="0"/>
              </w:rPr>
              <w:t>e</w:t>
            </w:r>
            <w:r w:rsidRPr="00D8223B">
              <w:rPr>
                <w:b w:val="0"/>
              </w:rPr>
              <w:t>motional disturbance</w:t>
            </w:r>
          </w:p>
        </w:tc>
        <w:tc>
          <w:tcPr>
            <w:tcW w:w="810" w:type="dxa"/>
          </w:tcPr>
          <w:p w:rsidR="00EA34BF" w:rsidRPr="000F193D" w:rsidRDefault="00EA34BF" w:rsidP="00EA34BF">
            <w:pPr>
              <w:cnfStyle w:val="000000000000" w:firstRow="0" w:lastRow="0" w:firstColumn="0" w:lastColumn="0" w:oddVBand="0" w:evenVBand="0" w:oddHBand="0" w:evenHBand="0" w:firstRowFirstColumn="0" w:firstRowLastColumn="0" w:lastRowFirstColumn="0" w:lastRowLastColumn="0"/>
              <w:rPr>
                <w:rFonts w:cs="Arial"/>
                <w:szCs w:val="18"/>
              </w:rPr>
            </w:pPr>
            <w:r w:rsidRPr="000F193D">
              <w:rPr>
                <w:rFonts w:cs="Arial"/>
                <w:szCs w:val="18"/>
              </w:rPr>
              <w:t>-.177</w:t>
            </w:r>
          </w:p>
        </w:tc>
        <w:tc>
          <w:tcPr>
            <w:tcW w:w="990" w:type="dxa"/>
          </w:tcPr>
          <w:p w:rsidR="00EA34BF" w:rsidRDefault="00EA34BF" w:rsidP="00EA34BF">
            <w:pPr>
              <w:cnfStyle w:val="000000000000" w:firstRow="0" w:lastRow="0" w:firstColumn="0" w:lastColumn="0" w:oddVBand="0" w:evenVBand="0" w:oddHBand="0" w:evenHBand="0" w:firstRowFirstColumn="0" w:firstRowLastColumn="0" w:lastRowFirstColumn="0" w:lastRowLastColumn="0"/>
            </w:pPr>
            <w:r w:rsidRPr="0003510D">
              <w:t>.0001</w:t>
            </w:r>
          </w:p>
        </w:tc>
        <w:tc>
          <w:tcPr>
            <w:tcW w:w="4050" w:type="dxa"/>
          </w:tcPr>
          <w:p w:rsidR="00EA34BF" w:rsidRDefault="00EA34BF" w:rsidP="00EA34BF">
            <w:pPr>
              <w:cnfStyle w:val="000000000000" w:firstRow="0" w:lastRow="0" w:firstColumn="0" w:lastColumn="0" w:oddVBand="0" w:evenVBand="0" w:oddHBand="0" w:evenHBand="0" w:firstRowFirstColumn="0" w:firstRowLastColumn="0" w:lastRowFirstColumn="0" w:lastRowLastColumn="0"/>
            </w:pPr>
            <w:r>
              <w:t>Long term view planning</w:t>
            </w:r>
          </w:p>
        </w:tc>
        <w:tc>
          <w:tcPr>
            <w:tcW w:w="720" w:type="dxa"/>
          </w:tcPr>
          <w:p w:rsidR="00EA34BF" w:rsidRPr="00524DF1" w:rsidRDefault="00EA34BF" w:rsidP="00EA34BF">
            <w:pPr>
              <w:cnfStyle w:val="000000000000" w:firstRow="0" w:lastRow="0" w:firstColumn="0" w:lastColumn="0" w:oddVBand="0" w:evenVBand="0" w:oddHBand="0" w:evenHBand="0" w:firstRowFirstColumn="0" w:firstRowLastColumn="0" w:lastRowFirstColumn="0" w:lastRowLastColumn="0"/>
            </w:pPr>
            <w:r w:rsidRPr="00524DF1">
              <w:t>.165</w:t>
            </w:r>
          </w:p>
        </w:tc>
        <w:tc>
          <w:tcPr>
            <w:tcW w:w="900" w:type="dxa"/>
          </w:tcPr>
          <w:p w:rsidR="00EA34BF" w:rsidRDefault="00EA34BF" w:rsidP="00EA34BF">
            <w:pPr>
              <w:cnfStyle w:val="000000000000" w:firstRow="0" w:lastRow="0" w:firstColumn="0" w:lastColumn="0" w:oddVBand="0" w:evenVBand="0" w:oddHBand="0" w:evenHBand="0" w:firstRowFirstColumn="0" w:firstRowLastColumn="0" w:lastRowFirstColumn="0" w:lastRowLastColumn="0"/>
            </w:pPr>
            <w:r w:rsidRPr="000E73E0">
              <w:t>.0001</w:t>
            </w:r>
          </w:p>
        </w:tc>
      </w:tr>
      <w:tr w:rsidR="00EA34BF" w:rsidTr="00EA3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rsidR="00EA34BF" w:rsidRPr="00D8223B" w:rsidRDefault="00EA34BF" w:rsidP="00EA34BF">
            <w:pPr>
              <w:rPr>
                <w:b w:val="0"/>
              </w:rPr>
            </w:pPr>
            <w:r w:rsidRPr="00D8223B">
              <w:rPr>
                <w:b w:val="0"/>
              </w:rPr>
              <w:t>Assessing/Understanding the family</w:t>
            </w:r>
          </w:p>
        </w:tc>
        <w:tc>
          <w:tcPr>
            <w:tcW w:w="810" w:type="dxa"/>
          </w:tcPr>
          <w:p w:rsidR="00EA34BF" w:rsidRPr="000F193D" w:rsidRDefault="00EA34BF" w:rsidP="00EA34BF">
            <w:pPr>
              <w:cnfStyle w:val="000000100000" w:firstRow="0" w:lastRow="0" w:firstColumn="0" w:lastColumn="0" w:oddVBand="0" w:evenVBand="0" w:oddHBand="1" w:evenHBand="0" w:firstRowFirstColumn="0" w:firstRowLastColumn="0" w:lastRowFirstColumn="0" w:lastRowLastColumn="0"/>
              <w:rPr>
                <w:rFonts w:cs="Arial"/>
                <w:szCs w:val="18"/>
              </w:rPr>
            </w:pPr>
            <w:r w:rsidRPr="000F193D">
              <w:rPr>
                <w:rFonts w:cs="Arial"/>
                <w:szCs w:val="18"/>
              </w:rPr>
              <w:t>-.200</w:t>
            </w:r>
          </w:p>
        </w:tc>
        <w:tc>
          <w:tcPr>
            <w:tcW w:w="990" w:type="dxa"/>
          </w:tcPr>
          <w:p w:rsidR="00EA34BF" w:rsidRDefault="00EA34BF" w:rsidP="00EA34BF">
            <w:pPr>
              <w:cnfStyle w:val="000000100000" w:firstRow="0" w:lastRow="0" w:firstColumn="0" w:lastColumn="0" w:oddVBand="0" w:evenVBand="0" w:oddHBand="1" w:evenHBand="0" w:firstRowFirstColumn="0" w:firstRowLastColumn="0" w:lastRowFirstColumn="0" w:lastRowLastColumn="0"/>
            </w:pPr>
            <w:r w:rsidRPr="0003510D">
              <w:t>.0001</w:t>
            </w:r>
          </w:p>
        </w:tc>
        <w:tc>
          <w:tcPr>
            <w:tcW w:w="4050" w:type="dxa"/>
          </w:tcPr>
          <w:p w:rsidR="00EA34BF" w:rsidRDefault="00EA34BF" w:rsidP="00EA34BF">
            <w:pPr>
              <w:cnfStyle w:val="000000100000" w:firstRow="0" w:lastRow="0" w:firstColumn="0" w:lastColumn="0" w:oddVBand="0" w:evenVBand="0" w:oddHBand="1" w:evenHBand="0" w:firstRowFirstColumn="0" w:firstRowLastColumn="0" w:lastRowFirstColumn="0" w:lastRowLastColumn="0"/>
            </w:pPr>
            <w:r>
              <w:t xml:space="preserve">Child with behavioral </w:t>
            </w:r>
            <w:r w:rsidRPr="00785AB9">
              <w:t>problems</w:t>
            </w:r>
          </w:p>
        </w:tc>
        <w:tc>
          <w:tcPr>
            <w:tcW w:w="720" w:type="dxa"/>
          </w:tcPr>
          <w:p w:rsidR="00EA34BF" w:rsidRPr="00524DF1" w:rsidRDefault="00EA34BF" w:rsidP="00EA34BF">
            <w:pPr>
              <w:cnfStyle w:val="000000100000" w:firstRow="0" w:lastRow="0" w:firstColumn="0" w:lastColumn="0" w:oddVBand="0" w:evenVBand="0" w:oddHBand="1" w:evenHBand="0" w:firstRowFirstColumn="0" w:firstRowLastColumn="0" w:lastRowFirstColumn="0" w:lastRowLastColumn="0"/>
            </w:pPr>
            <w:r w:rsidRPr="00524DF1">
              <w:t>-.130</w:t>
            </w:r>
          </w:p>
        </w:tc>
        <w:tc>
          <w:tcPr>
            <w:tcW w:w="900" w:type="dxa"/>
          </w:tcPr>
          <w:p w:rsidR="00EA34BF" w:rsidRDefault="00EA34BF" w:rsidP="00EA34BF">
            <w:pPr>
              <w:cnfStyle w:val="000000100000" w:firstRow="0" w:lastRow="0" w:firstColumn="0" w:lastColumn="0" w:oddVBand="0" w:evenVBand="0" w:oddHBand="1" w:evenHBand="0" w:firstRowFirstColumn="0" w:firstRowLastColumn="0" w:lastRowFirstColumn="0" w:lastRowLastColumn="0"/>
            </w:pPr>
            <w:r w:rsidRPr="000E73E0">
              <w:t>.0001</w:t>
            </w:r>
          </w:p>
        </w:tc>
      </w:tr>
      <w:tr w:rsidR="00EA34BF" w:rsidTr="00EA34BF">
        <w:tc>
          <w:tcPr>
            <w:cnfStyle w:val="001000000000" w:firstRow="0" w:lastRow="0" w:firstColumn="1" w:lastColumn="0" w:oddVBand="0" w:evenVBand="0" w:oddHBand="0" w:evenHBand="0" w:firstRowFirstColumn="0" w:firstRowLastColumn="0" w:lastRowFirstColumn="0" w:lastRowLastColumn="0"/>
            <w:tcW w:w="3955" w:type="dxa"/>
          </w:tcPr>
          <w:p w:rsidR="00EA34BF" w:rsidRPr="00D8223B" w:rsidRDefault="00EA34BF" w:rsidP="00EA34BF">
            <w:pPr>
              <w:rPr>
                <w:b w:val="0"/>
              </w:rPr>
            </w:pPr>
            <w:r w:rsidRPr="00D8223B">
              <w:rPr>
                <w:b w:val="0"/>
              </w:rPr>
              <w:t>Child’s age</w:t>
            </w:r>
          </w:p>
        </w:tc>
        <w:tc>
          <w:tcPr>
            <w:tcW w:w="810" w:type="dxa"/>
          </w:tcPr>
          <w:p w:rsidR="00EA34BF" w:rsidRPr="000F193D" w:rsidRDefault="00EA34BF" w:rsidP="00EA34BF">
            <w:pPr>
              <w:cnfStyle w:val="000000000000" w:firstRow="0" w:lastRow="0" w:firstColumn="0" w:lastColumn="0" w:oddVBand="0" w:evenVBand="0" w:oddHBand="0" w:evenHBand="0" w:firstRowFirstColumn="0" w:firstRowLastColumn="0" w:lastRowFirstColumn="0" w:lastRowLastColumn="0"/>
              <w:rPr>
                <w:rFonts w:cs="Arial"/>
                <w:szCs w:val="18"/>
              </w:rPr>
            </w:pPr>
            <w:r w:rsidRPr="000F193D">
              <w:rPr>
                <w:rFonts w:cs="Arial"/>
                <w:szCs w:val="18"/>
              </w:rPr>
              <w:t>-.107</w:t>
            </w:r>
          </w:p>
        </w:tc>
        <w:tc>
          <w:tcPr>
            <w:tcW w:w="990" w:type="dxa"/>
          </w:tcPr>
          <w:p w:rsidR="00EA34BF" w:rsidRPr="00C2731A" w:rsidRDefault="00EA34BF" w:rsidP="00EA34BF">
            <w:pPr>
              <w:cnfStyle w:val="000000000000" w:firstRow="0" w:lastRow="0" w:firstColumn="0" w:lastColumn="0" w:oddVBand="0" w:evenVBand="0" w:oddHBand="0" w:evenHBand="0" w:firstRowFirstColumn="0" w:firstRowLastColumn="0" w:lastRowFirstColumn="0" w:lastRowLastColumn="0"/>
            </w:pPr>
            <w:r w:rsidRPr="00C2731A">
              <w:t>.003</w:t>
            </w:r>
          </w:p>
        </w:tc>
        <w:tc>
          <w:tcPr>
            <w:tcW w:w="4050" w:type="dxa"/>
          </w:tcPr>
          <w:p w:rsidR="00EA34BF" w:rsidRDefault="00EA34BF" w:rsidP="00EA34BF">
            <w:pPr>
              <w:cnfStyle w:val="000000000000" w:firstRow="0" w:lastRow="0" w:firstColumn="0" w:lastColumn="0" w:oddVBand="0" w:evenVBand="0" w:oddHBand="0" w:evenHBand="0" w:firstRowFirstColumn="0" w:firstRowLastColumn="0" w:lastRowFirstColumn="0" w:lastRowLastColumn="0"/>
            </w:pPr>
            <w:r>
              <w:t>Planning transitions and life adjustments</w:t>
            </w:r>
          </w:p>
        </w:tc>
        <w:tc>
          <w:tcPr>
            <w:tcW w:w="720" w:type="dxa"/>
          </w:tcPr>
          <w:p w:rsidR="00EA34BF" w:rsidRPr="00524DF1" w:rsidRDefault="00EA34BF" w:rsidP="00EA34BF">
            <w:pPr>
              <w:cnfStyle w:val="000000000000" w:firstRow="0" w:lastRow="0" w:firstColumn="0" w:lastColumn="0" w:oddVBand="0" w:evenVBand="0" w:oddHBand="0" w:evenHBand="0" w:firstRowFirstColumn="0" w:firstRowLastColumn="0" w:lastRowFirstColumn="0" w:lastRowLastColumn="0"/>
            </w:pPr>
            <w:r w:rsidRPr="00524DF1">
              <w:t>.111</w:t>
            </w:r>
          </w:p>
        </w:tc>
        <w:tc>
          <w:tcPr>
            <w:tcW w:w="900" w:type="dxa"/>
          </w:tcPr>
          <w:p w:rsidR="00EA34BF" w:rsidRPr="001213E4" w:rsidRDefault="00EA34BF" w:rsidP="00EA34BF">
            <w:pPr>
              <w:cnfStyle w:val="000000000000" w:firstRow="0" w:lastRow="0" w:firstColumn="0" w:lastColumn="0" w:oddVBand="0" w:evenVBand="0" w:oddHBand="0" w:evenHBand="0" w:firstRowFirstColumn="0" w:firstRowLastColumn="0" w:lastRowFirstColumn="0" w:lastRowLastColumn="0"/>
            </w:pPr>
            <w:r w:rsidRPr="001213E4">
              <w:t>.009</w:t>
            </w:r>
          </w:p>
        </w:tc>
      </w:tr>
      <w:tr w:rsidR="00EA34BF" w:rsidTr="00EA3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rsidR="00EA34BF" w:rsidRPr="00D8223B" w:rsidRDefault="00EA34BF" w:rsidP="00EA34BF">
            <w:pPr>
              <w:rPr>
                <w:b w:val="0"/>
              </w:rPr>
            </w:pPr>
            <w:r w:rsidRPr="00D8223B">
              <w:rPr>
                <w:b w:val="0"/>
              </w:rPr>
              <w:t>Planning transitions and life adjustments</w:t>
            </w:r>
          </w:p>
        </w:tc>
        <w:tc>
          <w:tcPr>
            <w:tcW w:w="810" w:type="dxa"/>
          </w:tcPr>
          <w:p w:rsidR="00EA34BF" w:rsidRPr="000F193D" w:rsidRDefault="00EA34BF" w:rsidP="00EA34BF">
            <w:pPr>
              <w:cnfStyle w:val="000000100000" w:firstRow="0" w:lastRow="0" w:firstColumn="0" w:lastColumn="0" w:oddVBand="0" w:evenVBand="0" w:oddHBand="1" w:evenHBand="0" w:firstRowFirstColumn="0" w:firstRowLastColumn="0" w:lastRowFirstColumn="0" w:lastRowLastColumn="0"/>
              <w:rPr>
                <w:rFonts w:cs="Arial"/>
                <w:szCs w:val="18"/>
              </w:rPr>
            </w:pPr>
            <w:r w:rsidRPr="000F193D">
              <w:rPr>
                <w:rFonts w:cs="Arial"/>
                <w:szCs w:val="18"/>
              </w:rPr>
              <w:t>.103</w:t>
            </w:r>
          </w:p>
        </w:tc>
        <w:tc>
          <w:tcPr>
            <w:tcW w:w="990" w:type="dxa"/>
          </w:tcPr>
          <w:p w:rsidR="00EA34BF" w:rsidRPr="00C2731A" w:rsidRDefault="00EA34BF" w:rsidP="00EA34BF">
            <w:pPr>
              <w:cnfStyle w:val="000000100000" w:firstRow="0" w:lastRow="0" w:firstColumn="0" w:lastColumn="0" w:oddVBand="0" w:evenVBand="0" w:oddHBand="1" w:evenHBand="0" w:firstRowFirstColumn="0" w:firstRowLastColumn="0" w:lastRowFirstColumn="0" w:lastRowLastColumn="0"/>
            </w:pPr>
            <w:r w:rsidRPr="00C2731A">
              <w:t>.012</w:t>
            </w:r>
          </w:p>
        </w:tc>
        <w:tc>
          <w:tcPr>
            <w:tcW w:w="4050" w:type="dxa"/>
          </w:tcPr>
          <w:p w:rsidR="00EA34BF" w:rsidRDefault="00EA34BF" w:rsidP="00EA34BF">
            <w:pPr>
              <w:cnfStyle w:val="000000100000" w:firstRow="0" w:lastRow="0" w:firstColumn="0" w:lastColumn="0" w:oddVBand="0" w:evenVBand="0" w:oddHBand="1" w:evenHBand="0" w:firstRowFirstColumn="0" w:firstRowLastColumn="0" w:lastRowFirstColumn="0" w:lastRowLastColumn="0"/>
            </w:pPr>
            <w:r>
              <w:t>Case open longer than 18 months</w:t>
            </w:r>
          </w:p>
        </w:tc>
        <w:tc>
          <w:tcPr>
            <w:tcW w:w="720" w:type="dxa"/>
          </w:tcPr>
          <w:p w:rsidR="00EA34BF" w:rsidRPr="00524DF1" w:rsidRDefault="00EA34BF" w:rsidP="00EA34BF">
            <w:pPr>
              <w:cnfStyle w:val="000000100000" w:firstRow="0" w:lastRow="0" w:firstColumn="0" w:lastColumn="0" w:oddVBand="0" w:evenVBand="0" w:oddHBand="1" w:evenHBand="0" w:firstRowFirstColumn="0" w:firstRowLastColumn="0" w:lastRowFirstColumn="0" w:lastRowLastColumn="0"/>
            </w:pPr>
            <w:r w:rsidRPr="00524DF1">
              <w:t>.108</w:t>
            </w:r>
          </w:p>
        </w:tc>
        <w:tc>
          <w:tcPr>
            <w:tcW w:w="900" w:type="dxa"/>
          </w:tcPr>
          <w:p w:rsidR="00EA34BF" w:rsidRPr="001213E4" w:rsidRDefault="00EA34BF" w:rsidP="00EA34BF">
            <w:pPr>
              <w:cnfStyle w:val="000000100000" w:firstRow="0" w:lastRow="0" w:firstColumn="0" w:lastColumn="0" w:oddVBand="0" w:evenVBand="0" w:oddHBand="1" w:evenHBand="0" w:firstRowFirstColumn="0" w:firstRowLastColumn="0" w:lastRowFirstColumn="0" w:lastRowLastColumn="0"/>
            </w:pPr>
            <w:r w:rsidRPr="001213E4">
              <w:t>.001</w:t>
            </w:r>
          </w:p>
        </w:tc>
      </w:tr>
      <w:tr w:rsidR="00EA34BF" w:rsidTr="00EA34BF">
        <w:tc>
          <w:tcPr>
            <w:cnfStyle w:val="001000000000" w:firstRow="0" w:lastRow="0" w:firstColumn="1" w:lastColumn="0" w:oddVBand="0" w:evenVBand="0" w:oddHBand="0" w:evenHBand="0" w:firstRowFirstColumn="0" w:firstRowLastColumn="0" w:lastRowFirstColumn="0" w:lastRowLastColumn="0"/>
            <w:tcW w:w="3955" w:type="dxa"/>
          </w:tcPr>
          <w:p w:rsidR="00EA34BF" w:rsidRPr="00D8223B" w:rsidRDefault="00EA34BF" w:rsidP="00EA34BF">
            <w:pPr>
              <w:rPr>
                <w:b w:val="0"/>
              </w:rPr>
            </w:pPr>
            <w:r w:rsidRPr="00D8223B">
              <w:rPr>
                <w:b w:val="0"/>
              </w:rPr>
              <w:t>CHINS</w:t>
            </w:r>
          </w:p>
        </w:tc>
        <w:tc>
          <w:tcPr>
            <w:tcW w:w="810" w:type="dxa"/>
          </w:tcPr>
          <w:p w:rsidR="00EA34BF" w:rsidRPr="000F193D" w:rsidRDefault="00EA34BF" w:rsidP="00EA34BF">
            <w:pPr>
              <w:cnfStyle w:val="000000000000" w:firstRow="0" w:lastRow="0" w:firstColumn="0" w:lastColumn="0" w:oddVBand="0" w:evenVBand="0" w:oddHBand="0" w:evenHBand="0" w:firstRowFirstColumn="0" w:firstRowLastColumn="0" w:lastRowFirstColumn="0" w:lastRowLastColumn="0"/>
              <w:rPr>
                <w:rFonts w:cs="Arial"/>
                <w:szCs w:val="18"/>
              </w:rPr>
            </w:pPr>
            <w:r w:rsidRPr="000F193D">
              <w:rPr>
                <w:rFonts w:cs="Arial"/>
                <w:szCs w:val="18"/>
              </w:rPr>
              <w:t>.082</w:t>
            </w:r>
          </w:p>
        </w:tc>
        <w:tc>
          <w:tcPr>
            <w:tcW w:w="990" w:type="dxa"/>
          </w:tcPr>
          <w:p w:rsidR="00EA34BF" w:rsidRPr="00C2731A" w:rsidRDefault="00EA34BF" w:rsidP="00EA34BF">
            <w:pPr>
              <w:cnfStyle w:val="000000000000" w:firstRow="0" w:lastRow="0" w:firstColumn="0" w:lastColumn="0" w:oddVBand="0" w:evenVBand="0" w:oddHBand="0" w:evenHBand="0" w:firstRowFirstColumn="0" w:firstRowLastColumn="0" w:lastRowFirstColumn="0" w:lastRowLastColumn="0"/>
            </w:pPr>
            <w:r w:rsidRPr="00C2731A">
              <w:t>.013</w:t>
            </w:r>
          </w:p>
        </w:tc>
        <w:tc>
          <w:tcPr>
            <w:tcW w:w="4050" w:type="dxa"/>
          </w:tcPr>
          <w:p w:rsidR="00EA34BF" w:rsidRDefault="00EA34BF" w:rsidP="00EA34BF">
            <w:pPr>
              <w:cnfStyle w:val="000000000000" w:firstRow="0" w:lastRow="0" w:firstColumn="0" w:lastColumn="0" w:oddVBand="0" w:evenVBand="0" w:oddHBand="0" w:evenHBand="0" w:firstRowFirstColumn="0" w:firstRowLastColumn="0" w:lastRowFirstColumn="0" w:lastRowLastColumn="0"/>
            </w:pPr>
            <w:r>
              <w:t>Birth mother ward of the state</w:t>
            </w:r>
          </w:p>
        </w:tc>
        <w:tc>
          <w:tcPr>
            <w:tcW w:w="720" w:type="dxa"/>
          </w:tcPr>
          <w:p w:rsidR="00EA34BF" w:rsidRPr="00524DF1" w:rsidRDefault="00EA34BF" w:rsidP="00EA34BF">
            <w:pPr>
              <w:cnfStyle w:val="000000000000" w:firstRow="0" w:lastRow="0" w:firstColumn="0" w:lastColumn="0" w:oddVBand="0" w:evenVBand="0" w:oddHBand="0" w:evenHBand="0" w:firstRowFirstColumn="0" w:firstRowLastColumn="0" w:lastRowFirstColumn="0" w:lastRowLastColumn="0"/>
            </w:pPr>
            <w:r w:rsidRPr="00524DF1">
              <w:t>-.084</w:t>
            </w:r>
          </w:p>
        </w:tc>
        <w:tc>
          <w:tcPr>
            <w:tcW w:w="900" w:type="dxa"/>
          </w:tcPr>
          <w:p w:rsidR="00EA34BF" w:rsidRPr="001213E4" w:rsidRDefault="00EA34BF" w:rsidP="00EA34BF">
            <w:pPr>
              <w:cnfStyle w:val="000000000000" w:firstRow="0" w:lastRow="0" w:firstColumn="0" w:lastColumn="0" w:oddVBand="0" w:evenVBand="0" w:oddHBand="0" w:evenHBand="0" w:firstRowFirstColumn="0" w:firstRowLastColumn="0" w:lastRowFirstColumn="0" w:lastRowLastColumn="0"/>
            </w:pPr>
            <w:r w:rsidRPr="001213E4">
              <w:t>.006</w:t>
            </w:r>
          </w:p>
        </w:tc>
      </w:tr>
      <w:tr w:rsidR="00EA34BF" w:rsidTr="00EA3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rsidR="00EA34BF" w:rsidRPr="0046603E" w:rsidRDefault="00EA34BF" w:rsidP="00EA34BF">
            <w:r w:rsidRPr="0046603E">
              <w:t xml:space="preserve">Relative vs </w:t>
            </w:r>
            <w:r>
              <w:t>Non-Rel.</w:t>
            </w:r>
            <w:r w:rsidRPr="0046603E">
              <w:t xml:space="preserve"> placement </w:t>
            </w:r>
          </w:p>
        </w:tc>
        <w:tc>
          <w:tcPr>
            <w:tcW w:w="810" w:type="dxa"/>
          </w:tcPr>
          <w:p w:rsidR="00EA34BF" w:rsidRPr="0046603E" w:rsidRDefault="00EA34BF" w:rsidP="00EA34BF">
            <w:pPr>
              <w:cnfStyle w:val="000000100000" w:firstRow="0" w:lastRow="0" w:firstColumn="0" w:lastColumn="0" w:oddVBand="0" w:evenVBand="0" w:oddHBand="1" w:evenHBand="0" w:firstRowFirstColumn="0" w:firstRowLastColumn="0" w:lastRowFirstColumn="0" w:lastRowLastColumn="0"/>
              <w:rPr>
                <w:rFonts w:cs="Arial"/>
                <w:szCs w:val="18"/>
              </w:rPr>
            </w:pPr>
            <w:r w:rsidRPr="0046603E">
              <w:rPr>
                <w:rFonts w:cs="Arial"/>
                <w:szCs w:val="18"/>
              </w:rPr>
              <w:t>.092</w:t>
            </w:r>
          </w:p>
        </w:tc>
        <w:tc>
          <w:tcPr>
            <w:tcW w:w="990" w:type="dxa"/>
          </w:tcPr>
          <w:p w:rsidR="00EA34BF" w:rsidRPr="0046603E" w:rsidRDefault="00EA34BF" w:rsidP="00EA34BF">
            <w:pPr>
              <w:cnfStyle w:val="000000100000" w:firstRow="0" w:lastRow="0" w:firstColumn="0" w:lastColumn="0" w:oddVBand="0" w:evenVBand="0" w:oddHBand="1" w:evenHBand="0" w:firstRowFirstColumn="0" w:firstRowLastColumn="0" w:lastRowFirstColumn="0" w:lastRowLastColumn="0"/>
            </w:pPr>
            <w:r w:rsidRPr="0046603E">
              <w:t>.007</w:t>
            </w:r>
          </w:p>
        </w:tc>
        <w:tc>
          <w:tcPr>
            <w:tcW w:w="4050" w:type="dxa"/>
          </w:tcPr>
          <w:p w:rsidR="00EA34BF" w:rsidRDefault="00EA34BF" w:rsidP="00EA34BF">
            <w:pPr>
              <w:cnfStyle w:val="000000100000" w:firstRow="0" w:lastRow="0" w:firstColumn="0" w:lastColumn="0" w:oddVBand="0" w:evenVBand="0" w:oddHBand="1" w:evenHBand="0" w:firstRowFirstColumn="0" w:firstRowLastColumn="0" w:lastRowFirstColumn="0" w:lastRowLastColumn="0"/>
            </w:pPr>
            <w:r>
              <w:t xml:space="preserve">Engaging </w:t>
            </w:r>
          </w:p>
        </w:tc>
        <w:tc>
          <w:tcPr>
            <w:tcW w:w="720" w:type="dxa"/>
          </w:tcPr>
          <w:p w:rsidR="00EA34BF" w:rsidRPr="00524DF1" w:rsidRDefault="00EA34BF" w:rsidP="00EA34BF">
            <w:pPr>
              <w:cnfStyle w:val="000000100000" w:firstRow="0" w:lastRow="0" w:firstColumn="0" w:lastColumn="0" w:oddVBand="0" w:evenVBand="0" w:oddHBand="1" w:evenHBand="0" w:firstRowFirstColumn="0" w:firstRowLastColumn="0" w:lastRowFirstColumn="0" w:lastRowLastColumn="0"/>
            </w:pPr>
            <w:r w:rsidRPr="00524DF1">
              <w:t>.075</w:t>
            </w:r>
          </w:p>
        </w:tc>
        <w:tc>
          <w:tcPr>
            <w:tcW w:w="900" w:type="dxa"/>
          </w:tcPr>
          <w:p w:rsidR="00EA34BF" w:rsidRPr="001213E4" w:rsidRDefault="00EA34BF" w:rsidP="00EA34BF">
            <w:pPr>
              <w:cnfStyle w:val="000000100000" w:firstRow="0" w:lastRow="0" w:firstColumn="0" w:lastColumn="0" w:oddVBand="0" w:evenVBand="0" w:oddHBand="1" w:evenHBand="0" w:firstRowFirstColumn="0" w:firstRowLastColumn="0" w:lastRowFirstColumn="0" w:lastRowLastColumn="0"/>
            </w:pPr>
            <w:r w:rsidRPr="001213E4">
              <w:t>.033</w:t>
            </w:r>
          </w:p>
        </w:tc>
      </w:tr>
      <w:tr w:rsidR="00EA34BF" w:rsidTr="00EA34BF">
        <w:tc>
          <w:tcPr>
            <w:cnfStyle w:val="001000000000" w:firstRow="0" w:lastRow="0" w:firstColumn="1" w:lastColumn="0" w:oddVBand="0" w:evenVBand="0" w:oddHBand="0" w:evenHBand="0" w:firstRowFirstColumn="0" w:firstRowLastColumn="0" w:lastRowFirstColumn="0" w:lastRowLastColumn="0"/>
            <w:tcW w:w="3955" w:type="dxa"/>
          </w:tcPr>
          <w:p w:rsidR="00EA34BF" w:rsidRPr="00D8223B" w:rsidRDefault="00EA34BF" w:rsidP="00EA34BF">
            <w:pPr>
              <w:rPr>
                <w:b w:val="0"/>
              </w:rPr>
            </w:pPr>
            <w:r w:rsidRPr="00D8223B">
              <w:rPr>
                <w:b w:val="0"/>
              </w:rPr>
              <w:t>Caregiver with drug abuse</w:t>
            </w:r>
          </w:p>
        </w:tc>
        <w:tc>
          <w:tcPr>
            <w:tcW w:w="810" w:type="dxa"/>
          </w:tcPr>
          <w:p w:rsidR="00EA34BF" w:rsidRPr="000F193D" w:rsidRDefault="00EA34BF" w:rsidP="00EA34BF">
            <w:pPr>
              <w:cnfStyle w:val="000000000000" w:firstRow="0" w:lastRow="0" w:firstColumn="0" w:lastColumn="0" w:oddVBand="0" w:evenVBand="0" w:oddHBand="0" w:evenHBand="0" w:firstRowFirstColumn="0" w:firstRowLastColumn="0" w:lastRowFirstColumn="0" w:lastRowLastColumn="0"/>
              <w:rPr>
                <w:rFonts w:cs="Arial"/>
                <w:szCs w:val="18"/>
              </w:rPr>
            </w:pPr>
            <w:r w:rsidRPr="000F193D">
              <w:rPr>
                <w:rFonts w:cs="Arial"/>
                <w:szCs w:val="18"/>
              </w:rPr>
              <w:t>.083</w:t>
            </w:r>
          </w:p>
        </w:tc>
        <w:tc>
          <w:tcPr>
            <w:tcW w:w="990" w:type="dxa"/>
          </w:tcPr>
          <w:p w:rsidR="00EA34BF" w:rsidRPr="00C2731A" w:rsidRDefault="00EA34BF" w:rsidP="00EA34BF">
            <w:pPr>
              <w:cnfStyle w:val="000000000000" w:firstRow="0" w:lastRow="0" w:firstColumn="0" w:lastColumn="0" w:oddVBand="0" w:evenVBand="0" w:oddHBand="0" w:evenHBand="0" w:firstRowFirstColumn="0" w:firstRowLastColumn="0" w:lastRowFirstColumn="0" w:lastRowLastColumn="0"/>
            </w:pPr>
            <w:r w:rsidRPr="00C2731A">
              <w:t>.014</w:t>
            </w:r>
          </w:p>
        </w:tc>
        <w:tc>
          <w:tcPr>
            <w:tcW w:w="4050" w:type="dxa"/>
          </w:tcPr>
          <w:p w:rsidR="00EA34BF" w:rsidRPr="00A62B56" w:rsidRDefault="00EA34BF" w:rsidP="00EA34BF">
            <w:pPr>
              <w:cnfStyle w:val="000000000000" w:firstRow="0" w:lastRow="0" w:firstColumn="0" w:lastColumn="0" w:oddVBand="0" w:evenVBand="0" w:oddHBand="0" w:evenHBand="0" w:firstRowFirstColumn="0" w:firstRowLastColumn="0" w:lastRowFirstColumn="0" w:lastRowLastColumn="0"/>
              <w:rPr>
                <w:b/>
              </w:rPr>
            </w:pPr>
            <w:r w:rsidRPr="00A62B56">
              <w:rPr>
                <w:b/>
              </w:rPr>
              <w:t xml:space="preserve">Relative vs Non-Rel. placement </w:t>
            </w:r>
          </w:p>
        </w:tc>
        <w:tc>
          <w:tcPr>
            <w:tcW w:w="720" w:type="dxa"/>
          </w:tcPr>
          <w:p w:rsidR="00EA34BF" w:rsidRPr="0046603E" w:rsidRDefault="00EA34BF" w:rsidP="00EA34BF">
            <w:pPr>
              <w:cnfStyle w:val="000000000000" w:firstRow="0" w:lastRow="0" w:firstColumn="0" w:lastColumn="0" w:oddVBand="0" w:evenVBand="0" w:oddHBand="0" w:evenHBand="0" w:firstRowFirstColumn="0" w:firstRowLastColumn="0" w:lastRowFirstColumn="0" w:lastRowLastColumn="0"/>
            </w:pPr>
            <w:r w:rsidRPr="0046603E">
              <w:t>.071</w:t>
            </w:r>
          </w:p>
        </w:tc>
        <w:tc>
          <w:tcPr>
            <w:tcW w:w="900" w:type="dxa"/>
          </w:tcPr>
          <w:p w:rsidR="00EA34BF" w:rsidRPr="0046603E" w:rsidRDefault="00EA34BF" w:rsidP="00EA34BF">
            <w:pPr>
              <w:cnfStyle w:val="000000000000" w:firstRow="0" w:lastRow="0" w:firstColumn="0" w:lastColumn="0" w:oddVBand="0" w:evenVBand="0" w:oddHBand="0" w:evenHBand="0" w:firstRowFirstColumn="0" w:firstRowLastColumn="0" w:lastRowFirstColumn="0" w:lastRowLastColumn="0"/>
            </w:pPr>
            <w:r w:rsidRPr="0046603E">
              <w:t>.027</w:t>
            </w:r>
          </w:p>
        </w:tc>
      </w:tr>
      <w:tr w:rsidR="00EA34BF" w:rsidTr="00EA3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rsidR="00EA34BF" w:rsidRPr="00D8223B" w:rsidRDefault="00EA34BF" w:rsidP="00EA34BF">
            <w:pPr>
              <w:rPr>
                <w:b w:val="0"/>
              </w:rPr>
            </w:pPr>
            <w:r w:rsidRPr="00D8223B">
              <w:rPr>
                <w:b w:val="0"/>
              </w:rPr>
              <w:t>Intervention adequacy</w:t>
            </w:r>
          </w:p>
        </w:tc>
        <w:tc>
          <w:tcPr>
            <w:tcW w:w="810" w:type="dxa"/>
          </w:tcPr>
          <w:p w:rsidR="00EA34BF" w:rsidRPr="000F193D" w:rsidRDefault="00EA34BF" w:rsidP="00EA34BF">
            <w:pPr>
              <w:cnfStyle w:val="000000100000" w:firstRow="0" w:lastRow="0" w:firstColumn="0" w:lastColumn="0" w:oddVBand="0" w:evenVBand="0" w:oddHBand="1" w:evenHBand="0" w:firstRowFirstColumn="0" w:firstRowLastColumn="0" w:lastRowFirstColumn="0" w:lastRowLastColumn="0"/>
              <w:rPr>
                <w:rFonts w:cs="Arial"/>
                <w:szCs w:val="18"/>
              </w:rPr>
            </w:pPr>
            <w:r w:rsidRPr="000F193D">
              <w:rPr>
                <w:rFonts w:cs="Arial"/>
                <w:szCs w:val="18"/>
              </w:rPr>
              <w:t>.091</w:t>
            </w:r>
          </w:p>
        </w:tc>
        <w:tc>
          <w:tcPr>
            <w:tcW w:w="990" w:type="dxa"/>
          </w:tcPr>
          <w:p w:rsidR="00EA34BF" w:rsidRPr="00C2731A" w:rsidRDefault="00EA34BF" w:rsidP="00EA34BF">
            <w:pPr>
              <w:cnfStyle w:val="000000100000" w:firstRow="0" w:lastRow="0" w:firstColumn="0" w:lastColumn="0" w:oddVBand="0" w:evenVBand="0" w:oddHBand="1" w:evenHBand="0" w:firstRowFirstColumn="0" w:firstRowLastColumn="0" w:lastRowFirstColumn="0" w:lastRowLastColumn="0"/>
            </w:pPr>
            <w:r w:rsidRPr="00C2731A">
              <w:t>.031</w:t>
            </w:r>
          </w:p>
        </w:tc>
        <w:tc>
          <w:tcPr>
            <w:tcW w:w="4050" w:type="dxa"/>
          </w:tcPr>
          <w:p w:rsidR="00EA34BF" w:rsidRDefault="00EA34BF" w:rsidP="00EA34BF">
            <w:pPr>
              <w:cnfStyle w:val="000000100000" w:firstRow="0" w:lastRow="0" w:firstColumn="0" w:lastColumn="0" w:oddVBand="0" w:evenVBand="0" w:oddHBand="1" w:evenHBand="0" w:firstRowFirstColumn="0" w:firstRowLastColumn="0" w:lastRowFirstColumn="0" w:lastRowLastColumn="0"/>
            </w:pPr>
          </w:p>
        </w:tc>
        <w:tc>
          <w:tcPr>
            <w:tcW w:w="720" w:type="dxa"/>
          </w:tcPr>
          <w:p w:rsidR="00EA34BF" w:rsidRDefault="00EA34BF" w:rsidP="00EA34BF">
            <w:pPr>
              <w:cnfStyle w:val="000000100000" w:firstRow="0" w:lastRow="0" w:firstColumn="0" w:lastColumn="0" w:oddVBand="0" w:evenVBand="0" w:oddHBand="1" w:evenHBand="0" w:firstRowFirstColumn="0" w:firstRowLastColumn="0" w:lastRowFirstColumn="0" w:lastRowLastColumn="0"/>
            </w:pPr>
          </w:p>
        </w:tc>
        <w:tc>
          <w:tcPr>
            <w:tcW w:w="900" w:type="dxa"/>
          </w:tcPr>
          <w:p w:rsidR="00EA34BF" w:rsidRDefault="00EA34BF" w:rsidP="00EA34BF">
            <w:pPr>
              <w:cnfStyle w:val="000000100000" w:firstRow="0" w:lastRow="0" w:firstColumn="0" w:lastColumn="0" w:oddVBand="0" w:evenVBand="0" w:oddHBand="1" w:evenHBand="0" w:firstRowFirstColumn="0" w:firstRowLastColumn="0" w:lastRowFirstColumn="0" w:lastRowLastColumn="0"/>
            </w:pPr>
          </w:p>
        </w:tc>
      </w:tr>
      <w:tr w:rsidR="00EA34BF" w:rsidTr="00EA34BF">
        <w:tc>
          <w:tcPr>
            <w:cnfStyle w:val="001000000000" w:firstRow="0" w:lastRow="0" w:firstColumn="1" w:lastColumn="0" w:oddVBand="0" w:evenVBand="0" w:oddHBand="0" w:evenHBand="0" w:firstRowFirstColumn="0" w:firstRowLastColumn="0" w:lastRowFirstColumn="0" w:lastRowLastColumn="0"/>
            <w:tcW w:w="3955" w:type="dxa"/>
          </w:tcPr>
          <w:p w:rsidR="00EA34BF" w:rsidRPr="00B874FB" w:rsidRDefault="00EA34BF" w:rsidP="00EA34BF">
            <w:pPr>
              <w:rPr>
                <w:b w:val="0"/>
              </w:rPr>
            </w:pPr>
            <w:r w:rsidRPr="00B874FB">
              <w:rPr>
                <w:b w:val="0"/>
              </w:rPr>
              <w:t>Case open longer than 18 months</w:t>
            </w:r>
          </w:p>
        </w:tc>
        <w:tc>
          <w:tcPr>
            <w:tcW w:w="810" w:type="dxa"/>
          </w:tcPr>
          <w:p w:rsidR="00EA34BF" w:rsidRPr="000F193D" w:rsidRDefault="00EA34BF" w:rsidP="00EA34BF">
            <w:pPr>
              <w:cnfStyle w:val="000000000000" w:firstRow="0" w:lastRow="0" w:firstColumn="0" w:lastColumn="0" w:oddVBand="0" w:evenVBand="0" w:oddHBand="0" w:evenHBand="0" w:firstRowFirstColumn="0" w:firstRowLastColumn="0" w:lastRowFirstColumn="0" w:lastRowLastColumn="0"/>
              <w:rPr>
                <w:rFonts w:cs="Arial"/>
                <w:szCs w:val="18"/>
              </w:rPr>
            </w:pPr>
            <w:r w:rsidRPr="000F193D">
              <w:rPr>
                <w:rFonts w:cs="Arial"/>
                <w:szCs w:val="18"/>
              </w:rPr>
              <w:t>.069</w:t>
            </w:r>
          </w:p>
        </w:tc>
        <w:tc>
          <w:tcPr>
            <w:tcW w:w="990" w:type="dxa"/>
          </w:tcPr>
          <w:p w:rsidR="00EA34BF" w:rsidRDefault="00EA34BF" w:rsidP="00EA34BF">
            <w:pPr>
              <w:cnfStyle w:val="000000000000" w:firstRow="0" w:lastRow="0" w:firstColumn="0" w:lastColumn="0" w:oddVBand="0" w:evenVBand="0" w:oddHBand="0" w:evenHBand="0" w:firstRowFirstColumn="0" w:firstRowLastColumn="0" w:lastRowFirstColumn="0" w:lastRowLastColumn="0"/>
            </w:pPr>
            <w:r w:rsidRPr="00C2731A">
              <w:t>.042</w:t>
            </w:r>
          </w:p>
        </w:tc>
        <w:tc>
          <w:tcPr>
            <w:tcW w:w="4050" w:type="dxa"/>
          </w:tcPr>
          <w:p w:rsidR="00EA34BF" w:rsidRDefault="00EA34BF" w:rsidP="00EA34BF">
            <w:pPr>
              <w:cnfStyle w:val="000000000000" w:firstRow="0" w:lastRow="0" w:firstColumn="0" w:lastColumn="0" w:oddVBand="0" w:evenVBand="0" w:oddHBand="0" w:evenHBand="0" w:firstRowFirstColumn="0" w:firstRowLastColumn="0" w:lastRowFirstColumn="0" w:lastRowLastColumn="0"/>
            </w:pPr>
          </w:p>
        </w:tc>
        <w:tc>
          <w:tcPr>
            <w:tcW w:w="720" w:type="dxa"/>
          </w:tcPr>
          <w:p w:rsidR="00EA34BF" w:rsidRPr="00524DF1" w:rsidRDefault="00EA34BF" w:rsidP="00EA34BF">
            <w:pPr>
              <w:cnfStyle w:val="000000000000" w:firstRow="0" w:lastRow="0" w:firstColumn="0" w:lastColumn="0" w:oddVBand="0" w:evenVBand="0" w:oddHBand="0" w:evenHBand="0" w:firstRowFirstColumn="0" w:firstRowLastColumn="0" w:lastRowFirstColumn="0" w:lastRowLastColumn="0"/>
            </w:pPr>
          </w:p>
        </w:tc>
        <w:tc>
          <w:tcPr>
            <w:tcW w:w="900" w:type="dxa"/>
          </w:tcPr>
          <w:p w:rsidR="00EA34BF" w:rsidRPr="001213E4" w:rsidRDefault="00EA34BF" w:rsidP="00EA34BF">
            <w:pPr>
              <w:cnfStyle w:val="000000000000" w:firstRow="0" w:lastRow="0" w:firstColumn="0" w:lastColumn="0" w:oddVBand="0" w:evenVBand="0" w:oddHBand="0" w:evenHBand="0" w:firstRowFirstColumn="0" w:firstRowLastColumn="0" w:lastRowFirstColumn="0" w:lastRowLastColumn="0"/>
            </w:pPr>
          </w:p>
        </w:tc>
      </w:tr>
    </w:tbl>
    <w:p w:rsidR="00EA34BF" w:rsidRDefault="00EA34BF" w:rsidP="00EA34BF"/>
    <w:p w:rsidR="006B1A5A" w:rsidRDefault="006B1A5A" w:rsidP="00EA34BF">
      <w:pPr>
        <w:sectPr w:rsidR="006B1A5A" w:rsidSect="006B1A5A">
          <w:pgSz w:w="15840" w:h="12240" w:orient="landscape"/>
          <w:pgMar w:top="1440" w:right="720" w:bottom="1440" w:left="1440" w:header="288" w:footer="720" w:gutter="0"/>
          <w:cols w:space="720"/>
          <w:docGrid w:linePitch="360"/>
        </w:sectPr>
      </w:pPr>
    </w:p>
    <w:p w:rsidR="006B1A5A" w:rsidRDefault="006B1A5A" w:rsidP="006B1A5A">
      <w:r>
        <w:t>Next, the evaluation team investigated which case characteristics were more likely to be in relative vs non-relative placements. Younger children, those whose race is white, females, cases with domestic violence, cases without child behavioral problems, and cases with drug abuse were more likely to be in relative than non-relative placements (p&lt;.05)</w:t>
      </w:r>
      <w:r w:rsidR="00073142">
        <w:t xml:space="preserve"> as seen in Table 6</w:t>
      </w:r>
      <w:r>
        <w:t xml:space="preserve">. </w:t>
      </w:r>
    </w:p>
    <w:p w:rsidR="00C7720A" w:rsidRDefault="00C7720A" w:rsidP="006B1A5A"/>
    <w:p w:rsidR="00EA34BF" w:rsidRDefault="00EA34BF" w:rsidP="00EA34BF">
      <w:pPr>
        <w:pStyle w:val="Heading4"/>
      </w:pPr>
      <w:r>
        <w:t xml:space="preserve">Table </w:t>
      </w:r>
      <w:r w:rsidR="00073142">
        <w:t>6</w:t>
      </w:r>
      <w:r>
        <w:t>. Demographic characteristics are associated with relative placements compared to non-relative placements</w:t>
      </w:r>
    </w:p>
    <w:tbl>
      <w:tblPr>
        <w:tblStyle w:val="GridTable4-Accent1"/>
        <w:tblW w:w="0" w:type="auto"/>
        <w:tblLook w:val="04A0" w:firstRow="1" w:lastRow="0" w:firstColumn="1" w:lastColumn="0" w:noHBand="0" w:noVBand="1"/>
      </w:tblPr>
      <w:tblGrid>
        <w:gridCol w:w="3581"/>
        <w:gridCol w:w="2041"/>
        <w:gridCol w:w="1463"/>
        <w:gridCol w:w="1215"/>
        <w:gridCol w:w="1050"/>
      </w:tblGrid>
      <w:tr w:rsidR="00EA34BF" w:rsidTr="006B1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Borders>
              <w:top w:val="none" w:sz="0" w:space="0" w:color="auto"/>
              <w:left w:val="none" w:sz="0" w:space="0" w:color="auto"/>
              <w:bottom w:val="none" w:sz="0" w:space="0" w:color="auto"/>
              <w:right w:val="none" w:sz="0" w:space="0" w:color="auto"/>
            </w:tcBorders>
          </w:tcPr>
          <w:p w:rsidR="00EA34BF" w:rsidRPr="00452DBD" w:rsidRDefault="00EA34BF" w:rsidP="006B1A5A">
            <w:pPr>
              <w:autoSpaceDE w:val="0"/>
              <w:autoSpaceDN w:val="0"/>
              <w:adjustRightInd w:val="0"/>
              <w:spacing w:line="400" w:lineRule="atLeast"/>
              <w:rPr>
                <w:rFonts w:cs="Times New Roman"/>
                <w:szCs w:val="24"/>
              </w:rPr>
            </w:pPr>
          </w:p>
        </w:tc>
        <w:tc>
          <w:tcPr>
            <w:tcW w:w="2160" w:type="dxa"/>
            <w:tcBorders>
              <w:top w:val="none" w:sz="0" w:space="0" w:color="auto"/>
              <w:left w:val="none" w:sz="0" w:space="0" w:color="auto"/>
              <w:bottom w:val="none" w:sz="0" w:space="0" w:color="auto"/>
              <w:right w:val="none" w:sz="0" w:space="0" w:color="auto"/>
            </w:tcBorders>
          </w:tcPr>
          <w:p w:rsidR="00EA34BF" w:rsidRPr="00452DBD" w:rsidRDefault="00EA34BF" w:rsidP="006B1A5A">
            <w:pPr>
              <w:autoSpaceDE w:val="0"/>
              <w:autoSpaceDN w:val="0"/>
              <w:adjustRightInd w:val="0"/>
              <w:spacing w:line="400" w:lineRule="atLeast"/>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Exp (B)</w:t>
            </w:r>
          </w:p>
        </w:tc>
        <w:tc>
          <w:tcPr>
            <w:tcW w:w="2790" w:type="dxa"/>
            <w:gridSpan w:val="2"/>
            <w:tcBorders>
              <w:top w:val="none" w:sz="0" w:space="0" w:color="auto"/>
              <w:left w:val="none" w:sz="0" w:space="0" w:color="auto"/>
              <w:bottom w:val="none" w:sz="0" w:space="0" w:color="auto"/>
              <w:right w:val="none" w:sz="0" w:space="0" w:color="auto"/>
            </w:tcBorders>
          </w:tcPr>
          <w:p w:rsidR="00EA34BF" w:rsidRPr="00452DBD" w:rsidRDefault="00EA34BF" w:rsidP="006B1A5A">
            <w:pPr>
              <w:autoSpaceDE w:val="0"/>
              <w:autoSpaceDN w:val="0"/>
              <w:adjustRightInd w:val="0"/>
              <w:spacing w:line="400" w:lineRule="atLeast"/>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452DBD">
              <w:rPr>
                <w:rFonts w:cs="Times New Roman"/>
                <w:szCs w:val="24"/>
              </w:rPr>
              <w:t>95</w:t>
            </w:r>
            <w:r>
              <w:rPr>
                <w:rFonts w:cs="Times New Roman"/>
                <w:szCs w:val="24"/>
              </w:rPr>
              <w:t>% Confidence interval</w:t>
            </w:r>
          </w:p>
        </w:tc>
        <w:tc>
          <w:tcPr>
            <w:tcW w:w="1080" w:type="dxa"/>
            <w:tcBorders>
              <w:top w:val="none" w:sz="0" w:space="0" w:color="auto"/>
              <w:left w:val="none" w:sz="0" w:space="0" w:color="auto"/>
              <w:bottom w:val="none" w:sz="0" w:space="0" w:color="auto"/>
              <w:right w:val="none" w:sz="0" w:space="0" w:color="auto"/>
            </w:tcBorders>
          </w:tcPr>
          <w:p w:rsidR="00EA34BF" w:rsidRPr="00452DBD" w:rsidRDefault="00EA34BF" w:rsidP="006B1A5A">
            <w:pPr>
              <w:autoSpaceDE w:val="0"/>
              <w:autoSpaceDN w:val="0"/>
              <w:adjustRightInd w:val="0"/>
              <w:spacing w:line="400" w:lineRule="atLeast"/>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p-value</w:t>
            </w:r>
          </w:p>
        </w:tc>
      </w:tr>
      <w:tr w:rsidR="00EA34BF"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30170E" w:rsidRDefault="00EA34BF" w:rsidP="006B1A5A">
            <w:r w:rsidRPr="0030170E">
              <w:t>Waiver</w:t>
            </w:r>
          </w:p>
        </w:tc>
        <w:tc>
          <w:tcPr>
            <w:tcW w:w="216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r w:rsidRPr="00CA3A9D">
              <w:t>1.382</w:t>
            </w:r>
          </w:p>
        </w:tc>
        <w:tc>
          <w:tcPr>
            <w:tcW w:w="153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r w:rsidRPr="00CA3A9D">
              <w:t>1.098</w:t>
            </w:r>
          </w:p>
        </w:tc>
        <w:tc>
          <w:tcPr>
            <w:tcW w:w="126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r w:rsidRPr="00CA3A9D">
              <w:t>1.741</w:t>
            </w:r>
          </w:p>
        </w:tc>
        <w:tc>
          <w:tcPr>
            <w:tcW w:w="1080" w:type="dxa"/>
          </w:tcPr>
          <w:p w:rsidR="00EA34BF" w:rsidRPr="00033E9D" w:rsidRDefault="00EA34BF" w:rsidP="006B1A5A">
            <w:pPr>
              <w:cnfStyle w:val="000000100000" w:firstRow="0" w:lastRow="0" w:firstColumn="0" w:lastColumn="0" w:oddVBand="0" w:evenVBand="0" w:oddHBand="1" w:evenHBand="0" w:firstRowFirstColumn="0" w:firstRowLastColumn="0" w:lastRowFirstColumn="0" w:lastRowLastColumn="0"/>
            </w:pPr>
            <w:r w:rsidRPr="00033E9D">
              <w:t>.006</w:t>
            </w:r>
          </w:p>
        </w:tc>
      </w:tr>
      <w:tr w:rsidR="00EA34BF"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30170E" w:rsidRDefault="00EA34BF" w:rsidP="006B1A5A">
            <w:r w:rsidRPr="0030170E">
              <w:t>Child’s Age</w:t>
            </w:r>
          </w:p>
        </w:tc>
        <w:tc>
          <w:tcPr>
            <w:tcW w:w="216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.970</w:t>
            </w:r>
          </w:p>
        </w:tc>
        <w:tc>
          <w:tcPr>
            <w:tcW w:w="153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.948</w:t>
            </w:r>
          </w:p>
        </w:tc>
        <w:tc>
          <w:tcPr>
            <w:tcW w:w="126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.992</w:t>
            </w:r>
          </w:p>
        </w:tc>
        <w:tc>
          <w:tcPr>
            <w:tcW w:w="1080" w:type="dxa"/>
          </w:tcPr>
          <w:p w:rsidR="00EA34BF" w:rsidRPr="00033E9D" w:rsidRDefault="00EA34BF" w:rsidP="006B1A5A">
            <w:pPr>
              <w:cnfStyle w:val="000000000000" w:firstRow="0" w:lastRow="0" w:firstColumn="0" w:lastColumn="0" w:oddVBand="0" w:evenVBand="0" w:oddHBand="0" w:evenHBand="0" w:firstRowFirstColumn="0" w:firstRowLastColumn="0" w:lastRowFirstColumn="0" w:lastRowLastColumn="0"/>
            </w:pPr>
            <w:r w:rsidRPr="00033E9D">
              <w:t>.009</w:t>
            </w:r>
          </w:p>
        </w:tc>
      </w:tr>
      <w:tr w:rsidR="00EA34BF"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30170E" w:rsidRDefault="00EA34BF" w:rsidP="006B1A5A">
            <w:r w:rsidRPr="0030170E">
              <w:t>Race White</w:t>
            </w:r>
          </w:p>
        </w:tc>
        <w:tc>
          <w:tcPr>
            <w:tcW w:w="216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r w:rsidRPr="00CA3A9D">
              <w:t>1.297</w:t>
            </w:r>
          </w:p>
        </w:tc>
        <w:tc>
          <w:tcPr>
            <w:tcW w:w="153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r w:rsidRPr="00CA3A9D">
              <w:t>1.004</w:t>
            </w:r>
          </w:p>
        </w:tc>
        <w:tc>
          <w:tcPr>
            <w:tcW w:w="126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r w:rsidRPr="00CA3A9D">
              <w:t>1.674</w:t>
            </w:r>
          </w:p>
        </w:tc>
        <w:tc>
          <w:tcPr>
            <w:tcW w:w="1080" w:type="dxa"/>
          </w:tcPr>
          <w:p w:rsidR="00EA34BF" w:rsidRPr="00033E9D" w:rsidRDefault="00EA34BF" w:rsidP="006B1A5A">
            <w:pPr>
              <w:cnfStyle w:val="000000100000" w:firstRow="0" w:lastRow="0" w:firstColumn="0" w:lastColumn="0" w:oddVBand="0" w:evenVBand="0" w:oddHBand="1" w:evenHBand="0" w:firstRowFirstColumn="0" w:firstRowLastColumn="0" w:lastRowFirstColumn="0" w:lastRowLastColumn="0"/>
            </w:pPr>
            <w:r w:rsidRPr="00033E9D">
              <w:t>.046</w:t>
            </w:r>
          </w:p>
        </w:tc>
      </w:tr>
      <w:tr w:rsidR="00EA34BF"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30170E" w:rsidRDefault="00EA34BF" w:rsidP="006B1A5A">
            <w:r w:rsidRPr="0030170E">
              <w:t>Gender female</w:t>
            </w:r>
          </w:p>
        </w:tc>
        <w:tc>
          <w:tcPr>
            <w:tcW w:w="216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1.297</w:t>
            </w:r>
          </w:p>
        </w:tc>
        <w:tc>
          <w:tcPr>
            <w:tcW w:w="153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1.035</w:t>
            </w:r>
          </w:p>
        </w:tc>
        <w:tc>
          <w:tcPr>
            <w:tcW w:w="126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1.624</w:t>
            </w:r>
          </w:p>
        </w:tc>
        <w:tc>
          <w:tcPr>
            <w:tcW w:w="1080" w:type="dxa"/>
          </w:tcPr>
          <w:p w:rsidR="00EA34BF" w:rsidRPr="00033E9D" w:rsidRDefault="00EA34BF" w:rsidP="006B1A5A">
            <w:pPr>
              <w:cnfStyle w:val="000000000000" w:firstRow="0" w:lastRow="0" w:firstColumn="0" w:lastColumn="0" w:oddVBand="0" w:evenVBand="0" w:oddHBand="0" w:evenHBand="0" w:firstRowFirstColumn="0" w:firstRowLastColumn="0" w:lastRowFirstColumn="0" w:lastRowLastColumn="0"/>
            </w:pPr>
            <w:r w:rsidRPr="00033E9D">
              <w:t>.024</w:t>
            </w:r>
          </w:p>
        </w:tc>
      </w:tr>
      <w:tr w:rsidR="00EA34BF"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30170E" w:rsidRDefault="00EA34BF" w:rsidP="006B1A5A">
            <w:pPr>
              <w:rPr>
                <w:b w:val="0"/>
              </w:rPr>
            </w:pPr>
            <w:r w:rsidRPr="0030170E">
              <w:rPr>
                <w:b w:val="0"/>
              </w:rPr>
              <w:t>Special characteristic of the child</w:t>
            </w:r>
          </w:p>
        </w:tc>
        <w:tc>
          <w:tcPr>
            <w:tcW w:w="216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p>
        </w:tc>
        <w:tc>
          <w:tcPr>
            <w:tcW w:w="153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p>
        </w:tc>
        <w:tc>
          <w:tcPr>
            <w:tcW w:w="126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p>
        </w:tc>
        <w:tc>
          <w:tcPr>
            <w:tcW w:w="1080" w:type="dxa"/>
          </w:tcPr>
          <w:p w:rsidR="00EA34BF" w:rsidRPr="00033E9D" w:rsidRDefault="00EA34BF" w:rsidP="006B1A5A">
            <w:pPr>
              <w:cnfStyle w:val="000000100000" w:firstRow="0" w:lastRow="0" w:firstColumn="0" w:lastColumn="0" w:oddVBand="0" w:evenVBand="0" w:oddHBand="1" w:evenHBand="0" w:firstRowFirstColumn="0" w:firstRowLastColumn="0" w:lastRowFirstColumn="0" w:lastRowLastColumn="0"/>
            </w:pPr>
          </w:p>
        </w:tc>
      </w:tr>
      <w:tr w:rsidR="00EA34BF"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30170E" w:rsidRDefault="00EA34BF" w:rsidP="006B1A5A">
            <w:r w:rsidRPr="0030170E">
              <w:rPr>
                <w:b w:val="0"/>
              </w:rPr>
              <w:t xml:space="preserve">   </w:t>
            </w:r>
            <w:r w:rsidRPr="0030170E">
              <w:t>Domestic violence</w:t>
            </w:r>
          </w:p>
        </w:tc>
        <w:tc>
          <w:tcPr>
            <w:tcW w:w="216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2.121</w:t>
            </w:r>
          </w:p>
        </w:tc>
        <w:tc>
          <w:tcPr>
            <w:tcW w:w="153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1.243</w:t>
            </w:r>
          </w:p>
        </w:tc>
        <w:tc>
          <w:tcPr>
            <w:tcW w:w="126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3.621</w:t>
            </w:r>
          </w:p>
        </w:tc>
        <w:tc>
          <w:tcPr>
            <w:tcW w:w="1080" w:type="dxa"/>
          </w:tcPr>
          <w:p w:rsidR="00EA34BF" w:rsidRPr="00033E9D" w:rsidRDefault="00EA34BF" w:rsidP="006B1A5A">
            <w:pPr>
              <w:cnfStyle w:val="000000000000" w:firstRow="0" w:lastRow="0" w:firstColumn="0" w:lastColumn="0" w:oddVBand="0" w:evenVBand="0" w:oddHBand="0" w:evenHBand="0" w:firstRowFirstColumn="0" w:firstRowLastColumn="0" w:lastRowFirstColumn="0" w:lastRowLastColumn="0"/>
            </w:pPr>
            <w:r w:rsidRPr="00033E9D">
              <w:t>.006</w:t>
            </w:r>
          </w:p>
        </w:tc>
      </w:tr>
      <w:tr w:rsidR="00EA34BF"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30170E" w:rsidRDefault="00EA34BF" w:rsidP="006B1A5A">
            <w:pPr>
              <w:rPr>
                <w:b w:val="0"/>
              </w:rPr>
            </w:pPr>
            <w:r w:rsidRPr="0030170E">
              <w:rPr>
                <w:b w:val="0"/>
              </w:rPr>
              <w:t xml:space="preserve">   Emotional disturbance</w:t>
            </w:r>
          </w:p>
        </w:tc>
        <w:tc>
          <w:tcPr>
            <w:tcW w:w="216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r w:rsidRPr="00CA3A9D">
              <w:t>.755</w:t>
            </w:r>
          </w:p>
        </w:tc>
        <w:tc>
          <w:tcPr>
            <w:tcW w:w="153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r w:rsidRPr="00CA3A9D">
              <w:t>.529</w:t>
            </w:r>
          </w:p>
        </w:tc>
        <w:tc>
          <w:tcPr>
            <w:tcW w:w="126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r w:rsidRPr="00CA3A9D">
              <w:t>1.076</w:t>
            </w:r>
          </w:p>
        </w:tc>
        <w:tc>
          <w:tcPr>
            <w:tcW w:w="1080" w:type="dxa"/>
          </w:tcPr>
          <w:p w:rsidR="00EA34BF" w:rsidRPr="00033E9D" w:rsidRDefault="00EA34BF" w:rsidP="006B1A5A">
            <w:pPr>
              <w:cnfStyle w:val="000000100000" w:firstRow="0" w:lastRow="0" w:firstColumn="0" w:lastColumn="0" w:oddVBand="0" w:evenVBand="0" w:oddHBand="1" w:evenHBand="0" w:firstRowFirstColumn="0" w:firstRowLastColumn="0" w:lastRowFirstColumn="0" w:lastRowLastColumn="0"/>
            </w:pPr>
            <w:r w:rsidRPr="00033E9D">
              <w:t>.120</w:t>
            </w:r>
          </w:p>
        </w:tc>
      </w:tr>
      <w:tr w:rsidR="00EA34BF"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30170E" w:rsidRDefault="00EA34BF" w:rsidP="006B1A5A">
            <w:r w:rsidRPr="0030170E">
              <w:rPr>
                <w:b w:val="0"/>
              </w:rPr>
              <w:t xml:space="preserve">   </w:t>
            </w:r>
            <w:r w:rsidRPr="0030170E">
              <w:t>Behavioral problems</w:t>
            </w:r>
          </w:p>
        </w:tc>
        <w:tc>
          <w:tcPr>
            <w:tcW w:w="216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.544</w:t>
            </w:r>
          </w:p>
        </w:tc>
        <w:tc>
          <w:tcPr>
            <w:tcW w:w="153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.402</w:t>
            </w:r>
          </w:p>
        </w:tc>
        <w:tc>
          <w:tcPr>
            <w:tcW w:w="126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.736</w:t>
            </w:r>
          </w:p>
        </w:tc>
        <w:tc>
          <w:tcPr>
            <w:tcW w:w="1080" w:type="dxa"/>
          </w:tcPr>
          <w:p w:rsidR="00EA34BF" w:rsidRPr="00033E9D" w:rsidRDefault="00EA34BF" w:rsidP="006B1A5A">
            <w:pPr>
              <w:cnfStyle w:val="000000000000" w:firstRow="0" w:lastRow="0" w:firstColumn="0" w:lastColumn="0" w:oddVBand="0" w:evenVBand="0" w:oddHBand="0" w:evenHBand="0" w:firstRowFirstColumn="0" w:firstRowLastColumn="0" w:lastRowFirstColumn="0" w:lastRowLastColumn="0"/>
            </w:pPr>
            <w:r w:rsidRPr="00033E9D">
              <w:t>.000</w:t>
            </w:r>
          </w:p>
        </w:tc>
      </w:tr>
      <w:tr w:rsidR="00EA34BF"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30170E" w:rsidRDefault="00EA34BF" w:rsidP="006B1A5A">
            <w:pPr>
              <w:rPr>
                <w:b w:val="0"/>
              </w:rPr>
            </w:pPr>
            <w:r w:rsidRPr="0030170E">
              <w:rPr>
                <w:b w:val="0"/>
              </w:rPr>
              <w:t>Caregiver stress factors</w:t>
            </w:r>
          </w:p>
        </w:tc>
        <w:tc>
          <w:tcPr>
            <w:tcW w:w="216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p>
        </w:tc>
        <w:tc>
          <w:tcPr>
            <w:tcW w:w="153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p>
        </w:tc>
        <w:tc>
          <w:tcPr>
            <w:tcW w:w="126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p>
        </w:tc>
        <w:tc>
          <w:tcPr>
            <w:tcW w:w="1080" w:type="dxa"/>
          </w:tcPr>
          <w:p w:rsidR="00EA34BF" w:rsidRPr="00033E9D" w:rsidRDefault="00EA34BF" w:rsidP="006B1A5A">
            <w:pPr>
              <w:cnfStyle w:val="000000100000" w:firstRow="0" w:lastRow="0" w:firstColumn="0" w:lastColumn="0" w:oddVBand="0" w:evenVBand="0" w:oddHBand="1" w:evenHBand="0" w:firstRowFirstColumn="0" w:firstRowLastColumn="0" w:lastRowFirstColumn="0" w:lastRowLastColumn="0"/>
            </w:pPr>
          </w:p>
        </w:tc>
      </w:tr>
      <w:tr w:rsidR="00EA34BF"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30170E" w:rsidRDefault="00EA34BF" w:rsidP="006B1A5A">
            <w:pPr>
              <w:rPr>
                <w:b w:val="0"/>
              </w:rPr>
            </w:pPr>
            <w:r w:rsidRPr="0030170E">
              <w:rPr>
                <w:b w:val="0"/>
              </w:rPr>
              <w:t xml:space="preserve">  Income</w:t>
            </w:r>
          </w:p>
        </w:tc>
        <w:tc>
          <w:tcPr>
            <w:tcW w:w="216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1.093</w:t>
            </w:r>
          </w:p>
        </w:tc>
        <w:tc>
          <w:tcPr>
            <w:tcW w:w="153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.867</w:t>
            </w:r>
          </w:p>
        </w:tc>
        <w:tc>
          <w:tcPr>
            <w:tcW w:w="126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1.379</w:t>
            </w:r>
          </w:p>
        </w:tc>
        <w:tc>
          <w:tcPr>
            <w:tcW w:w="1080" w:type="dxa"/>
          </w:tcPr>
          <w:p w:rsidR="00EA34BF" w:rsidRPr="00033E9D" w:rsidRDefault="00EA34BF" w:rsidP="006B1A5A">
            <w:pPr>
              <w:cnfStyle w:val="000000000000" w:firstRow="0" w:lastRow="0" w:firstColumn="0" w:lastColumn="0" w:oddVBand="0" w:evenVBand="0" w:oddHBand="0" w:evenHBand="0" w:firstRowFirstColumn="0" w:firstRowLastColumn="0" w:lastRowFirstColumn="0" w:lastRowLastColumn="0"/>
            </w:pPr>
            <w:r w:rsidRPr="00033E9D">
              <w:t>.452</w:t>
            </w:r>
          </w:p>
        </w:tc>
      </w:tr>
      <w:tr w:rsidR="00EA34BF"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rsidR="00EA34BF" w:rsidRPr="0030170E" w:rsidRDefault="00EA34BF" w:rsidP="006B1A5A">
            <w:r w:rsidRPr="0030170E">
              <w:t xml:space="preserve">  Drug abuse</w:t>
            </w:r>
          </w:p>
        </w:tc>
        <w:tc>
          <w:tcPr>
            <w:tcW w:w="216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r w:rsidRPr="00CA3A9D">
              <w:t>1.843</w:t>
            </w:r>
          </w:p>
        </w:tc>
        <w:tc>
          <w:tcPr>
            <w:tcW w:w="153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r w:rsidRPr="00CA3A9D">
              <w:t>1.442</w:t>
            </w:r>
          </w:p>
        </w:tc>
        <w:tc>
          <w:tcPr>
            <w:tcW w:w="1260" w:type="dxa"/>
          </w:tcPr>
          <w:p w:rsidR="00EA34BF" w:rsidRPr="00CA3A9D" w:rsidRDefault="00EA34BF" w:rsidP="006B1A5A">
            <w:pPr>
              <w:cnfStyle w:val="000000100000" w:firstRow="0" w:lastRow="0" w:firstColumn="0" w:lastColumn="0" w:oddVBand="0" w:evenVBand="0" w:oddHBand="1" w:evenHBand="0" w:firstRowFirstColumn="0" w:firstRowLastColumn="0" w:lastRowFirstColumn="0" w:lastRowLastColumn="0"/>
            </w:pPr>
            <w:r w:rsidRPr="00CA3A9D">
              <w:t>2.355</w:t>
            </w:r>
          </w:p>
        </w:tc>
        <w:tc>
          <w:tcPr>
            <w:tcW w:w="1080" w:type="dxa"/>
          </w:tcPr>
          <w:p w:rsidR="00EA34BF" w:rsidRPr="00033E9D" w:rsidRDefault="00EA34BF" w:rsidP="006B1A5A">
            <w:pPr>
              <w:cnfStyle w:val="000000100000" w:firstRow="0" w:lastRow="0" w:firstColumn="0" w:lastColumn="0" w:oddVBand="0" w:evenVBand="0" w:oddHBand="1" w:evenHBand="0" w:firstRowFirstColumn="0" w:firstRowLastColumn="0" w:lastRowFirstColumn="0" w:lastRowLastColumn="0"/>
            </w:pPr>
            <w:r w:rsidRPr="00033E9D">
              <w:t>.000</w:t>
            </w:r>
          </w:p>
        </w:tc>
      </w:tr>
      <w:tr w:rsidR="00EA34BF" w:rsidTr="006B1A5A">
        <w:tc>
          <w:tcPr>
            <w:cnfStyle w:val="001000000000" w:firstRow="0" w:lastRow="0" w:firstColumn="1" w:lastColumn="0" w:oddVBand="0" w:evenVBand="0" w:oddHBand="0" w:evenHBand="0" w:firstRowFirstColumn="0" w:firstRowLastColumn="0" w:lastRowFirstColumn="0" w:lastRowLastColumn="0"/>
            <w:tcW w:w="3775" w:type="dxa"/>
          </w:tcPr>
          <w:p w:rsidR="00EA34BF" w:rsidRPr="0030170E" w:rsidRDefault="00EA34BF" w:rsidP="006B1A5A">
            <w:pPr>
              <w:rPr>
                <w:b w:val="0"/>
              </w:rPr>
            </w:pPr>
            <w:r w:rsidRPr="0030170E">
              <w:rPr>
                <w:b w:val="0"/>
              </w:rPr>
              <w:t xml:space="preserve"> Mental health problems</w:t>
            </w:r>
          </w:p>
        </w:tc>
        <w:tc>
          <w:tcPr>
            <w:tcW w:w="216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1.114</w:t>
            </w:r>
          </w:p>
        </w:tc>
        <w:tc>
          <w:tcPr>
            <w:tcW w:w="153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.885</w:t>
            </w:r>
          </w:p>
        </w:tc>
        <w:tc>
          <w:tcPr>
            <w:tcW w:w="1260" w:type="dxa"/>
          </w:tcPr>
          <w:p w:rsidR="00EA34BF" w:rsidRPr="00CA3A9D" w:rsidRDefault="00EA34BF" w:rsidP="006B1A5A">
            <w:pPr>
              <w:cnfStyle w:val="000000000000" w:firstRow="0" w:lastRow="0" w:firstColumn="0" w:lastColumn="0" w:oddVBand="0" w:evenVBand="0" w:oddHBand="0" w:evenHBand="0" w:firstRowFirstColumn="0" w:firstRowLastColumn="0" w:lastRowFirstColumn="0" w:lastRowLastColumn="0"/>
            </w:pPr>
            <w:r w:rsidRPr="00CA3A9D">
              <w:t>1.402</w:t>
            </w:r>
          </w:p>
        </w:tc>
        <w:tc>
          <w:tcPr>
            <w:tcW w:w="1080" w:type="dxa"/>
          </w:tcPr>
          <w:p w:rsidR="00EA34BF" w:rsidRDefault="00EA34BF" w:rsidP="006B1A5A">
            <w:pPr>
              <w:cnfStyle w:val="000000000000" w:firstRow="0" w:lastRow="0" w:firstColumn="0" w:lastColumn="0" w:oddVBand="0" w:evenVBand="0" w:oddHBand="0" w:evenHBand="0" w:firstRowFirstColumn="0" w:firstRowLastColumn="0" w:lastRowFirstColumn="0" w:lastRowLastColumn="0"/>
            </w:pPr>
            <w:r w:rsidRPr="00033E9D">
              <w:t>.359</w:t>
            </w:r>
          </w:p>
        </w:tc>
      </w:tr>
    </w:tbl>
    <w:p w:rsidR="00EA34BF" w:rsidRDefault="00EA34BF" w:rsidP="00EA34BF"/>
    <w:p w:rsidR="00EA34BF" w:rsidRDefault="00EA34BF" w:rsidP="00EA34BF">
      <w:r>
        <w:t>The final piece of this analysis was investigating which practice performance indicators were associated with relative vs non-relative placement</w:t>
      </w:r>
      <w:r w:rsidR="00073142">
        <w:t>s (Table 7)</w:t>
      </w:r>
      <w:r>
        <w:t xml:space="preserve">. </w:t>
      </w:r>
      <w:r w:rsidR="00485F9A">
        <w:t>Children placed with r</w:t>
      </w:r>
      <w:r>
        <w:t>elative</w:t>
      </w:r>
      <w:r w:rsidR="00485F9A">
        <w:t>s</w:t>
      </w:r>
      <w:r>
        <w:t xml:space="preserve"> had significantly (p&lt;.05) higher scores in cultural recognition, long term view, engaging, and maintaining relationships with family than </w:t>
      </w:r>
      <w:r w:rsidR="00485F9A">
        <w:t xml:space="preserve">children in </w:t>
      </w:r>
      <w:r>
        <w:t xml:space="preserve">non-relative placements.  </w:t>
      </w:r>
      <w:r w:rsidR="00582B6D">
        <w:t>Children</w:t>
      </w:r>
      <w:r w:rsidR="00485F9A">
        <w:t xml:space="preserve"> in </w:t>
      </w:r>
      <w:r>
        <w:t>relative placements had significantly (p&lt;.05) lower scores in assessing and understanding the family and intervention adequacy than</w:t>
      </w:r>
      <w:r w:rsidR="00485F9A">
        <w:t xml:space="preserve"> children in non-</w:t>
      </w:r>
      <w:r>
        <w:t>relative placements.</w:t>
      </w:r>
    </w:p>
    <w:p w:rsidR="00C7720A" w:rsidRDefault="00C7720A" w:rsidP="00EA34BF"/>
    <w:p w:rsidR="00EA34BF" w:rsidRDefault="00EA34BF" w:rsidP="00EA34BF">
      <w:pPr>
        <w:pStyle w:val="Heading4"/>
      </w:pPr>
      <w:r>
        <w:t xml:space="preserve">Table </w:t>
      </w:r>
      <w:r w:rsidR="00073142">
        <w:t>7</w:t>
      </w:r>
      <w:r>
        <w:t>. Practice performance indicators associated with relative placements compared to non-relative placements.</w:t>
      </w:r>
    </w:p>
    <w:tbl>
      <w:tblPr>
        <w:tblStyle w:val="GridTable4-Accent1"/>
        <w:tblW w:w="0" w:type="auto"/>
        <w:tblLook w:val="04A0" w:firstRow="1" w:lastRow="0" w:firstColumn="1" w:lastColumn="0" w:noHBand="0" w:noVBand="1"/>
      </w:tblPr>
      <w:tblGrid>
        <w:gridCol w:w="3753"/>
        <w:gridCol w:w="1873"/>
        <w:gridCol w:w="1461"/>
        <w:gridCol w:w="1214"/>
        <w:gridCol w:w="1049"/>
      </w:tblGrid>
      <w:tr w:rsidR="00EA34BF" w:rsidTr="006B1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Borders>
              <w:top w:val="none" w:sz="0" w:space="0" w:color="auto"/>
              <w:left w:val="none" w:sz="0" w:space="0" w:color="auto"/>
              <w:bottom w:val="none" w:sz="0" w:space="0" w:color="auto"/>
              <w:right w:val="none" w:sz="0" w:space="0" w:color="auto"/>
            </w:tcBorders>
          </w:tcPr>
          <w:p w:rsidR="00EA34BF" w:rsidRDefault="00EA34BF" w:rsidP="006B1A5A">
            <w:pPr>
              <w:autoSpaceDE w:val="0"/>
              <w:autoSpaceDN w:val="0"/>
              <w:adjustRightInd w:val="0"/>
              <w:spacing w:line="400" w:lineRule="atLeast"/>
              <w:rPr>
                <w:rFonts w:ascii="Times New Roman" w:hAnsi="Times New Roman" w:cs="Times New Roman"/>
                <w:sz w:val="24"/>
                <w:szCs w:val="24"/>
              </w:rPr>
            </w:pPr>
          </w:p>
        </w:tc>
        <w:tc>
          <w:tcPr>
            <w:tcW w:w="1980" w:type="dxa"/>
            <w:tcBorders>
              <w:top w:val="none" w:sz="0" w:space="0" w:color="auto"/>
              <w:left w:val="none" w:sz="0" w:space="0" w:color="auto"/>
              <w:bottom w:val="none" w:sz="0" w:space="0" w:color="auto"/>
              <w:right w:val="none" w:sz="0" w:space="0" w:color="auto"/>
            </w:tcBorders>
          </w:tcPr>
          <w:p w:rsidR="00EA34BF" w:rsidRDefault="00EA34BF" w:rsidP="006B1A5A">
            <w:pPr>
              <w:autoSpaceDE w:val="0"/>
              <w:autoSpaceDN w:val="0"/>
              <w:adjustRightInd w:val="0"/>
              <w:spacing w:line="400"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cs="Times New Roman"/>
                <w:szCs w:val="24"/>
              </w:rPr>
              <w:t>Exp (B)</w:t>
            </w:r>
          </w:p>
        </w:tc>
        <w:tc>
          <w:tcPr>
            <w:tcW w:w="2790" w:type="dxa"/>
            <w:gridSpan w:val="2"/>
            <w:tcBorders>
              <w:top w:val="none" w:sz="0" w:space="0" w:color="auto"/>
              <w:left w:val="none" w:sz="0" w:space="0" w:color="auto"/>
              <w:bottom w:val="none" w:sz="0" w:space="0" w:color="auto"/>
              <w:right w:val="none" w:sz="0" w:space="0" w:color="auto"/>
            </w:tcBorders>
          </w:tcPr>
          <w:p w:rsidR="00EA34BF" w:rsidRDefault="00EA34BF" w:rsidP="006B1A5A">
            <w:pPr>
              <w:autoSpaceDE w:val="0"/>
              <w:autoSpaceDN w:val="0"/>
              <w:adjustRightInd w:val="0"/>
              <w:spacing w:line="400"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52DBD">
              <w:rPr>
                <w:rFonts w:cs="Times New Roman"/>
                <w:szCs w:val="24"/>
              </w:rPr>
              <w:t>95</w:t>
            </w:r>
            <w:r>
              <w:rPr>
                <w:rFonts w:cs="Times New Roman"/>
                <w:szCs w:val="24"/>
              </w:rPr>
              <w:t>% Confidence interval</w:t>
            </w:r>
          </w:p>
        </w:tc>
        <w:tc>
          <w:tcPr>
            <w:tcW w:w="1080" w:type="dxa"/>
            <w:tcBorders>
              <w:top w:val="none" w:sz="0" w:space="0" w:color="auto"/>
              <w:left w:val="none" w:sz="0" w:space="0" w:color="auto"/>
              <w:bottom w:val="none" w:sz="0" w:space="0" w:color="auto"/>
              <w:right w:val="none" w:sz="0" w:space="0" w:color="auto"/>
            </w:tcBorders>
          </w:tcPr>
          <w:p w:rsidR="00EA34BF" w:rsidRPr="00452DBD" w:rsidRDefault="00EA34BF" w:rsidP="006B1A5A">
            <w:pPr>
              <w:autoSpaceDE w:val="0"/>
              <w:autoSpaceDN w:val="0"/>
              <w:adjustRightInd w:val="0"/>
              <w:spacing w:line="400" w:lineRule="atLeast"/>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p-value</w:t>
            </w:r>
          </w:p>
        </w:tc>
      </w:tr>
      <w:tr w:rsidR="00EA34BF"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rsidR="00EA34BF" w:rsidRPr="0030170E" w:rsidRDefault="00EA34BF" w:rsidP="006B1A5A">
            <w:r w:rsidRPr="0030170E">
              <w:t>Cultural Recognition</w:t>
            </w:r>
          </w:p>
        </w:tc>
        <w:tc>
          <w:tcPr>
            <w:tcW w:w="198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1.604</w:t>
            </w:r>
          </w:p>
        </w:tc>
        <w:tc>
          <w:tcPr>
            <w:tcW w:w="153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1.380</w:t>
            </w:r>
          </w:p>
        </w:tc>
        <w:tc>
          <w:tcPr>
            <w:tcW w:w="126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1.864</w:t>
            </w:r>
          </w:p>
        </w:tc>
        <w:tc>
          <w:tcPr>
            <w:tcW w:w="1080" w:type="dxa"/>
          </w:tcPr>
          <w:p w:rsidR="00EA34BF" w:rsidRPr="00230FA5" w:rsidRDefault="00EA34BF" w:rsidP="006B1A5A">
            <w:pPr>
              <w:cnfStyle w:val="000000100000" w:firstRow="0" w:lastRow="0" w:firstColumn="0" w:lastColumn="0" w:oddVBand="0" w:evenVBand="0" w:oddHBand="1" w:evenHBand="0" w:firstRowFirstColumn="0" w:firstRowLastColumn="0" w:lastRowFirstColumn="0" w:lastRowLastColumn="0"/>
            </w:pPr>
            <w:r w:rsidRPr="00230FA5">
              <w:t>.000</w:t>
            </w:r>
          </w:p>
        </w:tc>
      </w:tr>
      <w:tr w:rsidR="00EA34BF" w:rsidTr="006B1A5A">
        <w:tc>
          <w:tcPr>
            <w:cnfStyle w:val="001000000000" w:firstRow="0" w:lastRow="0" w:firstColumn="1" w:lastColumn="0" w:oddVBand="0" w:evenVBand="0" w:oddHBand="0" w:evenHBand="0" w:firstRowFirstColumn="0" w:firstRowLastColumn="0" w:lastRowFirstColumn="0" w:lastRowLastColumn="0"/>
            <w:tcW w:w="3955" w:type="dxa"/>
          </w:tcPr>
          <w:p w:rsidR="00EA34BF" w:rsidRPr="0030170E" w:rsidRDefault="00EA34BF" w:rsidP="006B1A5A">
            <w:pPr>
              <w:rPr>
                <w:b w:val="0"/>
              </w:rPr>
            </w:pPr>
            <w:r w:rsidRPr="0030170E">
              <w:rPr>
                <w:b w:val="0"/>
              </w:rPr>
              <w:t>Assessing and Understanding the Child</w:t>
            </w:r>
          </w:p>
        </w:tc>
        <w:tc>
          <w:tcPr>
            <w:tcW w:w="1980" w:type="dxa"/>
          </w:tcPr>
          <w:p w:rsidR="00EA34BF" w:rsidRPr="00FE7D30" w:rsidRDefault="00EA34BF" w:rsidP="006B1A5A">
            <w:pPr>
              <w:cnfStyle w:val="000000000000" w:firstRow="0" w:lastRow="0" w:firstColumn="0" w:lastColumn="0" w:oddVBand="0" w:evenVBand="0" w:oddHBand="0" w:evenHBand="0" w:firstRowFirstColumn="0" w:firstRowLastColumn="0" w:lastRowFirstColumn="0" w:lastRowLastColumn="0"/>
            </w:pPr>
            <w:r w:rsidRPr="00FE7D30">
              <w:t>0.978</w:t>
            </w:r>
          </w:p>
        </w:tc>
        <w:tc>
          <w:tcPr>
            <w:tcW w:w="1530" w:type="dxa"/>
          </w:tcPr>
          <w:p w:rsidR="00EA34BF" w:rsidRPr="00FE7D30" w:rsidRDefault="00EA34BF" w:rsidP="006B1A5A">
            <w:pPr>
              <w:cnfStyle w:val="000000000000" w:firstRow="0" w:lastRow="0" w:firstColumn="0" w:lastColumn="0" w:oddVBand="0" w:evenVBand="0" w:oddHBand="0" w:evenHBand="0" w:firstRowFirstColumn="0" w:firstRowLastColumn="0" w:lastRowFirstColumn="0" w:lastRowLastColumn="0"/>
            </w:pPr>
            <w:r w:rsidRPr="00FE7D30">
              <w:t>0.828</w:t>
            </w:r>
          </w:p>
        </w:tc>
        <w:tc>
          <w:tcPr>
            <w:tcW w:w="1260" w:type="dxa"/>
          </w:tcPr>
          <w:p w:rsidR="00EA34BF" w:rsidRPr="00FE7D30" w:rsidRDefault="00EA34BF" w:rsidP="006B1A5A">
            <w:pPr>
              <w:cnfStyle w:val="000000000000" w:firstRow="0" w:lastRow="0" w:firstColumn="0" w:lastColumn="0" w:oddVBand="0" w:evenVBand="0" w:oddHBand="0" w:evenHBand="0" w:firstRowFirstColumn="0" w:firstRowLastColumn="0" w:lastRowFirstColumn="0" w:lastRowLastColumn="0"/>
            </w:pPr>
            <w:r w:rsidRPr="00FE7D30">
              <w:t>1.155</w:t>
            </w:r>
          </w:p>
        </w:tc>
        <w:tc>
          <w:tcPr>
            <w:tcW w:w="1080" w:type="dxa"/>
          </w:tcPr>
          <w:p w:rsidR="00EA34BF" w:rsidRPr="00230FA5" w:rsidRDefault="00EA34BF" w:rsidP="006B1A5A">
            <w:pPr>
              <w:cnfStyle w:val="000000000000" w:firstRow="0" w:lastRow="0" w:firstColumn="0" w:lastColumn="0" w:oddVBand="0" w:evenVBand="0" w:oddHBand="0" w:evenHBand="0" w:firstRowFirstColumn="0" w:firstRowLastColumn="0" w:lastRowFirstColumn="0" w:lastRowLastColumn="0"/>
            </w:pPr>
            <w:r w:rsidRPr="00230FA5">
              <w:t>.792</w:t>
            </w:r>
          </w:p>
        </w:tc>
      </w:tr>
      <w:tr w:rsidR="00EA34BF"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rsidR="00EA34BF" w:rsidRPr="0030170E" w:rsidRDefault="00EA34BF" w:rsidP="006B1A5A">
            <w:r w:rsidRPr="0030170E">
              <w:t>Assessing and Understanding  the Family</w:t>
            </w:r>
          </w:p>
        </w:tc>
        <w:tc>
          <w:tcPr>
            <w:tcW w:w="198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0.836</w:t>
            </w:r>
          </w:p>
        </w:tc>
        <w:tc>
          <w:tcPr>
            <w:tcW w:w="153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0.688</w:t>
            </w:r>
          </w:p>
        </w:tc>
        <w:tc>
          <w:tcPr>
            <w:tcW w:w="126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1.015</w:t>
            </w:r>
          </w:p>
        </w:tc>
        <w:tc>
          <w:tcPr>
            <w:tcW w:w="1080" w:type="dxa"/>
          </w:tcPr>
          <w:p w:rsidR="00EA34BF" w:rsidRPr="00230FA5" w:rsidRDefault="00EA34BF" w:rsidP="006B1A5A">
            <w:pPr>
              <w:cnfStyle w:val="000000100000" w:firstRow="0" w:lastRow="0" w:firstColumn="0" w:lastColumn="0" w:oddVBand="0" w:evenVBand="0" w:oddHBand="1" w:evenHBand="0" w:firstRowFirstColumn="0" w:firstRowLastColumn="0" w:lastRowFirstColumn="0" w:lastRowLastColumn="0"/>
            </w:pPr>
            <w:r w:rsidRPr="00230FA5">
              <w:t>.070</w:t>
            </w:r>
          </w:p>
        </w:tc>
      </w:tr>
      <w:tr w:rsidR="00EA34BF" w:rsidTr="006B1A5A">
        <w:tc>
          <w:tcPr>
            <w:cnfStyle w:val="001000000000" w:firstRow="0" w:lastRow="0" w:firstColumn="1" w:lastColumn="0" w:oddVBand="0" w:evenVBand="0" w:oddHBand="0" w:evenHBand="0" w:firstRowFirstColumn="0" w:firstRowLastColumn="0" w:lastRowFirstColumn="0" w:lastRowLastColumn="0"/>
            <w:tcW w:w="3955" w:type="dxa"/>
          </w:tcPr>
          <w:p w:rsidR="00EA34BF" w:rsidRPr="0030170E" w:rsidRDefault="00EA34BF" w:rsidP="006B1A5A">
            <w:r w:rsidRPr="0030170E">
              <w:t>Long term view</w:t>
            </w:r>
          </w:p>
        </w:tc>
        <w:tc>
          <w:tcPr>
            <w:tcW w:w="1980" w:type="dxa"/>
          </w:tcPr>
          <w:p w:rsidR="00EA34BF" w:rsidRPr="00FE7D30" w:rsidRDefault="00EA34BF" w:rsidP="006B1A5A">
            <w:pPr>
              <w:cnfStyle w:val="000000000000" w:firstRow="0" w:lastRow="0" w:firstColumn="0" w:lastColumn="0" w:oddVBand="0" w:evenVBand="0" w:oddHBand="0" w:evenHBand="0" w:firstRowFirstColumn="0" w:firstRowLastColumn="0" w:lastRowFirstColumn="0" w:lastRowLastColumn="0"/>
            </w:pPr>
            <w:r w:rsidRPr="00FE7D30">
              <w:t>1.323</w:t>
            </w:r>
          </w:p>
        </w:tc>
        <w:tc>
          <w:tcPr>
            <w:tcW w:w="1530" w:type="dxa"/>
          </w:tcPr>
          <w:p w:rsidR="00EA34BF" w:rsidRPr="00FE7D30" w:rsidRDefault="00EA34BF" w:rsidP="006B1A5A">
            <w:pPr>
              <w:cnfStyle w:val="000000000000" w:firstRow="0" w:lastRow="0" w:firstColumn="0" w:lastColumn="0" w:oddVBand="0" w:evenVBand="0" w:oddHBand="0" w:evenHBand="0" w:firstRowFirstColumn="0" w:firstRowLastColumn="0" w:lastRowFirstColumn="0" w:lastRowLastColumn="0"/>
            </w:pPr>
            <w:r w:rsidRPr="00FE7D30">
              <w:t>1.046</w:t>
            </w:r>
          </w:p>
        </w:tc>
        <w:tc>
          <w:tcPr>
            <w:tcW w:w="1260" w:type="dxa"/>
          </w:tcPr>
          <w:p w:rsidR="00EA34BF" w:rsidRPr="00FE7D30" w:rsidRDefault="00EA34BF" w:rsidP="006B1A5A">
            <w:pPr>
              <w:cnfStyle w:val="000000000000" w:firstRow="0" w:lastRow="0" w:firstColumn="0" w:lastColumn="0" w:oddVBand="0" w:evenVBand="0" w:oddHBand="0" w:evenHBand="0" w:firstRowFirstColumn="0" w:firstRowLastColumn="0" w:lastRowFirstColumn="0" w:lastRowLastColumn="0"/>
            </w:pPr>
            <w:r w:rsidRPr="00FE7D30">
              <w:t>1.673</w:t>
            </w:r>
          </w:p>
        </w:tc>
        <w:tc>
          <w:tcPr>
            <w:tcW w:w="1080" w:type="dxa"/>
          </w:tcPr>
          <w:p w:rsidR="00EA34BF" w:rsidRPr="00230FA5" w:rsidRDefault="00EA34BF" w:rsidP="006B1A5A">
            <w:pPr>
              <w:cnfStyle w:val="000000000000" w:firstRow="0" w:lastRow="0" w:firstColumn="0" w:lastColumn="0" w:oddVBand="0" w:evenVBand="0" w:oddHBand="0" w:evenHBand="0" w:firstRowFirstColumn="0" w:firstRowLastColumn="0" w:lastRowFirstColumn="0" w:lastRowLastColumn="0"/>
            </w:pPr>
            <w:r w:rsidRPr="00230FA5">
              <w:t>.020</w:t>
            </w:r>
          </w:p>
        </w:tc>
      </w:tr>
      <w:tr w:rsidR="00EA34BF" w:rsidTr="006B1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rsidR="00EA34BF" w:rsidRPr="0030170E" w:rsidRDefault="00EA34BF" w:rsidP="006B1A5A">
            <w:pPr>
              <w:rPr>
                <w:b w:val="0"/>
              </w:rPr>
            </w:pPr>
            <w:r w:rsidRPr="0030170E">
              <w:rPr>
                <w:b w:val="0"/>
              </w:rPr>
              <w:t>Child and Family planning process</w:t>
            </w:r>
          </w:p>
        </w:tc>
        <w:tc>
          <w:tcPr>
            <w:tcW w:w="198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0.993</w:t>
            </w:r>
          </w:p>
        </w:tc>
        <w:tc>
          <w:tcPr>
            <w:tcW w:w="153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0.758</w:t>
            </w:r>
          </w:p>
        </w:tc>
        <w:tc>
          <w:tcPr>
            <w:tcW w:w="126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1.300</w:t>
            </w:r>
          </w:p>
        </w:tc>
        <w:tc>
          <w:tcPr>
            <w:tcW w:w="1080" w:type="dxa"/>
          </w:tcPr>
          <w:p w:rsidR="00EA34BF" w:rsidRPr="00230FA5" w:rsidRDefault="00EA34BF" w:rsidP="006B1A5A">
            <w:pPr>
              <w:cnfStyle w:val="000000100000" w:firstRow="0" w:lastRow="0" w:firstColumn="0" w:lastColumn="0" w:oddVBand="0" w:evenVBand="0" w:oddHBand="1" w:evenHBand="0" w:firstRowFirstColumn="0" w:firstRowLastColumn="0" w:lastRowFirstColumn="0" w:lastRowLastColumn="0"/>
            </w:pPr>
            <w:r w:rsidRPr="00230FA5">
              <w:t>.957</w:t>
            </w:r>
          </w:p>
        </w:tc>
      </w:tr>
      <w:tr w:rsidR="00EA34BF" w:rsidTr="006B1A5A">
        <w:tc>
          <w:tcPr>
            <w:cnfStyle w:val="001000000000" w:firstRow="0" w:lastRow="0" w:firstColumn="1" w:lastColumn="0" w:oddVBand="0" w:evenVBand="0" w:oddHBand="0" w:evenHBand="0" w:firstRowFirstColumn="0" w:firstRowLastColumn="0" w:lastRowFirstColumn="0" w:lastRowLastColumn="0"/>
            <w:tcW w:w="3955" w:type="dxa"/>
          </w:tcPr>
          <w:p w:rsidR="00EA34BF" w:rsidRPr="0030170E" w:rsidRDefault="00EA34BF" w:rsidP="006B1A5A">
            <w:pPr>
              <w:rPr>
                <w:b w:val="0"/>
              </w:rPr>
            </w:pPr>
            <w:r w:rsidRPr="0030170E">
              <w:rPr>
                <w:b w:val="0"/>
              </w:rPr>
              <w:t>Planning transition and life adjustments</w:t>
            </w:r>
          </w:p>
        </w:tc>
        <w:tc>
          <w:tcPr>
            <w:tcW w:w="1980" w:type="dxa"/>
          </w:tcPr>
          <w:p w:rsidR="00EA34BF" w:rsidRPr="00FE7D30" w:rsidRDefault="00EA34BF" w:rsidP="006B1A5A">
            <w:pPr>
              <w:cnfStyle w:val="000000000000" w:firstRow="0" w:lastRow="0" w:firstColumn="0" w:lastColumn="0" w:oddVBand="0" w:evenVBand="0" w:oddHBand="0" w:evenHBand="0" w:firstRowFirstColumn="0" w:firstRowLastColumn="0" w:lastRowFirstColumn="0" w:lastRowLastColumn="0"/>
            </w:pPr>
            <w:r w:rsidRPr="00FE7D30">
              <w:t>1.117</w:t>
            </w:r>
          </w:p>
        </w:tc>
        <w:tc>
          <w:tcPr>
            <w:tcW w:w="1530" w:type="dxa"/>
          </w:tcPr>
          <w:p w:rsidR="00EA34BF" w:rsidRPr="00FE7D30" w:rsidRDefault="00EA34BF" w:rsidP="006B1A5A">
            <w:pPr>
              <w:cnfStyle w:val="000000000000" w:firstRow="0" w:lastRow="0" w:firstColumn="0" w:lastColumn="0" w:oddVBand="0" w:evenVBand="0" w:oddHBand="0" w:evenHBand="0" w:firstRowFirstColumn="0" w:firstRowLastColumn="0" w:lastRowFirstColumn="0" w:lastRowLastColumn="0"/>
            </w:pPr>
            <w:r w:rsidRPr="00FE7D30">
              <w:t>0.911</w:t>
            </w:r>
          </w:p>
        </w:tc>
        <w:tc>
          <w:tcPr>
            <w:tcW w:w="1260" w:type="dxa"/>
          </w:tcPr>
          <w:p w:rsidR="00EA34BF" w:rsidRPr="00FE7D30" w:rsidRDefault="00EA34BF" w:rsidP="006B1A5A">
            <w:pPr>
              <w:cnfStyle w:val="000000000000" w:firstRow="0" w:lastRow="0" w:firstColumn="0" w:lastColumn="0" w:oddVBand="0" w:evenVBand="0" w:oddHBand="0" w:evenHBand="0" w:firstRowFirstColumn="0" w:firstRowLastColumn="0" w:lastRowFirstColumn="0" w:lastRowLastColumn="0"/>
            </w:pPr>
            <w:r w:rsidRPr="00FE7D30">
              <w:t>1.371</w:t>
            </w:r>
          </w:p>
        </w:tc>
        <w:tc>
          <w:tcPr>
            <w:tcW w:w="1080" w:type="dxa"/>
          </w:tcPr>
          <w:p w:rsidR="00EA34BF" w:rsidRPr="00230FA5" w:rsidRDefault="00EA34BF" w:rsidP="006B1A5A">
            <w:pPr>
              <w:cnfStyle w:val="000000000000" w:firstRow="0" w:lastRow="0" w:firstColumn="0" w:lastColumn="0" w:oddVBand="0" w:evenVBand="0" w:oddHBand="0" w:evenHBand="0" w:firstRowFirstColumn="0" w:firstRowLastColumn="0" w:lastRowFirstColumn="0" w:lastRowLastColumn="0"/>
            </w:pPr>
            <w:r w:rsidRPr="00230FA5">
              <w:t>.288</w:t>
            </w:r>
          </w:p>
        </w:tc>
      </w:tr>
      <w:tr w:rsidR="00EA34BF" w:rsidTr="006B1A5A">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55" w:type="dxa"/>
          </w:tcPr>
          <w:p w:rsidR="00EA34BF" w:rsidRPr="0030170E" w:rsidRDefault="00EA34BF" w:rsidP="006B1A5A">
            <w:r w:rsidRPr="0030170E">
              <w:t>Intervention adequacy</w:t>
            </w:r>
          </w:p>
        </w:tc>
        <w:tc>
          <w:tcPr>
            <w:tcW w:w="198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0.749</w:t>
            </w:r>
          </w:p>
        </w:tc>
        <w:tc>
          <w:tcPr>
            <w:tcW w:w="153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0.623</w:t>
            </w:r>
          </w:p>
        </w:tc>
        <w:tc>
          <w:tcPr>
            <w:tcW w:w="126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0.899</w:t>
            </w:r>
          </w:p>
        </w:tc>
        <w:tc>
          <w:tcPr>
            <w:tcW w:w="1080" w:type="dxa"/>
          </w:tcPr>
          <w:p w:rsidR="00EA34BF" w:rsidRPr="00230FA5" w:rsidRDefault="00EA34BF" w:rsidP="006B1A5A">
            <w:pPr>
              <w:cnfStyle w:val="000000100000" w:firstRow="0" w:lastRow="0" w:firstColumn="0" w:lastColumn="0" w:oddVBand="0" w:evenVBand="0" w:oddHBand="1" w:evenHBand="0" w:firstRowFirstColumn="0" w:firstRowLastColumn="0" w:lastRowFirstColumn="0" w:lastRowLastColumn="0"/>
            </w:pPr>
            <w:r w:rsidRPr="00230FA5">
              <w:t>.002</w:t>
            </w:r>
          </w:p>
        </w:tc>
      </w:tr>
      <w:tr w:rsidR="00EA34BF" w:rsidTr="006B1A5A">
        <w:trPr>
          <w:trHeight w:val="278"/>
        </w:trPr>
        <w:tc>
          <w:tcPr>
            <w:cnfStyle w:val="001000000000" w:firstRow="0" w:lastRow="0" w:firstColumn="1" w:lastColumn="0" w:oddVBand="0" w:evenVBand="0" w:oddHBand="0" w:evenHBand="0" w:firstRowFirstColumn="0" w:firstRowLastColumn="0" w:lastRowFirstColumn="0" w:lastRowLastColumn="0"/>
            <w:tcW w:w="3955" w:type="dxa"/>
          </w:tcPr>
          <w:p w:rsidR="00EA34BF" w:rsidRPr="0030170E" w:rsidRDefault="00EA34BF" w:rsidP="006B1A5A">
            <w:pPr>
              <w:rPr>
                <w:b w:val="0"/>
              </w:rPr>
            </w:pPr>
            <w:r w:rsidRPr="0030170E">
              <w:rPr>
                <w:b w:val="0"/>
              </w:rPr>
              <w:t>Tracking and adjusting</w:t>
            </w:r>
          </w:p>
        </w:tc>
        <w:tc>
          <w:tcPr>
            <w:tcW w:w="1980" w:type="dxa"/>
          </w:tcPr>
          <w:p w:rsidR="00EA34BF" w:rsidRPr="00FE7D30" w:rsidRDefault="00EA34BF" w:rsidP="006B1A5A">
            <w:pPr>
              <w:cnfStyle w:val="000000000000" w:firstRow="0" w:lastRow="0" w:firstColumn="0" w:lastColumn="0" w:oddVBand="0" w:evenVBand="0" w:oddHBand="0" w:evenHBand="0" w:firstRowFirstColumn="0" w:firstRowLastColumn="0" w:lastRowFirstColumn="0" w:lastRowLastColumn="0"/>
            </w:pPr>
            <w:r w:rsidRPr="00FE7D30">
              <w:t>0.960</w:t>
            </w:r>
          </w:p>
        </w:tc>
        <w:tc>
          <w:tcPr>
            <w:tcW w:w="1530" w:type="dxa"/>
          </w:tcPr>
          <w:p w:rsidR="00EA34BF" w:rsidRPr="00FE7D30" w:rsidRDefault="00EA34BF" w:rsidP="006B1A5A">
            <w:pPr>
              <w:cnfStyle w:val="000000000000" w:firstRow="0" w:lastRow="0" w:firstColumn="0" w:lastColumn="0" w:oddVBand="0" w:evenVBand="0" w:oddHBand="0" w:evenHBand="0" w:firstRowFirstColumn="0" w:firstRowLastColumn="0" w:lastRowFirstColumn="0" w:lastRowLastColumn="0"/>
            </w:pPr>
            <w:r w:rsidRPr="00FE7D30">
              <w:t>0.779</w:t>
            </w:r>
          </w:p>
        </w:tc>
        <w:tc>
          <w:tcPr>
            <w:tcW w:w="1260" w:type="dxa"/>
          </w:tcPr>
          <w:p w:rsidR="00EA34BF" w:rsidRPr="00FE7D30" w:rsidRDefault="00EA34BF" w:rsidP="006B1A5A">
            <w:pPr>
              <w:cnfStyle w:val="000000000000" w:firstRow="0" w:lastRow="0" w:firstColumn="0" w:lastColumn="0" w:oddVBand="0" w:evenVBand="0" w:oddHBand="0" w:evenHBand="0" w:firstRowFirstColumn="0" w:firstRowLastColumn="0" w:lastRowFirstColumn="0" w:lastRowLastColumn="0"/>
            </w:pPr>
            <w:r w:rsidRPr="00FE7D30">
              <w:t>1.182</w:t>
            </w:r>
          </w:p>
        </w:tc>
        <w:tc>
          <w:tcPr>
            <w:tcW w:w="1080" w:type="dxa"/>
          </w:tcPr>
          <w:p w:rsidR="00EA34BF" w:rsidRPr="00230FA5" w:rsidRDefault="00EA34BF" w:rsidP="006B1A5A">
            <w:pPr>
              <w:cnfStyle w:val="000000000000" w:firstRow="0" w:lastRow="0" w:firstColumn="0" w:lastColumn="0" w:oddVBand="0" w:evenVBand="0" w:oddHBand="0" w:evenHBand="0" w:firstRowFirstColumn="0" w:firstRowLastColumn="0" w:lastRowFirstColumn="0" w:lastRowLastColumn="0"/>
            </w:pPr>
            <w:r w:rsidRPr="00230FA5">
              <w:t>.698</w:t>
            </w:r>
          </w:p>
        </w:tc>
      </w:tr>
      <w:tr w:rsidR="00EA34BF" w:rsidTr="006B1A5A">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55" w:type="dxa"/>
          </w:tcPr>
          <w:p w:rsidR="00EA34BF" w:rsidRPr="0030170E" w:rsidRDefault="00EA34BF" w:rsidP="006B1A5A">
            <w:r w:rsidRPr="0030170E">
              <w:t>Engaging</w:t>
            </w:r>
          </w:p>
        </w:tc>
        <w:tc>
          <w:tcPr>
            <w:tcW w:w="198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1.236</w:t>
            </w:r>
          </w:p>
        </w:tc>
        <w:tc>
          <w:tcPr>
            <w:tcW w:w="153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1.006</w:t>
            </w:r>
          </w:p>
        </w:tc>
        <w:tc>
          <w:tcPr>
            <w:tcW w:w="126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1.520</w:t>
            </w:r>
          </w:p>
        </w:tc>
        <w:tc>
          <w:tcPr>
            <w:tcW w:w="1080" w:type="dxa"/>
          </w:tcPr>
          <w:p w:rsidR="00EA34BF" w:rsidRPr="00230FA5" w:rsidRDefault="00EA34BF" w:rsidP="006B1A5A">
            <w:pPr>
              <w:cnfStyle w:val="000000100000" w:firstRow="0" w:lastRow="0" w:firstColumn="0" w:lastColumn="0" w:oddVBand="0" w:evenVBand="0" w:oddHBand="1" w:evenHBand="0" w:firstRowFirstColumn="0" w:firstRowLastColumn="0" w:lastRowFirstColumn="0" w:lastRowLastColumn="0"/>
            </w:pPr>
            <w:r w:rsidRPr="00230FA5">
              <w:t>.044</w:t>
            </w:r>
          </w:p>
        </w:tc>
      </w:tr>
      <w:tr w:rsidR="00EA34BF" w:rsidTr="006B1A5A">
        <w:trPr>
          <w:trHeight w:val="278"/>
        </w:trPr>
        <w:tc>
          <w:tcPr>
            <w:cnfStyle w:val="001000000000" w:firstRow="0" w:lastRow="0" w:firstColumn="1" w:lastColumn="0" w:oddVBand="0" w:evenVBand="0" w:oddHBand="0" w:evenHBand="0" w:firstRowFirstColumn="0" w:firstRowLastColumn="0" w:lastRowFirstColumn="0" w:lastRowLastColumn="0"/>
            <w:tcW w:w="3955" w:type="dxa"/>
          </w:tcPr>
          <w:p w:rsidR="00EA34BF" w:rsidRPr="0030170E" w:rsidRDefault="00EA34BF" w:rsidP="006B1A5A">
            <w:pPr>
              <w:rPr>
                <w:b w:val="0"/>
              </w:rPr>
            </w:pPr>
            <w:r w:rsidRPr="0030170E">
              <w:rPr>
                <w:b w:val="0"/>
              </w:rPr>
              <w:t>Teaming</w:t>
            </w:r>
          </w:p>
        </w:tc>
        <w:tc>
          <w:tcPr>
            <w:tcW w:w="1980" w:type="dxa"/>
          </w:tcPr>
          <w:p w:rsidR="00EA34BF" w:rsidRPr="00FE7D30" w:rsidRDefault="00EA34BF" w:rsidP="006B1A5A">
            <w:pPr>
              <w:cnfStyle w:val="000000000000" w:firstRow="0" w:lastRow="0" w:firstColumn="0" w:lastColumn="0" w:oddVBand="0" w:evenVBand="0" w:oddHBand="0" w:evenHBand="0" w:firstRowFirstColumn="0" w:firstRowLastColumn="0" w:lastRowFirstColumn="0" w:lastRowLastColumn="0"/>
            </w:pPr>
            <w:r w:rsidRPr="00FE7D30">
              <w:t>0.844</w:t>
            </w:r>
          </w:p>
        </w:tc>
        <w:tc>
          <w:tcPr>
            <w:tcW w:w="1530" w:type="dxa"/>
          </w:tcPr>
          <w:p w:rsidR="00EA34BF" w:rsidRPr="00FE7D30" w:rsidRDefault="00EA34BF" w:rsidP="006B1A5A">
            <w:pPr>
              <w:cnfStyle w:val="000000000000" w:firstRow="0" w:lastRow="0" w:firstColumn="0" w:lastColumn="0" w:oddVBand="0" w:evenVBand="0" w:oddHBand="0" w:evenHBand="0" w:firstRowFirstColumn="0" w:firstRowLastColumn="0" w:lastRowFirstColumn="0" w:lastRowLastColumn="0"/>
            </w:pPr>
            <w:r w:rsidRPr="00FE7D30">
              <w:t>0.711</w:t>
            </w:r>
          </w:p>
        </w:tc>
        <w:tc>
          <w:tcPr>
            <w:tcW w:w="1260" w:type="dxa"/>
          </w:tcPr>
          <w:p w:rsidR="00EA34BF" w:rsidRPr="00FE7D30" w:rsidRDefault="00EA34BF" w:rsidP="006B1A5A">
            <w:pPr>
              <w:cnfStyle w:val="000000000000" w:firstRow="0" w:lastRow="0" w:firstColumn="0" w:lastColumn="0" w:oddVBand="0" w:evenVBand="0" w:oddHBand="0" w:evenHBand="0" w:firstRowFirstColumn="0" w:firstRowLastColumn="0" w:lastRowFirstColumn="0" w:lastRowLastColumn="0"/>
            </w:pPr>
            <w:r w:rsidRPr="00FE7D30">
              <w:t>1.001</w:t>
            </w:r>
          </w:p>
        </w:tc>
        <w:tc>
          <w:tcPr>
            <w:tcW w:w="1080" w:type="dxa"/>
          </w:tcPr>
          <w:p w:rsidR="00EA34BF" w:rsidRPr="00230FA5" w:rsidRDefault="00EA34BF" w:rsidP="006B1A5A">
            <w:pPr>
              <w:cnfStyle w:val="000000000000" w:firstRow="0" w:lastRow="0" w:firstColumn="0" w:lastColumn="0" w:oddVBand="0" w:evenVBand="0" w:oddHBand="0" w:evenHBand="0" w:firstRowFirstColumn="0" w:firstRowLastColumn="0" w:lastRowFirstColumn="0" w:lastRowLastColumn="0"/>
            </w:pPr>
            <w:r w:rsidRPr="00230FA5">
              <w:t>.051</w:t>
            </w:r>
          </w:p>
        </w:tc>
      </w:tr>
      <w:tr w:rsidR="00EA34BF" w:rsidTr="006B1A5A">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955" w:type="dxa"/>
          </w:tcPr>
          <w:p w:rsidR="00EA34BF" w:rsidRPr="0030170E" w:rsidRDefault="00EA34BF" w:rsidP="006B1A5A">
            <w:r w:rsidRPr="0030170E">
              <w:t>Maintaining Relationship</w:t>
            </w:r>
            <w:r>
              <w:t>s</w:t>
            </w:r>
            <w:r w:rsidRPr="0030170E">
              <w:t xml:space="preserve"> with family</w:t>
            </w:r>
          </w:p>
        </w:tc>
        <w:tc>
          <w:tcPr>
            <w:tcW w:w="198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1.689</w:t>
            </w:r>
          </w:p>
        </w:tc>
        <w:tc>
          <w:tcPr>
            <w:tcW w:w="1530" w:type="dxa"/>
          </w:tcPr>
          <w:p w:rsidR="00EA34BF" w:rsidRPr="00FE7D30" w:rsidRDefault="00EA34BF" w:rsidP="006B1A5A">
            <w:pPr>
              <w:cnfStyle w:val="000000100000" w:firstRow="0" w:lastRow="0" w:firstColumn="0" w:lastColumn="0" w:oddVBand="0" w:evenVBand="0" w:oddHBand="1" w:evenHBand="0" w:firstRowFirstColumn="0" w:firstRowLastColumn="0" w:lastRowFirstColumn="0" w:lastRowLastColumn="0"/>
            </w:pPr>
            <w:r w:rsidRPr="00FE7D30">
              <w:t>1.470</w:t>
            </w:r>
          </w:p>
        </w:tc>
        <w:tc>
          <w:tcPr>
            <w:tcW w:w="1260" w:type="dxa"/>
          </w:tcPr>
          <w:p w:rsidR="00EA34BF" w:rsidRDefault="00EA34BF" w:rsidP="006B1A5A">
            <w:pPr>
              <w:cnfStyle w:val="000000100000" w:firstRow="0" w:lastRow="0" w:firstColumn="0" w:lastColumn="0" w:oddVBand="0" w:evenVBand="0" w:oddHBand="1" w:evenHBand="0" w:firstRowFirstColumn="0" w:firstRowLastColumn="0" w:lastRowFirstColumn="0" w:lastRowLastColumn="0"/>
            </w:pPr>
            <w:r w:rsidRPr="00FE7D30">
              <w:t>1.941</w:t>
            </w:r>
          </w:p>
        </w:tc>
        <w:tc>
          <w:tcPr>
            <w:tcW w:w="1080" w:type="dxa"/>
          </w:tcPr>
          <w:p w:rsidR="00EA34BF" w:rsidRDefault="00EA34BF" w:rsidP="006B1A5A">
            <w:pPr>
              <w:cnfStyle w:val="000000100000" w:firstRow="0" w:lastRow="0" w:firstColumn="0" w:lastColumn="0" w:oddVBand="0" w:evenVBand="0" w:oddHBand="1" w:evenHBand="0" w:firstRowFirstColumn="0" w:firstRowLastColumn="0" w:lastRowFirstColumn="0" w:lastRowLastColumn="0"/>
            </w:pPr>
            <w:r w:rsidRPr="00230FA5">
              <w:t>.000</w:t>
            </w:r>
          </w:p>
        </w:tc>
      </w:tr>
    </w:tbl>
    <w:p w:rsidR="00EA34BF" w:rsidRDefault="00EA34BF" w:rsidP="00EA34BF"/>
    <w:p w:rsidR="00324D7E" w:rsidRDefault="00324D7E" w:rsidP="00437A1E">
      <w:pPr>
        <w:pStyle w:val="Heading3"/>
      </w:pPr>
      <w:r>
        <w:t>Summary of Relative Analyses</w:t>
      </w:r>
    </w:p>
    <w:p w:rsidR="00EA34BF" w:rsidRDefault="00EA34BF" w:rsidP="00EA34BF">
      <w:r>
        <w:t>Overall, relative care provides a good alternative to in-home care</w:t>
      </w:r>
      <w:r w:rsidR="003A4B6C">
        <w:t xml:space="preserve"> as seen in Table 3</w:t>
      </w:r>
      <w:r>
        <w:t xml:space="preserve"> when trying to reunify families by providing a safe environment compared to the in-home option and maintaining family relationships and providing better stability, permanency, and well-being than non-relative placements.  In particular, this option mostly contributes to better well-being outcomes for children</w:t>
      </w:r>
      <w:r w:rsidR="00973E73">
        <w:t xml:space="preserve"> seen in Table 5</w:t>
      </w:r>
      <w:r>
        <w:t>.  This may help in reducing trauma in out-of-home placements.  Behavioral problems with the child seem to be a challenge in placing with relatives and can contribute to lower safety and well-being for the child.  Additional analysis on those children and interventions for these relatives caring for loved ones may be appropriate.</w:t>
      </w:r>
    </w:p>
    <w:p w:rsidR="006B1A5A" w:rsidRPr="00A93CC8" w:rsidRDefault="006B1A5A" w:rsidP="00EA34BF"/>
    <w:p w:rsidR="008A5C92" w:rsidRDefault="00EA34BF" w:rsidP="00EA34BF">
      <w:pPr>
        <w:spacing w:after="200" w:line="276" w:lineRule="auto"/>
      </w:pPr>
      <w:r>
        <w:br w:type="page"/>
      </w:r>
    </w:p>
    <w:p w:rsidR="005178E4" w:rsidRDefault="005178E4" w:rsidP="003A7173">
      <w:pPr>
        <w:pStyle w:val="Heading2"/>
      </w:pPr>
      <w:bookmarkStart w:id="7" w:name="_Toc43887877"/>
      <w:r>
        <w:t xml:space="preserve">Substance Use Impact on </w:t>
      </w:r>
      <w:r w:rsidR="005A14EE">
        <w:t xml:space="preserve">Youth </w:t>
      </w:r>
      <w:r>
        <w:t>Outcomes</w:t>
      </w:r>
      <w:r w:rsidR="00D70B74">
        <w:rPr>
          <w:rStyle w:val="FootnoteReference"/>
        </w:rPr>
        <w:footnoteReference w:id="4"/>
      </w:r>
      <w:bookmarkEnd w:id="7"/>
    </w:p>
    <w:p w:rsidR="005178E4" w:rsidRPr="005178E4" w:rsidRDefault="005178E4" w:rsidP="005178E4">
      <w:r w:rsidRPr="005178E4">
        <w:t xml:space="preserve">This analysis uses QSR data to investigate what practice strategies are associated with high scores in safety, permanency, and well-being for older youth (10-19) who have a caregiver with a history of substance abuse. The aims of these analyses are to investigate how practice performance domains influence safety, permanency, and well-being for cases where a parent is suffering with substance abuse in the child welfare system.  These data </w:t>
      </w:r>
      <w:r w:rsidR="00485F9A">
        <w:t>were</w:t>
      </w:r>
      <w:r w:rsidRPr="005178E4">
        <w:t xml:space="preserve"> presented in Seattle in March </w:t>
      </w:r>
      <w:r w:rsidR="00485F9A">
        <w:t>2018 at</w:t>
      </w:r>
      <w:r w:rsidRPr="005178E4">
        <w:t xml:space="preserve"> the S</w:t>
      </w:r>
      <w:r w:rsidR="00485F9A">
        <w:t>ociety for Adolescent Health and Medicine</w:t>
      </w:r>
      <w:r w:rsidRPr="005178E4">
        <w:t xml:space="preserve"> annual meeting.</w:t>
      </w:r>
    </w:p>
    <w:p w:rsidR="00C7720A" w:rsidRDefault="00C7720A" w:rsidP="005178E4">
      <w:pPr>
        <w:rPr>
          <w:rFonts w:eastAsia="Times New Roman"/>
          <w:b/>
          <w:color w:val="365F91"/>
          <w:sz w:val="24"/>
          <w:szCs w:val="20"/>
        </w:rPr>
      </w:pPr>
    </w:p>
    <w:p w:rsidR="005178E4" w:rsidRPr="005178E4" w:rsidRDefault="005178E4" w:rsidP="005178E4">
      <w:pPr>
        <w:rPr>
          <w:rFonts w:eastAsia="Times New Roman"/>
          <w:b/>
          <w:color w:val="365F91"/>
          <w:sz w:val="24"/>
          <w:szCs w:val="20"/>
        </w:rPr>
      </w:pPr>
      <w:r w:rsidRPr="005178E4">
        <w:rPr>
          <w:rFonts w:eastAsia="Times New Roman"/>
          <w:b/>
          <w:color w:val="365F91"/>
          <w:sz w:val="24"/>
          <w:szCs w:val="20"/>
        </w:rPr>
        <w:t>Methods</w:t>
      </w:r>
    </w:p>
    <w:p w:rsidR="005178E4" w:rsidRPr="005178E4" w:rsidRDefault="005178E4" w:rsidP="005178E4">
      <w:pPr>
        <w:rPr>
          <w:rFonts w:eastAsia="Times New Roman"/>
        </w:rPr>
      </w:pPr>
      <w:r w:rsidRPr="005178E4">
        <w:t xml:space="preserve">Data were collected between 2007 and 2017 from five iterations of quality assurance reviews administered by the state. A sub-sample of adolescents defined by the World Health Organization (aged 10-19) with child in need of service (CHINS) cases were selected for this study (N=623). </w:t>
      </w:r>
    </w:p>
    <w:p w:rsidR="00C7720A" w:rsidRDefault="00C7720A" w:rsidP="005178E4">
      <w:pPr>
        <w:rPr>
          <w:b/>
          <w:bCs/>
          <w:u w:val="single"/>
        </w:rPr>
      </w:pPr>
    </w:p>
    <w:p w:rsidR="005178E4" w:rsidRPr="005178E4" w:rsidRDefault="005178E4" w:rsidP="005178E4">
      <w:pPr>
        <w:rPr>
          <w:rFonts w:eastAsia="Times New Roman"/>
        </w:rPr>
      </w:pPr>
      <w:r w:rsidRPr="005178E4">
        <w:rPr>
          <w:b/>
          <w:bCs/>
          <w:u w:val="single"/>
        </w:rPr>
        <w:t xml:space="preserve">Outcome Variables </w:t>
      </w:r>
      <w:r w:rsidRPr="005178E4">
        <w:t xml:space="preserve">The three federal performance standards rated on a 6 point scale from adverse to optimal: </w:t>
      </w:r>
      <w:r w:rsidRPr="005178E4">
        <w:rPr>
          <w:b/>
          <w:bCs/>
        </w:rPr>
        <w:t>Safety</w:t>
      </w:r>
      <w:r w:rsidRPr="005178E4">
        <w:t xml:space="preserve">, </w:t>
      </w:r>
      <w:r w:rsidRPr="005178E4">
        <w:rPr>
          <w:b/>
          <w:bCs/>
        </w:rPr>
        <w:t>Permanency</w:t>
      </w:r>
      <w:r w:rsidRPr="005178E4">
        <w:t xml:space="preserve"> (α=.676, permanency and stability), and </w:t>
      </w:r>
      <w:r w:rsidRPr="005178E4">
        <w:rPr>
          <w:b/>
          <w:bCs/>
        </w:rPr>
        <w:t>Well-being</w:t>
      </w:r>
      <w:r w:rsidRPr="005178E4">
        <w:t xml:space="preserve"> (α=.596, living arrangement, physical health, emotional status, and learning and development). </w:t>
      </w:r>
    </w:p>
    <w:p w:rsidR="00C7720A" w:rsidRDefault="00C7720A" w:rsidP="005178E4">
      <w:pPr>
        <w:rPr>
          <w:b/>
          <w:bCs/>
          <w:u w:val="single"/>
        </w:rPr>
      </w:pPr>
    </w:p>
    <w:p w:rsidR="005178E4" w:rsidRPr="005178E4" w:rsidRDefault="005178E4" w:rsidP="005178E4">
      <w:pPr>
        <w:rPr>
          <w:rFonts w:eastAsia="Times New Roman"/>
        </w:rPr>
      </w:pPr>
      <w:r w:rsidRPr="005178E4">
        <w:rPr>
          <w:b/>
          <w:bCs/>
          <w:u w:val="single"/>
        </w:rPr>
        <w:t xml:space="preserve">Predictor variables </w:t>
      </w:r>
      <w:r w:rsidRPr="005178E4">
        <w:t xml:space="preserve">Practice performance domains (range 1-6) from adverse to optimal defined as core practice functions in this child welfare setting.  These include </w:t>
      </w:r>
      <w:r w:rsidRPr="005178E4">
        <w:rPr>
          <w:b/>
          <w:bCs/>
        </w:rPr>
        <w:t>engaging</w:t>
      </w:r>
      <w:r w:rsidRPr="005178E4">
        <w:t xml:space="preserve"> (α=.553, role and voice of the youth and family members), </w:t>
      </w:r>
      <w:r w:rsidRPr="005178E4">
        <w:rPr>
          <w:b/>
          <w:bCs/>
        </w:rPr>
        <w:t>teaming</w:t>
      </w:r>
      <w:r w:rsidRPr="005178E4">
        <w:t xml:space="preserve"> (α=.906, team formation and functioning), </w:t>
      </w:r>
      <w:r w:rsidRPr="005178E4">
        <w:rPr>
          <w:b/>
          <w:bCs/>
        </w:rPr>
        <w:t>assessing and understanding the youth</w:t>
      </w:r>
      <w:r w:rsidRPr="005178E4">
        <w:t xml:space="preserve">, </w:t>
      </w:r>
      <w:r w:rsidRPr="005178E4">
        <w:rPr>
          <w:b/>
          <w:bCs/>
        </w:rPr>
        <w:t>planning</w:t>
      </w:r>
      <w:r w:rsidRPr="005178E4">
        <w:t xml:space="preserve"> (α=.899, long-term view, child and family planning process, planning transitions/adjustments), </w:t>
      </w:r>
      <w:r w:rsidRPr="005178E4">
        <w:rPr>
          <w:b/>
          <w:bCs/>
        </w:rPr>
        <w:t>intervening</w:t>
      </w:r>
      <w:r w:rsidRPr="005178E4">
        <w:t xml:space="preserve"> (α=.728, intervention adequacy, resource availability, tracking and adjusting), </w:t>
      </w:r>
      <w:r w:rsidRPr="005178E4">
        <w:rPr>
          <w:b/>
          <w:bCs/>
        </w:rPr>
        <w:t xml:space="preserve">maintaining relationships </w:t>
      </w:r>
      <w:r w:rsidRPr="005178E4">
        <w:t xml:space="preserve">(α=.603, with family members).  </w:t>
      </w:r>
    </w:p>
    <w:p w:rsidR="00C7720A" w:rsidRDefault="00C7720A" w:rsidP="005178E4">
      <w:pPr>
        <w:rPr>
          <w:b/>
          <w:bCs/>
          <w:u w:val="single"/>
        </w:rPr>
      </w:pPr>
    </w:p>
    <w:p w:rsidR="005178E4" w:rsidRPr="005178E4" w:rsidRDefault="005178E4" w:rsidP="005178E4">
      <w:pPr>
        <w:rPr>
          <w:rFonts w:eastAsia="Times New Roman"/>
        </w:rPr>
      </w:pPr>
      <w:r w:rsidRPr="005178E4">
        <w:rPr>
          <w:b/>
          <w:bCs/>
          <w:u w:val="single"/>
        </w:rPr>
        <w:t xml:space="preserve">Control variables </w:t>
      </w:r>
      <w:r w:rsidRPr="005178E4">
        <w:t xml:space="preserve">Age, race, gender, case length, number of agencies involved with the case and year of the review. </w:t>
      </w:r>
    </w:p>
    <w:p w:rsidR="00C7720A" w:rsidRDefault="00C7720A" w:rsidP="005178E4">
      <w:pPr>
        <w:rPr>
          <w:b/>
          <w:bCs/>
          <w:u w:val="single"/>
        </w:rPr>
      </w:pPr>
    </w:p>
    <w:p w:rsidR="005178E4" w:rsidRPr="005178E4" w:rsidRDefault="005178E4" w:rsidP="005178E4">
      <w:r w:rsidRPr="005178E4">
        <w:rPr>
          <w:b/>
          <w:bCs/>
          <w:u w:val="single"/>
        </w:rPr>
        <w:t xml:space="preserve">Analyses </w:t>
      </w:r>
      <w:r w:rsidRPr="005178E4">
        <w:t>Interactions between the practice performance indicators and parents’ history of drug use were tested in a stepwise liner regression model using SPSS 24.</w:t>
      </w:r>
    </w:p>
    <w:p w:rsidR="00C7720A" w:rsidRDefault="00C7720A" w:rsidP="005178E4">
      <w:pPr>
        <w:rPr>
          <w:rFonts w:eastAsia="Times New Roman"/>
          <w:b/>
          <w:color w:val="365F91"/>
          <w:sz w:val="24"/>
          <w:szCs w:val="20"/>
        </w:rPr>
      </w:pPr>
    </w:p>
    <w:p w:rsidR="005178E4" w:rsidRPr="005178E4" w:rsidRDefault="005178E4" w:rsidP="005178E4">
      <w:pPr>
        <w:rPr>
          <w:rFonts w:eastAsia="Times New Roman"/>
          <w:b/>
          <w:color w:val="365F91"/>
          <w:sz w:val="24"/>
          <w:szCs w:val="20"/>
        </w:rPr>
      </w:pPr>
      <w:r w:rsidRPr="005178E4">
        <w:rPr>
          <w:rFonts w:eastAsia="Times New Roman"/>
          <w:b/>
          <w:color w:val="365F91"/>
          <w:sz w:val="24"/>
          <w:szCs w:val="20"/>
        </w:rPr>
        <w:t>Results</w:t>
      </w:r>
    </w:p>
    <w:p w:rsidR="005178E4" w:rsidRPr="005178E4" w:rsidRDefault="005178E4" w:rsidP="005178E4">
      <w:r w:rsidRPr="005178E4">
        <w:t xml:space="preserve">The sample consisted of 623 adolescents, with demographics available in Table </w:t>
      </w:r>
      <w:r w:rsidR="00225893">
        <w:t>8</w:t>
      </w:r>
      <w:r w:rsidRPr="005178E4">
        <w:t xml:space="preserve">. 261 (41.9%) had a caregiver with ‘drug addiction/substance abuse’ listed in their caregiver stress factors. Each stepwise linear regression was significant (p&lt;.001) and are available in Table </w:t>
      </w:r>
      <w:r w:rsidR="00225893">
        <w:t>9</w:t>
      </w:r>
      <w:r w:rsidRPr="005178E4">
        <w:t>.</w:t>
      </w:r>
    </w:p>
    <w:p w:rsidR="005178E4" w:rsidRPr="005178E4" w:rsidRDefault="005178E4" w:rsidP="005178E4">
      <w:r w:rsidRPr="005178E4">
        <w:t xml:space="preserve">Higher </w:t>
      </w:r>
      <w:r w:rsidRPr="005178E4">
        <w:rPr>
          <w:b/>
          <w:bCs/>
        </w:rPr>
        <w:t>safety</w:t>
      </w:r>
      <w:r w:rsidRPr="005178E4">
        <w:t xml:space="preserve"> scores were significantly associated with cases that were more recent, assessing and understanding the youth, intervening, and less agency involvement regardless of caregiver drug use. </w:t>
      </w:r>
    </w:p>
    <w:p w:rsidR="005178E4" w:rsidRPr="005178E4" w:rsidRDefault="005178E4" w:rsidP="005178E4">
      <w:r w:rsidRPr="005178E4">
        <w:t xml:space="preserve">Higher </w:t>
      </w:r>
      <w:r w:rsidRPr="005178E4">
        <w:rPr>
          <w:b/>
          <w:bCs/>
        </w:rPr>
        <w:t>permanency</w:t>
      </w:r>
      <w:r w:rsidRPr="005178E4">
        <w:t xml:space="preserve"> scores were significantly associated with intervening, assessing and understanding the youth, fewer agencies, and engaging for all youth’s cases.</w:t>
      </w:r>
    </w:p>
    <w:p w:rsidR="005178E4" w:rsidRDefault="005178E4" w:rsidP="005178E4">
      <w:r w:rsidRPr="005178E4">
        <w:t xml:space="preserve">Higher </w:t>
      </w:r>
      <w:r w:rsidRPr="005178E4">
        <w:rPr>
          <w:b/>
          <w:bCs/>
        </w:rPr>
        <w:t>well-being</w:t>
      </w:r>
      <w:r w:rsidRPr="005178E4">
        <w:t xml:space="preserve"> scores were associated with assessing and understanding the youth, more recent cases, those that are white and younger for all youth</w:t>
      </w:r>
      <w:r w:rsidR="00135B7A">
        <w:t>. F</w:t>
      </w:r>
      <w:r w:rsidRPr="005178E4">
        <w:t xml:space="preserve">or youth that have caregivers who have a substance </w:t>
      </w:r>
      <w:r w:rsidR="00135B7A">
        <w:t xml:space="preserve">use issue, </w:t>
      </w:r>
      <w:r w:rsidRPr="005178E4">
        <w:t xml:space="preserve">maintaining relationships </w:t>
      </w:r>
      <w:r w:rsidR="00135B7A">
        <w:t>positively affected well-being and teaming negatively affected their well-being</w:t>
      </w:r>
      <w:r w:rsidRPr="005178E4">
        <w:t>.</w:t>
      </w:r>
    </w:p>
    <w:p w:rsidR="00C7720A" w:rsidRDefault="00C7720A" w:rsidP="005178E4"/>
    <w:p w:rsidR="00C73B5D" w:rsidRDefault="00C73B5D" w:rsidP="005178E4"/>
    <w:p w:rsidR="00225893" w:rsidRDefault="00225893" w:rsidP="005178E4"/>
    <w:p w:rsidR="00C7720A" w:rsidRPr="005178E4" w:rsidRDefault="00225893" w:rsidP="00225893">
      <w:pPr>
        <w:pStyle w:val="Heading4"/>
      </w:pPr>
      <w:r w:rsidRPr="00073142">
        <w:t>Table 8. Descriptive Statistics</w:t>
      </w:r>
    </w:p>
    <w:tbl>
      <w:tblPr>
        <w:tblW w:w="0" w:type="auto"/>
        <w:tblLayout w:type="fixed"/>
        <w:tblCellMar>
          <w:left w:w="0" w:type="dxa"/>
          <w:right w:w="0" w:type="dxa"/>
        </w:tblCellMar>
        <w:tblLook w:val="0420" w:firstRow="1" w:lastRow="0" w:firstColumn="0" w:lastColumn="0" w:noHBand="0" w:noVBand="1"/>
      </w:tblPr>
      <w:tblGrid>
        <w:gridCol w:w="4760"/>
        <w:gridCol w:w="2340"/>
      </w:tblGrid>
      <w:tr w:rsidR="005178E4" w:rsidRPr="005178E4" w:rsidTr="005178E4">
        <w:trPr>
          <w:trHeight w:val="288"/>
        </w:trPr>
        <w:tc>
          <w:tcPr>
            <w:tcW w:w="4760" w:type="dxa"/>
            <w:tcBorders>
              <w:top w:val="single" w:sz="24" w:space="0" w:color="FFFFFF"/>
              <w:left w:val="single" w:sz="8" w:space="0" w:color="FFFFFF"/>
              <w:bottom w:val="single" w:sz="8" w:space="0" w:color="FFFFFF"/>
              <w:right w:val="single" w:sz="8" w:space="0" w:color="FFFFFF"/>
            </w:tcBorders>
            <w:shd w:val="clear" w:color="auto" w:fill="1F497D"/>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MS PGothic" w:hAnsi="Calibri" w:cs="Helvetica"/>
                <w:b/>
                <w:bCs/>
                <w:color w:val="FFFFFF"/>
                <w:kern w:val="24"/>
              </w:rPr>
              <w:t>Outcome</w:t>
            </w:r>
            <w:r w:rsidRPr="005178E4">
              <w:rPr>
                <w:rFonts w:ascii="Calibri" w:eastAsia="MS PGothic" w:hAnsi="Calibri" w:cs="Helvetica"/>
                <w:b/>
                <w:bCs/>
                <w:color w:val="FFFFFF"/>
                <w:kern w:val="24"/>
                <w:position w:val="1"/>
              </w:rPr>
              <w:t xml:space="preserve"> Variables (range 1-6)</w:t>
            </w:r>
          </w:p>
        </w:tc>
        <w:tc>
          <w:tcPr>
            <w:tcW w:w="2340" w:type="dxa"/>
            <w:tcBorders>
              <w:top w:val="single" w:sz="24" w:space="0" w:color="FFFFFF"/>
              <w:left w:val="single" w:sz="8" w:space="0" w:color="FFFFFF"/>
              <w:bottom w:val="single" w:sz="8" w:space="0" w:color="FFFFFF"/>
              <w:right w:val="single" w:sz="8" w:space="0" w:color="FFFFFF"/>
            </w:tcBorders>
            <w:shd w:val="clear" w:color="auto" w:fill="1F497D"/>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b/>
                <w:bCs/>
                <w:color w:val="FFFFFF"/>
                <w:kern w:val="24"/>
              </w:rPr>
              <w:t>Mean, (SD) or %</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MS PGothic" w:hAnsi="Calibri" w:cs="Helvetica"/>
                <w:color w:val="000000"/>
                <w:kern w:val="24"/>
              </w:rPr>
              <w:t>Safety</w:t>
            </w:r>
          </w:p>
        </w:tc>
        <w:tc>
          <w:tcPr>
            <w:tcW w:w="234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jc w:val="center"/>
              <w:rPr>
                <w:rFonts w:ascii="Calibri" w:eastAsia="Times New Roman" w:hAnsi="Calibri" w:cs="Arial"/>
              </w:rPr>
            </w:pPr>
            <w:r w:rsidRPr="005178E4">
              <w:rPr>
                <w:rFonts w:ascii="Calibri" w:eastAsia="MS PGothic" w:hAnsi="Calibri" w:cs="Helvetica"/>
                <w:color w:val="000000"/>
                <w:kern w:val="24"/>
              </w:rPr>
              <w:t>5.09 (.77)</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MS PGothic" w:hAnsi="Calibri" w:cs="Helvetica"/>
                <w:color w:val="000000"/>
                <w:kern w:val="24"/>
              </w:rPr>
              <w:t>Permanency</w:t>
            </w:r>
          </w:p>
        </w:tc>
        <w:tc>
          <w:tcPr>
            <w:tcW w:w="234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jc w:val="center"/>
              <w:rPr>
                <w:rFonts w:ascii="Calibri" w:eastAsia="Times New Roman" w:hAnsi="Calibri" w:cs="Arial"/>
              </w:rPr>
            </w:pPr>
            <w:r w:rsidRPr="005178E4">
              <w:rPr>
                <w:rFonts w:ascii="Calibri" w:eastAsia="MS PGothic" w:hAnsi="Calibri" w:cs="Helvetica"/>
                <w:color w:val="000000"/>
                <w:kern w:val="24"/>
              </w:rPr>
              <w:t>3.63 (.98)</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MS PGothic" w:hAnsi="Calibri" w:cs="Helvetica"/>
                <w:color w:val="000000"/>
                <w:kern w:val="24"/>
              </w:rPr>
              <w:t>Well-being</w:t>
            </w:r>
          </w:p>
        </w:tc>
        <w:tc>
          <w:tcPr>
            <w:tcW w:w="234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jc w:val="center"/>
              <w:rPr>
                <w:rFonts w:ascii="Calibri" w:eastAsia="Times New Roman" w:hAnsi="Calibri" w:cs="Arial"/>
              </w:rPr>
            </w:pPr>
            <w:r w:rsidRPr="005178E4">
              <w:rPr>
                <w:rFonts w:ascii="Calibri" w:eastAsia="MS PGothic" w:hAnsi="Calibri" w:cs="Helvetica"/>
                <w:color w:val="000000"/>
                <w:kern w:val="24"/>
              </w:rPr>
              <w:t>4.8 (.66)</w:t>
            </w:r>
          </w:p>
        </w:tc>
      </w:tr>
      <w:tr w:rsidR="005178E4" w:rsidRPr="005178E4" w:rsidTr="005178E4">
        <w:trPr>
          <w:trHeight w:val="288"/>
        </w:trPr>
        <w:tc>
          <w:tcPr>
            <w:tcW w:w="7100" w:type="dxa"/>
            <w:gridSpan w:val="2"/>
            <w:tcBorders>
              <w:top w:val="single" w:sz="8" w:space="0" w:color="FFFFFF"/>
              <w:left w:val="single" w:sz="8" w:space="0" w:color="FFFFFF"/>
              <w:bottom w:val="single" w:sz="8" w:space="0" w:color="FFFFFF"/>
              <w:right w:val="single" w:sz="8" w:space="0" w:color="FFFFFF"/>
            </w:tcBorders>
            <w:shd w:val="clear" w:color="auto" w:fill="1F497D"/>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b/>
                <w:bCs/>
                <w:color w:val="FFFFFF"/>
                <w:kern w:val="24"/>
              </w:rPr>
              <w:t>Practice</w:t>
            </w:r>
            <w:r w:rsidRPr="005178E4">
              <w:rPr>
                <w:rFonts w:ascii="Calibri" w:eastAsia="Times New Roman" w:hAnsi="Calibri" w:cs="Helvetica"/>
                <w:b/>
                <w:bCs/>
                <w:color w:val="FFFFFF"/>
                <w:kern w:val="24"/>
                <w:position w:val="1"/>
              </w:rPr>
              <w:t xml:space="preserve"> Performance Indicators </w:t>
            </w:r>
          </w:p>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b/>
                <w:bCs/>
                <w:color w:val="FFFFFF"/>
                <w:kern w:val="24"/>
                <w:position w:val="1"/>
              </w:rPr>
              <w:t>(range 1-6)</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color w:val="000000"/>
                <w:kern w:val="24"/>
              </w:rPr>
              <w:t>Engaging</w:t>
            </w:r>
          </w:p>
        </w:tc>
        <w:tc>
          <w:tcPr>
            <w:tcW w:w="234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3.49 (1.00)</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color w:val="000000"/>
                <w:kern w:val="24"/>
              </w:rPr>
              <w:t>Teaming</w:t>
            </w:r>
          </w:p>
        </w:tc>
        <w:tc>
          <w:tcPr>
            <w:tcW w:w="234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3.21 (1.18)</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color w:val="000000"/>
                <w:kern w:val="24"/>
              </w:rPr>
              <w:t>Assessing &amp;</w:t>
            </w:r>
            <w:r w:rsidRPr="005178E4">
              <w:rPr>
                <w:rFonts w:ascii="Calibri" w:eastAsia="Times New Roman" w:hAnsi="Calibri" w:cs="Helvetica"/>
                <w:color w:val="000000"/>
                <w:kern w:val="24"/>
                <w:position w:val="1"/>
              </w:rPr>
              <w:t xml:space="preserve"> understanding the youth</w:t>
            </w:r>
          </w:p>
        </w:tc>
        <w:tc>
          <w:tcPr>
            <w:tcW w:w="234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3.88 (1.06)</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color w:val="000000"/>
                <w:kern w:val="24"/>
              </w:rPr>
              <w:t>Planning</w:t>
            </w:r>
          </w:p>
        </w:tc>
        <w:tc>
          <w:tcPr>
            <w:tcW w:w="234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3.36 (1.27)</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color w:val="000000"/>
                <w:kern w:val="24"/>
              </w:rPr>
              <w:t>Intervening</w:t>
            </w:r>
          </w:p>
        </w:tc>
        <w:tc>
          <w:tcPr>
            <w:tcW w:w="234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3.64 (1.06)</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color w:val="000000"/>
                <w:kern w:val="24"/>
              </w:rPr>
              <w:t>Maintaining</w:t>
            </w:r>
            <w:r w:rsidRPr="005178E4">
              <w:rPr>
                <w:rFonts w:ascii="Calibri" w:eastAsia="Times New Roman" w:hAnsi="Calibri" w:cs="Helvetica"/>
                <w:color w:val="000000"/>
                <w:kern w:val="24"/>
                <w:position w:val="1"/>
              </w:rPr>
              <w:t xml:space="preserve"> relationships</w:t>
            </w:r>
          </w:p>
        </w:tc>
        <w:tc>
          <w:tcPr>
            <w:tcW w:w="234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3.50 (1.27)</w:t>
            </w:r>
          </w:p>
        </w:tc>
      </w:tr>
      <w:tr w:rsidR="005178E4" w:rsidRPr="005178E4" w:rsidTr="005178E4">
        <w:trPr>
          <w:trHeight w:val="288"/>
        </w:trPr>
        <w:tc>
          <w:tcPr>
            <w:tcW w:w="7100" w:type="dxa"/>
            <w:gridSpan w:val="2"/>
            <w:tcBorders>
              <w:top w:val="single" w:sz="8" w:space="0" w:color="FFFFFF"/>
              <w:left w:val="single" w:sz="8" w:space="0" w:color="FFFFFF"/>
              <w:bottom w:val="single" w:sz="8" w:space="0" w:color="FFFFFF"/>
              <w:right w:val="single" w:sz="8" w:space="0" w:color="FFFFFF"/>
            </w:tcBorders>
            <w:shd w:val="clear" w:color="auto" w:fill="1F497D"/>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b/>
                <w:bCs/>
                <w:color w:val="FFFFFF"/>
                <w:kern w:val="24"/>
              </w:rPr>
              <w:t>Interaction</w:t>
            </w:r>
            <w:r w:rsidRPr="005178E4">
              <w:rPr>
                <w:rFonts w:ascii="Calibri" w:eastAsia="Times New Roman" w:hAnsi="Calibri" w:cs="Helvetica"/>
                <w:b/>
                <w:bCs/>
                <w:color w:val="FFFFFF"/>
                <w:kern w:val="24"/>
                <w:position w:val="1"/>
              </w:rPr>
              <w:t xml:space="preserve"> Variable</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color w:val="000000"/>
                <w:kern w:val="24"/>
              </w:rPr>
              <w:t>Caregiver with ‘drug addiction/substance abuse’</w:t>
            </w:r>
          </w:p>
        </w:tc>
        <w:tc>
          <w:tcPr>
            <w:tcW w:w="234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41.9%</w:t>
            </w:r>
          </w:p>
        </w:tc>
      </w:tr>
      <w:tr w:rsidR="005178E4" w:rsidRPr="005178E4" w:rsidTr="005178E4">
        <w:trPr>
          <w:trHeight w:val="288"/>
        </w:trPr>
        <w:tc>
          <w:tcPr>
            <w:tcW w:w="7100" w:type="dxa"/>
            <w:gridSpan w:val="2"/>
            <w:tcBorders>
              <w:top w:val="single" w:sz="8" w:space="0" w:color="FFFFFF"/>
              <w:left w:val="single" w:sz="8" w:space="0" w:color="FFFFFF"/>
              <w:bottom w:val="single" w:sz="8" w:space="0" w:color="FFFFFF"/>
              <w:right w:val="single" w:sz="8" w:space="0" w:color="FFFFFF"/>
            </w:tcBorders>
            <w:shd w:val="clear" w:color="auto" w:fill="1F497D"/>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b/>
                <w:bCs/>
                <w:color w:val="FFFFFF"/>
                <w:kern w:val="24"/>
              </w:rPr>
              <w:t>Control</w:t>
            </w:r>
            <w:r w:rsidRPr="005178E4">
              <w:rPr>
                <w:rFonts w:ascii="Calibri" w:eastAsia="Times New Roman" w:hAnsi="Calibri" w:cs="Helvetica"/>
                <w:b/>
                <w:bCs/>
                <w:color w:val="FFFFFF"/>
                <w:kern w:val="24"/>
                <w:position w:val="1"/>
              </w:rPr>
              <w:t xml:space="preserve"> Variables</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color w:val="000000"/>
                <w:kern w:val="24"/>
              </w:rPr>
              <w:t>Age</w:t>
            </w:r>
          </w:p>
        </w:tc>
        <w:tc>
          <w:tcPr>
            <w:tcW w:w="234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13.6 (2.61)</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color w:val="000000"/>
                <w:kern w:val="24"/>
              </w:rPr>
              <w:t>Race (white)</w:t>
            </w:r>
          </w:p>
        </w:tc>
        <w:tc>
          <w:tcPr>
            <w:tcW w:w="234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70.1%</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color w:val="000000"/>
                <w:kern w:val="24"/>
              </w:rPr>
              <w:t>Gender (female)</w:t>
            </w:r>
          </w:p>
        </w:tc>
        <w:tc>
          <w:tcPr>
            <w:tcW w:w="234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47.7%</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color w:val="000000"/>
                <w:kern w:val="24"/>
              </w:rPr>
              <w:t>Case</w:t>
            </w:r>
            <w:r w:rsidRPr="005178E4">
              <w:rPr>
                <w:rFonts w:ascii="Calibri" w:eastAsia="Times New Roman" w:hAnsi="Calibri" w:cs="Helvetica"/>
                <w:color w:val="000000"/>
                <w:kern w:val="24"/>
                <w:position w:val="1"/>
              </w:rPr>
              <w:t xml:space="preserve"> length (in months)</w:t>
            </w:r>
          </w:p>
        </w:tc>
        <w:tc>
          <w:tcPr>
            <w:tcW w:w="234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17.96 (13.15)</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color w:val="000000"/>
                <w:kern w:val="24"/>
              </w:rPr>
              <w:t>Number of agencies involved</w:t>
            </w:r>
          </w:p>
        </w:tc>
        <w:tc>
          <w:tcPr>
            <w:tcW w:w="234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1.72 (1.36)</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E6E6E6"/>
            <w:tcMar>
              <w:top w:w="15" w:type="dxa"/>
              <w:left w:w="15" w:type="dxa"/>
              <w:bottom w:w="0" w:type="dxa"/>
              <w:right w:w="15" w:type="dxa"/>
            </w:tcMar>
            <w:vAlign w:val="bottom"/>
            <w:hideMark/>
          </w:tcPr>
          <w:p w:rsidR="005178E4" w:rsidRPr="005178E4" w:rsidRDefault="005178E4" w:rsidP="005178E4">
            <w:pPr>
              <w:ind w:left="58" w:right="58"/>
              <w:rPr>
                <w:rFonts w:ascii="Calibri" w:eastAsia="Times New Roman" w:hAnsi="Calibri" w:cs="Arial"/>
              </w:rPr>
            </w:pPr>
            <w:r w:rsidRPr="005178E4">
              <w:rPr>
                <w:rFonts w:ascii="Calibri" w:eastAsia="Times New Roman" w:hAnsi="Calibri" w:cs="Helvetica"/>
                <w:i/>
                <w:iCs/>
                <w:color w:val="000000"/>
                <w:kern w:val="24"/>
              </w:rPr>
              <w:t xml:space="preserve">Time </w:t>
            </w:r>
          </w:p>
        </w:tc>
        <w:tc>
          <w:tcPr>
            <w:tcW w:w="2340" w:type="dxa"/>
            <w:tcBorders>
              <w:top w:val="single" w:sz="8" w:space="0" w:color="FFFFFF"/>
              <w:left w:val="single" w:sz="8" w:space="0" w:color="FFFFFF"/>
              <w:bottom w:val="single" w:sz="8" w:space="0" w:color="FFFFFF"/>
              <w:right w:val="single" w:sz="8" w:space="0" w:color="FFFFFF"/>
            </w:tcBorders>
            <w:shd w:val="clear" w:color="auto" w:fill="E6E6E6"/>
            <w:tcMar>
              <w:top w:w="15" w:type="dxa"/>
              <w:left w:w="15" w:type="dxa"/>
              <w:bottom w:w="0" w:type="dxa"/>
              <w:right w:w="15" w:type="dxa"/>
            </w:tcMar>
            <w:vAlign w:val="bottom"/>
            <w:hideMark/>
          </w:tcPr>
          <w:p w:rsidR="005178E4" w:rsidRPr="005178E4" w:rsidRDefault="005178E4" w:rsidP="005178E4">
            <w:pPr>
              <w:rPr>
                <w:rFonts w:ascii="Calibri" w:eastAsia="Times New Roman" w:hAnsi="Calibri" w:cs="Arial"/>
              </w:rPr>
            </w:pP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240" w:right="58"/>
              <w:rPr>
                <w:rFonts w:ascii="Calibri" w:eastAsia="Times New Roman" w:hAnsi="Calibri" w:cs="Arial"/>
              </w:rPr>
            </w:pPr>
            <w:r w:rsidRPr="005178E4">
              <w:rPr>
                <w:rFonts w:ascii="Calibri" w:eastAsia="Times New Roman" w:hAnsi="Calibri" w:cs="Helvetica"/>
                <w:color w:val="000000"/>
                <w:kern w:val="24"/>
                <w:position w:val="1"/>
              </w:rPr>
              <w:t>(July 2007-June 2009)</w:t>
            </w:r>
          </w:p>
        </w:tc>
        <w:tc>
          <w:tcPr>
            <w:tcW w:w="234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27.9%</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240" w:right="58"/>
              <w:rPr>
                <w:rFonts w:ascii="Calibri" w:eastAsia="Times New Roman" w:hAnsi="Calibri" w:cs="Arial"/>
              </w:rPr>
            </w:pPr>
            <w:r w:rsidRPr="005178E4">
              <w:rPr>
                <w:rFonts w:ascii="Calibri" w:eastAsia="Times New Roman" w:hAnsi="Calibri" w:cs="Helvetica"/>
                <w:color w:val="000000"/>
                <w:kern w:val="24"/>
              </w:rPr>
              <w:t>(July 2009-July</w:t>
            </w:r>
            <w:r w:rsidRPr="005178E4">
              <w:rPr>
                <w:rFonts w:ascii="Calibri" w:eastAsia="Times New Roman" w:hAnsi="Calibri" w:cs="Helvetica"/>
                <w:color w:val="000000"/>
                <w:kern w:val="24"/>
                <w:position w:val="1"/>
              </w:rPr>
              <w:t xml:space="preserve"> 2011)</w:t>
            </w:r>
          </w:p>
        </w:tc>
        <w:tc>
          <w:tcPr>
            <w:tcW w:w="234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23.3%</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240" w:right="58"/>
              <w:rPr>
                <w:rFonts w:ascii="Calibri" w:eastAsia="Times New Roman" w:hAnsi="Calibri" w:cs="Arial"/>
              </w:rPr>
            </w:pPr>
            <w:r w:rsidRPr="005178E4">
              <w:rPr>
                <w:rFonts w:ascii="Calibri" w:eastAsia="Times New Roman" w:hAnsi="Calibri" w:cs="Helvetica"/>
                <w:color w:val="000000"/>
                <w:kern w:val="24"/>
              </w:rPr>
              <w:t>(Sept</w:t>
            </w:r>
            <w:r w:rsidRPr="005178E4">
              <w:rPr>
                <w:rFonts w:ascii="Calibri" w:eastAsia="Times New Roman" w:hAnsi="Calibri" w:cs="Helvetica"/>
                <w:color w:val="000000"/>
                <w:kern w:val="24"/>
                <w:position w:val="1"/>
              </w:rPr>
              <w:t xml:space="preserve"> 2011-July 2013)</w:t>
            </w:r>
          </w:p>
        </w:tc>
        <w:tc>
          <w:tcPr>
            <w:tcW w:w="234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13.5%</w:t>
            </w:r>
          </w:p>
        </w:tc>
      </w:tr>
      <w:tr w:rsidR="005178E4" w:rsidRPr="005178E4" w:rsidTr="00A34E0A">
        <w:trPr>
          <w:trHeight w:val="288"/>
        </w:trPr>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240" w:right="58"/>
              <w:rPr>
                <w:rFonts w:ascii="Calibri" w:eastAsia="Times New Roman" w:hAnsi="Calibri" w:cs="Arial"/>
              </w:rPr>
            </w:pPr>
            <w:r w:rsidRPr="005178E4">
              <w:rPr>
                <w:rFonts w:ascii="Calibri" w:eastAsia="Times New Roman" w:hAnsi="Calibri" w:cs="Helvetica"/>
                <w:color w:val="000000"/>
                <w:kern w:val="24"/>
              </w:rPr>
              <w:t>(Sept</w:t>
            </w:r>
            <w:r w:rsidRPr="005178E4">
              <w:rPr>
                <w:rFonts w:ascii="Calibri" w:eastAsia="Times New Roman" w:hAnsi="Calibri" w:cs="Helvetica"/>
                <w:color w:val="000000"/>
                <w:kern w:val="24"/>
                <w:position w:val="1"/>
              </w:rPr>
              <w:t xml:space="preserve"> 2013-April 2015)</w:t>
            </w:r>
          </w:p>
        </w:tc>
        <w:tc>
          <w:tcPr>
            <w:tcW w:w="234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ind w:left="58" w:right="58"/>
              <w:jc w:val="center"/>
              <w:rPr>
                <w:rFonts w:ascii="Calibri" w:eastAsia="Times New Roman" w:hAnsi="Calibri" w:cs="Arial"/>
              </w:rPr>
            </w:pPr>
            <w:r w:rsidRPr="005178E4">
              <w:rPr>
                <w:rFonts w:ascii="Calibri" w:eastAsia="Times New Roman" w:hAnsi="Calibri" w:cs="Helvetica"/>
                <w:color w:val="000000"/>
                <w:kern w:val="24"/>
              </w:rPr>
              <w:t>17.8%</w:t>
            </w:r>
          </w:p>
        </w:tc>
      </w:tr>
    </w:tbl>
    <w:p w:rsidR="005178E4" w:rsidRPr="005178E4" w:rsidRDefault="005178E4" w:rsidP="005178E4">
      <w:pPr>
        <w:spacing w:after="200" w:line="276" w:lineRule="auto"/>
        <w:rPr>
          <w:rFonts w:ascii="Calibri" w:eastAsia="Malgun Gothic" w:hAnsi="Calibri" w:cs="Times New Roman"/>
        </w:rPr>
      </w:pPr>
    </w:p>
    <w:p w:rsidR="005178E4" w:rsidRDefault="005178E4" w:rsidP="005178E4">
      <w:pPr>
        <w:spacing w:after="200" w:line="276" w:lineRule="auto"/>
        <w:rPr>
          <w:rFonts w:ascii="Calibri" w:eastAsia="Malgun Gothic" w:hAnsi="Calibri" w:cs="Times New Roman"/>
        </w:rPr>
      </w:pPr>
    </w:p>
    <w:p w:rsidR="00C7720A" w:rsidRDefault="00C7720A" w:rsidP="005178E4">
      <w:pPr>
        <w:spacing w:after="200" w:line="276" w:lineRule="auto"/>
        <w:rPr>
          <w:rFonts w:ascii="Calibri" w:eastAsia="Malgun Gothic" w:hAnsi="Calibri" w:cs="Times New Roman"/>
        </w:rPr>
      </w:pPr>
    </w:p>
    <w:p w:rsidR="00C7720A" w:rsidRDefault="00C7720A" w:rsidP="005178E4">
      <w:pPr>
        <w:spacing w:after="200" w:line="276" w:lineRule="auto"/>
        <w:rPr>
          <w:rFonts w:ascii="Calibri" w:eastAsia="Malgun Gothic" w:hAnsi="Calibri" w:cs="Times New Roman"/>
        </w:rPr>
      </w:pPr>
    </w:p>
    <w:p w:rsidR="00C7720A" w:rsidRDefault="00C7720A" w:rsidP="005178E4">
      <w:pPr>
        <w:spacing w:after="200" w:line="276" w:lineRule="auto"/>
        <w:rPr>
          <w:rFonts w:ascii="Calibri" w:eastAsia="Malgun Gothic" w:hAnsi="Calibri" w:cs="Times New Roman"/>
        </w:rPr>
      </w:pPr>
    </w:p>
    <w:p w:rsidR="00225893" w:rsidRDefault="00225893" w:rsidP="005178E4">
      <w:pPr>
        <w:spacing w:after="200" w:line="276" w:lineRule="auto"/>
        <w:rPr>
          <w:rFonts w:ascii="Calibri" w:eastAsia="Malgun Gothic" w:hAnsi="Calibri" w:cs="Times New Roman"/>
        </w:rPr>
      </w:pPr>
    </w:p>
    <w:p w:rsidR="00225893" w:rsidRDefault="00225893" w:rsidP="005178E4">
      <w:pPr>
        <w:spacing w:after="200" w:line="276" w:lineRule="auto"/>
        <w:rPr>
          <w:rFonts w:ascii="Calibri" w:eastAsia="Malgun Gothic" w:hAnsi="Calibri" w:cs="Times New Roman"/>
        </w:rPr>
      </w:pPr>
    </w:p>
    <w:p w:rsidR="00225893" w:rsidRDefault="00225893" w:rsidP="005178E4">
      <w:pPr>
        <w:spacing w:after="200" w:line="276" w:lineRule="auto"/>
        <w:rPr>
          <w:rFonts w:ascii="Calibri" w:eastAsia="Malgun Gothic" w:hAnsi="Calibri" w:cs="Times New Roman"/>
        </w:rPr>
      </w:pPr>
    </w:p>
    <w:p w:rsidR="00C7720A" w:rsidRDefault="00225893" w:rsidP="00225893">
      <w:pPr>
        <w:pStyle w:val="Heading4"/>
        <w:rPr>
          <w:rFonts w:ascii="Calibri" w:eastAsia="Malgun Gothic" w:hAnsi="Calibri" w:cs="Times New Roman"/>
        </w:rPr>
      </w:pPr>
      <w:r w:rsidRPr="005178E4">
        <w:t xml:space="preserve">Table </w:t>
      </w:r>
      <w:r>
        <w:t>9</w:t>
      </w:r>
      <w:r w:rsidRPr="005178E4">
        <w:t>. Stepwise Linear Regressions</w:t>
      </w:r>
    </w:p>
    <w:tbl>
      <w:tblPr>
        <w:tblW w:w="0" w:type="auto"/>
        <w:tblCellMar>
          <w:left w:w="0" w:type="dxa"/>
          <w:right w:w="0" w:type="dxa"/>
        </w:tblCellMar>
        <w:tblLook w:val="0420" w:firstRow="1" w:lastRow="0" w:firstColumn="0" w:lastColumn="0" w:noHBand="0" w:noVBand="1"/>
      </w:tblPr>
      <w:tblGrid>
        <w:gridCol w:w="5708"/>
        <w:gridCol w:w="852"/>
        <w:gridCol w:w="990"/>
      </w:tblGrid>
      <w:tr w:rsidR="005178E4" w:rsidRPr="005178E4" w:rsidTr="00A34E0A">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b/>
                <w:bCs/>
              </w:rPr>
              <w:t>Variables</w:t>
            </w:r>
          </w:p>
        </w:tc>
        <w:tc>
          <w:tcPr>
            <w:tcW w:w="852" w:type="dxa"/>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b/>
                <w:bCs/>
              </w:rPr>
              <w:t>β</w:t>
            </w:r>
          </w:p>
        </w:tc>
        <w:tc>
          <w:tcPr>
            <w:tcW w:w="990" w:type="dxa"/>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b/>
                <w:bCs/>
              </w:rPr>
              <w:t>p</w:t>
            </w:r>
          </w:p>
        </w:tc>
      </w:tr>
      <w:tr w:rsidR="005178E4" w:rsidRPr="005178E4" w:rsidTr="00C7720A">
        <w:trPr>
          <w:trHeight w:val="250"/>
        </w:trPr>
        <w:tc>
          <w:tcPr>
            <w:tcW w:w="7550" w:type="dxa"/>
            <w:gridSpan w:val="3"/>
            <w:tcBorders>
              <w:top w:val="single" w:sz="8" w:space="0" w:color="FFFFFF"/>
              <w:left w:val="single" w:sz="8" w:space="0" w:color="FFFFFF"/>
              <w:bottom w:val="single" w:sz="8" w:space="0" w:color="FFFFFF"/>
              <w:right w:val="single" w:sz="8" w:space="0" w:color="FFFFFF"/>
            </w:tcBorders>
            <w:shd w:val="clear" w:color="auto" w:fill="1F497D"/>
            <w:tcMar>
              <w:top w:w="72" w:type="dxa"/>
              <w:left w:w="144" w:type="dxa"/>
              <w:bottom w:w="72" w:type="dxa"/>
              <w:right w:w="144"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b/>
                <w:bCs/>
                <w:color w:val="FFFFFF"/>
              </w:rPr>
              <w:t xml:space="preserve">Safety adj </w:t>
            </w:r>
            <w:r w:rsidRPr="005178E4">
              <w:rPr>
                <w:rFonts w:ascii="Calibri" w:eastAsia="Malgun Gothic" w:hAnsi="Calibri" w:cs="Times New Roman"/>
                <w:b/>
                <w:bCs/>
                <w:i/>
                <w:iCs/>
                <w:color w:val="FFFFFF"/>
              </w:rPr>
              <w:t>r</w:t>
            </w:r>
            <w:r w:rsidRPr="005178E4">
              <w:rPr>
                <w:rFonts w:ascii="Calibri" w:eastAsia="Malgun Gothic" w:hAnsi="Calibri" w:cs="Times New Roman"/>
                <w:b/>
                <w:bCs/>
                <w:i/>
                <w:iCs/>
                <w:color w:val="FFFFFF"/>
                <w:vertAlign w:val="superscript"/>
              </w:rPr>
              <w:t>2</w:t>
            </w:r>
            <w:r w:rsidRPr="005178E4">
              <w:rPr>
                <w:rFonts w:ascii="Calibri" w:eastAsia="Malgun Gothic" w:hAnsi="Calibri" w:cs="Times New Roman"/>
                <w:b/>
                <w:bCs/>
                <w:color w:val="FFFFFF"/>
              </w:rPr>
              <w:t>=.153</w:t>
            </w:r>
          </w:p>
        </w:tc>
      </w:tr>
      <w:tr w:rsidR="005178E4" w:rsidRPr="005178E4" w:rsidTr="00A34E0A">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 xml:space="preserve">Time </w:t>
            </w:r>
          </w:p>
        </w:tc>
        <w:tc>
          <w:tcPr>
            <w:tcW w:w="852"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.329</w:t>
            </w:r>
          </w:p>
        </w:tc>
        <w:tc>
          <w:tcPr>
            <w:tcW w:w="99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.000</w:t>
            </w:r>
          </w:p>
        </w:tc>
      </w:tr>
      <w:tr w:rsidR="005178E4" w:rsidRPr="005178E4" w:rsidTr="00A34E0A">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Assessing &amp; understanding the youth</w:t>
            </w:r>
          </w:p>
        </w:tc>
        <w:tc>
          <w:tcPr>
            <w:tcW w:w="852"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.160</w:t>
            </w:r>
          </w:p>
        </w:tc>
        <w:tc>
          <w:tcPr>
            <w:tcW w:w="99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.007</w:t>
            </w:r>
          </w:p>
        </w:tc>
      </w:tr>
      <w:tr w:rsidR="005178E4" w:rsidRPr="005178E4" w:rsidTr="00A34E0A">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Intervening</w:t>
            </w:r>
          </w:p>
        </w:tc>
        <w:tc>
          <w:tcPr>
            <w:tcW w:w="852"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.139</w:t>
            </w:r>
          </w:p>
        </w:tc>
        <w:tc>
          <w:tcPr>
            <w:tcW w:w="99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.018</w:t>
            </w:r>
          </w:p>
        </w:tc>
      </w:tr>
      <w:tr w:rsidR="005178E4" w:rsidRPr="005178E4" w:rsidTr="00A34E0A">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Number of agencies involved</w:t>
            </w:r>
          </w:p>
        </w:tc>
        <w:tc>
          <w:tcPr>
            <w:tcW w:w="852"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-.117</w:t>
            </w:r>
          </w:p>
        </w:tc>
        <w:tc>
          <w:tcPr>
            <w:tcW w:w="99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.033</w:t>
            </w:r>
          </w:p>
        </w:tc>
      </w:tr>
      <w:tr w:rsidR="005178E4" w:rsidRPr="005178E4" w:rsidTr="005178E4">
        <w:trPr>
          <w:trHeight w:val="397"/>
        </w:trPr>
        <w:tc>
          <w:tcPr>
            <w:tcW w:w="7550" w:type="dxa"/>
            <w:gridSpan w:val="3"/>
            <w:tcBorders>
              <w:top w:val="single" w:sz="8" w:space="0" w:color="FFFFFF"/>
              <w:left w:val="single" w:sz="8" w:space="0" w:color="FFFFFF"/>
              <w:bottom w:val="single" w:sz="8" w:space="0" w:color="FFFFFF"/>
              <w:right w:val="single" w:sz="8" w:space="0" w:color="FFFFFF"/>
            </w:tcBorders>
            <w:shd w:val="clear" w:color="auto" w:fill="1F497D"/>
            <w:tcMar>
              <w:top w:w="15" w:type="dxa"/>
              <w:left w:w="15" w:type="dxa"/>
              <w:bottom w:w="0" w:type="dxa"/>
              <w:right w:w="15" w:type="dxa"/>
            </w:tcMar>
            <w:vAlign w:val="center"/>
            <w:hideMark/>
          </w:tcPr>
          <w:p w:rsidR="005178E4" w:rsidRPr="005178E4" w:rsidRDefault="005178E4" w:rsidP="005178E4">
            <w:pPr>
              <w:rPr>
                <w:rFonts w:ascii="Calibri" w:eastAsia="Malgun Gothic" w:hAnsi="Calibri" w:cs="Times New Roman"/>
                <w:color w:val="FFFFFF"/>
              </w:rPr>
            </w:pPr>
            <w:r w:rsidRPr="005178E4">
              <w:rPr>
                <w:rFonts w:ascii="Calibri" w:eastAsia="Malgun Gothic" w:hAnsi="Calibri" w:cs="Times New Roman"/>
                <w:b/>
                <w:bCs/>
                <w:color w:val="FFFFFF"/>
              </w:rPr>
              <w:t xml:space="preserve">   Permanency adj </w:t>
            </w:r>
            <w:r w:rsidRPr="005178E4">
              <w:rPr>
                <w:rFonts w:ascii="Calibri" w:eastAsia="Malgun Gothic" w:hAnsi="Calibri" w:cs="Times New Roman"/>
                <w:b/>
                <w:bCs/>
                <w:i/>
                <w:iCs/>
                <w:color w:val="FFFFFF"/>
              </w:rPr>
              <w:t>r</w:t>
            </w:r>
            <w:r w:rsidRPr="005178E4">
              <w:rPr>
                <w:rFonts w:ascii="Calibri" w:eastAsia="Malgun Gothic" w:hAnsi="Calibri" w:cs="Times New Roman"/>
                <w:b/>
                <w:bCs/>
                <w:i/>
                <w:iCs/>
                <w:color w:val="FFFFFF"/>
                <w:vertAlign w:val="superscript"/>
              </w:rPr>
              <w:t>2</w:t>
            </w:r>
            <w:r w:rsidRPr="005178E4">
              <w:rPr>
                <w:rFonts w:ascii="Calibri" w:eastAsia="Malgun Gothic" w:hAnsi="Calibri" w:cs="Times New Roman"/>
                <w:b/>
                <w:bCs/>
                <w:color w:val="FFFFFF"/>
              </w:rPr>
              <w:t>=.299</w:t>
            </w:r>
          </w:p>
        </w:tc>
      </w:tr>
      <w:tr w:rsidR="005178E4" w:rsidRPr="005178E4" w:rsidTr="00A34E0A">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color w:val="000000" w:themeColor="text1"/>
              </w:rPr>
            </w:pPr>
            <w:r w:rsidRPr="005178E4">
              <w:rPr>
                <w:rFonts w:ascii="Calibri" w:eastAsia="Malgun Gothic" w:hAnsi="Calibri" w:cs="Times New Roman"/>
                <w:color w:val="000000" w:themeColor="text1"/>
              </w:rPr>
              <w:t>Intervening</w:t>
            </w:r>
          </w:p>
        </w:tc>
        <w:tc>
          <w:tcPr>
            <w:tcW w:w="852"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color w:val="000000" w:themeColor="text1"/>
              </w:rPr>
            </w:pPr>
            <w:r w:rsidRPr="005178E4">
              <w:rPr>
                <w:rFonts w:ascii="Calibri" w:eastAsia="Malgun Gothic" w:hAnsi="Calibri" w:cs="Times New Roman"/>
                <w:color w:val="000000" w:themeColor="text1"/>
              </w:rPr>
              <w:t>.334</w:t>
            </w:r>
          </w:p>
        </w:tc>
        <w:tc>
          <w:tcPr>
            <w:tcW w:w="99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color w:val="000000" w:themeColor="text1"/>
              </w:rPr>
            </w:pPr>
            <w:r w:rsidRPr="005178E4">
              <w:rPr>
                <w:rFonts w:ascii="Calibri" w:eastAsia="Malgun Gothic" w:hAnsi="Calibri" w:cs="Times New Roman"/>
                <w:color w:val="000000" w:themeColor="text1"/>
              </w:rPr>
              <w:t>.000</w:t>
            </w:r>
          </w:p>
        </w:tc>
      </w:tr>
      <w:tr w:rsidR="005178E4" w:rsidRPr="005178E4" w:rsidTr="00A34E0A">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Assessing &amp; understanding the youth</w:t>
            </w:r>
          </w:p>
        </w:tc>
        <w:tc>
          <w:tcPr>
            <w:tcW w:w="852"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.165</w:t>
            </w:r>
          </w:p>
        </w:tc>
        <w:tc>
          <w:tcPr>
            <w:tcW w:w="99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.002</w:t>
            </w:r>
          </w:p>
        </w:tc>
      </w:tr>
      <w:tr w:rsidR="005178E4" w:rsidRPr="005178E4" w:rsidTr="00A34E0A">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Number of agencies involved</w:t>
            </w:r>
          </w:p>
        </w:tc>
        <w:tc>
          <w:tcPr>
            <w:tcW w:w="852"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-.133</w:t>
            </w:r>
          </w:p>
        </w:tc>
        <w:tc>
          <w:tcPr>
            <w:tcW w:w="99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.002</w:t>
            </w:r>
          </w:p>
        </w:tc>
      </w:tr>
      <w:tr w:rsidR="005178E4" w:rsidRPr="005178E4" w:rsidTr="00A34E0A">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Engaging</w:t>
            </w:r>
          </w:p>
        </w:tc>
        <w:tc>
          <w:tcPr>
            <w:tcW w:w="852"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.131</w:t>
            </w:r>
          </w:p>
        </w:tc>
        <w:tc>
          <w:tcPr>
            <w:tcW w:w="99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.010</w:t>
            </w:r>
          </w:p>
        </w:tc>
      </w:tr>
      <w:tr w:rsidR="005178E4" w:rsidRPr="005178E4" w:rsidTr="005178E4">
        <w:trPr>
          <w:trHeight w:val="370"/>
        </w:trPr>
        <w:tc>
          <w:tcPr>
            <w:tcW w:w="7550" w:type="dxa"/>
            <w:gridSpan w:val="3"/>
            <w:tcBorders>
              <w:top w:val="single" w:sz="8" w:space="0" w:color="FFFFFF"/>
              <w:left w:val="single" w:sz="8" w:space="0" w:color="FFFFFF"/>
              <w:bottom w:val="single" w:sz="8" w:space="0" w:color="FFFFFF"/>
              <w:right w:val="single" w:sz="8" w:space="0" w:color="FFFFFF"/>
            </w:tcBorders>
            <w:shd w:val="clear" w:color="auto" w:fill="1F497D"/>
            <w:tcMar>
              <w:top w:w="15" w:type="dxa"/>
              <w:left w:w="15" w:type="dxa"/>
              <w:bottom w:w="0" w:type="dxa"/>
              <w:right w:w="15" w:type="dxa"/>
            </w:tcMar>
            <w:vAlign w:val="center"/>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b/>
                <w:bCs/>
              </w:rPr>
              <w:t xml:space="preserve">   </w:t>
            </w:r>
            <w:r w:rsidRPr="005178E4">
              <w:rPr>
                <w:rFonts w:ascii="Calibri" w:eastAsia="Malgun Gothic" w:hAnsi="Calibri" w:cs="Times New Roman"/>
                <w:b/>
                <w:bCs/>
                <w:color w:val="FFFFFF"/>
              </w:rPr>
              <w:t xml:space="preserve">Well-being adj </w:t>
            </w:r>
            <w:r w:rsidRPr="005178E4">
              <w:rPr>
                <w:rFonts w:ascii="Calibri" w:eastAsia="Malgun Gothic" w:hAnsi="Calibri" w:cs="Times New Roman"/>
                <w:b/>
                <w:bCs/>
                <w:i/>
                <w:iCs/>
                <w:color w:val="FFFFFF"/>
              </w:rPr>
              <w:t>r</w:t>
            </w:r>
            <w:r w:rsidRPr="005178E4">
              <w:rPr>
                <w:rFonts w:ascii="Calibri" w:eastAsia="Malgun Gothic" w:hAnsi="Calibri" w:cs="Times New Roman"/>
                <w:b/>
                <w:bCs/>
                <w:i/>
                <w:iCs/>
                <w:color w:val="FFFFFF"/>
                <w:vertAlign w:val="superscript"/>
              </w:rPr>
              <w:t>2</w:t>
            </w:r>
            <w:r w:rsidRPr="005178E4">
              <w:rPr>
                <w:rFonts w:ascii="Calibri" w:eastAsia="Malgun Gothic" w:hAnsi="Calibri" w:cs="Times New Roman"/>
                <w:b/>
                <w:bCs/>
                <w:color w:val="FFFFFF"/>
              </w:rPr>
              <w:t>=.256</w:t>
            </w:r>
          </w:p>
        </w:tc>
      </w:tr>
      <w:tr w:rsidR="005178E4" w:rsidRPr="005178E4" w:rsidTr="00A34E0A">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Maintaining relationships X Caregiver with substance abuse use</w:t>
            </w:r>
          </w:p>
        </w:tc>
        <w:tc>
          <w:tcPr>
            <w:tcW w:w="852"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.354</w:t>
            </w:r>
          </w:p>
        </w:tc>
        <w:tc>
          <w:tcPr>
            <w:tcW w:w="99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.000</w:t>
            </w:r>
          </w:p>
        </w:tc>
      </w:tr>
      <w:tr w:rsidR="005178E4" w:rsidRPr="005178E4" w:rsidTr="00A34E0A">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Assessing &amp; understanding the youth</w:t>
            </w:r>
          </w:p>
        </w:tc>
        <w:tc>
          <w:tcPr>
            <w:tcW w:w="852"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.345</w:t>
            </w:r>
          </w:p>
        </w:tc>
        <w:tc>
          <w:tcPr>
            <w:tcW w:w="99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.000</w:t>
            </w:r>
          </w:p>
        </w:tc>
      </w:tr>
      <w:tr w:rsidR="005178E4" w:rsidRPr="005178E4" w:rsidTr="00A34E0A">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Teaming X Caregiver with substance abuse issue</w:t>
            </w:r>
          </w:p>
        </w:tc>
        <w:tc>
          <w:tcPr>
            <w:tcW w:w="852"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-.260</w:t>
            </w:r>
          </w:p>
        </w:tc>
        <w:tc>
          <w:tcPr>
            <w:tcW w:w="99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.002</w:t>
            </w:r>
          </w:p>
        </w:tc>
      </w:tr>
      <w:tr w:rsidR="005178E4" w:rsidRPr="005178E4" w:rsidTr="00A34E0A">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Time</w:t>
            </w:r>
          </w:p>
        </w:tc>
        <w:tc>
          <w:tcPr>
            <w:tcW w:w="852"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.173</w:t>
            </w:r>
          </w:p>
        </w:tc>
        <w:tc>
          <w:tcPr>
            <w:tcW w:w="99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.000</w:t>
            </w:r>
          </w:p>
        </w:tc>
      </w:tr>
      <w:tr w:rsidR="005178E4" w:rsidRPr="005178E4" w:rsidTr="00A34E0A">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Race (white)</w:t>
            </w:r>
          </w:p>
        </w:tc>
        <w:tc>
          <w:tcPr>
            <w:tcW w:w="852"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.121</w:t>
            </w:r>
          </w:p>
        </w:tc>
        <w:tc>
          <w:tcPr>
            <w:tcW w:w="99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.006</w:t>
            </w:r>
          </w:p>
        </w:tc>
      </w:tr>
      <w:tr w:rsidR="005178E4" w:rsidRPr="005178E4" w:rsidTr="00A34E0A">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Age</w:t>
            </w:r>
          </w:p>
        </w:tc>
        <w:tc>
          <w:tcPr>
            <w:tcW w:w="852"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-.108</w:t>
            </w:r>
          </w:p>
        </w:tc>
        <w:tc>
          <w:tcPr>
            <w:tcW w:w="99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5178E4" w:rsidRPr="005178E4" w:rsidRDefault="005178E4" w:rsidP="005178E4">
            <w:pPr>
              <w:rPr>
                <w:rFonts w:ascii="Calibri" w:eastAsia="Malgun Gothic" w:hAnsi="Calibri" w:cs="Times New Roman"/>
              </w:rPr>
            </w:pPr>
            <w:r w:rsidRPr="005178E4">
              <w:rPr>
                <w:rFonts w:ascii="Calibri" w:eastAsia="Malgun Gothic" w:hAnsi="Calibri" w:cs="Times New Roman"/>
              </w:rPr>
              <w:t>.015</w:t>
            </w:r>
          </w:p>
        </w:tc>
      </w:tr>
    </w:tbl>
    <w:p w:rsidR="00C7720A" w:rsidRDefault="00C7720A" w:rsidP="00C7720A"/>
    <w:p w:rsidR="005178E4" w:rsidRPr="00C7720A" w:rsidRDefault="00C7720A" w:rsidP="00C7720A">
      <w:pPr>
        <w:rPr>
          <w:rFonts w:eastAsia="Times New Roman"/>
          <w:b/>
          <w:color w:val="365F91"/>
          <w:sz w:val="24"/>
          <w:szCs w:val="20"/>
        </w:rPr>
      </w:pPr>
      <w:r>
        <w:rPr>
          <w:rFonts w:eastAsia="Times New Roman"/>
          <w:b/>
          <w:color w:val="365F91"/>
          <w:sz w:val="24"/>
          <w:szCs w:val="20"/>
        </w:rPr>
        <w:t xml:space="preserve">Summary </w:t>
      </w:r>
    </w:p>
    <w:p w:rsidR="005178E4" w:rsidRPr="00C7720A" w:rsidRDefault="005178E4" w:rsidP="0032600F">
      <w:pPr>
        <w:pStyle w:val="ListParagraph"/>
        <w:numPr>
          <w:ilvl w:val="0"/>
          <w:numId w:val="33"/>
        </w:numPr>
        <w:rPr>
          <w:rFonts w:asciiTheme="minorHAnsi" w:hAnsiTheme="minorHAnsi"/>
          <w:sz w:val="22"/>
        </w:rPr>
      </w:pPr>
      <w:r w:rsidRPr="00C7720A">
        <w:rPr>
          <w:rFonts w:asciiTheme="minorHAnsi" w:hAnsiTheme="minorHAnsi"/>
          <w:sz w:val="22"/>
        </w:rPr>
        <w:t>Caregivers of youth who have substance abuse issues did not play a significant role in mediating youths’ safety and permanency scores.</w:t>
      </w:r>
    </w:p>
    <w:p w:rsidR="005178E4" w:rsidRPr="00C7720A" w:rsidRDefault="005178E4" w:rsidP="0032600F">
      <w:pPr>
        <w:pStyle w:val="ListParagraph"/>
        <w:numPr>
          <w:ilvl w:val="0"/>
          <w:numId w:val="33"/>
        </w:numPr>
        <w:rPr>
          <w:rFonts w:asciiTheme="minorHAnsi" w:hAnsiTheme="minorHAnsi"/>
          <w:sz w:val="22"/>
        </w:rPr>
      </w:pPr>
      <w:r w:rsidRPr="00C7720A">
        <w:rPr>
          <w:rFonts w:asciiTheme="minorHAnsi" w:hAnsiTheme="minorHAnsi"/>
          <w:sz w:val="22"/>
        </w:rPr>
        <w:t>Safety and well-being for this state improved over time, suggesting that their system-wide strategies (i.e. Title IV-E Waiver) are successful for youth with open CHINS cases.</w:t>
      </w:r>
    </w:p>
    <w:p w:rsidR="005178E4" w:rsidRPr="00C7720A" w:rsidRDefault="005178E4" w:rsidP="0032600F">
      <w:pPr>
        <w:pStyle w:val="ListParagraph"/>
        <w:numPr>
          <w:ilvl w:val="0"/>
          <w:numId w:val="33"/>
        </w:numPr>
        <w:rPr>
          <w:rFonts w:asciiTheme="minorHAnsi" w:hAnsiTheme="minorHAnsi"/>
          <w:sz w:val="22"/>
        </w:rPr>
      </w:pPr>
      <w:r w:rsidRPr="00C7720A">
        <w:rPr>
          <w:rFonts w:asciiTheme="minorHAnsi" w:hAnsiTheme="minorHAnsi"/>
          <w:sz w:val="22"/>
        </w:rPr>
        <w:t>Assessing and understanding the youth is important to all three of the outcomes.</w:t>
      </w:r>
    </w:p>
    <w:p w:rsidR="005178E4" w:rsidRPr="005178E4" w:rsidRDefault="005178E4" w:rsidP="0032600F">
      <w:pPr>
        <w:pStyle w:val="ListParagraph"/>
        <w:numPr>
          <w:ilvl w:val="0"/>
          <w:numId w:val="33"/>
        </w:numPr>
      </w:pPr>
      <w:r w:rsidRPr="00C7720A">
        <w:rPr>
          <w:rFonts w:asciiTheme="minorHAnsi" w:hAnsiTheme="minorHAnsi"/>
          <w:sz w:val="22"/>
        </w:rPr>
        <w:t xml:space="preserve">To best address youths’ well-being, additional resources should be spent on maintaining relationships and evaluating team members so they do not disrupt the goals for cases when a caregiver suffers with substance abuse. </w:t>
      </w:r>
    </w:p>
    <w:p w:rsidR="00C7720A" w:rsidRDefault="00C7720A">
      <w:pPr>
        <w:spacing w:after="160" w:line="259" w:lineRule="auto"/>
      </w:pPr>
      <w:r>
        <w:br w:type="page"/>
      </w:r>
    </w:p>
    <w:p w:rsidR="00B45C01" w:rsidRDefault="00B45C01" w:rsidP="003A7173">
      <w:pPr>
        <w:pStyle w:val="Heading2"/>
      </w:pPr>
      <w:bookmarkStart w:id="8" w:name="_Toc43887878"/>
      <w:r>
        <w:t>Concrete Services as a Prevention Service: The Evidence Base</w:t>
      </w:r>
      <w:bookmarkEnd w:id="8"/>
      <w:r>
        <w:t xml:space="preserve"> </w:t>
      </w:r>
    </w:p>
    <w:p w:rsidR="00B45C01" w:rsidRDefault="003A7173" w:rsidP="00B45C01">
      <w:r>
        <w:t xml:space="preserve">During the process study of the original </w:t>
      </w:r>
      <w:r w:rsidR="00DC7A7D">
        <w:t>Waiver</w:t>
      </w:r>
      <w:r>
        <w:t xml:space="preserve"> period, Indiana demonstrated an increase in concrete service spending over all years of the Waiver.  To investigate how these spend</w:t>
      </w:r>
      <w:r w:rsidR="00582B6D">
        <w:t>ing</w:t>
      </w:r>
      <w:r>
        <w:t xml:space="preserve"> increases impacted the outcomes, the evaluation team used the QSR data and administrative data to link cases.  Evidence of the link between concrete service spending and Waiver outcomes are provided.</w:t>
      </w:r>
    </w:p>
    <w:p w:rsidR="00C7720A" w:rsidRPr="00B45C01" w:rsidRDefault="00C7720A" w:rsidP="00B45C01"/>
    <w:p w:rsidR="003A7173" w:rsidRDefault="003A7173" w:rsidP="003A7173">
      <w:pPr>
        <w:pStyle w:val="Heading3"/>
      </w:pPr>
      <w:r>
        <w:t>QSR data</w:t>
      </w:r>
    </w:p>
    <w:p w:rsidR="0004515B" w:rsidRPr="0004515B" w:rsidRDefault="0004515B" w:rsidP="0004515B">
      <w:r>
        <w:t>Analyses of the concrete services using QSR data evolved over the Extension period of the Waiver.  First the Evaluation Team looked generally at all outcomes then following the data began to hone in on the permanency outcome of stability.  Four different analyses were conducted: “</w:t>
      </w:r>
      <w:r w:rsidRPr="0004515B">
        <w:t xml:space="preserve">Analysis of </w:t>
      </w:r>
      <w:r>
        <w:t>c</w:t>
      </w:r>
      <w:r w:rsidRPr="0004515B">
        <w:t xml:space="preserve">oncrete </w:t>
      </w:r>
      <w:r>
        <w:t>se</w:t>
      </w:r>
      <w:r w:rsidRPr="0004515B">
        <w:t xml:space="preserve">rvice </w:t>
      </w:r>
      <w:r>
        <w:t>d</w:t>
      </w:r>
      <w:r w:rsidRPr="0004515B">
        <w:t xml:space="preserve">ata on </w:t>
      </w:r>
      <w:r>
        <w:t>o</w:t>
      </w:r>
      <w:r w:rsidRPr="0004515B">
        <w:t xml:space="preserve">utcome of </w:t>
      </w:r>
      <w:r>
        <w:t>s</w:t>
      </w:r>
      <w:r w:rsidRPr="0004515B">
        <w:t xml:space="preserve">afety, </w:t>
      </w:r>
      <w:r>
        <w:t>s</w:t>
      </w:r>
      <w:r w:rsidRPr="0004515B">
        <w:t xml:space="preserve">tability, </w:t>
      </w:r>
      <w:r>
        <w:t>p</w:t>
      </w:r>
      <w:r w:rsidRPr="0004515B">
        <w:t xml:space="preserve">ermanency, and </w:t>
      </w:r>
      <w:r>
        <w:t>w</w:t>
      </w:r>
      <w:r w:rsidRPr="0004515B">
        <w:t>ellbeing</w:t>
      </w:r>
      <w:r>
        <w:t>,” “Factors associated with concrete service usage,” “Concrete services and home stability,” and</w:t>
      </w:r>
      <w:r w:rsidR="001A6356">
        <w:t xml:space="preserve"> “A</w:t>
      </w:r>
      <w:r w:rsidR="001A6356" w:rsidRPr="001A6356">
        <w:t xml:space="preserve">nalysis of </w:t>
      </w:r>
      <w:r w:rsidR="001A6356">
        <w:t>c</w:t>
      </w:r>
      <w:r w:rsidR="001A6356" w:rsidRPr="001A6356">
        <w:t xml:space="preserve">oncrete </w:t>
      </w:r>
      <w:r w:rsidR="001A6356">
        <w:t>s</w:t>
      </w:r>
      <w:r w:rsidR="001A6356" w:rsidRPr="001A6356">
        <w:t>ervice</w:t>
      </w:r>
      <w:r w:rsidR="001A6356">
        <w:t>s</w:t>
      </w:r>
      <w:r w:rsidR="001A6356" w:rsidRPr="001A6356">
        <w:t xml:space="preserve"> on </w:t>
      </w:r>
      <w:r w:rsidR="001A6356">
        <w:t>p</w:t>
      </w:r>
      <w:r w:rsidR="001A6356" w:rsidRPr="001A6356">
        <w:t xml:space="preserve">ermanency and </w:t>
      </w:r>
      <w:r w:rsidR="001A6356">
        <w:t>s</w:t>
      </w:r>
      <w:r w:rsidR="001A6356" w:rsidRPr="001A6356">
        <w:t xml:space="preserve">tability </w:t>
      </w:r>
      <w:r w:rsidR="001A6356">
        <w:t>by</w:t>
      </w:r>
      <w:r w:rsidR="001A6356" w:rsidRPr="001A6356">
        <w:t xml:space="preserve"> </w:t>
      </w:r>
      <w:r w:rsidR="001A6356">
        <w:t>l</w:t>
      </w:r>
      <w:r w:rsidR="001A6356" w:rsidRPr="001A6356">
        <w:t xml:space="preserve">evel of </w:t>
      </w:r>
      <w:r w:rsidR="001A6356">
        <w:t>i</w:t>
      </w:r>
      <w:r w:rsidR="001A6356" w:rsidRPr="001A6356">
        <w:t>nstability</w:t>
      </w:r>
      <w:r w:rsidR="001A6356">
        <w:t>.”</w:t>
      </w:r>
    </w:p>
    <w:p w:rsidR="00B45C01" w:rsidRDefault="00B45C01" w:rsidP="00B45C01">
      <w:pPr>
        <w:spacing w:after="200"/>
      </w:pPr>
      <w:r>
        <w:t>The QSR provides data from the following years: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365"/>
      </w:tblGrid>
      <w:tr w:rsidR="00B45C01" w:rsidTr="00B45C01">
        <w:tc>
          <w:tcPr>
            <w:tcW w:w="985" w:type="dxa"/>
          </w:tcPr>
          <w:p w:rsidR="00B45C01" w:rsidRDefault="00B45C01" w:rsidP="00B45C01">
            <w:pPr>
              <w:spacing w:after="200"/>
            </w:pPr>
          </w:p>
        </w:tc>
        <w:tc>
          <w:tcPr>
            <w:tcW w:w="8365" w:type="dxa"/>
          </w:tcPr>
          <w:p w:rsidR="00B45C01" w:rsidRPr="00440792" w:rsidRDefault="00B45C01" w:rsidP="0032600F">
            <w:pPr>
              <w:pStyle w:val="ListParagraph"/>
              <w:numPr>
                <w:ilvl w:val="0"/>
                <w:numId w:val="26"/>
              </w:numPr>
              <w:spacing w:line="240" w:lineRule="auto"/>
              <w:rPr>
                <w:rFonts w:ascii="Calibri" w:eastAsia="Malgun Gothic" w:hAnsi="Calibri"/>
              </w:rPr>
            </w:pPr>
            <w:r w:rsidRPr="00440792">
              <w:rPr>
                <w:rFonts w:ascii="Calibri" w:eastAsia="Malgun Gothic" w:hAnsi="Calibri"/>
              </w:rPr>
              <w:t xml:space="preserve">Round 1 based on a representative state-wide sample of 512 cases reviewed between July 2007 and June 2009 and </w:t>
            </w:r>
          </w:p>
          <w:p w:rsidR="00B45C01" w:rsidRPr="0058466D" w:rsidRDefault="00B45C01" w:rsidP="0032600F">
            <w:pPr>
              <w:pStyle w:val="ListParagraph"/>
              <w:numPr>
                <w:ilvl w:val="0"/>
                <w:numId w:val="26"/>
              </w:numPr>
              <w:spacing w:after="120" w:line="240" w:lineRule="auto"/>
              <w:rPr>
                <w:rFonts w:ascii="Calibri" w:eastAsia="Malgun Gothic" w:hAnsi="Calibri"/>
              </w:rPr>
            </w:pPr>
            <w:r w:rsidRPr="00440792">
              <w:rPr>
                <w:rFonts w:ascii="Calibri" w:eastAsia="Malgun Gothic" w:hAnsi="Calibri"/>
              </w:rPr>
              <w:t xml:space="preserve">Round 2 based on a representative state-wide sample of 585 cases reviewed between July 2009 and July 2011, </w:t>
            </w:r>
          </w:p>
        </w:tc>
      </w:tr>
      <w:tr w:rsidR="00B45C01" w:rsidTr="00B45C01">
        <w:tc>
          <w:tcPr>
            <w:tcW w:w="985" w:type="dxa"/>
          </w:tcPr>
          <w:p w:rsidR="00B45C01" w:rsidRDefault="00B45C01" w:rsidP="00B45C01">
            <w:pPr>
              <w:spacing w:after="200"/>
            </w:pPr>
          </w:p>
          <w:p w:rsidR="00B45C01" w:rsidRDefault="00B45C01" w:rsidP="00B45C01">
            <w:pPr>
              <w:spacing w:after="200"/>
            </w:pPr>
            <w:r>
              <w:t>Waiver Years began July 1, 2012</w:t>
            </w:r>
          </w:p>
        </w:tc>
        <w:tc>
          <w:tcPr>
            <w:tcW w:w="8365" w:type="dxa"/>
          </w:tcPr>
          <w:p w:rsidR="00B45C01" w:rsidRPr="00440792" w:rsidRDefault="00B45C01" w:rsidP="0032600F">
            <w:pPr>
              <w:pStyle w:val="ListParagraph"/>
              <w:numPr>
                <w:ilvl w:val="0"/>
                <w:numId w:val="26"/>
              </w:numPr>
              <w:spacing w:line="240" w:lineRule="auto"/>
              <w:rPr>
                <w:rFonts w:ascii="Calibri" w:eastAsia="Malgun Gothic" w:hAnsi="Calibri"/>
              </w:rPr>
            </w:pPr>
            <w:r>
              <w:rPr>
                <w:noProof/>
              </w:rPr>
              <mc:AlternateContent>
                <mc:Choice Requires="wps">
                  <w:drawing>
                    <wp:anchor distT="0" distB="0" distL="114300" distR="114300" simplePos="0" relativeHeight="251670528" behindDoc="0" locked="0" layoutInCell="1" allowOverlap="1" wp14:anchorId="04BC6579" wp14:editId="4A8D93C5">
                      <wp:simplePos x="0" y="0"/>
                      <wp:positionH relativeFrom="column">
                        <wp:posOffset>-113030</wp:posOffset>
                      </wp:positionH>
                      <wp:positionV relativeFrom="paragraph">
                        <wp:posOffset>314960</wp:posOffset>
                      </wp:positionV>
                      <wp:extent cx="333375" cy="733425"/>
                      <wp:effectExtent l="0" t="0" r="28575" b="28575"/>
                      <wp:wrapNone/>
                      <wp:docPr id="251" name="Left Brace 251"/>
                      <wp:cNvGraphicFramePr/>
                      <a:graphic xmlns:a="http://schemas.openxmlformats.org/drawingml/2006/main">
                        <a:graphicData uri="http://schemas.microsoft.com/office/word/2010/wordprocessingShape">
                          <wps:wsp>
                            <wps:cNvSpPr/>
                            <wps:spPr>
                              <a:xfrm>
                                <a:off x="0" y="0"/>
                                <a:ext cx="333375" cy="733425"/>
                              </a:xfrm>
                              <a:prstGeom prst="leftBrace">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54848A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51" o:spid="_x0000_s1026" type="#_x0000_t87" style="position:absolute;margin-left:-8.9pt;margin-top:24.8pt;width:26.25pt;height:57.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" adj="818" strokecolor="#5b9bd5 [3204]" strokeweight="1.5pt">
                      <v:stroke joinstyle="miter"/>
                    </v:shape>
                  </w:pict>
                </mc:Fallback>
              </mc:AlternateContent>
            </w:r>
            <w:r w:rsidRPr="00440792">
              <w:rPr>
                <w:rFonts w:ascii="Calibri" w:eastAsia="Malgun Gothic" w:hAnsi="Calibri"/>
              </w:rPr>
              <w:t xml:space="preserve">Round 3 based on a representative state-wide sample of 515 cases reviewed between September 2011 and July 2013, </w:t>
            </w:r>
          </w:p>
          <w:p w:rsidR="00B45C01" w:rsidRDefault="00B45C01" w:rsidP="0032600F">
            <w:pPr>
              <w:pStyle w:val="ListParagraph"/>
              <w:numPr>
                <w:ilvl w:val="0"/>
                <w:numId w:val="26"/>
              </w:numPr>
              <w:spacing w:line="240" w:lineRule="auto"/>
              <w:rPr>
                <w:rFonts w:ascii="Calibri" w:eastAsia="Malgun Gothic" w:hAnsi="Calibri"/>
              </w:rPr>
            </w:pPr>
            <w:r w:rsidRPr="00440792">
              <w:rPr>
                <w:rFonts w:ascii="Calibri" w:eastAsia="Malgun Gothic" w:hAnsi="Calibri"/>
              </w:rPr>
              <w:t xml:space="preserve">Round 4 based on a representative state-wide sample of 497 cases reviewed between September 2013 and April 2015, and </w:t>
            </w:r>
          </w:p>
          <w:p w:rsidR="00B45C01" w:rsidRPr="00544C99" w:rsidRDefault="00B45C01" w:rsidP="00B45C01">
            <w:pPr>
              <w:pStyle w:val="ListParagraph"/>
              <w:numPr>
                <w:ilvl w:val="0"/>
                <w:numId w:val="26"/>
              </w:numPr>
              <w:spacing w:line="240" w:lineRule="auto"/>
              <w:rPr>
                <w:rFonts w:ascii="Calibri" w:eastAsia="Malgun Gothic" w:hAnsi="Calibri"/>
              </w:rPr>
            </w:pPr>
            <w:r w:rsidRPr="0048385E">
              <w:rPr>
                <w:rFonts w:ascii="Calibri" w:eastAsia="Malgun Gothic" w:hAnsi="Calibri"/>
              </w:rPr>
              <w:t xml:space="preserve">Round 5 based on a representative state-wide sample of 502 cases reviewed between September 2015 and June 2017.  </w:t>
            </w:r>
          </w:p>
        </w:tc>
      </w:tr>
    </w:tbl>
    <w:p w:rsidR="00A9310F" w:rsidRDefault="003A7173" w:rsidP="00A9310F">
      <w:pPr>
        <w:rPr>
          <w:rFonts w:ascii="Calibri" w:eastAsia="Malgun Gothic" w:hAnsi="Calibri"/>
        </w:rPr>
      </w:pPr>
      <w:r>
        <w:rPr>
          <w:rFonts w:ascii="Calibri" w:eastAsia="Malgun Gothic" w:hAnsi="Calibri"/>
        </w:rPr>
        <w:t>D</w:t>
      </w:r>
      <w:r w:rsidR="00A9310F">
        <w:rPr>
          <w:rFonts w:ascii="Calibri" w:eastAsia="Malgun Gothic" w:hAnsi="Calibri"/>
        </w:rPr>
        <w:t xml:space="preserve">efinitions of the indicators can be found in </w:t>
      </w:r>
      <w:r w:rsidR="00A9310F" w:rsidRPr="003C70CE">
        <w:rPr>
          <w:rFonts w:ascii="Calibri" w:eastAsia="Malgun Gothic" w:hAnsi="Calibri"/>
          <w:b/>
          <w:i/>
        </w:rPr>
        <w:t>Appendix A</w:t>
      </w:r>
      <w:r w:rsidR="00A9310F">
        <w:rPr>
          <w:rFonts w:ascii="Calibri" w:eastAsia="Malgun Gothic" w:hAnsi="Calibri"/>
        </w:rPr>
        <w:t>.</w:t>
      </w:r>
    </w:p>
    <w:p w:rsidR="00C7720A" w:rsidRDefault="00C7720A" w:rsidP="00A9310F">
      <w:pPr>
        <w:rPr>
          <w:rFonts w:ascii="Calibri" w:eastAsia="Malgun Gothic" w:hAnsi="Calibri"/>
        </w:rPr>
      </w:pPr>
    </w:p>
    <w:p w:rsidR="00A9310F" w:rsidRPr="00F7555F" w:rsidRDefault="00A9310F" w:rsidP="00A9310F">
      <w:pPr>
        <w:pStyle w:val="Heading3"/>
      </w:pPr>
      <w:r w:rsidRPr="00F7555F">
        <w:t>Analysis of Concrete Service Data on Outcome of Safety, Stability, Permanency, and Wellbeing</w:t>
      </w:r>
    </w:p>
    <w:p w:rsidR="00A9310F" w:rsidRPr="00C7720A" w:rsidRDefault="00C7720A" w:rsidP="00A9310F">
      <w:pPr>
        <w:rPr>
          <w:rFonts w:eastAsia="Times New Roman"/>
          <w:b/>
          <w:color w:val="365F91"/>
        </w:rPr>
      </w:pPr>
      <w:r w:rsidRPr="00C7720A">
        <w:rPr>
          <w:rFonts w:eastAsia="Times New Roman"/>
          <w:b/>
          <w:color w:val="365F91"/>
        </w:rPr>
        <w:t>Methods</w:t>
      </w:r>
      <w:r w:rsidR="00A9310F" w:rsidRPr="00C7720A">
        <w:t xml:space="preserve"> </w:t>
      </w:r>
    </w:p>
    <w:p w:rsidR="00A9310F" w:rsidRPr="0017275B" w:rsidRDefault="00A9310F" w:rsidP="00A9310F">
      <w:r w:rsidRPr="0017275B">
        <w:t>Data were collected between 2007 and 2017 from five iterations of quality assurance reviews</w:t>
      </w:r>
      <w:r>
        <w:t xml:space="preserve"> (QSRs).</w:t>
      </w:r>
      <w:r w:rsidRPr="0017275B">
        <w:t xml:space="preserve"> The majority of the 2,494 cases used in the analysis were </w:t>
      </w:r>
      <w:r>
        <w:t>white</w:t>
      </w:r>
      <w:r w:rsidRPr="0017275B">
        <w:t xml:space="preserve"> (74%) and did not receive concrete services (68%), and had a mean child age of 7.79 (±5.14). For the number of placements experienced by each case (range 0-22), those that did not receive concrete services (m=1.54±4.45) had </w:t>
      </w:r>
      <w:r>
        <w:t>fewer</w:t>
      </w:r>
      <w:r w:rsidRPr="0017275B">
        <w:t xml:space="preserve"> </w:t>
      </w:r>
      <w:r>
        <w:t xml:space="preserve">placements </w:t>
      </w:r>
      <w:r w:rsidRPr="0017275B">
        <w:t>on average than those who received services (M= 2.</w:t>
      </w:r>
      <w:r>
        <w:t>23±5.11) suggesting higher average needs</w:t>
      </w:r>
      <w:r w:rsidRPr="0017275B">
        <w:t xml:space="preserve"> of those receiving concrete services.</w:t>
      </w:r>
    </w:p>
    <w:p w:rsidR="00C7720A" w:rsidRDefault="00C7720A" w:rsidP="00A9310F"/>
    <w:p w:rsidR="00A9310F" w:rsidRPr="0017275B" w:rsidRDefault="00A9310F" w:rsidP="00A9310F">
      <w:r w:rsidRPr="0017275B">
        <w:t xml:space="preserve">A MANCOVA model was tested to examine the effect concrete services utilization had on </w:t>
      </w:r>
      <w:r>
        <w:t>child</w:t>
      </w:r>
      <w:r w:rsidRPr="0017275B">
        <w:t xml:space="preserve"> outcomes. For the independent variable, a variable was created </w:t>
      </w:r>
      <w:r>
        <w:t>to separate</w:t>
      </w:r>
      <w:r w:rsidRPr="0017275B">
        <w:t xml:space="preserve"> those that</w:t>
      </w:r>
      <w:r w:rsidR="00485F9A">
        <w:t xml:space="preserve"> received concrete services from</w:t>
      </w:r>
      <w:r w:rsidRPr="0017275B">
        <w:t xml:space="preserve"> those who did not. </w:t>
      </w:r>
      <w:r w:rsidR="00485F9A">
        <w:t>The QSR indicators (Appendix A) of s</w:t>
      </w:r>
      <w:r w:rsidRPr="0017275B">
        <w:t>afety, stability, permanency, and wellbeing</w:t>
      </w:r>
      <w:r w:rsidR="00485F9A">
        <w:t xml:space="preserve"> (mean score of QSR indicators</w:t>
      </w:r>
      <w:r w:rsidR="003A0C4B">
        <w:t xml:space="preserve"> ‘appropriate living arrangement’, ‘physical health’, ‘emotional status’, and  ‘learning and development’)</w:t>
      </w:r>
      <w:r w:rsidRPr="0017275B">
        <w:t xml:space="preserve"> were the outcome variables in the model. </w:t>
      </w:r>
      <w:r>
        <w:t>Variables that may affect the relationship of the variables of interest</w:t>
      </w:r>
      <w:r w:rsidRPr="0017275B">
        <w:t xml:space="preserve"> were tested for </w:t>
      </w:r>
      <w:r>
        <w:t xml:space="preserve">appropriateness for statistical analysis </w:t>
      </w:r>
      <w:r w:rsidRPr="0017275B">
        <w:t xml:space="preserve">and included in the model, those added to the model included: child’s age, current placement, placement plan, number of placements, and </w:t>
      </w:r>
      <w:r>
        <w:t>child</w:t>
      </w:r>
      <w:r w:rsidRPr="0017275B">
        <w:t xml:space="preserve"> stress. Assumptions for MANCOVA were tested including checking boxplots for univariate outliers, calculating Mahalanobis distance for multivariate outliers, linear relationships between all variables of the model, and homogeneity of variance. A Bonferroni corrected p-value was used to assess significance (.05/5 = p&lt;.01) to account for the multiple dependent variables in the analysis. All statistical analyses were conducted in</w:t>
      </w:r>
      <w:r>
        <w:t xml:space="preserve"> the</w:t>
      </w:r>
      <w:r w:rsidRPr="0017275B">
        <w:t xml:space="preserve"> r</w:t>
      </w:r>
      <w:r>
        <w:t xml:space="preserve"> statistical package</w:t>
      </w:r>
      <w:r w:rsidRPr="0017275B">
        <w:t xml:space="preserve">. </w:t>
      </w:r>
    </w:p>
    <w:p w:rsidR="00C7720A" w:rsidRDefault="00C7720A" w:rsidP="00A9310F"/>
    <w:p w:rsidR="00A9310F" w:rsidRPr="0017275B" w:rsidRDefault="00A9310F" w:rsidP="00A9310F">
      <w:r w:rsidRPr="0017275B">
        <w:t xml:space="preserve">The MANCOVA model was fitted, then ANCOVA’s </w:t>
      </w:r>
      <w:r>
        <w:t>for</w:t>
      </w:r>
      <w:r w:rsidRPr="0017275B">
        <w:t xml:space="preserve"> each dependent variable were </w:t>
      </w:r>
      <w:r>
        <w:t>tested</w:t>
      </w:r>
      <w:r w:rsidRPr="0017275B">
        <w:t xml:space="preserve"> to assess concrete services effect on individual outcome variables. Practical significance</w:t>
      </w:r>
      <w:r>
        <w:t xml:space="preserve"> of the findings</w:t>
      </w:r>
      <w:r w:rsidRPr="0017275B">
        <w:t xml:space="preserve"> </w:t>
      </w:r>
      <w:r>
        <w:t>was</w:t>
      </w:r>
      <w:r w:rsidRPr="0017275B">
        <w:t xml:space="preserve"> assessed by calculating Eta</w:t>
      </w:r>
      <w:r w:rsidRPr="0017275B">
        <w:rPr>
          <w:vertAlign w:val="superscript"/>
        </w:rPr>
        <w:t>2</w:t>
      </w:r>
      <w:r w:rsidRPr="0017275B">
        <w:t xml:space="preserve"> for all analyses using Cohen’s criteria</w:t>
      </w:r>
      <w:r>
        <w:t xml:space="preserve"> for magnitude (.01 = small, .06 = medium, .14 = large)</w:t>
      </w:r>
      <w:r w:rsidRPr="0017275B">
        <w:t>. Because</w:t>
      </w:r>
      <w:r>
        <w:t xml:space="preserve"> only a small portion of data was</w:t>
      </w:r>
      <w:r w:rsidRPr="0017275B">
        <w:t xml:space="preserve"> missing (7%) and it reduces </w:t>
      </w:r>
      <w:r>
        <w:t>statistical</w:t>
      </w:r>
      <w:r w:rsidRPr="0017275B">
        <w:t xml:space="preserve"> bias, </w:t>
      </w:r>
      <w:r>
        <w:t>cases missing data were left out of the analysis</w:t>
      </w:r>
      <w:r w:rsidRPr="0017275B">
        <w:t xml:space="preserve">. </w:t>
      </w:r>
    </w:p>
    <w:p w:rsidR="00C7720A" w:rsidRDefault="00C7720A" w:rsidP="00A9310F">
      <w:pPr>
        <w:rPr>
          <w:b/>
          <w:color w:val="1F4E79" w:themeColor="accent1" w:themeShade="80"/>
        </w:rPr>
      </w:pPr>
    </w:p>
    <w:p w:rsidR="00C7720A" w:rsidRPr="00C7720A" w:rsidRDefault="00C7720A" w:rsidP="00C7720A">
      <w:pPr>
        <w:rPr>
          <w:rFonts w:eastAsia="Times New Roman"/>
          <w:b/>
          <w:color w:val="365F91"/>
          <w:szCs w:val="20"/>
        </w:rPr>
      </w:pPr>
      <w:r w:rsidRPr="00C7720A">
        <w:rPr>
          <w:rFonts w:eastAsia="Times New Roman"/>
          <w:b/>
          <w:color w:val="365F91"/>
          <w:szCs w:val="20"/>
        </w:rPr>
        <w:t>Results</w:t>
      </w:r>
    </w:p>
    <w:p w:rsidR="00A9310F" w:rsidRDefault="00A9310F" w:rsidP="00A9310F">
      <w:r w:rsidRPr="0017275B">
        <w:t>MANCOVA results revealed</w:t>
      </w:r>
      <w:r>
        <w:t xml:space="preserve"> (Table </w:t>
      </w:r>
      <w:r w:rsidR="007C4473">
        <w:t>10</w:t>
      </w:r>
      <w:r>
        <w:t>)</w:t>
      </w:r>
      <w:r w:rsidRPr="0017275B">
        <w:t xml:space="preserve"> concrete services associated with significant ch</w:t>
      </w:r>
      <w:r>
        <w:t>anges in the outcome variables (</w:t>
      </w:r>
      <w:r w:rsidRPr="0017275B">
        <w:t>P&lt;.001) with a medium effect size (eta</w:t>
      </w:r>
      <w:r w:rsidRPr="0017275B">
        <w:rPr>
          <w:vertAlign w:val="superscript"/>
        </w:rPr>
        <w:t>2</w:t>
      </w:r>
      <w:r w:rsidRPr="0017275B">
        <w:t xml:space="preserve">= .072) indicating </w:t>
      </w:r>
      <w:r>
        <w:t>this result is effective beyond statistical difference</w:t>
      </w:r>
      <w:r w:rsidRPr="0017275B">
        <w:t xml:space="preserve">. Although </w:t>
      </w:r>
      <w:r w:rsidR="00485F9A">
        <w:t xml:space="preserve">QSR </w:t>
      </w:r>
      <w:r w:rsidRPr="0017275B">
        <w:t>stability was not significant, ANCOVA’s suggest the use of concrete services associates with significant increases in safety (p&lt;.001, eta</w:t>
      </w:r>
      <w:r w:rsidRPr="0017275B">
        <w:rPr>
          <w:vertAlign w:val="superscript"/>
        </w:rPr>
        <w:t>2</w:t>
      </w:r>
      <w:r w:rsidRPr="0017275B">
        <w:t xml:space="preserve">=.040, </w:t>
      </w:r>
      <w:r>
        <w:t>mean change= .30) and wellbeing (</w:t>
      </w:r>
      <w:r w:rsidRPr="0017275B">
        <w:t>p&lt;.001, eta</w:t>
      </w:r>
      <w:r w:rsidRPr="0017275B">
        <w:rPr>
          <w:vertAlign w:val="superscript"/>
        </w:rPr>
        <w:t>2</w:t>
      </w:r>
      <w:r w:rsidRPr="0017275B">
        <w:t xml:space="preserve">=.022, </w:t>
      </w:r>
      <w:r>
        <w:t>mean change</w:t>
      </w:r>
      <w:r w:rsidRPr="0017275B">
        <w:t>= .19) but, surprisingly, decreases in permanency (p&lt;.001, eta</w:t>
      </w:r>
      <w:r w:rsidRPr="0017275B">
        <w:rPr>
          <w:vertAlign w:val="superscript"/>
        </w:rPr>
        <w:t>2</w:t>
      </w:r>
      <w:r w:rsidRPr="0017275B">
        <w:t xml:space="preserve">=.022, </w:t>
      </w:r>
      <w:r>
        <w:t>mean change= -</w:t>
      </w:r>
      <w:r w:rsidRPr="0017275B">
        <w:t>.38)</w:t>
      </w:r>
      <w:r>
        <w:t xml:space="preserve"> (Figure </w:t>
      </w:r>
      <w:r w:rsidR="007C4473">
        <w:t>1</w:t>
      </w:r>
      <w:r w:rsidR="00CA3266">
        <w:t>, Table 11</w:t>
      </w:r>
      <w:r>
        <w:t>)</w:t>
      </w:r>
      <w:r w:rsidRPr="0017275B">
        <w:t xml:space="preserve">. </w:t>
      </w:r>
      <w:r>
        <w:t>To examine this surprising finding, additional graphs were created to identify other factors that may account for the decrease in permanency.</w:t>
      </w:r>
    </w:p>
    <w:p w:rsidR="00CA3266" w:rsidRDefault="00CA3266" w:rsidP="00A9310F"/>
    <w:p w:rsidR="00CA3266" w:rsidRDefault="00CA3266" w:rsidP="00CA3266">
      <w:pPr>
        <w:pStyle w:val="Heading4"/>
      </w:pPr>
      <w:r w:rsidRPr="00F7555F">
        <w:t xml:space="preserve">Table </w:t>
      </w:r>
      <w:r>
        <w:t>10</w:t>
      </w:r>
      <w:r w:rsidRPr="00F7555F">
        <w:t>.</w:t>
      </w:r>
      <w:r>
        <w:t xml:space="preserve"> </w:t>
      </w:r>
      <w:r w:rsidRPr="00F7555F">
        <w:t>Multivariate MANCOVA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275"/>
        <w:gridCol w:w="1350"/>
        <w:gridCol w:w="270"/>
        <w:gridCol w:w="1350"/>
      </w:tblGrid>
      <w:tr w:rsidR="00A9310F" w:rsidRPr="00486A1C" w:rsidTr="006B1A5A">
        <w:tc>
          <w:tcPr>
            <w:tcW w:w="2065" w:type="dxa"/>
            <w:tcBorders>
              <w:top w:val="single" w:sz="4" w:space="0" w:color="auto"/>
              <w:bottom w:val="single" w:sz="4" w:space="0" w:color="auto"/>
            </w:tcBorders>
            <w:shd w:val="clear" w:color="auto" w:fill="5B9BD5" w:themeFill="accent1"/>
          </w:tcPr>
          <w:p w:rsidR="00A9310F" w:rsidRPr="00486A1C" w:rsidRDefault="00A9310F" w:rsidP="006B1A5A">
            <w:pPr>
              <w:rPr>
                <w:b/>
                <w:color w:val="FFFFFF" w:themeColor="background1"/>
              </w:rPr>
            </w:pPr>
            <w:r w:rsidRPr="00486A1C">
              <w:rPr>
                <w:b/>
                <w:color w:val="FFFFFF" w:themeColor="background1"/>
              </w:rPr>
              <w:t>Variable</w:t>
            </w:r>
          </w:p>
        </w:tc>
        <w:tc>
          <w:tcPr>
            <w:tcW w:w="275" w:type="dxa"/>
            <w:tcBorders>
              <w:top w:val="single" w:sz="4" w:space="0" w:color="auto"/>
              <w:bottom w:val="single" w:sz="4" w:space="0" w:color="auto"/>
            </w:tcBorders>
            <w:shd w:val="clear" w:color="auto" w:fill="5B9BD5" w:themeFill="accent1"/>
          </w:tcPr>
          <w:p w:rsidR="00A9310F" w:rsidRPr="00486A1C" w:rsidRDefault="00A9310F" w:rsidP="006B1A5A">
            <w:pPr>
              <w:rPr>
                <w:b/>
                <w:color w:val="FFFFFF" w:themeColor="background1"/>
              </w:rPr>
            </w:pPr>
          </w:p>
        </w:tc>
        <w:tc>
          <w:tcPr>
            <w:tcW w:w="1350" w:type="dxa"/>
            <w:tcBorders>
              <w:top w:val="single" w:sz="4" w:space="0" w:color="auto"/>
              <w:bottom w:val="single" w:sz="4" w:space="0" w:color="auto"/>
            </w:tcBorders>
            <w:shd w:val="clear" w:color="auto" w:fill="5B9BD5" w:themeFill="accent1"/>
          </w:tcPr>
          <w:p w:rsidR="00A9310F" w:rsidRPr="00486A1C" w:rsidRDefault="00A9310F" w:rsidP="006B1A5A">
            <w:pPr>
              <w:rPr>
                <w:b/>
                <w:color w:val="FFFFFF" w:themeColor="background1"/>
              </w:rPr>
            </w:pPr>
            <w:r w:rsidRPr="00486A1C">
              <w:rPr>
                <w:b/>
                <w:color w:val="FFFFFF" w:themeColor="background1"/>
              </w:rPr>
              <w:t>F</w:t>
            </w:r>
          </w:p>
        </w:tc>
        <w:tc>
          <w:tcPr>
            <w:tcW w:w="270" w:type="dxa"/>
            <w:tcBorders>
              <w:top w:val="single" w:sz="4" w:space="0" w:color="auto"/>
              <w:bottom w:val="single" w:sz="4" w:space="0" w:color="auto"/>
            </w:tcBorders>
            <w:shd w:val="clear" w:color="auto" w:fill="5B9BD5" w:themeFill="accent1"/>
          </w:tcPr>
          <w:p w:rsidR="00A9310F" w:rsidRPr="00486A1C" w:rsidRDefault="00A9310F" w:rsidP="006B1A5A">
            <w:pPr>
              <w:rPr>
                <w:b/>
                <w:color w:val="FFFFFF" w:themeColor="background1"/>
              </w:rPr>
            </w:pPr>
          </w:p>
        </w:tc>
        <w:tc>
          <w:tcPr>
            <w:tcW w:w="1350" w:type="dxa"/>
            <w:tcBorders>
              <w:top w:val="single" w:sz="4" w:space="0" w:color="auto"/>
              <w:bottom w:val="single" w:sz="4" w:space="0" w:color="auto"/>
            </w:tcBorders>
            <w:shd w:val="clear" w:color="auto" w:fill="5B9BD5" w:themeFill="accent1"/>
          </w:tcPr>
          <w:p w:rsidR="00A9310F" w:rsidRPr="00486A1C" w:rsidRDefault="00A9310F" w:rsidP="006B1A5A">
            <w:pPr>
              <w:rPr>
                <w:b/>
                <w:color w:val="FFFFFF" w:themeColor="background1"/>
                <w:vertAlign w:val="superscript"/>
              </w:rPr>
            </w:pPr>
            <w:r w:rsidRPr="00486A1C">
              <w:rPr>
                <w:b/>
                <w:color w:val="FFFFFF" w:themeColor="background1"/>
              </w:rPr>
              <w:t>Eta</w:t>
            </w:r>
            <w:r w:rsidRPr="00486A1C">
              <w:rPr>
                <w:b/>
                <w:color w:val="FFFFFF" w:themeColor="background1"/>
                <w:vertAlign w:val="superscript"/>
              </w:rPr>
              <w:t>2</w:t>
            </w:r>
          </w:p>
        </w:tc>
      </w:tr>
      <w:tr w:rsidR="00A9310F" w:rsidTr="006B1A5A">
        <w:tc>
          <w:tcPr>
            <w:tcW w:w="2065" w:type="dxa"/>
            <w:tcBorders>
              <w:top w:val="single" w:sz="4" w:space="0" w:color="auto"/>
            </w:tcBorders>
          </w:tcPr>
          <w:p w:rsidR="00A9310F" w:rsidRDefault="00A9310F" w:rsidP="006B1A5A">
            <w:r>
              <w:t>Concrete Services</w:t>
            </w:r>
          </w:p>
        </w:tc>
        <w:tc>
          <w:tcPr>
            <w:tcW w:w="275" w:type="dxa"/>
            <w:tcBorders>
              <w:top w:val="single" w:sz="4" w:space="0" w:color="auto"/>
            </w:tcBorders>
          </w:tcPr>
          <w:p w:rsidR="00A9310F" w:rsidRDefault="00A9310F" w:rsidP="006B1A5A"/>
        </w:tc>
        <w:tc>
          <w:tcPr>
            <w:tcW w:w="1350" w:type="dxa"/>
            <w:tcBorders>
              <w:top w:val="single" w:sz="4" w:space="0" w:color="auto"/>
            </w:tcBorders>
          </w:tcPr>
          <w:p w:rsidR="00A9310F" w:rsidRDefault="00A9310F" w:rsidP="006B1A5A">
            <w:r>
              <w:t>66.115***</w:t>
            </w:r>
          </w:p>
        </w:tc>
        <w:tc>
          <w:tcPr>
            <w:tcW w:w="270" w:type="dxa"/>
            <w:tcBorders>
              <w:top w:val="single" w:sz="4" w:space="0" w:color="auto"/>
            </w:tcBorders>
          </w:tcPr>
          <w:p w:rsidR="00A9310F" w:rsidRDefault="00A9310F" w:rsidP="006B1A5A"/>
        </w:tc>
        <w:tc>
          <w:tcPr>
            <w:tcW w:w="1350" w:type="dxa"/>
            <w:tcBorders>
              <w:top w:val="single" w:sz="4" w:space="0" w:color="auto"/>
            </w:tcBorders>
          </w:tcPr>
          <w:p w:rsidR="00A9310F" w:rsidRDefault="00A9310F" w:rsidP="006B1A5A">
            <w:r>
              <w:t>.0721</w:t>
            </w:r>
          </w:p>
        </w:tc>
      </w:tr>
      <w:tr w:rsidR="00A9310F" w:rsidTr="006B1A5A">
        <w:tc>
          <w:tcPr>
            <w:tcW w:w="5310" w:type="dxa"/>
            <w:gridSpan w:val="5"/>
            <w:tcBorders>
              <w:bottom w:val="single" w:sz="4" w:space="0" w:color="auto"/>
            </w:tcBorders>
            <w:shd w:val="clear" w:color="auto" w:fill="DEEAF6" w:themeFill="accent1" w:themeFillTint="33"/>
          </w:tcPr>
          <w:p w:rsidR="00A9310F" w:rsidRPr="00ED410A" w:rsidRDefault="00A9310F" w:rsidP="006B1A5A">
            <w:pPr>
              <w:jc w:val="center"/>
              <w:rPr>
                <w:b/>
              </w:rPr>
            </w:pPr>
            <w:r w:rsidRPr="00ED410A">
              <w:rPr>
                <w:b/>
              </w:rPr>
              <w:t>Covariates</w:t>
            </w:r>
          </w:p>
        </w:tc>
      </w:tr>
      <w:tr w:rsidR="00A9310F" w:rsidTr="006B1A5A">
        <w:tc>
          <w:tcPr>
            <w:tcW w:w="2065" w:type="dxa"/>
            <w:tcBorders>
              <w:top w:val="single" w:sz="4" w:space="0" w:color="auto"/>
            </w:tcBorders>
          </w:tcPr>
          <w:p w:rsidR="00A9310F" w:rsidRDefault="00A9310F" w:rsidP="006B1A5A">
            <w:r>
              <w:t xml:space="preserve">Current Placement </w:t>
            </w:r>
          </w:p>
        </w:tc>
        <w:tc>
          <w:tcPr>
            <w:tcW w:w="275" w:type="dxa"/>
            <w:tcBorders>
              <w:top w:val="single" w:sz="4" w:space="0" w:color="auto"/>
            </w:tcBorders>
          </w:tcPr>
          <w:p w:rsidR="00A9310F" w:rsidRDefault="00A9310F" w:rsidP="006B1A5A"/>
        </w:tc>
        <w:tc>
          <w:tcPr>
            <w:tcW w:w="1350" w:type="dxa"/>
            <w:tcBorders>
              <w:top w:val="single" w:sz="4" w:space="0" w:color="auto"/>
            </w:tcBorders>
          </w:tcPr>
          <w:p w:rsidR="00A9310F" w:rsidRDefault="00A9310F" w:rsidP="006B1A5A">
            <w:r>
              <w:t>159.363***</w:t>
            </w:r>
          </w:p>
        </w:tc>
        <w:tc>
          <w:tcPr>
            <w:tcW w:w="270" w:type="dxa"/>
            <w:tcBorders>
              <w:top w:val="single" w:sz="4" w:space="0" w:color="auto"/>
            </w:tcBorders>
          </w:tcPr>
          <w:p w:rsidR="00A9310F" w:rsidRDefault="00A9310F" w:rsidP="006B1A5A"/>
        </w:tc>
        <w:tc>
          <w:tcPr>
            <w:tcW w:w="1350" w:type="dxa"/>
            <w:tcBorders>
              <w:top w:val="single" w:sz="4" w:space="0" w:color="auto"/>
            </w:tcBorders>
          </w:tcPr>
          <w:p w:rsidR="00A9310F" w:rsidRDefault="00A9310F" w:rsidP="006B1A5A"/>
        </w:tc>
      </w:tr>
      <w:tr w:rsidR="00A9310F" w:rsidTr="006B1A5A">
        <w:tc>
          <w:tcPr>
            <w:tcW w:w="2065" w:type="dxa"/>
          </w:tcPr>
          <w:p w:rsidR="00A9310F" w:rsidRDefault="00A9310F" w:rsidP="006B1A5A">
            <w:r>
              <w:t>Child Stress</w:t>
            </w:r>
          </w:p>
        </w:tc>
        <w:tc>
          <w:tcPr>
            <w:tcW w:w="275" w:type="dxa"/>
          </w:tcPr>
          <w:p w:rsidR="00A9310F" w:rsidRDefault="00A9310F" w:rsidP="006B1A5A"/>
        </w:tc>
        <w:tc>
          <w:tcPr>
            <w:tcW w:w="1350" w:type="dxa"/>
          </w:tcPr>
          <w:p w:rsidR="00A9310F" w:rsidRDefault="00A9310F" w:rsidP="006B1A5A">
            <w:r>
              <w:t>129.656***</w:t>
            </w:r>
          </w:p>
        </w:tc>
        <w:tc>
          <w:tcPr>
            <w:tcW w:w="270" w:type="dxa"/>
          </w:tcPr>
          <w:p w:rsidR="00A9310F" w:rsidRDefault="00A9310F" w:rsidP="006B1A5A"/>
        </w:tc>
        <w:tc>
          <w:tcPr>
            <w:tcW w:w="1350" w:type="dxa"/>
          </w:tcPr>
          <w:p w:rsidR="00A9310F" w:rsidRDefault="00A9310F" w:rsidP="006B1A5A"/>
        </w:tc>
      </w:tr>
      <w:tr w:rsidR="00A9310F" w:rsidTr="006B1A5A">
        <w:tc>
          <w:tcPr>
            <w:tcW w:w="2065" w:type="dxa"/>
          </w:tcPr>
          <w:p w:rsidR="00A9310F" w:rsidRDefault="00A9310F" w:rsidP="006B1A5A">
            <w:r>
              <w:t>Placements</w:t>
            </w:r>
          </w:p>
        </w:tc>
        <w:tc>
          <w:tcPr>
            <w:tcW w:w="275" w:type="dxa"/>
          </w:tcPr>
          <w:p w:rsidR="00A9310F" w:rsidRDefault="00A9310F" w:rsidP="006B1A5A"/>
        </w:tc>
        <w:tc>
          <w:tcPr>
            <w:tcW w:w="1350" w:type="dxa"/>
          </w:tcPr>
          <w:p w:rsidR="00A9310F" w:rsidRDefault="00A9310F" w:rsidP="006B1A5A">
            <w:r>
              <w:t>9.236***</w:t>
            </w:r>
          </w:p>
        </w:tc>
        <w:tc>
          <w:tcPr>
            <w:tcW w:w="270" w:type="dxa"/>
          </w:tcPr>
          <w:p w:rsidR="00A9310F" w:rsidRDefault="00A9310F" w:rsidP="006B1A5A"/>
        </w:tc>
        <w:tc>
          <w:tcPr>
            <w:tcW w:w="1350" w:type="dxa"/>
          </w:tcPr>
          <w:p w:rsidR="00A9310F" w:rsidRDefault="00A9310F" w:rsidP="006B1A5A"/>
        </w:tc>
      </w:tr>
      <w:tr w:rsidR="00A9310F" w:rsidTr="006B1A5A">
        <w:tc>
          <w:tcPr>
            <w:tcW w:w="2065" w:type="dxa"/>
          </w:tcPr>
          <w:p w:rsidR="00A9310F" w:rsidRDefault="00A9310F" w:rsidP="006B1A5A">
            <w:r>
              <w:t>Child Age</w:t>
            </w:r>
          </w:p>
        </w:tc>
        <w:tc>
          <w:tcPr>
            <w:tcW w:w="275" w:type="dxa"/>
          </w:tcPr>
          <w:p w:rsidR="00A9310F" w:rsidRDefault="00A9310F" w:rsidP="006B1A5A"/>
        </w:tc>
        <w:tc>
          <w:tcPr>
            <w:tcW w:w="1350" w:type="dxa"/>
          </w:tcPr>
          <w:p w:rsidR="00A9310F" w:rsidRDefault="00A9310F" w:rsidP="006B1A5A">
            <w:r>
              <w:t>21.807***</w:t>
            </w:r>
          </w:p>
        </w:tc>
        <w:tc>
          <w:tcPr>
            <w:tcW w:w="270" w:type="dxa"/>
          </w:tcPr>
          <w:p w:rsidR="00A9310F" w:rsidRDefault="00A9310F" w:rsidP="006B1A5A"/>
        </w:tc>
        <w:tc>
          <w:tcPr>
            <w:tcW w:w="1350" w:type="dxa"/>
          </w:tcPr>
          <w:p w:rsidR="00A9310F" w:rsidRDefault="00A9310F" w:rsidP="006B1A5A"/>
        </w:tc>
      </w:tr>
      <w:tr w:rsidR="00A9310F" w:rsidTr="006B1A5A">
        <w:tc>
          <w:tcPr>
            <w:tcW w:w="2065" w:type="dxa"/>
            <w:tcBorders>
              <w:bottom w:val="single" w:sz="4" w:space="0" w:color="auto"/>
            </w:tcBorders>
          </w:tcPr>
          <w:p w:rsidR="00A9310F" w:rsidRDefault="00A9310F" w:rsidP="006B1A5A">
            <w:r>
              <w:t>Placement Plan</w:t>
            </w:r>
          </w:p>
        </w:tc>
        <w:tc>
          <w:tcPr>
            <w:tcW w:w="275" w:type="dxa"/>
            <w:tcBorders>
              <w:bottom w:val="single" w:sz="4" w:space="0" w:color="auto"/>
            </w:tcBorders>
          </w:tcPr>
          <w:p w:rsidR="00A9310F" w:rsidRDefault="00A9310F" w:rsidP="006B1A5A"/>
        </w:tc>
        <w:tc>
          <w:tcPr>
            <w:tcW w:w="1350" w:type="dxa"/>
            <w:tcBorders>
              <w:bottom w:val="single" w:sz="4" w:space="0" w:color="auto"/>
            </w:tcBorders>
          </w:tcPr>
          <w:p w:rsidR="00A9310F" w:rsidRDefault="00A9310F" w:rsidP="006B1A5A">
            <w:r>
              <w:t>94.621***</w:t>
            </w:r>
          </w:p>
        </w:tc>
        <w:tc>
          <w:tcPr>
            <w:tcW w:w="270" w:type="dxa"/>
            <w:tcBorders>
              <w:bottom w:val="single" w:sz="4" w:space="0" w:color="auto"/>
            </w:tcBorders>
          </w:tcPr>
          <w:p w:rsidR="00A9310F" w:rsidRDefault="00A9310F" w:rsidP="006B1A5A"/>
        </w:tc>
        <w:tc>
          <w:tcPr>
            <w:tcW w:w="1350" w:type="dxa"/>
            <w:tcBorders>
              <w:bottom w:val="single" w:sz="4" w:space="0" w:color="auto"/>
            </w:tcBorders>
          </w:tcPr>
          <w:p w:rsidR="00A9310F" w:rsidRDefault="00A9310F" w:rsidP="006B1A5A"/>
        </w:tc>
      </w:tr>
      <w:tr w:rsidR="00A9310F" w:rsidTr="006B1A5A">
        <w:tc>
          <w:tcPr>
            <w:tcW w:w="2065" w:type="dxa"/>
            <w:tcBorders>
              <w:top w:val="single" w:sz="4" w:space="0" w:color="auto"/>
            </w:tcBorders>
          </w:tcPr>
          <w:p w:rsidR="00A9310F" w:rsidRDefault="00544C99" w:rsidP="006B1A5A">
            <w:r>
              <w:t>*** p &lt; .001</w:t>
            </w:r>
          </w:p>
        </w:tc>
        <w:tc>
          <w:tcPr>
            <w:tcW w:w="275" w:type="dxa"/>
            <w:tcBorders>
              <w:top w:val="single" w:sz="4" w:space="0" w:color="auto"/>
            </w:tcBorders>
          </w:tcPr>
          <w:p w:rsidR="00A9310F" w:rsidRDefault="00A9310F" w:rsidP="006B1A5A"/>
        </w:tc>
        <w:tc>
          <w:tcPr>
            <w:tcW w:w="1350" w:type="dxa"/>
            <w:tcBorders>
              <w:top w:val="single" w:sz="4" w:space="0" w:color="auto"/>
            </w:tcBorders>
          </w:tcPr>
          <w:p w:rsidR="00A9310F" w:rsidRDefault="00A9310F" w:rsidP="006B1A5A"/>
        </w:tc>
        <w:tc>
          <w:tcPr>
            <w:tcW w:w="270" w:type="dxa"/>
            <w:tcBorders>
              <w:top w:val="single" w:sz="4" w:space="0" w:color="auto"/>
            </w:tcBorders>
          </w:tcPr>
          <w:p w:rsidR="00A9310F" w:rsidRDefault="00A9310F" w:rsidP="006B1A5A"/>
        </w:tc>
        <w:tc>
          <w:tcPr>
            <w:tcW w:w="1350" w:type="dxa"/>
            <w:tcBorders>
              <w:top w:val="single" w:sz="4" w:space="0" w:color="auto"/>
            </w:tcBorders>
          </w:tcPr>
          <w:p w:rsidR="00A9310F" w:rsidRDefault="00A9310F" w:rsidP="006B1A5A"/>
        </w:tc>
      </w:tr>
    </w:tbl>
    <w:p w:rsidR="00A9310F" w:rsidRDefault="007C4473" w:rsidP="00A9310F">
      <w:pPr>
        <w:pStyle w:val="Heading4"/>
      </w:pPr>
      <w:r>
        <w:t>Figure 1</w:t>
      </w:r>
      <w:r w:rsidR="00A9310F">
        <w:t xml:space="preserve">. </w:t>
      </w:r>
      <w:r w:rsidR="00A9310F" w:rsidRPr="00F7555F">
        <w:t>Mean changes in Safety, Stability, Permanency, and Wellbeing for all rounds by use of concrete services</w:t>
      </w:r>
    </w:p>
    <w:p w:rsidR="00A9310F" w:rsidRDefault="00A9310F" w:rsidP="00A9310F">
      <w:pPr>
        <w:rPr>
          <w:b/>
          <w:color w:val="1F4E79" w:themeColor="accent1" w:themeShade="80"/>
        </w:rPr>
        <w:sectPr w:rsidR="00A9310F" w:rsidSect="006B1A5A">
          <w:pgSz w:w="12240" w:h="15840"/>
          <w:pgMar w:top="720" w:right="1440" w:bottom="1440" w:left="1440" w:header="288" w:footer="720" w:gutter="0"/>
          <w:cols w:space="720"/>
          <w:docGrid w:linePitch="360"/>
        </w:sectPr>
      </w:pPr>
      <w:r>
        <w:rPr>
          <w:noProof/>
        </w:rPr>
        <w:drawing>
          <wp:inline distT="0" distB="0" distL="0" distR="0" wp14:anchorId="346ACAFA" wp14:editId="7FF9AD90">
            <wp:extent cx="5816335" cy="3714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 All Rounds - title 4E.png"/>
                    <pic:cNvPicPr/>
                  </pic:nvPicPr>
                  <pic:blipFill>
                    <a:blip r:embed="rId15">
                      <a:extLst>
                        <a:ext uri="{28A0092B-C50C-407E-A947-70E740481C1C}">
                          <a14:useLocalDpi xmlns:a14="http://schemas.microsoft.com/office/drawing/2010/main" val="0"/>
                        </a:ext>
                      </a:extLst>
                    </a:blip>
                    <a:stretch>
                      <a:fillRect/>
                    </a:stretch>
                  </pic:blipFill>
                  <pic:spPr>
                    <a:xfrm>
                      <a:off x="0" y="0"/>
                      <a:ext cx="5888148" cy="3760615"/>
                    </a:xfrm>
                    <a:prstGeom prst="rect">
                      <a:avLst/>
                    </a:prstGeom>
                  </pic:spPr>
                </pic:pic>
              </a:graphicData>
            </a:graphic>
          </wp:inline>
        </w:drawing>
      </w:r>
    </w:p>
    <w:tbl>
      <w:tblPr>
        <w:tblStyle w:val="TableGrid"/>
        <w:tblpPr w:leftFromText="180" w:rightFromText="180" w:horzAnchor="margin" w:tblpY="525"/>
        <w:tblW w:w="13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1435"/>
        <w:gridCol w:w="1175"/>
        <w:gridCol w:w="360"/>
        <w:gridCol w:w="1795"/>
        <w:gridCol w:w="725"/>
        <w:gridCol w:w="360"/>
        <w:gridCol w:w="90"/>
        <w:gridCol w:w="1350"/>
        <w:gridCol w:w="1530"/>
        <w:gridCol w:w="270"/>
        <w:gridCol w:w="1800"/>
        <w:gridCol w:w="990"/>
      </w:tblGrid>
      <w:tr w:rsidR="00A9310F" w:rsidRPr="00ED410A" w:rsidTr="00CA3266">
        <w:tc>
          <w:tcPr>
            <w:tcW w:w="1800" w:type="dxa"/>
            <w:shd w:val="clear" w:color="auto" w:fill="5B9BD5" w:themeFill="accent1"/>
          </w:tcPr>
          <w:p w:rsidR="00A9310F" w:rsidRPr="00ED410A" w:rsidRDefault="00A9310F" w:rsidP="00CA3266">
            <w:pPr>
              <w:rPr>
                <w:rFonts w:eastAsia="Calibri" w:cs="Times New Roman"/>
                <w:b/>
                <w:color w:val="FFFFFF" w:themeColor="background1"/>
              </w:rPr>
            </w:pPr>
          </w:p>
        </w:tc>
        <w:tc>
          <w:tcPr>
            <w:tcW w:w="11880" w:type="dxa"/>
            <w:gridSpan w:val="12"/>
            <w:tcBorders>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ED410A">
              <w:rPr>
                <w:rFonts w:eastAsia="Calibri" w:cs="Times New Roman"/>
                <w:b/>
                <w:color w:val="FFFFFF" w:themeColor="background1"/>
              </w:rPr>
              <w:t>DV Outcome Scores</w:t>
            </w:r>
          </w:p>
        </w:tc>
      </w:tr>
      <w:tr w:rsidR="00A9310F" w:rsidRPr="00ED410A" w:rsidTr="00CA3266">
        <w:tc>
          <w:tcPr>
            <w:tcW w:w="1800" w:type="dxa"/>
            <w:shd w:val="clear" w:color="auto" w:fill="5B9BD5" w:themeFill="accent1"/>
          </w:tcPr>
          <w:p w:rsidR="00A9310F" w:rsidRPr="00ED410A" w:rsidRDefault="00A9310F" w:rsidP="00CA3266">
            <w:pPr>
              <w:rPr>
                <w:rFonts w:eastAsia="Calibri" w:cs="Times New Roman"/>
                <w:b/>
                <w:color w:val="FFFFFF" w:themeColor="background1"/>
              </w:rPr>
            </w:pPr>
          </w:p>
        </w:tc>
        <w:tc>
          <w:tcPr>
            <w:tcW w:w="2610" w:type="dxa"/>
            <w:gridSpan w:val="2"/>
            <w:tcBorders>
              <w:top w:val="single" w:sz="4" w:space="0" w:color="auto"/>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ED410A">
              <w:rPr>
                <w:rFonts w:eastAsia="Calibri" w:cs="Times New Roman"/>
                <w:b/>
                <w:color w:val="FFFFFF" w:themeColor="background1"/>
              </w:rPr>
              <w:t>Safety</w:t>
            </w:r>
          </w:p>
        </w:tc>
        <w:tc>
          <w:tcPr>
            <w:tcW w:w="360" w:type="dxa"/>
            <w:tcBorders>
              <w:top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p>
        </w:tc>
        <w:tc>
          <w:tcPr>
            <w:tcW w:w="2520" w:type="dxa"/>
            <w:gridSpan w:val="2"/>
            <w:tcBorders>
              <w:top w:val="single" w:sz="4" w:space="0" w:color="auto"/>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ED410A">
              <w:rPr>
                <w:rFonts w:eastAsia="Calibri" w:cs="Times New Roman"/>
                <w:b/>
                <w:color w:val="FFFFFF" w:themeColor="background1"/>
              </w:rPr>
              <w:t>Stability</w:t>
            </w:r>
          </w:p>
        </w:tc>
        <w:tc>
          <w:tcPr>
            <w:tcW w:w="450" w:type="dxa"/>
            <w:gridSpan w:val="2"/>
            <w:tcBorders>
              <w:top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p>
        </w:tc>
        <w:tc>
          <w:tcPr>
            <w:tcW w:w="2880" w:type="dxa"/>
            <w:gridSpan w:val="2"/>
            <w:tcBorders>
              <w:top w:val="single" w:sz="4" w:space="0" w:color="auto"/>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ED410A">
              <w:rPr>
                <w:rFonts w:eastAsia="Calibri" w:cs="Times New Roman"/>
                <w:b/>
                <w:color w:val="FFFFFF" w:themeColor="background1"/>
              </w:rPr>
              <w:t>Permanency</w:t>
            </w:r>
          </w:p>
        </w:tc>
        <w:tc>
          <w:tcPr>
            <w:tcW w:w="270" w:type="dxa"/>
            <w:tcBorders>
              <w:top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p>
        </w:tc>
        <w:tc>
          <w:tcPr>
            <w:tcW w:w="2790" w:type="dxa"/>
            <w:gridSpan w:val="2"/>
            <w:tcBorders>
              <w:top w:val="single" w:sz="4" w:space="0" w:color="auto"/>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ED410A">
              <w:rPr>
                <w:rFonts w:eastAsia="Calibri" w:cs="Times New Roman"/>
                <w:b/>
                <w:color w:val="FFFFFF" w:themeColor="background1"/>
              </w:rPr>
              <w:t>Wellbeing</w:t>
            </w:r>
          </w:p>
        </w:tc>
      </w:tr>
      <w:tr w:rsidR="00A9310F" w:rsidRPr="00ED410A" w:rsidTr="00CA3266">
        <w:tc>
          <w:tcPr>
            <w:tcW w:w="1800" w:type="dxa"/>
            <w:tcBorders>
              <w:bottom w:val="single" w:sz="4" w:space="0" w:color="auto"/>
            </w:tcBorders>
            <w:shd w:val="clear" w:color="auto" w:fill="5B9BD5" w:themeFill="accent1"/>
          </w:tcPr>
          <w:p w:rsidR="00A9310F" w:rsidRPr="00ED410A" w:rsidRDefault="00A9310F" w:rsidP="00CA3266">
            <w:pPr>
              <w:rPr>
                <w:rFonts w:eastAsia="Calibri" w:cs="Times New Roman"/>
                <w:b/>
                <w:color w:val="FFFFFF" w:themeColor="background1"/>
              </w:rPr>
            </w:pPr>
            <w:r w:rsidRPr="00486A1C">
              <w:rPr>
                <w:rFonts w:eastAsia="Calibri" w:cs="Times New Roman"/>
                <w:b/>
                <w:color w:val="FFFFFF" w:themeColor="background1"/>
              </w:rPr>
              <w:t>Service</w:t>
            </w:r>
            <w:r w:rsidRPr="00ED410A">
              <w:rPr>
                <w:rFonts w:eastAsia="Calibri" w:cs="Times New Roman"/>
                <w:b/>
                <w:color w:val="FFFFFF" w:themeColor="background1"/>
              </w:rPr>
              <w:t xml:space="preserve"> Levels</w:t>
            </w:r>
          </w:p>
        </w:tc>
        <w:tc>
          <w:tcPr>
            <w:tcW w:w="2610" w:type="dxa"/>
            <w:gridSpan w:val="2"/>
            <w:tcBorders>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ED410A">
              <w:rPr>
                <w:rFonts w:eastAsia="Calibri" w:cs="Times New Roman"/>
                <w:b/>
                <w:color w:val="FFFFFF" w:themeColor="background1"/>
              </w:rPr>
              <w:t>M</w:t>
            </w:r>
            <w:r w:rsidRPr="00ED410A">
              <w:rPr>
                <w:rFonts w:eastAsia="Calibri" w:cs="Calibri"/>
                <w:b/>
                <w:color w:val="FFFFFF" w:themeColor="background1"/>
              </w:rPr>
              <w:t>±</w:t>
            </w:r>
            <w:r w:rsidRPr="00ED410A">
              <w:rPr>
                <w:rFonts w:eastAsia="Calibri" w:cs="Times New Roman"/>
                <w:b/>
                <w:color w:val="FFFFFF" w:themeColor="background1"/>
              </w:rPr>
              <w:t>SD</w:t>
            </w:r>
          </w:p>
        </w:tc>
        <w:tc>
          <w:tcPr>
            <w:tcW w:w="3240" w:type="dxa"/>
            <w:gridSpan w:val="4"/>
            <w:tcBorders>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ED410A">
              <w:rPr>
                <w:rFonts w:eastAsia="Calibri" w:cs="Times New Roman"/>
                <w:b/>
                <w:color w:val="FFFFFF" w:themeColor="background1"/>
              </w:rPr>
              <w:t>M</w:t>
            </w:r>
            <w:r w:rsidRPr="00ED410A">
              <w:rPr>
                <w:rFonts w:eastAsia="Calibri" w:cs="Calibri"/>
                <w:b/>
                <w:color w:val="FFFFFF" w:themeColor="background1"/>
              </w:rPr>
              <w:t>±</w:t>
            </w:r>
            <w:r w:rsidRPr="00ED410A">
              <w:rPr>
                <w:rFonts w:eastAsia="Calibri" w:cs="Times New Roman"/>
                <w:b/>
                <w:color w:val="FFFFFF" w:themeColor="background1"/>
              </w:rPr>
              <w:t>SD</w:t>
            </w:r>
          </w:p>
        </w:tc>
        <w:tc>
          <w:tcPr>
            <w:tcW w:w="2970" w:type="dxa"/>
            <w:gridSpan w:val="3"/>
            <w:tcBorders>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ED410A">
              <w:rPr>
                <w:rFonts w:eastAsia="Calibri" w:cs="Times New Roman"/>
                <w:b/>
                <w:color w:val="FFFFFF" w:themeColor="background1"/>
              </w:rPr>
              <w:t>M</w:t>
            </w:r>
            <w:r w:rsidRPr="00ED410A">
              <w:rPr>
                <w:rFonts w:eastAsia="Calibri" w:cs="Calibri"/>
                <w:b/>
                <w:color w:val="FFFFFF" w:themeColor="background1"/>
              </w:rPr>
              <w:t>±</w:t>
            </w:r>
            <w:r w:rsidRPr="00ED410A">
              <w:rPr>
                <w:rFonts w:eastAsia="Calibri" w:cs="Times New Roman"/>
                <w:b/>
                <w:color w:val="FFFFFF" w:themeColor="background1"/>
              </w:rPr>
              <w:t>SD</w:t>
            </w:r>
          </w:p>
        </w:tc>
        <w:tc>
          <w:tcPr>
            <w:tcW w:w="270" w:type="dxa"/>
            <w:tcBorders>
              <w:left w:val="nil"/>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p>
        </w:tc>
        <w:tc>
          <w:tcPr>
            <w:tcW w:w="2790" w:type="dxa"/>
            <w:gridSpan w:val="2"/>
            <w:tcBorders>
              <w:top w:val="single" w:sz="4" w:space="0" w:color="auto"/>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ED410A">
              <w:rPr>
                <w:rFonts w:eastAsia="Calibri" w:cs="Times New Roman"/>
                <w:b/>
                <w:color w:val="FFFFFF" w:themeColor="background1"/>
              </w:rPr>
              <w:t>M</w:t>
            </w:r>
            <w:r w:rsidRPr="00ED410A">
              <w:rPr>
                <w:rFonts w:eastAsia="Calibri" w:cs="Calibri"/>
                <w:b/>
                <w:color w:val="FFFFFF" w:themeColor="background1"/>
              </w:rPr>
              <w:t>±</w:t>
            </w:r>
            <w:r w:rsidRPr="00ED410A">
              <w:rPr>
                <w:rFonts w:eastAsia="Calibri" w:cs="Times New Roman"/>
                <w:b/>
                <w:color w:val="FFFFFF" w:themeColor="background1"/>
              </w:rPr>
              <w:t>SD</w:t>
            </w:r>
          </w:p>
        </w:tc>
      </w:tr>
      <w:tr w:rsidR="00A9310F" w:rsidRPr="00ED410A" w:rsidTr="00CA3266">
        <w:tc>
          <w:tcPr>
            <w:tcW w:w="1800" w:type="dxa"/>
            <w:tcBorders>
              <w:top w:val="single" w:sz="4" w:space="0" w:color="auto"/>
            </w:tcBorders>
          </w:tcPr>
          <w:p w:rsidR="00A9310F" w:rsidRPr="00ED410A" w:rsidRDefault="00A9310F" w:rsidP="00CA3266">
            <w:pPr>
              <w:rPr>
                <w:rFonts w:eastAsia="Calibri" w:cs="Times New Roman"/>
              </w:rPr>
            </w:pPr>
            <w:r w:rsidRPr="00ED410A">
              <w:rPr>
                <w:rFonts w:eastAsia="Calibri" w:cs="Times New Roman"/>
              </w:rPr>
              <w:t>No Services</w:t>
            </w:r>
          </w:p>
        </w:tc>
        <w:tc>
          <w:tcPr>
            <w:tcW w:w="2610" w:type="dxa"/>
            <w:gridSpan w:val="2"/>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5.04</w:t>
            </w:r>
            <w:r w:rsidRPr="00ED410A">
              <w:rPr>
                <w:rFonts w:eastAsia="Calibri" w:cs="Calibri"/>
              </w:rPr>
              <w:t>±.074</w:t>
            </w:r>
          </w:p>
        </w:tc>
        <w:tc>
          <w:tcPr>
            <w:tcW w:w="3240" w:type="dxa"/>
            <w:gridSpan w:val="4"/>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3.99</w:t>
            </w:r>
            <w:r w:rsidRPr="00ED410A">
              <w:rPr>
                <w:rFonts w:eastAsia="Calibri" w:cs="Calibri"/>
              </w:rPr>
              <w:t>±1.12</w:t>
            </w:r>
          </w:p>
        </w:tc>
        <w:tc>
          <w:tcPr>
            <w:tcW w:w="2970" w:type="dxa"/>
            <w:gridSpan w:val="3"/>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3.85</w:t>
            </w:r>
            <w:r w:rsidRPr="00ED410A">
              <w:rPr>
                <w:rFonts w:eastAsia="Calibri" w:cs="Calibri"/>
              </w:rPr>
              <w:t>±1.16</w:t>
            </w:r>
          </w:p>
        </w:tc>
        <w:tc>
          <w:tcPr>
            <w:tcW w:w="3060" w:type="dxa"/>
            <w:gridSpan w:val="3"/>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4.97</w:t>
            </w:r>
            <w:r w:rsidRPr="00ED410A">
              <w:rPr>
                <w:rFonts w:eastAsia="Calibri" w:cs="Calibri"/>
              </w:rPr>
              <w:t>±0.66</w:t>
            </w:r>
          </w:p>
        </w:tc>
      </w:tr>
      <w:tr w:rsidR="00A9310F" w:rsidRPr="00ED410A" w:rsidTr="00CA3266">
        <w:tc>
          <w:tcPr>
            <w:tcW w:w="1800" w:type="dxa"/>
          </w:tcPr>
          <w:p w:rsidR="00A9310F" w:rsidRPr="00ED410A" w:rsidRDefault="00A9310F" w:rsidP="00CA3266">
            <w:pPr>
              <w:rPr>
                <w:rFonts w:eastAsia="Calibri" w:cs="Times New Roman"/>
              </w:rPr>
            </w:pPr>
            <w:r w:rsidRPr="00ED410A">
              <w:rPr>
                <w:rFonts w:eastAsia="Calibri" w:cs="Times New Roman"/>
              </w:rPr>
              <w:t>Yes Services</w:t>
            </w:r>
          </w:p>
        </w:tc>
        <w:tc>
          <w:tcPr>
            <w:tcW w:w="2610" w:type="dxa"/>
            <w:gridSpan w:val="2"/>
          </w:tcPr>
          <w:p w:rsidR="00A9310F" w:rsidRPr="00ED410A" w:rsidRDefault="00A9310F" w:rsidP="00CA3266">
            <w:pPr>
              <w:jc w:val="center"/>
              <w:rPr>
                <w:rFonts w:eastAsia="Calibri" w:cs="Times New Roman"/>
              </w:rPr>
            </w:pPr>
            <w:r w:rsidRPr="00ED410A">
              <w:rPr>
                <w:rFonts w:eastAsia="Calibri" w:cs="Times New Roman"/>
              </w:rPr>
              <w:t>5.34</w:t>
            </w:r>
            <w:r w:rsidRPr="00ED410A">
              <w:rPr>
                <w:rFonts w:eastAsia="Calibri" w:cs="Calibri"/>
              </w:rPr>
              <w:t>±.071</w:t>
            </w:r>
          </w:p>
        </w:tc>
        <w:tc>
          <w:tcPr>
            <w:tcW w:w="3240" w:type="dxa"/>
            <w:gridSpan w:val="4"/>
          </w:tcPr>
          <w:p w:rsidR="00A9310F" w:rsidRPr="00ED410A" w:rsidRDefault="00A9310F" w:rsidP="00CA3266">
            <w:pPr>
              <w:jc w:val="center"/>
              <w:rPr>
                <w:rFonts w:eastAsia="Calibri" w:cs="Times New Roman"/>
              </w:rPr>
            </w:pPr>
            <w:r w:rsidRPr="00ED410A">
              <w:rPr>
                <w:rFonts w:eastAsia="Calibri" w:cs="Times New Roman"/>
              </w:rPr>
              <w:t>3.93</w:t>
            </w:r>
            <w:r w:rsidRPr="00ED410A">
              <w:rPr>
                <w:rFonts w:eastAsia="Calibri" w:cs="Calibri"/>
              </w:rPr>
              <w:t>±1.03</w:t>
            </w:r>
          </w:p>
        </w:tc>
        <w:tc>
          <w:tcPr>
            <w:tcW w:w="2970" w:type="dxa"/>
            <w:gridSpan w:val="3"/>
          </w:tcPr>
          <w:p w:rsidR="00A9310F" w:rsidRPr="00ED410A" w:rsidRDefault="00A9310F" w:rsidP="00CA3266">
            <w:pPr>
              <w:jc w:val="center"/>
              <w:rPr>
                <w:rFonts w:eastAsia="Calibri" w:cs="Times New Roman"/>
              </w:rPr>
            </w:pPr>
            <w:r w:rsidRPr="00ED410A">
              <w:rPr>
                <w:rFonts w:eastAsia="Calibri" w:cs="Times New Roman"/>
              </w:rPr>
              <w:t>3.47</w:t>
            </w:r>
            <w:r w:rsidRPr="00ED410A">
              <w:rPr>
                <w:rFonts w:eastAsia="Calibri" w:cs="Calibri"/>
              </w:rPr>
              <w:t>±1.06</w:t>
            </w:r>
          </w:p>
        </w:tc>
        <w:tc>
          <w:tcPr>
            <w:tcW w:w="3060" w:type="dxa"/>
            <w:gridSpan w:val="3"/>
          </w:tcPr>
          <w:p w:rsidR="00A9310F" w:rsidRPr="00ED410A" w:rsidRDefault="00A9310F" w:rsidP="00CA3266">
            <w:pPr>
              <w:jc w:val="center"/>
              <w:rPr>
                <w:rFonts w:eastAsia="Calibri" w:cs="Times New Roman"/>
              </w:rPr>
            </w:pPr>
            <w:r w:rsidRPr="00ED410A">
              <w:rPr>
                <w:rFonts w:eastAsia="Calibri" w:cs="Times New Roman"/>
              </w:rPr>
              <w:t>5.16</w:t>
            </w:r>
            <w:r w:rsidRPr="00ED410A">
              <w:rPr>
                <w:rFonts w:eastAsia="Calibri" w:cs="Calibri"/>
              </w:rPr>
              <w:t>±0.59</w:t>
            </w:r>
          </w:p>
        </w:tc>
      </w:tr>
      <w:tr w:rsidR="00A9310F" w:rsidRPr="00ED410A" w:rsidTr="00CA3266">
        <w:tc>
          <w:tcPr>
            <w:tcW w:w="1800" w:type="dxa"/>
            <w:tcBorders>
              <w:bottom w:val="single" w:sz="4" w:space="0" w:color="auto"/>
            </w:tcBorders>
          </w:tcPr>
          <w:p w:rsidR="00A9310F" w:rsidRPr="00ED410A" w:rsidRDefault="00A9310F" w:rsidP="00CA3266">
            <w:pPr>
              <w:rPr>
                <w:rFonts w:eastAsia="Calibri" w:cs="Times New Roman"/>
              </w:rPr>
            </w:pPr>
            <w:r>
              <w:rPr>
                <w:rFonts w:eastAsia="Calibri" w:cs="Times New Roman"/>
              </w:rPr>
              <w:t>Change in mean</w:t>
            </w:r>
          </w:p>
        </w:tc>
        <w:tc>
          <w:tcPr>
            <w:tcW w:w="2610" w:type="dxa"/>
            <w:gridSpan w:val="2"/>
            <w:tcBorders>
              <w:bottom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.30</w:t>
            </w:r>
          </w:p>
        </w:tc>
        <w:tc>
          <w:tcPr>
            <w:tcW w:w="3240" w:type="dxa"/>
            <w:gridSpan w:val="4"/>
            <w:tcBorders>
              <w:bottom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-.06</w:t>
            </w:r>
          </w:p>
        </w:tc>
        <w:tc>
          <w:tcPr>
            <w:tcW w:w="2970" w:type="dxa"/>
            <w:gridSpan w:val="3"/>
            <w:tcBorders>
              <w:bottom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-.38</w:t>
            </w:r>
          </w:p>
        </w:tc>
        <w:tc>
          <w:tcPr>
            <w:tcW w:w="3060" w:type="dxa"/>
            <w:gridSpan w:val="3"/>
            <w:tcBorders>
              <w:bottom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.19</w:t>
            </w:r>
          </w:p>
        </w:tc>
      </w:tr>
      <w:tr w:rsidR="00A9310F" w:rsidRPr="00ED410A" w:rsidTr="00CA3266">
        <w:tc>
          <w:tcPr>
            <w:tcW w:w="1800" w:type="dxa"/>
            <w:tcBorders>
              <w:top w:val="single" w:sz="4" w:space="0" w:color="auto"/>
              <w:bottom w:val="single" w:sz="4" w:space="0" w:color="auto"/>
            </w:tcBorders>
            <w:shd w:val="clear" w:color="auto" w:fill="5B9BD5" w:themeFill="accent1"/>
          </w:tcPr>
          <w:p w:rsidR="00A9310F" w:rsidRPr="00ED410A" w:rsidRDefault="00A9310F" w:rsidP="00CA3266">
            <w:pPr>
              <w:rPr>
                <w:rFonts w:eastAsia="Calibri" w:cs="Times New Roman"/>
                <w:b/>
                <w:color w:val="FFFFFF" w:themeColor="background1"/>
              </w:rPr>
            </w:pPr>
            <w:r w:rsidRPr="00486A1C">
              <w:rPr>
                <w:rFonts w:eastAsia="Calibri" w:cs="Times New Roman"/>
                <w:b/>
                <w:color w:val="FFFFFF" w:themeColor="background1"/>
              </w:rPr>
              <w:t>Variable</w:t>
            </w:r>
          </w:p>
        </w:tc>
        <w:tc>
          <w:tcPr>
            <w:tcW w:w="1435" w:type="dxa"/>
            <w:tcBorders>
              <w:top w:val="single" w:sz="4" w:space="0" w:color="auto"/>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486A1C">
              <w:rPr>
                <w:rFonts w:eastAsia="Calibri" w:cs="Times New Roman"/>
                <w:b/>
                <w:color w:val="FFFFFF" w:themeColor="background1"/>
              </w:rPr>
              <w:t>F</w:t>
            </w:r>
          </w:p>
        </w:tc>
        <w:tc>
          <w:tcPr>
            <w:tcW w:w="1175" w:type="dxa"/>
            <w:tcBorders>
              <w:top w:val="single" w:sz="4" w:space="0" w:color="auto"/>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ED410A">
              <w:rPr>
                <w:rFonts w:eastAsia="Calibri" w:cs="Times New Roman"/>
                <w:b/>
                <w:color w:val="FFFFFF" w:themeColor="background1"/>
              </w:rPr>
              <w:t>Eta</w:t>
            </w:r>
            <w:r w:rsidRPr="00ED410A">
              <w:rPr>
                <w:rFonts w:eastAsia="Calibri" w:cs="Times New Roman"/>
                <w:b/>
                <w:color w:val="FFFFFF" w:themeColor="background1"/>
                <w:vertAlign w:val="superscript"/>
              </w:rPr>
              <w:t>2</w:t>
            </w:r>
          </w:p>
        </w:tc>
        <w:tc>
          <w:tcPr>
            <w:tcW w:w="2155" w:type="dxa"/>
            <w:gridSpan w:val="2"/>
            <w:tcBorders>
              <w:top w:val="single" w:sz="4" w:space="0" w:color="auto"/>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486A1C">
              <w:rPr>
                <w:rFonts w:eastAsia="Calibri" w:cs="Times New Roman"/>
                <w:b/>
                <w:color w:val="FFFFFF" w:themeColor="background1"/>
              </w:rPr>
              <w:t>F</w:t>
            </w:r>
          </w:p>
        </w:tc>
        <w:tc>
          <w:tcPr>
            <w:tcW w:w="1085" w:type="dxa"/>
            <w:gridSpan w:val="2"/>
            <w:tcBorders>
              <w:top w:val="single" w:sz="4" w:space="0" w:color="auto"/>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ED410A">
              <w:rPr>
                <w:rFonts w:eastAsia="Calibri" w:cs="Times New Roman"/>
                <w:b/>
                <w:color w:val="FFFFFF" w:themeColor="background1"/>
              </w:rPr>
              <w:t>Eta</w:t>
            </w:r>
            <w:r w:rsidRPr="00ED410A">
              <w:rPr>
                <w:rFonts w:eastAsia="Calibri" w:cs="Times New Roman"/>
                <w:b/>
                <w:color w:val="FFFFFF" w:themeColor="background1"/>
                <w:vertAlign w:val="superscript"/>
              </w:rPr>
              <w:t>2</w:t>
            </w:r>
          </w:p>
        </w:tc>
        <w:tc>
          <w:tcPr>
            <w:tcW w:w="1440" w:type="dxa"/>
            <w:gridSpan w:val="2"/>
            <w:tcBorders>
              <w:top w:val="single" w:sz="4" w:space="0" w:color="auto"/>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486A1C">
              <w:rPr>
                <w:rFonts w:eastAsia="Calibri" w:cs="Times New Roman"/>
                <w:b/>
                <w:color w:val="FFFFFF" w:themeColor="background1"/>
              </w:rPr>
              <w:t>F</w:t>
            </w:r>
          </w:p>
        </w:tc>
        <w:tc>
          <w:tcPr>
            <w:tcW w:w="1530" w:type="dxa"/>
            <w:tcBorders>
              <w:top w:val="single" w:sz="4" w:space="0" w:color="auto"/>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ED410A">
              <w:rPr>
                <w:rFonts w:eastAsia="Calibri" w:cs="Times New Roman"/>
                <w:b/>
                <w:color w:val="FFFFFF" w:themeColor="background1"/>
              </w:rPr>
              <w:t>Eta</w:t>
            </w:r>
            <w:r w:rsidRPr="00ED410A">
              <w:rPr>
                <w:rFonts w:eastAsia="Calibri" w:cs="Times New Roman"/>
                <w:b/>
                <w:color w:val="FFFFFF" w:themeColor="background1"/>
                <w:vertAlign w:val="superscript"/>
              </w:rPr>
              <w:t>2</w:t>
            </w:r>
          </w:p>
        </w:tc>
        <w:tc>
          <w:tcPr>
            <w:tcW w:w="2070" w:type="dxa"/>
            <w:gridSpan w:val="2"/>
            <w:tcBorders>
              <w:top w:val="single" w:sz="4" w:space="0" w:color="auto"/>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486A1C">
              <w:rPr>
                <w:rFonts w:eastAsia="Calibri" w:cs="Times New Roman"/>
                <w:b/>
                <w:color w:val="FFFFFF" w:themeColor="background1"/>
              </w:rPr>
              <w:t>F</w:t>
            </w:r>
          </w:p>
        </w:tc>
        <w:tc>
          <w:tcPr>
            <w:tcW w:w="990" w:type="dxa"/>
            <w:tcBorders>
              <w:top w:val="single" w:sz="4" w:space="0" w:color="auto"/>
              <w:bottom w:val="single" w:sz="4" w:space="0" w:color="auto"/>
            </w:tcBorders>
            <w:shd w:val="clear" w:color="auto" w:fill="5B9BD5" w:themeFill="accent1"/>
          </w:tcPr>
          <w:p w:rsidR="00A9310F" w:rsidRPr="00ED410A" w:rsidRDefault="00A9310F" w:rsidP="00CA3266">
            <w:pPr>
              <w:jc w:val="center"/>
              <w:rPr>
                <w:rFonts w:eastAsia="Calibri" w:cs="Times New Roman"/>
                <w:b/>
                <w:color w:val="FFFFFF" w:themeColor="background1"/>
              </w:rPr>
            </w:pPr>
            <w:r w:rsidRPr="00ED410A">
              <w:rPr>
                <w:rFonts w:eastAsia="Calibri" w:cs="Times New Roman"/>
                <w:b/>
                <w:color w:val="FFFFFF" w:themeColor="background1"/>
              </w:rPr>
              <w:t>Eta</w:t>
            </w:r>
            <w:r w:rsidRPr="00ED410A">
              <w:rPr>
                <w:rFonts w:eastAsia="Calibri" w:cs="Times New Roman"/>
                <w:b/>
                <w:color w:val="FFFFFF" w:themeColor="background1"/>
                <w:vertAlign w:val="superscript"/>
              </w:rPr>
              <w:t>2</w:t>
            </w:r>
          </w:p>
        </w:tc>
      </w:tr>
      <w:tr w:rsidR="00A9310F" w:rsidRPr="00ED410A" w:rsidTr="00CA3266">
        <w:tc>
          <w:tcPr>
            <w:tcW w:w="1800" w:type="dxa"/>
            <w:tcBorders>
              <w:top w:val="single" w:sz="4" w:space="0" w:color="auto"/>
            </w:tcBorders>
          </w:tcPr>
          <w:p w:rsidR="00A9310F" w:rsidRPr="00ED410A" w:rsidRDefault="00A9310F" w:rsidP="00CA3266">
            <w:pPr>
              <w:rPr>
                <w:rFonts w:eastAsia="Calibri" w:cs="Times New Roman"/>
              </w:rPr>
            </w:pPr>
            <w:r w:rsidRPr="00ED410A">
              <w:rPr>
                <w:rFonts w:eastAsia="Calibri" w:cs="Times New Roman"/>
              </w:rPr>
              <w:t xml:space="preserve">Concrete </w:t>
            </w:r>
            <w:r>
              <w:rPr>
                <w:rFonts w:eastAsia="Calibri" w:cs="Times New Roman"/>
              </w:rPr>
              <w:t>Service</w:t>
            </w:r>
          </w:p>
        </w:tc>
        <w:tc>
          <w:tcPr>
            <w:tcW w:w="1435" w:type="dxa"/>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105.43</w:t>
            </w:r>
            <w:r>
              <w:rPr>
                <w:rFonts w:eastAsia="Calibri" w:cs="Times New Roman"/>
              </w:rPr>
              <w:t>***</w:t>
            </w:r>
          </w:p>
        </w:tc>
        <w:tc>
          <w:tcPr>
            <w:tcW w:w="1175" w:type="dxa"/>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.040</w:t>
            </w:r>
          </w:p>
        </w:tc>
        <w:tc>
          <w:tcPr>
            <w:tcW w:w="2155" w:type="dxa"/>
            <w:gridSpan w:val="2"/>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0.708</w:t>
            </w:r>
          </w:p>
        </w:tc>
        <w:tc>
          <w:tcPr>
            <w:tcW w:w="1085" w:type="dxa"/>
            <w:gridSpan w:val="2"/>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.000</w:t>
            </w:r>
          </w:p>
        </w:tc>
        <w:tc>
          <w:tcPr>
            <w:tcW w:w="1440" w:type="dxa"/>
            <w:gridSpan w:val="2"/>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62.94</w:t>
            </w:r>
            <w:r>
              <w:rPr>
                <w:rFonts w:eastAsia="Calibri" w:cs="Times New Roman"/>
              </w:rPr>
              <w:t>***</w:t>
            </w:r>
          </w:p>
        </w:tc>
        <w:tc>
          <w:tcPr>
            <w:tcW w:w="1530" w:type="dxa"/>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.022</w:t>
            </w:r>
          </w:p>
        </w:tc>
        <w:tc>
          <w:tcPr>
            <w:tcW w:w="2070" w:type="dxa"/>
            <w:gridSpan w:val="2"/>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66.09</w:t>
            </w:r>
            <w:r>
              <w:rPr>
                <w:rFonts w:eastAsia="Calibri" w:cs="Times New Roman"/>
              </w:rPr>
              <w:t>***</w:t>
            </w:r>
          </w:p>
        </w:tc>
        <w:tc>
          <w:tcPr>
            <w:tcW w:w="990" w:type="dxa"/>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.022</w:t>
            </w:r>
          </w:p>
        </w:tc>
      </w:tr>
      <w:tr w:rsidR="00A9310F" w:rsidRPr="007A2033" w:rsidTr="00CA3266">
        <w:tc>
          <w:tcPr>
            <w:tcW w:w="13680" w:type="dxa"/>
            <w:gridSpan w:val="13"/>
            <w:tcBorders>
              <w:bottom w:val="single" w:sz="4" w:space="0" w:color="auto"/>
            </w:tcBorders>
            <w:shd w:val="clear" w:color="auto" w:fill="DEEAF6" w:themeFill="accent1" w:themeFillTint="33"/>
          </w:tcPr>
          <w:p w:rsidR="00A9310F" w:rsidRPr="007A2033" w:rsidRDefault="00A9310F" w:rsidP="00CA3266">
            <w:pPr>
              <w:jc w:val="center"/>
              <w:rPr>
                <w:rFonts w:eastAsia="Calibri" w:cs="Times New Roman"/>
                <w:b/>
              </w:rPr>
            </w:pPr>
            <w:r w:rsidRPr="007A2033">
              <w:rPr>
                <w:rFonts w:eastAsia="Calibri" w:cs="Times New Roman"/>
                <w:b/>
              </w:rPr>
              <w:t>Covariates</w:t>
            </w:r>
          </w:p>
        </w:tc>
      </w:tr>
      <w:tr w:rsidR="00A9310F" w:rsidRPr="00ED410A" w:rsidTr="00CA3266">
        <w:tc>
          <w:tcPr>
            <w:tcW w:w="1800" w:type="dxa"/>
            <w:tcBorders>
              <w:top w:val="single" w:sz="4" w:space="0" w:color="auto"/>
            </w:tcBorders>
          </w:tcPr>
          <w:p w:rsidR="00A9310F" w:rsidRPr="00ED410A" w:rsidRDefault="00A9310F" w:rsidP="00CA3266">
            <w:pPr>
              <w:rPr>
                <w:rFonts w:eastAsia="Calibri" w:cs="Times New Roman"/>
                <w:vertAlign w:val="superscript"/>
              </w:rPr>
            </w:pPr>
            <w:r w:rsidRPr="00ED410A">
              <w:rPr>
                <w:rFonts w:eastAsia="Calibri" w:cs="Times New Roman"/>
              </w:rPr>
              <w:t>Current place</w:t>
            </w:r>
            <w:r w:rsidRPr="00ED410A">
              <w:rPr>
                <w:rFonts w:eastAsia="Calibri" w:cs="Times New Roman"/>
                <w:vertAlign w:val="superscript"/>
              </w:rPr>
              <w:t>1</w:t>
            </w:r>
          </w:p>
        </w:tc>
        <w:tc>
          <w:tcPr>
            <w:tcW w:w="1435" w:type="dxa"/>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139.50</w:t>
            </w:r>
            <w:r>
              <w:rPr>
                <w:rFonts w:eastAsia="Calibri" w:cs="Times New Roman"/>
              </w:rPr>
              <w:t>***</w:t>
            </w:r>
          </w:p>
        </w:tc>
        <w:tc>
          <w:tcPr>
            <w:tcW w:w="1175" w:type="dxa"/>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.053</w:t>
            </w:r>
          </w:p>
        </w:tc>
        <w:tc>
          <w:tcPr>
            <w:tcW w:w="2155" w:type="dxa"/>
            <w:gridSpan w:val="2"/>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0.045</w:t>
            </w:r>
          </w:p>
        </w:tc>
        <w:tc>
          <w:tcPr>
            <w:tcW w:w="1085" w:type="dxa"/>
            <w:gridSpan w:val="2"/>
            <w:tcBorders>
              <w:top w:val="single" w:sz="4" w:space="0" w:color="auto"/>
            </w:tcBorders>
          </w:tcPr>
          <w:p w:rsidR="00A9310F" w:rsidRPr="00ED410A" w:rsidRDefault="00A9310F" w:rsidP="00CA3266">
            <w:pPr>
              <w:jc w:val="center"/>
              <w:rPr>
                <w:rFonts w:eastAsia="Calibri" w:cs="Times New Roman"/>
              </w:rPr>
            </w:pPr>
            <w:r>
              <w:rPr>
                <w:rFonts w:eastAsia="Calibri" w:cs="Times New Roman"/>
              </w:rPr>
              <w:t>.</w:t>
            </w:r>
            <w:r w:rsidRPr="00ED410A">
              <w:rPr>
                <w:rFonts w:eastAsia="Calibri" w:cs="Times New Roman"/>
              </w:rPr>
              <w:t xml:space="preserve"> 000</w:t>
            </w:r>
          </w:p>
        </w:tc>
        <w:tc>
          <w:tcPr>
            <w:tcW w:w="1440" w:type="dxa"/>
            <w:gridSpan w:val="2"/>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273.40***</w:t>
            </w:r>
          </w:p>
        </w:tc>
        <w:tc>
          <w:tcPr>
            <w:tcW w:w="1530" w:type="dxa"/>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.094</w:t>
            </w:r>
          </w:p>
        </w:tc>
        <w:tc>
          <w:tcPr>
            <w:tcW w:w="2070" w:type="dxa"/>
            <w:gridSpan w:val="2"/>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16.66</w:t>
            </w:r>
            <w:r>
              <w:rPr>
                <w:rFonts w:eastAsia="Calibri" w:cs="Times New Roman"/>
              </w:rPr>
              <w:t>***</w:t>
            </w:r>
          </w:p>
        </w:tc>
        <w:tc>
          <w:tcPr>
            <w:tcW w:w="990" w:type="dxa"/>
            <w:tcBorders>
              <w:top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.006</w:t>
            </w:r>
          </w:p>
        </w:tc>
      </w:tr>
      <w:tr w:rsidR="00A9310F" w:rsidRPr="00ED410A" w:rsidTr="00CA3266">
        <w:tc>
          <w:tcPr>
            <w:tcW w:w="1800" w:type="dxa"/>
          </w:tcPr>
          <w:p w:rsidR="00A9310F" w:rsidRPr="00ED410A" w:rsidRDefault="00A9310F" w:rsidP="00CA3266">
            <w:pPr>
              <w:rPr>
                <w:rFonts w:eastAsia="Calibri" w:cs="Times New Roman"/>
              </w:rPr>
            </w:pPr>
            <w:r>
              <w:rPr>
                <w:rFonts w:eastAsia="Calibri" w:cs="Times New Roman"/>
              </w:rPr>
              <w:t>Child</w:t>
            </w:r>
            <w:r w:rsidRPr="00ED410A">
              <w:rPr>
                <w:rFonts w:eastAsia="Calibri" w:cs="Times New Roman"/>
              </w:rPr>
              <w:t xml:space="preserve"> Stress</w:t>
            </w:r>
          </w:p>
        </w:tc>
        <w:tc>
          <w:tcPr>
            <w:tcW w:w="1435" w:type="dxa"/>
          </w:tcPr>
          <w:p w:rsidR="00A9310F" w:rsidRPr="00ED410A" w:rsidRDefault="00A9310F" w:rsidP="00CA3266">
            <w:pPr>
              <w:jc w:val="center"/>
              <w:rPr>
                <w:rFonts w:eastAsia="Calibri" w:cs="Times New Roman"/>
              </w:rPr>
            </w:pPr>
            <w:r w:rsidRPr="00ED410A">
              <w:rPr>
                <w:rFonts w:eastAsia="Calibri" w:cs="Times New Roman"/>
              </w:rPr>
              <w:t>63.72***</w:t>
            </w:r>
          </w:p>
        </w:tc>
        <w:tc>
          <w:tcPr>
            <w:tcW w:w="1175" w:type="dxa"/>
          </w:tcPr>
          <w:p w:rsidR="00A9310F" w:rsidRPr="00ED410A" w:rsidRDefault="00A9310F" w:rsidP="00CA3266">
            <w:pPr>
              <w:jc w:val="center"/>
              <w:rPr>
                <w:rFonts w:eastAsia="Calibri" w:cs="Times New Roman"/>
              </w:rPr>
            </w:pPr>
            <w:r w:rsidRPr="00ED410A">
              <w:rPr>
                <w:rFonts w:eastAsia="Calibri" w:cs="Times New Roman"/>
              </w:rPr>
              <w:t>.024</w:t>
            </w:r>
          </w:p>
        </w:tc>
        <w:tc>
          <w:tcPr>
            <w:tcW w:w="2155" w:type="dxa"/>
            <w:gridSpan w:val="2"/>
          </w:tcPr>
          <w:p w:rsidR="00A9310F" w:rsidRPr="00ED410A" w:rsidRDefault="00A9310F" w:rsidP="00CA3266">
            <w:pPr>
              <w:jc w:val="center"/>
              <w:rPr>
                <w:rFonts w:eastAsia="Calibri" w:cs="Times New Roman"/>
              </w:rPr>
            </w:pPr>
            <w:r w:rsidRPr="00ED410A">
              <w:rPr>
                <w:rFonts w:eastAsia="Calibri" w:cs="Times New Roman"/>
              </w:rPr>
              <w:t>69.26</w:t>
            </w:r>
            <w:r>
              <w:rPr>
                <w:rFonts w:eastAsia="Calibri" w:cs="Times New Roman"/>
              </w:rPr>
              <w:t>***</w:t>
            </w:r>
          </w:p>
        </w:tc>
        <w:tc>
          <w:tcPr>
            <w:tcW w:w="1085" w:type="dxa"/>
            <w:gridSpan w:val="2"/>
          </w:tcPr>
          <w:p w:rsidR="00A9310F" w:rsidRPr="00ED410A" w:rsidRDefault="00A9310F" w:rsidP="00CA3266">
            <w:pPr>
              <w:jc w:val="center"/>
              <w:rPr>
                <w:rFonts w:eastAsia="Calibri" w:cs="Times New Roman"/>
              </w:rPr>
            </w:pPr>
            <w:r w:rsidRPr="00ED410A">
              <w:rPr>
                <w:rFonts w:eastAsia="Calibri" w:cs="Times New Roman"/>
              </w:rPr>
              <w:t>.025</w:t>
            </w:r>
          </w:p>
        </w:tc>
        <w:tc>
          <w:tcPr>
            <w:tcW w:w="1440" w:type="dxa"/>
            <w:gridSpan w:val="2"/>
          </w:tcPr>
          <w:p w:rsidR="00A9310F" w:rsidRPr="00ED410A" w:rsidRDefault="00A9310F" w:rsidP="00CA3266">
            <w:pPr>
              <w:jc w:val="center"/>
              <w:rPr>
                <w:rFonts w:eastAsia="Calibri" w:cs="Times New Roman"/>
              </w:rPr>
            </w:pPr>
            <w:r w:rsidRPr="00ED410A">
              <w:rPr>
                <w:rFonts w:eastAsia="Calibri" w:cs="Times New Roman"/>
              </w:rPr>
              <w:t>51.64</w:t>
            </w:r>
            <w:r>
              <w:rPr>
                <w:rFonts w:eastAsia="Calibri" w:cs="Times New Roman"/>
              </w:rPr>
              <w:t>***</w:t>
            </w:r>
          </w:p>
        </w:tc>
        <w:tc>
          <w:tcPr>
            <w:tcW w:w="1530" w:type="dxa"/>
          </w:tcPr>
          <w:p w:rsidR="00A9310F" w:rsidRPr="00ED410A" w:rsidRDefault="00A9310F" w:rsidP="00CA3266">
            <w:pPr>
              <w:jc w:val="center"/>
              <w:rPr>
                <w:rFonts w:eastAsia="Calibri" w:cs="Times New Roman"/>
              </w:rPr>
            </w:pPr>
            <w:r w:rsidRPr="00ED410A">
              <w:rPr>
                <w:rFonts w:eastAsia="Calibri" w:cs="Times New Roman"/>
              </w:rPr>
              <w:t>.018</w:t>
            </w:r>
          </w:p>
        </w:tc>
        <w:tc>
          <w:tcPr>
            <w:tcW w:w="2070" w:type="dxa"/>
            <w:gridSpan w:val="2"/>
          </w:tcPr>
          <w:p w:rsidR="00A9310F" w:rsidRPr="00ED410A" w:rsidRDefault="00A9310F" w:rsidP="00CA3266">
            <w:pPr>
              <w:jc w:val="center"/>
              <w:rPr>
                <w:rFonts w:eastAsia="Calibri" w:cs="Times New Roman"/>
              </w:rPr>
            </w:pPr>
            <w:r w:rsidRPr="00ED410A">
              <w:rPr>
                <w:rFonts w:eastAsia="Calibri" w:cs="Times New Roman"/>
              </w:rPr>
              <w:t>515.53***</w:t>
            </w:r>
          </w:p>
        </w:tc>
        <w:tc>
          <w:tcPr>
            <w:tcW w:w="990" w:type="dxa"/>
          </w:tcPr>
          <w:p w:rsidR="00A9310F" w:rsidRPr="00ED410A" w:rsidRDefault="00A9310F" w:rsidP="00CA3266">
            <w:pPr>
              <w:jc w:val="center"/>
              <w:rPr>
                <w:rFonts w:eastAsia="Calibri" w:cs="Times New Roman"/>
              </w:rPr>
            </w:pPr>
            <w:r w:rsidRPr="00ED410A">
              <w:rPr>
                <w:rFonts w:eastAsia="Calibri" w:cs="Times New Roman"/>
              </w:rPr>
              <w:t>.172</w:t>
            </w:r>
          </w:p>
        </w:tc>
      </w:tr>
      <w:tr w:rsidR="00A9310F" w:rsidRPr="00ED410A" w:rsidTr="00CA3266">
        <w:tc>
          <w:tcPr>
            <w:tcW w:w="1800" w:type="dxa"/>
          </w:tcPr>
          <w:p w:rsidR="00A9310F" w:rsidRPr="00ED410A" w:rsidRDefault="00A9310F" w:rsidP="00CA3266">
            <w:pPr>
              <w:rPr>
                <w:rFonts w:eastAsia="Calibri" w:cs="Times New Roman"/>
              </w:rPr>
            </w:pPr>
            <w:r w:rsidRPr="00ED410A">
              <w:rPr>
                <w:rFonts w:eastAsia="Calibri" w:cs="Times New Roman"/>
              </w:rPr>
              <w:t>Placements</w:t>
            </w:r>
          </w:p>
        </w:tc>
        <w:tc>
          <w:tcPr>
            <w:tcW w:w="1435" w:type="dxa"/>
          </w:tcPr>
          <w:p w:rsidR="00A9310F" w:rsidRPr="00ED410A" w:rsidRDefault="00A9310F" w:rsidP="00CA3266">
            <w:pPr>
              <w:jc w:val="center"/>
              <w:rPr>
                <w:rFonts w:eastAsia="Calibri" w:cs="Times New Roman"/>
              </w:rPr>
            </w:pPr>
            <w:r w:rsidRPr="00ED410A">
              <w:rPr>
                <w:rFonts w:eastAsia="Calibri" w:cs="Times New Roman"/>
              </w:rPr>
              <w:t>0.007</w:t>
            </w:r>
          </w:p>
        </w:tc>
        <w:tc>
          <w:tcPr>
            <w:tcW w:w="1175" w:type="dxa"/>
          </w:tcPr>
          <w:p w:rsidR="00A9310F" w:rsidRPr="00ED410A" w:rsidRDefault="00A9310F" w:rsidP="00CA3266">
            <w:pPr>
              <w:jc w:val="center"/>
              <w:rPr>
                <w:rFonts w:eastAsia="Calibri" w:cs="Times New Roman"/>
              </w:rPr>
            </w:pPr>
            <w:r w:rsidRPr="00ED410A">
              <w:rPr>
                <w:rFonts w:eastAsia="Calibri" w:cs="Times New Roman"/>
              </w:rPr>
              <w:t>.000</w:t>
            </w:r>
          </w:p>
        </w:tc>
        <w:tc>
          <w:tcPr>
            <w:tcW w:w="2155" w:type="dxa"/>
            <w:gridSpan w:val="2"/>
          </w:tcPr>
          <w:p w:rsidR="00A9310F" w:rsidRPr="00ED410A" w:rsidRDefault="00A9310F" w:rsidP="00CA3266">
            <w:pPr>
              <w:jc w:val="center"/>
              <w:rPr>
                <w:rFonts w:eastAsia="Calibri" w:cs="Times New Roman"/>
              </w:rPr>
            </w:pPr>
            <w:r w:rsidRPr="00ED410A">
              <w:rPr>
                <w:rFonts w:eastAsia="Calibri" w:cs="Times New Roman"/>
              </w:rPr>
              <w:t>31.48</w:t>
            </w:r>
            <w:r>
              <w:rPr>
                <w:rFonts w:eastAsia="Calibri" w:cs="Times New Roman"/>
              </w:rPr>
              <w:t>***</w:t>
            </w:r>
          </w:p>
        </w:tc>
        <w:tc>
          <w:tcPr>
            <w:tcW w:w="1085" w:type="dxa"/>
            <w:gridSpan w:val="2"/>
          </w:tcPr>
          <w:p w:rsidR="00A9310F" w:rsidRPr="00ED410A" w:rsidRDefault="00A9310F" w:rsidP="00CA3266">
            <w:pPr>
              <w:jc w:val="center"/>
              <w:rPr>
                <w:rFonts w:eastAsia="Calibri" w:cs="Times New Roman"/>
              </w:rPr>
            </w:pPr>
            <w:r>
              <w:rPr>
                <w:rFonts w:eastAsia="Calibri" w:cs="Times New Roman"/>
              </w:rPr>
              <w:t>.</w:t>
            </w:r>
            <w:r w:rsidRPr="00ED410A">
              <w:rPr>
                <w:rFonts w:eastAsia="Calibri" w:cs="Times New Roman"/>
              </w:rPr>
              <w:t>012</w:t>
            </w:r>
          </w:p>
        </w:tc>
        <w:tc>
          <w:tcPr>
            <w:tcW w:w="1440" w:type="dxa"/>
            <w:gridSpan w:val="2"/>
          </w:tcPr>
          <w:p w:rsidR="00A9310F" w:rsidRPr="00ED410A" w:rsidRDefault="00A9310F" w:rsidP="00CA3266">
            <w:pPr>
              <w:jc w:val="center"/>
              <w:rPr>
                <w:rFonts w:eastAsia="Calibri" w:cs="Times New Roman"/>
              </w:rPr>
            </w:pPr>
            <w:r w:rsidRPr="00ED410A">
              <w:rPr>
                <w:rFonts w:eastAsia="Calibri" w:cs="Times New Roman"/>
              </w:rPr>
              <w:t>9.08</w:t>
            </w:r>
            <w:r>
              <w:rPr>
                <w:rFonts w:eastAsia="Calibri" w:cs="Times New Roman"/>
              </w:rPr>
              <w:t>**</w:t>
            </w:r>
          </w:p>
        </w:tc>
        <w:tc>
          <w:tcPr>
            <w:tcW w:w="1530" w:type="dxa"/>
          </w:tcPr>
          <w:p w:rsidR="00A9310F" w:rsidRPr="00ED410A" w:rsidRDefault="00A9310F" w:rsidP="00CA3266">
            <w:pPr>
              <w:jc w:val="center"/>
              <w:rPr>
                <w:rFonts w:eastAsia="Calibri" w:cs="Times New Roman"/>
              </w:rPr>
            </w:pPr>
            <w:r w:rsidRPr="00ED410A">
              <w:rPr>
                <w:rFonts w:eastAsia="Calibri" w:cs="Times New Roman"/>
              </w:rPr>
              <w:t>.003</w:t>
            </w:r>
          </w:p>
        </w:tc>
        <w:tc>
          <w:tcPr>
            <w:tcW w:w="2070" w:type="dxa"/>
            <w:gridSpan w:val="2"/>
          </w:tcPr>
          <w:p w:rsidR="00A9310F" w:rsidRPr="00ED410A" w:rsidRDefault="00A9310F" w:rsidP="00CA3266">
            <w:pPr>
              <w:jc w:val="center"/>
              <w:rPr>
                <w:rFonts w:eastAsia="Calibri" w:cs="Times New Roman"/>
              </w:rPr>
            </w:pPr>
            <w:r w:rsidRPr="00ED410A">
              <w:rPr>
                <w:rFonts w:eastAsia="Calibri" w:cs="Times New Roman"/>
              </w:rPr>
              <w:t>8.74</w:t>
            </w:r>
            <w:r>
              <w:rPr>
                <w:rFonts w:eastAsia="Calibri" w:cs="Times New Roman"/>
              </w:rPr>
              <w:t>***</w:t>
            </w:r>
          </w:p>
        </w:tc>
        <w:tc>
          <w:tcPr>
            <w:tcW w:w="990" w:type="dxa"/>
          </w:tcPr>
          <w:p w:rsidR="00A9310F" w:rsidRPr="00ED410A" w:rsidRDefault="00A9310F" w:rsidP="00CA3266">
            <w:pPr>
              <w:jc w:val="center"/>
              <w:rPr>
                <w:rFonts w:eastAsia="Calibri" w:cs="Times New Roman"/>
              </w:rPr>
            </w:pPr>
            <w:r w:rsidRPr="00ED410A">
              <w:rPr>
                <w:rFonts w:eastAsia="Calibri" w:cs="Times New Roman"/>
              </w:rPr>
              <w:t>.003</w:t>
            </w:r>
          </w:p>
        </w:tc>
      </w:tr>
      <w:tr w:rsidR="00A9310F" w:rsidRPr="00ED410A" w:rsidTr="00CA3266">
        <w:tc>
          <w:tcPr>
            <w:tcW w:w="1800" w:type="dxa"/>
          </w:tcPr>
          <w:p w:rsidR="00A9310F" w:rsidRPr="00ED410A" w:rsidRDefault="00A9310F" w:rsidP="00CA3266">
            <w:pPr>
              <w:rPr>
                <w:rFonts w:eastAsia="Calibri" w:cs="Times New Roman"/>
              </w:rPr>
            </w:pPr>
            <w:r w:rsidRPr="00ED410A">
              <w:rPr>
                <w:rFonts w:eastAsia="Calibri" w:cs="Times New Roman"/>
              </w:rPr>
              <w:t>Child Age</w:t>
            </w:r>
          </w:p>
        </w:tc>
        <w:tc>
          <w:tcPr>
            <w:tcW w:w="1435" w:type="dxa"/>
          </w:tcPr>
          <w:p w:rsidR="00A9310F" w:rsidRPr="00ED410A" w:rsidRDefault="00A9310F" w:rsidP="00CA3266">
            <w:pPr>
              <w:jc w:val="center"/>
              <w:rPr>
                <w:rFonts w:eastAsia="Calibri" w:cs="Times New Roman"/>
              </w:rPr>
            </w:pPr>
            <w:r w:rsidRPr="00ED410A">
              <w:rPr>
                <w:rFonts w:eastAsia="Calibri" w:cs="Times New Roman"/>
              </w:rPr>
              <w:t>0.067</w:t>
            </w:r>
          </w:p>
        </w:tc>
        <w:tc>
          <w:tcPr>
            <w:tcW w:w="1175" w:type="dxa"/>
          </w:tcPr>
          <w:p w:rsidR="00A9310F" w:rsidRPr="00ED410A" w:rsidRDefault="00A9310F" w:rsidP="00CA3266">
            <w:pPr>
              <w:jc w:val="center"/>
              <w:rPr>
                <w:rFonts w:eastAsia="Calibri" w:cs="Times New Roman"/>
              </w:rPr>
            </w:pPr>
            <w:r w:rsidRPr="00ED410A">
              <w:rPr>
                <w:rFonts w:eastAsia="Calibri" w:cs="Times New Roman"/>
              </w:rPr>
              <w:t>.000</w:t>
            </w:r>
          </w:p>
        </w:tc>
        <w:tc>
          <w:tcPr>
            <w:tcW w:w="2155" w:type="dxa"/>
            <w:gridSpan w:val="2"/>
          </w:tcPr>
          <w:p w:rsidR="00A9310F" w:rsidRPr="00ED410A" w:rsidRDefault="00A9310F" w:rsidP="00CA3266">
            <w:pPr>
              <w:jc w:val="center"/>
              <w:rPr>
                <w:rFonts w:eastAsia="Calibri" w:cs="Times New Roman"/>
              </w:rPr>
            </w:pPr>
            <w:r w:rsidRPr="00ED410A">
              <w:rPr>
                <w:rFonts w:eastAsia="Calibri" w:cs="Times New Roman"/>
              </w:rPr>
              <w:t>0.362</w:t>
            </w:r>
          </w:p>
        </w:tc>
        <w:tc>
          <w:tcPr>
            <w:tcW w:w="1085" w:type="dxa"/>
            <w:gridSpan w:val="2"/>
          </w:tcPr>
          <w:p w:rsidR="00A9310F" w:rsidRPr="00ED410A" w:rsidRDefault="00A9310F" w:rsidP="00CA3266">
            <w:pPr>
              <w:jc w:val="center"/>
              <w:rPr>
                <w:rFonts w:eastAsia="Calibri" w:cs="Times New Roman"/>
              </w:rPr>
            </w:pPr>
            <w:r w:rsidRPr="00ED410A">
              <w:rPr>
                <w:rFonts w:eastAsia="Calibri" w:cs="Times New Roman"/>
              </w:rPr>
              <w:t>.000</w:t>
            </w:r>
          </w:p>
        </w:tc>
        <w:tc>
          <w:tcPr>
            <w:tcW w:w="1440" w:type="dxa"/>
            <w:gridSpan w:val="2"/>
          </w:tcPr>
          <w:p w:rsidR="00A9310F" w:rsidRPr="00ED410A" w:rsidRDefault="00A9310F" w:rsidP="00CA3266">
            <w:pPr>
              <w:jc w:val="center"/>
              <w:rPr>
                <w:rFonts w:eastAsia="Calibri" w:cs="Times New Roman"/>
              </w:rPr>
            </w:pPr>
            <w:r w:rsidRPr="00ED410A">
              <w:rPr>
                <w:rFonts w:eastAsia="Calibri" w:cs="Times New Roman"/>
              </w:rPr>
              <w:t>3.523</w:t>
            </w:r>
          </w:p>
        </w:tc>
        <w:tc>
          <w:tcPr>
            <w:tcW w:w="1530" w:type="dxa"/>
          </w:tcPr>
          <w:p w:rsidR="00A9310F" w:rsidRPr="00ED410A" w:rsidRDefault="00A9310F" w:rsidP="00CA3266">
            <w:pPr>
              <w:jc w:val="center"/>
              <w:rPr>
                <w:rFonts w:eastAsia="Calibri" w:cs="Times New Roman"/>
              </w:rPr>
            </w:pPr>
            <w:r w:rsidRPr="00ED410A">
              <w:rPr>
                <w:rFonts w:eastAsia="Calibri" w:cs="Times New Roman"/>
              </w:rPr>
              <w:t>.001</w:t>
            </w:r>
          </w:p>
        </w:tc>
        <w:tc>
          <w:tcPr>
            <w:tcW w:w="2070" w:type="dxa"/>
            <w:gridSpan w:val="2"/>
          </w:tcPr>
          <w:p w:rsidR="00A9310F" w:rsidRPr="00ED410A" w:rsidRDefault="00A9310F" w:rsidP="00CA3266">
            <w:pPr>
              <w:jc w:val="center"/>
              <w:rPr>
                <w:rFonts w:eastAsia="Calibri" w:cs="Times New Roman"/>
              </w:rPr>
            </w:pPr>
            <w:r w:rsidRPr="00ED410A">
              <w:rPr>
                <w:rFonts w:eastAsia="Calibri" w:cs="Times New Roman"/>
              </w:rPr>
              <w:t>60.98</w:t>
            </w:r>
            <w:r>
              <w:rPr>
                <w:rFonts w:eastAsia="Calibri" w:cs="Times New Roman"/>
              </w:rPr>
              <w:t>***</w:t>
            </w:r>
          </w:p>
        </w:tc>
        <w:tc>
          <w:tcPr>
            <w:tcW w:w="990" w:type="dxa"/>
          </w:tcPr>
          <w:p w:rsidR="00A9310F" w:rsidRPr="00ED410A" w:rsidRDefault="00A9310F" w:rsidP="00CA3266">
            <w:pPr>
              <w:jc w:val="center"/>
              <w:rPr>
                <w:rFonts w:eastAsia="Calibri" w:cs="Times New Roman"/>
              </w:rPr>
            </w:pPr>
            <w:r>
              <w:rPr>
                <w:rFonts w:eastAsia="Calibri" w:cs="Times New Roman"/>
              </w:rPr>
              <w:t>.</w:t>
            </w:r>
            <w:r w:rsidRPr="00ED410A">
              <w:rPr>
                <w:rFonts w:eastAsia="Calibri" w:cs="Times New Roman"/>
              </w:rPr>
              <w:t>0020</w:t>
            </w:r>
          </w:p>
        </w:tc>
      </w:tr>
      <w:tr w:rsidR="00A9310F" w:rsidRPr="00ED410A" w:rsidTr="00CA3266">
        <w:tc>
          <w:tcPr>
            <w:tcW w:w="1800" w:type="dxa"/>
            <w:tcBorders>
              <w:bottom w:val="single" w:sz="4" w:space="0" w:color="auto"/>
            </w:tcBorders>
          </w:tcPr>
          <w:p w:rsidR="00A9310F" w:rsidRPr="00ED410A" w:rsidRDefault="00A9310F" w:rsidP="00CA3266">
            <w:pPr>
              <w:rPr>
                <w:rFonts w:eastAsia="Calibri" w:cs="Times New Roman"/>
                <w:vertAlign w:val="superscript"/>
              </w:rPr>
            </w:pPr>
            <w:r w:rsidRPr="00ED410A">
              <w:rPr>
                <w:rFonts w:eastAsia="Calibri" w:cs="Times New Roman"/>
              </w:rPr>
              <w:t>Placement plan</w:t>
            </w:r>
            <w:r w:rsidRPr="00ED410A">
              <w:rPr>
                <w:rFonts w:eastAsia="Calibri" w:cs="Times New Roman"/>
                <w:vertAlign w:val="superscript"/>
              </w:rPr>
              <w:t>2</w:t>
            </w:r>
          </w:p>
        </w:tc>
        <w:tc>
          <w:tcPr>
            <w:tcW w:w="1435" w:type="dxa"/>
            <w:tcBorders>
              <w:bottom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56.08***</w:t>
            </w:r>
          </w:p>
        </w:tc>
        <w:tc>
          <w:tcPr>
            <w:tcW w:w="1175" w:type="dxa"/>
            <w:tcBorders>
              <w:bottom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.021</w:t>
            </w:r>
          </w:p>
        </w:tc>
        <w:tc>
          <w:tcPr>
            <w:tcW w:w="2155" w:type="dxa"/>
            <w:gridSpan w:val="2"/>
            <w:tcBorders>
              <w:bottom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332.62</w:t>
            </w:r>
            <w:r>
              <w:rPr>
                <w:rFonts w:eastAsia="Calibri" w:cs="Times New Roman"/>
              </w:rPr>
              <w:t>***</w:t>
            </w:r>
          </w:p>
        </w:tc>
        <w:tc>
          <w:tcPr>
            <w:tcW w:w="1085" w:type="dxa"/>
            <w:gridSpan w:val="2"/>
            <w:tcBorders>
              <w:bottom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.122</w:t>
            </w:r>
          </w:p>
        </w:tc>
        <w:tc>
          <w:tcPr>
            <w:tcW w:w="1440" w:type="dxa"/>
            <w:gridSpan w:val="2"/>
            <w:tcBorders>
              <w:bottom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217.87***</w:t>
            </w:r>
          </w:p>
        </w:tc>
        <w:tc>
          <w:tcPr>
            <w:tcW w:w="1530" w:type="dxa"/>
            <w:tcBorders>
              <w:bottom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.075</w:t>
            </w:r>
          </w:p>
        </w:tc>
        <w:tc>
          <w:tcPr>
            <w:tcW w:w="2070" w:type="dxa"/>
            <w:gridSpan w:val="2"/>
            <w:tcBorders>
              <w:bottom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43.33</w:t>
            </w:r>
            <w:r>
              <w:rPr>
                <w:rFonts w:eastAsia="Calibri" w:cs="Times New Roman"/>
              </w:rPr>
              <w:t>***</w:t>
            </w:r>
          </w:p>
        </w:tc>
        <w:tc>
          <w:tcPr>
            <w:tcW w:w="990" w:type="dxa"/>
            <w:tcBorders>
              <w:bottom w:val="single" w:sz="4" w:space="0" w:color="auto"/>
            </w:tcBorders>
          </w:tcPr>
          <w:p w:rsidR="00A9310F" w:rsidRPr="00ED410A" w:rsidRDefault="00A9310F" w:rsidP="00CA3266">
            <w:pPr>
              <w:jc w:val="center"/>
              <w:rPr>
                <w:rFonts w:eastAsia="Calibri" w:cs="Times New Roman"/>
              </w:rPr>
            </w:pPr>
            <w:r w:rsidRPr="00ED410A">
              <w:rPr>
                <w:rFonts w:eastAsia="Calibri" w:cs="Times New Roman"/>
              </w:rPr>
              <w:t>.014</w:t>
            </w:r>
          </w:p>
        </w:tc>
      </w:tr>
      <w:tr w:rsidR="00A9310F" w:rsidRPr="00ED410A" w:rsidTr="00CA3266">
        <w:tc>
          <w:tcPr>
            <w:tcW w:w="13680" w:type="dxa"/>
            <w:gridSpan w:val="13"/>
            <w:tcBorders>
              <w:top w:val="single" w:sz="4" w:space="0" w:color="auto"/>
            </w:tcBorders>
          </w:tcPr>
          <w:p w:rsidR="00A9310F" w:rsidRPr="00ED410A" w:rsidRDefault="00A9310F" w:rsidP="00CA3266">
            <w:pPr>
              <w:rPr>
                <w:rFonts w:eastAsia="Calibri" w:cs="Times New Roman"/>
              </w:rPr>
            </w:pPr>
            <w:r w:rsidRPr="00ED410A">
              <w:rPr>
                <w:rFonts w:eastAsia="Calibri" w:cs="Times New Roman"/>
              </w:rPr>
              <w:t xml:space="preserve">** p &lt;.01, *** p &lt; .001, MΔ = mean change, </w:t>
            </w:r>
            <w:r w:rsidRPr="00ED410A">
              <w:rPr>
                <w:rFonts w:eastAsia="Calibri" w:cs="Times New Roman"/>
                <w:vertAlign w:val="superscript"/>
              </w:rPr>
              <w:t xml:space="preserve">1 </w:t>
            </w:r>
            <w:r w:rsidRPr="00ED410A">
              <w:rPr>
                <w:rFonts w:eastAsia="Calibri" w:cs="Times New Roman"/>
              </w:rPr>
              <w:t xml:space="preserve">custodial vs non-custodial, </w:t>
            </w:r>
            <w:r w:rsidRPr="00ED410A">
              <w:rPr>
                <w:rFonts w:eastAsia="Calibri" w:cs="Times New Roman"/>
                <w:vertAlign w:val="superscript"/>
              </w:rPr>
              <w:t>2</w:t>
            </w:r>
            <w:r w:rsidRPr="00ED410A">
              <w:rPr>
                <w:rFonts w:eastAsia="Calibri" w:cs="Times New Roman"/>
              </w:rPr>
              <w:t xml:space="preserve"> Parent plan vs. non-parent plan</w:t>
            </w:r>
          </w:p>
        </w:tc>
      </w:tr>
    </w:tbl>
    <w:p w:rsidR="00CA3266" w:rsidRPr="00ED410A" w:rsidRDefault="00CA3266" w:rsidP="00CA3266">
      <w:pPr>
        <w:pStyle w:val="Heading4"/>
      </w:pPr>
      <w:r w:rsidRPr="00F7555F">
        <w:t xml:space="preserve">Table </w:t>
      </w:r>
      <w:r>
        <w:t xml:space="preserve">11. </w:t>
      </w:r>
      <w:r w:rsidRPr="00ED410A">
        <w:t>Descriptive statistics and ANCOVA Results</w:t>
      </w:r>
    </w:p>
    <w:p w:rsidR="00A9310F" w:rsidRDefault="00A9310F" w:rsidP="00A9310F">
      <w:pPr>
        <w:rPr>
          <w:b/>
          <w:color w:val="1F4E79" w:themeColor="accent1" w:themeShade="80"/>
        </w:rPr>
        <w:sectPr w:rsidR="00A9310F" w:rsidSect="006B1A5A">
          <w:pgSz w:w="15840" w:h="12240" w:orient="landscape"/>
          <w:pgMar w:top="1440" w:right="720" w:bottom="1440" w:left="1440" w:header="288" w:footer="720" w:gutter="0"/>
          <w:cols w:space="720"/>
          <w:docGrid w:linePitch="360"/>
        </w:sectPr>
      </w:pPr>
    </w:p>
    <w:p w:rsidR="00A9310F" w:rsidRDefault="00A9310F" w:rsidP="00A9310F">
      <w:r w:rsidRPr="004258FA">
        <w:rPr>
          <w:b/>
          <w:color w:val="1F4E79" w:themeColor="accent1" w:themeShade="80"/>
        </w:rPr>
        <w:t>Additional Data Investigation</w:t>
      </w:r>
      <w:r>
        <w:t xml:space="preserve">: </w:t>
      </w:r>
    </w:p>
    <w:p w:rsidR="00A9310F" w:rsidRDefault="00A9310F" w:rsidP="00A9310F">
      <w:r>
        <w:t xml:space="preserve">Additional graphs were created by first looking at how the </w:t>
      </w:r>
      <w:r w:rsidR="0002057E">
        <w:t>'</w:t>
      </w:r>
      <w:r>
        <w:t>level of instability</w:t>
      </w:r>
      <w:r w:rsidR="0002057E">
        <w:t>’ (or placement stability)</w:t>
      </w:r>
      <w:r>
        <w:t xml:space="preserve"> in each family may account for this finding (</w:t>
      </w:r>
      <w:r w:rsidR="00CA3266">
        <w:t>F</w:t>
      </w:r>
      <w:r>
        <w:t xml:space="preserve">igure </w:t>
      </w:r>
      <w:r w:rsidR="00CA3266">
        <w:t>2</w:t>
      </w:r>
      <w:r>
        <w:t>) as well as if the round which the data were collected impacted the permanency result (</w:t>
      </w:r>
      <w:r w:rsidR="00CA3266">
        <w:t>F</w:t>
      </w:r>
      <w:r>
        <w:t xml:space="preserve">igures </w:t>
      </w:r>
      <w:r w:rsidR="00CA3266">
        <w:t>3</w:t>
      </w:r>
      <w:r>
        <w:t>-</w:t>
      </w:r>
      <w:r w:rsidR="00CA3266">
        <w:t>6</w:t>
      </w:r>
      <w:r>
        <w:t>). Instability was created using the number of placements a child had at the time of data collection which separated child in to low (&lt;=1 placement) and high (&gt;=2 placements) instability. Data were separated by the round collected (1-5). Two final graphs</w:t>
      </w:r>
      <w:r w:rsidR="00CA3266">
        <w:t xml:space="preserve"> (Figures 7 and 8)</w:t>
      </w:r>
      <w:r>
        <w:t xml:space="preserve"> were created that separated those in low and high instability in round 5 to examine the differences in grouping or instability had during the most recent round. </w:t>
      </w:r>
    </w:p>
    <w:p w:rsidR="00C7720A" w:rsidRDefault="00C7720A" w:rsidP="00A9310F"/>
    <w:p w:rsidR="00A9310F" w:rsidRPr="00F7555F" w:rsidRDefault="00A9310F" w:rsidP="00A9310F">
      <w:pPr>
        <w:pStyle w:val="Heading4"/>
      </w:pPr>
      <w:r w:rsidRPr="00F7555F">
        <w:t xml:space="preserve">Figure </w:t>
      </w:r>
      <w:r w:rsidR="00CA3266">
        <w:t>2</w:t>
      </w:r>
      <w:r w:rsidRPr="00F7555F">
        <w:t>. Mean changes in outcomes separated by level of instability for all rounds</w:t>
      </w:r>
    </w:p>
    <w:p w:rsidR="00A9310F" w:rsidRDefault="00A9310F" w:rsidP="00A9310F">
      <w:r>
        <w:rPr>
          <w:noProof/>
        </w:rPr>
        <w:drawing>
          <wp:inline distT="0" distB="0" distL="0" distR="0" wp14:anchorId="288457DD" wp14:editId="782B7826">
            <wp:extent cx="5943600" cy="5457825"/>
            <wp:effectExtent l="19050" t="19050" r="1905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stability mean changes.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5457825"/>
                    </a:xfrm>
                    <a:prstGeom prst="rect">
                      <a:avLst/>
                    </a:prstGeom>
                    <a:ln>
                      <a:solidFill>
                        <a:schemeClr val="accent1"/>
                      </a:solidFill>
                    </a:ln>
                  </pic:spPr>
                </pic:pic>
              </a:graphicData>
            </a:graphic>
          </wp:inline>
        </w:drawing>
      </w:r>
    </w:p>
    <w:p w:rsidR="00C84371" w:rsidRDefault="00C84371" w:rsidP="00A9310F"/>
    <w:p w:rsidR="00C7720A" w:rsidRDefault="00C7720A" w:rsidP="00A9310F"/>
    <w:p w:rsidR="00A9310F" w:rsidRPr="00F7555F" w:rsidRDefault="00A9310F" w:rsidP="00A9310F">
      <w:pPr>
        <w:pStyle w:val="Heading4"/>
      </w:pPr>
      <w:r w:rsidRPr="00F7555F">
        <w:t xml:space="preserve">Figure </w:t>
      </w:r>
      <w:r w:rsidR="00CA3266">
        <w:t>3</w:t>
      </w:r>
      <w:r w:rsidRPr="00F7555F">
        <w:t>. Changes in safety with concrete service use by round</w:t>
      </w:r>
    </w:p>
    <w:p w:rsidR="00A9310F" w:rsidRDefault="00A9310F" w:rsidP="00A9310F">
      <w:r>
        <w:rPr>
          <w:noProof/>
        </w:rPr>
        <mc:AlternateContent>
          <mc:Choice Requires="wps">
            <w:drawing>
              <wp:anchor distT="45720" distB="45720" distL="114300" distR="114300" simplePos="0" relativeHeight="251681792" behindDoc="0" locked="0" layoutInCell="1" allowOverlap="1" wp14:anchorId="36AD32DB" wp14:editId="2D84C883">
                <wp:simplePos x="0" y="0"/>
                <wp:positionH relativeFrom="column">
                  <wp:posOffset>771525</wp:posOffset>
                </wp:positionH>
                <wp:positionV relativeFrom="paragraph">
                  <wp:posOffset>204470</wp:posOffset>
                </wp:positionV>
                <wp:extent cx="4714875" cy="1404620"/>
                <wp:effectExtent l="0" t="0" r="9525"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1404620"/>
                        </a:xfrm>
                        <a:prstGeom prst="rect">
                          <a:avLst/>
                        </a:prstGeom>
                        <a:solidFill>
                          <a:srgbClr val="FFFFFF"/>
                        </a:solidFill>
                        <a:ln w="9525">
                          <a:noFill/>
                          <a:miter lim="800000"/>
                          <a:headEnd/>
                          <a:tailEnd/>
                        </a:ln>
                      </wps:spPr>
                      <wps:txbx>
                        <w:txbxContent>
                          <w:p w:rsidR="00CE2773" w:rsidRPr="00B35E8C" w:rsidRDefault="00CE2773" w:rsidP="00A9310F">
                            <w:pPr>
                              <w:rPr>
                                <w:rFonts w:ascii="Arial" w:hAnsi="Arial" w:cs="Arial"/>
                                <w:b/>
                                <w:sz w:val="21"/>
                                <w:szCs w:val="21"/>
                              </w:rPr>
                            </w:pPr>
                            <w:r w:rsidRPr="00B35E8C">
                              <w:rPr>
                                <w:rFonts w:ascii="Arial" w:hAnsi="Arial" w:cs="Arial"/>
                                <w:b/>
                                <w:sz w:val="21"/>
                                <w:szCs w:val="21"/>
                              </w:rPr>
                              <w:t>Those Receiving Concrete Services: Mean Change in Safety by Round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AD32DB" id="Text Box 2" o:spid="_x0000_s1027" type="#_x0000_t202" style="position:absolute;margin-left:60.75pt;margin-top:16.1pt;width:371.2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" stroked="f">
                <v:textbox style="mso-fit-shape-to-text:t">
                  <w:txbxContent>
                    <w:p w:rsidR="00CE2773" w:rsidRPr="00B35E8C" w:rsidRDefault="00CE2773" w:rsidP="00A9310F">
                      <w:pPr>
                        <w:rPr>
                          <w:rFonts w:ascii="Arial" w:hAnsi="Arial" w:cs="Arial"/>
                          <w:b/>
                          <w:sz w:val="21"/>
                          <w:szCs w:val="21"/>
                        </w:rPr>
                      </w:pPr>
                      <w:r w:rsidRPr="00B35E8C">
                        <w:rPr>
                          <w:rFonts w:ascii="Arial" w:hAnsi="Arial" w:cs="Arial"/>
                          <w:b/>
                          <w:sz w:val="21"/>
                          <w:szCs w:val="21"/>
                        </w:rPr>
                        <w:t>Those Receiving Concrete Services: Mean Change in Safety by Round</w:t>
                      </w:r>
                    </w:p>
                  </w:txbxContent>
                </v:textbox>
              </v:shape>
            </w:pict>
          </mc:Fallback>
        </mc:AlternateContent>
      </w:r>
      <w:r>
        <w:rPr>
          <w:noProof/>
        </w:rPr>
        <w:drawing>
          <wp:inline distT="0" distB="0" distL="0" distR="0" wp14:anchorId="5A0D11F8" wp14:editId="427742C4">
            <wp:extent cx="5943600" cy="5191125"/>
            <wp:effectExtent l="19050" t="19050" r="19050" b="28575"/>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fety by round.png"/>
                    <pic:cNvPicPr/>
                  </pic:nvPicPr>
                  <pic:blipFill rotWithShape="1">
                    <a:blip r:embed="rId17">
                      <a:extLst>
                        <a:ext uri="{28A0092B-C50C-407E-A947-70E740481C1C}">
                          <a14:useLocalDpi xmlns:a14="http://schemas.microsoft.com/office/drawing/2010/main" val="0"/>
                        </a:ext>
                      </a:extLst>
                    </a:blip>
                    <a:srcRect b="4887"/>
                    <a:stretch/>
                  </pic:blipFill>
                  <pic:spPr bwMode="auto">
                    <a:xfrm>
                      <a:off x="0" y="0"/>
                      <a:ext cx="5943600" cy="519112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A9310F" w:rsidRDefault="00A9310F" w:rsidP="00A9310F">
      <w:pPr>
        <w:spacing w:after="200" w:line="276" w:lineRule="auto"/>
      </w:pPr>
      <w:r>
        <w:br w:type="page"/>
      </w:r>
    </w:p>
    <w:p w:rsidR="00A9310F" w:rsidRDefault="00A9310F" w:rsidP="00A9310F">
      <w:pPr>
        <w:pStyle w:val="Heading4"/>
      </w:pPr>
      <w:r w:rsidRPr="00F7555F">
        <w:t xml:space="preserve">Figure </w:t>
      </w:r>
      <w:r w:rsidR="00CA3266">
        <w:t>4</w:t>
      </w:r>
      <w:r w:rsidRPr="00F7555F">
        <w:t>. Changes in stability with concrete service use by round</w:t>
      </w:r>
    </w:p>
    <w:p w:rsidR="00A9310F" w:rsidRDefault="00A9310F" w:rsidP="00A9310F">
      <w:r>
        <w:rPr>
          <w:noProof/>
        </w:rPr>
        <mc:AlternateContent>
          <mc:Choice Requires="wps">
            <w:drawing>
              <wp:anchor distT="45720" distB="45720" distL="114300" distR="114300" simplePos="0" relativeHeight="251682816" behindDoc="0" locked="0" layoutInCell="1" allowOverlap="1" wp14:anchorId="744933B7" wp14:editId="3751DD81">
                <wp:simplePos x="0" y="0"/>
                <wp:positionH relativeFrom="column">
                  <wp:posOffset>600075</wp:posOffset>
                </wp:positionH>
                <wp:positionV relativeFrom="paragraph">
                  <wp:posOffset>198120</wp:posOffset>
                </wp:positionV>
                <wp:extent cx="4886325" cy="1404620"/>
                <wp:effectExtent l="0" t="0" r="9525"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1404620"/>
                        </a:xfrm>
                        <a:prstGeom prst="rect">
                          <a:avLst/>
                        </a:prstGeom>
                        <a:solidFill>
                          <a:srgbClr val="FFFFFF"/>
                        </a:solidFill>
                        <a:ln w="9525">
                          <a:noFill/>
                          <a:miter lim="800000"/>
                          <a:headEnd/>
                          <a:tailEnd/>
                        </a:ln>
                      </wps:spPr>
                      <wps:txbx>
                        <w:txbxContent>
                          <w:p w:rsidR="00CE2773" w:rsidRPr="00B35E8C" w:rsidRDefault="00CE2773" w:rsidP="00A9310F">
                            <w:pPr>
                              <w:rPr>
                                <w:rFonts w:ascii="Arial" w:hAnsi="Arial" w:cs="Arial"/>
                                <w:b/>
                                <w:sz w:val="21"/>
                                <w:szCs w:val="21"/>
                              </w:rPr>
                            </w:pPr>
                            <w:r w:rsidRPr="00B35E8C">
                              <w:rPr>
                                <w:rFonts w:ascii="Arial" w:hAnsi="Arial" w:cs="Arial"/>
                                <w:b/>
                                <w:sz w:val="21"/>
                                <w:szCs w:val="21"/>
                              </w:rPr>
                              <w:t>Those Receiving Concrete Services: Mean Change in S</w:t>
                            </w:r>
                            <w:r>
                              <w:rPr>
                                <w:rFonts w:ascii="Arial" w:hAnsi="Arial" w:cs="Arial"/>
                                <w:b/>
                                <w:sz w:val="21"/>
                                <w:szCs w:val="21"/>
                              </w:rPr>
                              <w:t>tability</w:t>
                            </w:r>
                            <w:r w:rsidRPr="00B35E8C">
                              <w:rPr>
                                <w:rFonts w:ascii="Arial" w:hAnsi="Arial" w:cs="Arial"/>
                                <w:b/>
                                <w:sz w:val="21"/>
                                <w:szCs w:val="21"/>
                              </w:rPr>
                              <w:t xml:space="preserve"> by Round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4933B7" id="_x0000_s1028" type="#_x0000_t202" style="position:absolute;margin-left:47.25pt;margin-top:15.6pt;width:384.7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" stroked="f">
                <v:textbox style="mso-fit-shape-to-text:t">
                  <w:txbxContent>
                    <w:p w:rsidR="00CE2773" w:rsidRPr="00B35E8C" w:rsidRDefault="00CE2773" w:rsidP="00A9310F">
                      <w:pPr>
                        <w:rPr>
                          <w:rFonts w:ascii="Arial" w:hAnsi="Arial" w:cs="Arial"/>
                          <w:b/>
                          <w:sz w:val="21"/>
                          <w:szCs w:val="21"/>
                        </w:rPr>
                      </w:pPr>
                      <w:r w:rsidRPr="00B35E8C">
                        <w:rPr>
                          <w:rFonts w:ascii="Arial" w:hAnsi="Arial" w:cs="Arial"/>
                          <w:b/>
                          <w:sz w:val="21"/>
                          <w:szCs w:val="21"/>
                        </w:rPr>
                        <w:t>Those Receiving Concrete Services: Mean Change in S</w:t>
                      </w:r>
                      <w:r>
                        <w:rPr>
                          <w:rFonts w:ascii="Arial" w:hAnsi="Arial" w:cs="Arial"/>
                          <w:b/>
                          <w:sz w:val="21"/>
                          <w:szCs w:val="21"/>
                        </w:rPr>
                        <w:t>tability</w:t>
                      </w:r>
                      <w:r w:rsidRPr="00B35E8C">
                        <w:rPr>
                          <w:rFonts w:ascii="Arial" w:hAnsi="Arial" w:cs="Arial"/>
                          <w:b/>
                          <w:sz w:val="21"/>
                          <w:szCs w:val="21"/>
                        </w:rPr>
                        <w:t xml:space="preserve"> by Round</w:t>
                      </w:r>
                    </w:p>
                  </w:txbxContent>
                </v:textbox>
              </v:shape>
            </w:pict>
          </mc:Fallback>
        </mc:AlternateContent>
      </w:r>
      <w:r>
        <w:rPr>
          <w:noProof/>
        </w:rPr>
        <w:drawing>
          <wp:inline distT="0" distB="0" distL="0" distR="0" wp14:anchorId="5AAB789A" wp14:editId="7F3E8482">
            <wp:extent cx="5943600" cy="5143500"/>
            <wp:effectExtent l="19050" t="19050" r="19050" b="1905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bility by Round.png"/>
                    <pic:cNvPicPr/>
                  </pic:nvPicPr>
                  <pic:blipFill rotWithShape="1">
                    <a:blip r:embed="rId18">
                      <a:extLst>
                        <a:ext uri="{28A0092B-C50C-407E-A947-70E740481C1C}">
                          <a14:useLocalDpi xmlns:a14="http://schemas.microsoft.com/office/drawing/2010/main" val="0"/>
                        </a:ext>
                      </a:extLst>
                    </a:blip>
                    <a:srcRect b="5760"/>
                    <a:stretch/>
                  </pic:blipFill>
                  <pic:spPr bwMode="auto">
                    <a:xfrm>
                      <a:off x="0" y="0"/>
                      <a:ext cx="5943600" cy="514350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A9310F" w:rsidRDefault="00A9310F" w:rsidP="00A9310F">
      <w:pPr>
        <w:spacing w:after="200" w:line="276" w:lineRule="auto"/>
      </w:pPr>
      <w:r>
        <w:br w:type="page"/>
      </w:r>
    </w:p>
    <w:p w:rsidR="00A9310F" w:rsidRDefault="00A9310F" w:rsidP="00A9310F">
      <w:pPr>
        <w:pStyle w:val="Heading4"/>
      </w:pPr>
      <w:r w:rsidRPr="00F7555F">
        <w:t xml:space="preserve">Figure </w:t>
      </w:r>
      <w:r w:rsidR="00CA3266">
        <w:t>5</w:t>
      </w:r>
      <w:r w:rsidRPr="00F7555F">
        <w:t>. Changes in permanency with concrete service use by round</w:t>
      </w:r>
    </w:p>
    <w:p w:rsidR="00A9310F" w:rsidRDefault="00A9310F" w:rsidP="00A9310F">
      <w:r>
        <w:rPr>
          <w:noProof/>
        </w:rPr>
        <mc:AlternateContent>
          <mc:Choice Requires="wps">
            <w:drawing>
              <wp:anchor distT="45720" distB="45720" distL="114300" distR="114300" simplePos="0" relativeHeight="251683840" behindDoc="0" locked="0" layoutInCell="1" allowOverlap="1" wp14:anchorId="1C6E63E4" wp14:editId="51FAF4A0">
                <wp:simplePos x="0" y="0"/>
                <wp:positionH relativeFrom="column">
                  <wp:posOffset>523875</wp:posOffset>
                </wp:positionH>
                <wp:positionV relativeFrom="paragraph">
                  <wp:posOffset>213360</wp:posOffset>
                </wp:positionV>
                <wp:extent cx="5114925" cy="1404620"/>
                <wp:effectExtent l="0" t="0" r="9525"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1404620"/>
                        </a:xfrm>
                        <a:prstGeom prst="rect">
                          <a:avLst/>
                        </a:prstGeom>
                        <a:solidFill>
                          <a:srgbClr val="FFFFFF"/>
                        </a:solidFill>
                        <a:ln w="9525">
                          <a:noFill/>
                          <a:miter lim="800000"/>
                          <a:headEnd/>
                          <a:tailEnd/>
                        </a:ln>
                      </wps:spPr>
                      <wps:txbx>
                        <w:txbxContent>
                          <w:p w:rsidR="00CE2773" w:rsidRPr="00B35E8C" w:rsidRDefault="00CE2773" w:rsidP="00A9310F">
                            <w:pPr>
                              <w:rPr>
                                <w:rFonts w:ascii="Arial" w:hAnsi="Arial" w:cs="Arial"/>
                                <w:b/>
                                <w:sz w:val="21"/>
                                <w:szCs w:val="21"/>
                              </w:rPr>
                            </w:pPr>
                            <w:r w:rsidRPr="00B35E8C">
                              <w:rPr>
                                <w:rFonts w:ascii="Arial" w:hAnsi="Arial" w:cs="Arial"/>
                                <w:b/>
                                <w:sz w:val="21"/>
                                <w:szCs w:val="21"/>
                              </w:rPr>
                              <w:t xml:space="preserve">Those Receiving Concrete Services: Mean Change in </w:t>
                            </w:r>
                            <w:r>
                              <w:rPr>
                                <w:rFonts w:ascii="Arial" w:hAnsi="Arial" w:cs="Arial"/>
                                <w:b/>
                                <w:sz w:val="21"/>
                                <w:szCs w:val="21"/>
                              </w:rPr>
                              <w:t>Permanency</w:t>
                            </w:r>
                            <w:r w:rsidRPr="00B35E8C">
                              <w:rPr>
                                <w:rFonts w:ascii="Arial" w:hAnsi="Arial" w:cs="Arial"/>
                                <w:b/>
                                <w:sz w:val="21"/>
                                <w:szCs w:val="21"/>
                              </w:rPr>
                              <w:t xml:space="preserve"> by Round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6E63E4" id="_x0000_s1029" type="#_x0000_t202" style="position:absolute;margin-left:41.25pt;margin-top:16.8pt;width:402.7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" stroked="f">
                <v:textbox style="mso-fit-shape-to-text:t">
                  <w:txbxContent>
                    <w:p w:rsidR="00CE2773" w:rsidRPr="00B35E8C" w:rsidRDefault="00CE2773" w:rsidP="00A9310F">
                      <w:pPr>
                        <w:rPr>
                          <w:rFonts w:ascii="Arial" w:hAnsi="Arial" w:cs="Arial"/>
                          <w:b/>
                          <w:sz w:val="21"/>
                          <w:szCs w:val="21"/>
                        </w:rPr>
                      </w:pPr>
                      <w:r w:rsidRPr="00B35E8C">
                        <w:rPr>
                          <w:rFonts w:ascii="Arial" w:hAnsi="Arial" w:cs="Arial"/>
                          <w:b/>
                          <w:sz w:val="21"/>
                          <w:szCs w:val="21"/>
                        </w:rPr>
                        <w:t xml:space="preserve">Those Receiving Concrete Services: Mean Change in </w:t>
                      </w:r>
                      <w:r>
                        <w:rPr>
                          <w:rFonts w:ascii="Arial" w:hAnsi="Arial" w:cs="Arial"/>
                          <w:b/>
                          <w:sz w:val="21"/>
                          <w:szCs w:val="21"/>
                        </w:rPr>
                        <w:t>Permanency</w:t>
                      </w:r>
                      <w:r w:rsidRPr="00B35E8C">
                        <w:rPr>
                          <w:rFonts w:ascii="Arial" w:hAnsi="Arial" w:cs="Arial"/>
                          <w:b/>
                          <w:sz w:val="21"/>
                          <w:szCs w:val="21"/>
                        </w:rPr>
                        <w:t xml:space="preserve"> by Round</w:t>
                      </w:r>
                    </w:p>
                  </w:txbxContent>
                </v:textbox>
              </v:shape>
            </w:pict>
          </mc:Fallback>
        </mc:AlternateContent>
      </w:r>
      <w:r>
        <w:rPr>
          <w:noProof/>
        </w:rPr>
        <w:drawing>
          <wp:inline distT="0" distB="0" distL="0" distR="0" wp14:anchorId="23876CF4" wp14:editId="1D6B836A">
            <wp:extent cx="5943600" cy="5133975"/>
            <wp:effectExtent l="19050" t="19050" r="19050" b="2857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rmanency by round.png"/>
                    <pic:cNvPicPr/>
                  </pic:nvPicPr>
                  <pic:blipFill rotWithShape="1">
                    <a:blip r:embed="rId19">
                      <a:extLst>
                        <a:ext uri="{28A0092B-C50C-407E-A947-70E740481C1C}">
                          <a14:useLocalDpi xmlns:a14="http://schemas.microsoft.com/office/drawing/2010/main" val="0"/>
                        </a:ext>
                      </a:extLst>
                    </a:blip>
                    <a:srcRect b="5934"/>
                    <a:stretch/>
                  </pic:blipFill>
                  <pic:spPr bwMode="auto">
                    <a:xfrm>
                      <a:off x="0" y="0"/>
                      <a:ext cx="5943600" cy="513397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A9310F" w:rsidRDefault="00A9310F" w:rsidP="00A9310F">
      <w:pPr>
        <w:spacing w:after="200" w:line="276" w:lineRule="auto"/>
      </w:pPr>
      <w:r>
        <w:br w:type="page"/>
      </w:r>
    </w:p>
    <w:p w:rsidR="00A9310F" w:rsidRDefault="00A9310F" w:rsidP="00A9310F">
      <w:pPr>
        <w:pStyle w:val="Heading4"/>
      </w:pPr>
      <w:r w:rsidRPr="00F7555F">
        <w:t xml:space="preserve">Figure </w:t>
      </w:r>
      <w:r w:rsidR="00CA3266">
        <w:t>6</w:t>
      </w:r>
      <w:r w:rsidRPr="00F7555F">
        <w:t>. Changes in wellbeing with concrete service use by round</w:t>
      </w:r>
    </w:p>
    <w:p w:rsidR="00A9310F" w:rsidRPr="0063573D" w:rsidRDefault="00A9310F" w:rsidP="00A9310F">
      <w:r>
        <w:rPr>
          <w:noProof/>
        </w:rPr>
        <mc:AlternateContent>
          <mc:Choice Requires="wps">
            <w:drawing>
              <wp:anchor distT="45720" distB="45720" distL="114300" distR="114300" simplePos="0" relativeHeight="251685888" behindDoc="0" locked="0" layoutInCell="1" allowOverlap="1" wp14:anchorId="409D4AE1" wp14:editId="6D4E7D9E">
                <wp:simplePos x="0" y="0"/>
                <wp:positionH relativeFrom="column">
                  <wp:posOffset>600075</wp:posOffset>
                </wp:positionH>
                <wp:positionV relativeFrom="paragraph">
                  <wp:posOffset>2937510</wp:posOffset>
                </wp:positionV>
                <wp:extent cx="5114925" cy="1404620"/>
                <wp:effectExtent l="0" t="0" r="9525"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1404620"/>
                        </a:xfrm>
                        <a:prstGeom prst="rect">
                          <a:avLst/>
                        </a:prstGeom>
                        <a:solidFill>
                          <a:srgbClr val="FFFFFF"/>
                        </a:solidFill>
                        <a:ln w="9525">
                          <a:noFill/>
                          <a:miter lim="800000"/>
                          <a:headEnd/>
                          <a:tailEnd/>
                        </a:ln>
                      </wps:spPr>
                      <wps:txbx>
                        <w:txbxContent>
                          <w:p w:rsidR="00CE2773" w:rsidRPr="00B35E8C" w:rsidRDefault="00CE2773" w:rsidP="00A9310F">
                            <w:pPr>
                              <w:rPr>
                                <w:rFonts w:ascii="Arial" w:hAnsi="Arial" w:cs="Arial"/>
                                <w:b/>
                                <w:sz w:val="21"/>
                                <w:szCs w:val="21"/>
                              </w:rPr>
                            </w:pPr>
                            <w:r w:rsidRPr="00B35E8C">
                              <w:rPr>
                                <w:rFonts w:ascii="Arial" w:hAnsi="Arial" w:cs="Arial"/>
                                <w:b/>
                                <w:sz w:val="21"/>
                                <w:szCs w:val="21"/>
                              </w:rPr>
                              <w:t xml:space="preserve">Those </w:t>
                            </w:r>
                            <w:r>
                              <w:rPr>
                                <w:rFonts w:ascii="Arial" w:hAnsi="Arial" w:cs="Arial"/>
                                <w:b/>
                                <w:sz w:val="21"/>
                                <w:szCs w:val="21"/>
                              </w:rPr>
                              <w:t>Without</w:t>
                            </w:r>
                            <w:r w:rsidRPr="00B35E8C">
                              <w:rPr>
                                <w:rFonts w:ascii="Arial" w:hAnsi="Arial" w:cs="Arial"/>
                                <w:b/>
                                <w:sz w:val="21"/>
                                <w:szCs w:val="21"/>
                              </w:rPr>
                              <w:t xml:space="preserve"> Concrete Services: Mean Change in </w:t>
                            </w:r>
                            <w:r>
                              <w:rPr>
                                <w:rFonts w:ascii="Arial" w:hAnsi="Arial" w:cs="Arial"/>
                                <w:b/>
                                <w:sz w:val="21"/>
                                <w:szCs w:val="21"/>
                              </w:rPr>
                              <w:t>Well-being</w:t>
                            </w:r>
                            <w:r w:rsidRPr="00B35E8C">
                              <w:rPr>
                                <w:rFonts w:ascii="Arial" w:hAnsi="Arial" w:cs="Arial"/>
                                <w:b/>
                                <w:sz w:val="21"/>
                                <w:szCs w:val="21"/>
                              </w:rPr>
                              <w:t xml:space="preserve"> by Round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9D4AE1" id="_x0000_s1030" type="#_x0000_t202" style="position:absolute;margin-left:47.25pt;margin-top:231.3pt;width:402.7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" stroked="f">
                <v:textbox style="mso-fit-shape-to-text:t">
                  <w:txbxContent>
                    <w:p w:rsidR="00CE2773" w:rsidRPr="00B35E8C" w:rsidRDefault="00CE2773" w:rsidP="00A9310F">
                      <w:pPr>
                        <w:rPr>
                          <w:rFonts w:ascii="Arial" w:hAnsi="Arial" w:cs="Arial"/>
                          <w:b/>
                          <w:sz w:val="21"/>
                          <w:szCs w:val="21"/>
                        </w:rPr>
                      </w:pPr>
                      <w:r w:rsidRPr="00B35E8C">
                        <w:rPr>
                          <w:rFonts w:ascii="Arial" w:hAnsi="Arial" w:cs="Arial"/>
                          <w:b/>
                          <w:sz w:val="21"/>
                          <w:szCs w:val="21"/>
                        </w:rPr>
                        <w:t xml:space="preserve">Those </w:t>
                      </w:r>
                      <w:r>
                        <w:rPr>
                          <w:rFonts w:ascii="Arial" w:hAnsi="Arial" w:cs="Arial"/>
                          <w:b/>
                          <w:sz w:val="21"/>
                          <w:szCs w:val="21"/>
                        </w:rPr>
                        <w:t>Without</w:t>
                      </w:r>
                      <w:r w:rsidRPr="00B35E8C">
                        <w:rPr>
                          <w:rFonts w:ascii="Arial" w:hAnsi="Arial" w:cs="Arial"/>
                          <w:b/>
                          <w:sz w:val="21"/>
                          <w:szCs w:val="21"/>
                        </w:rPr>
                        <w:t xml:space="preserve"> Concrete Services: Mean Change in </w:t>
                      </w:r>
                      <w:r>
                        <w:rPr>
                          <w:rFonts w:ascii="Arial" w:hAnsi="Arial" w:cs="Arial"/>
                          <w:b/>
                          <w:sz w:val="21"/>
                          <w:szCs w:val="21"/>
                        </w:rPr>
                        <w:t>Well-being</w:t>
                      </w:r>
                      <w:r w:rsidRPr="00B35E8C">
                        <w:rPr>
                          <w:rFonts w:ascii="Arial" w:hAnsi="Arial" w:cs="Arial"/>
                          <w:b/>
                          <w:sz w:val="21"/>
                          <w:szCs w:val="21"/>
                        </w:rPr>
                        <w:t xml:space="preserve"> by Round</w:t>
                      </w:r>
                    </w:p>
                  </w:txbxContent>
                </v:textbox>
              </v:shape>
            </w:pict>
          </mc:Fallback>
        </mc:AlternateContent>
      </w:r>
      <w:r>
        <w:rPr>
          <w:noProof/>
        </w:rPr>
        <mc:AlternateContent>
          <mc:Choice Requires="wps">
            <w:drawing>
              <wp:anchor distT="45720" distB="45720" distL="114300" distR="114300" simplePos="0" relativeHeight="251684864" behindDoc="0" locked="0" layoutInCell="1" allowOverlap="1" wp14:anchorId="7735F51B" wp14:editId="6C08FD6C">
                <wp:simplePos x="0" y="0"/>
                <wp:positionH relativeFrom="column">
                  <wp:posOffset>600075</wp:posOffset>
                </wp:positionH>
                <wp:positionV relativeFrom="paragraph">
                  <wp:posOffset>213360</wp:posOffset>
                </wp:positionV>
                <wp:extent cx="5114925" cy="1404620"/>
                <wp:effectExtent l="0" t="0" r="9525"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1404620"/>
                        </a:xfrm>
                        <a:prstGeom prst="rect">
                          <a:avLst/>
                        </a:prstGeom>
                        <a:solidFill>
                          <a:srgbClr val="FFFFFF"/>
                        </a:solidFill>
                        <a:ln w="9525">
                          <a:noFill/>
                          <a:miter lim="800000"/>
                          <a:headEnd/>
                          <a:tailEnd/>
                        </a:ln>
                      </wps:spPr>
                      <wps:txbx>
                        <w:txbxContent>
                          <w:p w:rsidR="00CE2773" w:rsidRPr="00B35E8C" w:rsidRDefault="00CE2773" w:rsidP="00A9310F">
                            <w:pPr>
                              <w:rPr>
                                <w:rFonts w:ascii="Arial" w:hAnsi="Arial" w:cs="Arial"/>
                                <w:b/>
                                <w:sz w:val="21"/>
                                <w:szCs w:val="21"/>
                              </w:rPr>
                            </w:pPr>
                            <w:r w:rsidRPr="00B35E8C">
                              <w:rPr>
                                <w:rFonts w:ascii="Arial" w:hAnsi="Arial" w:cs="Arial"/>
                                <w:b/>
                                <w:sz w:val="21"/>
                                <w:szCs w:val="21"/>
                              </w:rPr>
                              <w:t xml:space="preserve">Those Receiving Concrete Services: Mean Change in </w:t>
                            </w:r>
                            <w:r>
                              <w:rPr>
                                <w:rFonts w:ascii="Arial" w:hAnsi="Arial" w:cs="Arial"/>
                                <w:b/>
                                <w:sz w:val="21"/>
                                <w:szCs w:val="21"/>
                              </w:rPr>
                              <w:t>Well-being</w:t>
                            </w:r>
                            <w:r w:rsidRPr="00B35E8C">
                              <w:rPr>
                                <w:rFonts w:ascii="Arial" w:hAnsi="Arial" w:cs="Arial"/>
                                <w:b/>
                                <w:sz w:val="21"/>
                                <w:szCs w:val="21"/>
                              </w:rPr>
                              <w:t xml:space="preserve"> by Round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35F51B" id="_x0000_s1031" type="#_x0000_t202" style="position:absolute;margin-left:47.25pt;margin-top:16.8pt;width:402.75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" stroked="f">
                <v:textbox style="mso-fit-shape-to-text:t">
                  <w:txbxContent>
                    <w:p w:rsidR="00CE2773" w:rsidRPr="00B35E8C" w:rsidRDefault="00CE2773" w:rsidP="00A9310F">
                      <w:pPr>
                        <w:rPr>
                          <w:rFonts w:ascii="Arial" w:hAnsi="Arial" w:cs="Arial"/>
                          <w:b/>
                          <w:sz w:val="21"/>
                          <w:szCs w:val="21"/>
                        </w:rPr>
                      </w:pPr>
                      <w:r w:rsidRPr="00B35E8C">
                        <w:rPr>
                          <w:rFonts w:ascii="Arial" w:hAnsi="Arial" w:cs="Arial"/>
                          <w:b/>
                          <w:sz w:val="21"/>
                          <w:szCs w:val="21"/>
                        </w:rPr>
                        <w:t xml:space="preserve">Those Receiving Concrete Services: Mean Change in </w:t>
                      </w:r>
                      <w:r>
                        <w:rPr>
                          <w:rFonts w:ascii="Arial" w:hAnsi="Arial" w:cs="Arial"/>
                          <w:b/>
                          <w:sz w:val="21"/>
                          <w:szCs w:val="21"/>
                        </w:rPr>
                        <w:t>Well-being</w:t>
                      </w:r>
                      <w:r w:rsidRPr="00B35E8C">
                        <w:rPr>
                          <w:rFonts w:ascii="Arial" w:hAnsi="Arial" w:cs="Arial"/>
                          <w:b/>
                          <w:sz w:val="21"/>
                          <w:szCs w:val="21"/>
                        </w:rPr>
                        <w:t xml:space="preserve"> by Round</w:t>
                      </w:r>
                    </w:p>
                  </w:txbxContent>
                </v:textbox>
              </v:shape>
            </w:pict>
          </mc:Fallback>
        </mc:AlternateContent>
      </w:r>
      <w:r>
        <w:rPr>
          <w:noProof/>
        </w:rPr>
        <w:drawing>
          <wp:inline distT="0" distB="0" distL="0" distR="0" wp14:anchorId="2FEF18BD" wp14:editId="0294D1EC">
            <wp:extent cx="5943600" cy="5181600"/>
            <wp:effectExtent l="19050" t="19050" r="1905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ellbeing by round.png"/>
                    <pic:cNvPicPr/>
                  </pic:nvPicPr>
                  <pic:blipFill rotWithShape="1">
                    <a:blip r:embed="rId20">
                      <a:extLst>
                        <a:ext uri="{28A0092B-C50C-407E-A947-70E740481C1C}">
                          <a14:useLocalDpi xmlns:a14="http://schemas.microsoft.com/office/drawing/2010/main" val="0"/>
                        </a:ext>
                      </a:extLst>
                    </a:blip>
                    <a:srcRect b="5061"/>
                    <a:stretch/>
                  </pic:blipFill>
                  <pic:spPr bwMode="auto">
                    <a:xfrm>
                      <a:off x="0" y="0"/>
                      <a:ext cx="5943600" cy="518160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A9310F" w:rsidRPr="0063573D" w:rsidRDefault="00A9310F" w:rsidP="00A9310F"/>
    <w:p w:rsidR="00A9310F" w:rsidRDefault="00A9310F" w:rsidP="00A9310F">
      <w:r>
        <w:t xml:space="preserve">The results of these graphs suggest that children with higher instability </w:t>
      </w:r>
      <w:r w:rsidR="0002057E">
        <w:t xml:space="preserve">(more placements) </w:t>
      </w:r>
      <w:r>
        <w:t xml:space="preserve">benefited slightly more than those with lower instability. There were significant increases in the use of concrete services in round 3 that continued to extend into the final round (figure 11). The increases in concrete service use was associated with outcome improvements in children with higher instability. When separated by level of instability at round 5, children saw improvements in permanency and stability as well as safety and wellbeing (figure 12). </w:t>
      </w:r>
    </w:p>
    <w:p w:rsidR="00A9310F" w:rsidRDefault="00A9310F" w:rsidP="00A9310F">
      <w:pPr>
        <w:spacing w:after="200" w:line="276" w:lineRule="auto"/>
      </w:pPr>
      <w:r>
        <w:br w:type="page"/>
      </w:r>
    </w:p>
    <w:p w:rsidR="00A9310F" w:rsidRDefault="00A9310F" w:rsidP="00A9310F"/>
    <w:p w:rsidR="00A9310F" w:rsidRDefault="00A9310F" w:rsidP="00A9310F">
      <w:pPr>
        <w:pStyle w:val="Heading4"/>
      </w:pPr>
      <w:r w:rsidRPr="00F7555F">
        <w:t xml:space="preserve">Figure </w:t>
      </w:r>
      <w:r w:rsidR="00CA3266">
        <w:t>7</w:t>
      </w:r>
      <w:r w:rsidRPr="00F7555F">
        <w:t xml:space="preserve">. </w:t>
      </w:r>
      <w:r>
        <w:t>Percentage</w:t>
      </w:r>
      <w:r w:rsidRPr="00F7555F">
        <w:t xml:space="preserve"> of cases that have used concrete services by round</w:t>
      </w:r>
    </w:p>
    <w:p w:rsidR="00A9310F" w:rsidRDefault="00A9310F" w:rsidP="00A9310F">
      <w:pPr>
        <w:spacing w:after="200" w:line="276" w:lineRule="auto"/>
      </w:pPr>
      <w:r>
        <w:rPr>
          <w:noProof/>
        </w:rPr>
        <mc:AlternateContent>
          <mc:Choice Requires="wps">
            <w:drawing>
              <wp:anchor distT="45720" distB="45720" distL="114300" distR="114300" simplePos="0" relativeHeight="251686912" behindDoc="0" locked="0" layoutInCell="1" allowOverlap="1" wp14:anchorId="2245F43F" wp14:editId="70B7E07D">
                <wp:simplePos x="0" y="0"/>
                <wp:positionH relativeFrom="column">
                  <wp:posOffset>895350</wp:posOffset>
                </wp:positionH>
                <wp:positionV relativeFrom="paragraph">
                  <wp:posOffset>188595</wp:posOffset>
                </wp:positionV>
                <wp:extent cx="3914775" cy="1404620"/>
                <wp:effectExtent l="0" t="0" r="9525"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404620"/>
                        </a:xfrm>
                        <a:prstGeom prst="rect">
                          <a:avLst/>
                        </a:prstGeom>
                        <a:solidFill>
                          <a:srgbClr val="FFFFFF"/>
                        </a:solidFill>
                        <a:ln w="9525">
                          <a:noFill/>
                          <a:miter lim="800000"/>
                          <a:headEnd/>
                          <a:tailEnd/>
                        </a:ln>
                      </wps:spPr>
                      <wps:txbx>
                        <w:txbxContent>
                          <w:p w:rsidR="00CE2773" w:rsidRPr="00B35E8C" w:rsidRDefault="00CE2773" w:rsidP="00A9310F">
                            <w:pPr>
                              <w:rPr>
                                <w:rFonts w:ascii="Arial" w:hAnsi="Arial" w:cs="Arial"/>
                                <w:b/>
                                <w:sz w:val="21"/>
                                <w:szCs w:val="21"/>
                              </w:rPr>
                            </w:pPr>
                            <w:r>
                              <w:rPr>
                                <w:rFonts w:ascii="Arial" w:hAnsi="Arial" w:cs="Arial"/>
                                <w:b/>
                                <w:sz w:val="21"/>
                                <w:szCs w:val="21"/>
                              </w:rPr>
                              <w:t>Number of cases Receiving Concrete Services</w:t>
                            </w:r>
                            <w:r w:rsidRPr="00B35E8C">
                              <w:rPr>
                                <w:rFonts w:ascii="Arial" w:hAnsi="Arial" w:cs="Arial"/>
                                <w:b/>
                                <w:sz w:val="21"/>
                                <w:szCs w:val="21"/>
                              </w:rPr>
                              <w:t xml:space="preserve"> by Round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45F43F" id="_x0000_s1032" type="#_x0000_t202" style="position:absolute;margin-left:70.5pt;margin-top:14.85pt;width:308.25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" stroked="f">
                <v:textbox style="mso-fit-shape-to-text:t">
                  <w:txbxContent>
                    <w:p w:rsidR="00CE2773" w:rsidRPr="00B35E8C" w:rsidRDefault="00CE2773" w:rsidP="00A9310F">
                      <w:pPr>
                        <w:rPr>
                          <w:rFonts w:ascii="Arial" w:hAnsi="Arial" w:cs="Arial"/>
                          <w:b/>
                          <w:sz w:val="21"/>
                          <w:szCs w:val="21"/>
                        </w:rPr>
                      </w:pPr>
                      <w:r>
                        <w:rPr>
                          <w:rFonts w:ascii="Arial" w:hAnsi="Arial" w:cs="Arial"/>
                          <w:b/>
                          <w:sz w:val="21"/>
                          <w:szCs w:val="21"/>
                        </w:rPr>
                        <w:t>Number of cases Receiving Concrete Services</w:t>
                      </w:r>
                      <w:r w:rsidRPr="00B35E8C">
                        <w:rPr>
                          <w:rFonts w:ascii="Arial" w:hAnsi="Arial" w:cs="Arial"/>
                          <w:b/>
                          <w:sz w:val="21"/>
                          <w:szCs w:val="21"/>
                        </w:rPr>
                        <w:t xml:space="preserve"> by Round</w:t>
                      </w:r>
                    </w:p>
                  </w:txbxContent>
                </v:textbox>
              </v:shape>
            </w:pict>
          </mc:Fallback>
        </mc:AlternateContent>
      </w:r>
      <w:r>
        <w:rPr>
          <w:noProof/>
        </w:rPr>
        <w:drawing>
          <wp:inline distT="0" distB="0" distL="0" distR="0" wp14:anchorId="592C16D1" wp14:editId="0B743010">
            <wp:extent cx="5734050" cy="5200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umber of cases recievinng concrete services by round.png"/>
                    <pic:cNvPicPr/>
                  </pic:nvPicPr>
                  <pic:blipFill rotWithShape="1">
                    <a:blip r:embed="rId21">
                      <a:extLst>
                        <a:ext uri="{28A0092B-C50C-407E-A947-70E740481C1C}">
                          <a14:useLocalDpi xmlns:a14="http://schemas.microsoft.com/office/drawing/2010/main" val="0"/>
                        </a:ext>
                      </a:extLst>
                    </a:blip>
                    <a:srcRect l="3525" b="4712"/>
                    <a:stretch/>
                  </pic:blipFill>
                  <pic:spPr bwMode="auto">
                    <a:xfrm>
                      <a:off x="0" y="0"/>
                      <a:ext cx="5734050" cy="5200650"/>
                    </a:xfrm>
                    <a:prstGeom prst="rect">
                      <a:avLst/>
                    </a:prstGeom>
                    <a:ln>
                      <a:noFill/>
                    </a:ln>
                    <a:extLst>
                      <a:ext uri="{53640926-AAD7-44D8-BBD7-CCE9431645EC}">
                        <a14:shadowObscured xmlns:a14="http://schemas.microsoft.com/office/drawing/2010/main"/>
                      </a:ext>
                    </a:extLst>
                  </pic:spPr>
                </pic:pic>
              </a:graphicData>
            </a:graphic>
          </wp:inline>
        </w:drawing>
      </w:r>
    </w:p>
    <w:p w:rsidR="00A9310F" w:rsidRDefault="00A9310F" w:rsidP="00A9310F">
      <w:pPr>
        <w:spacing w:after="200" w:line="276" w:lineRule="auto"/>
      </w:pPr>
      <w:r>
        <w:br w:type="page"/>
      </w:r>
    </w:p>
    <w:p w:rsidR="00A9310F" w:rsidRDefault="00A9310F" w:rsidP="00A9310F">
      <w:pPr>
        <w:pStyle w:val="Heading4"/>
      </w:pPr>
      <w:r w:rsidRPr="00F7555F">
        <w:t xml:space="preserve">Figure </w:t>
      </w:r>
      <w:r w:rsidR="00CA3266">
        <w:t>8</w:t>
      </w:r>
      <w:r w:rsidRPr="00F7555F">
        <w:t>. Outcome differences in those who received and did not receive services by level of instability for round 5</w:t>
      </w:r>
    </w:p>
    <w:p w:rsidR="00A9310F" w:rsidRPr="00910B99" w:rsidRDefault="00A9310F" w:rsidP="00A9310F">
      <w:r>
        <w:rPr>
          <w:noProof/>
        </w:rPr>
        <w:drawing>
          <wp:inline distT="0" distB="0" distL="0" distR="0" wp14:anchorId="03648B04" wp14:editId="4335CA95">
            <wp:extent cx="5943600" cy="5457825"/>
            <wp:effectExtent l="19050" t="19050" r="19050" b="2857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5 stability diffferences.png"/>
                    <pic:cNvPicPr/>
                  </pic:nvPicPr>
                  <pic:blipFill>
                    <a:blip r:embed="rId22">
                      <a:extLst>
                        <a:ext uri="{28A0092B-C50C-407E-A947-70E740481C1C}">
                          <a14:useLocalDpi xmlns:a14="http://schemas.microsoft.com/office/drawing/2010/main" val="0"/>
                        </a:ext>
                      </a:extLst>
                    </a:blip>
                    <a:stretch>
                      <a:fillRect/>
                    </a:stretch>
                  </pic:blipFill>
                  <pic:spPr>
                    <a:xfrm>
                      <a:off x="0" y="0"/>
                      <a:ext cx="5943600" cy="5457825"/>
                    </a:xfrm>
                    <a:prstGeom prst="rect">
                      <a:avLst/>
                    </a:prstGeom>
                    <a:ln>
                      <a:solidFill>
                        <a:schemeClr val="accent1"/>
                      </a:solidFill>
                    </a:ln>
                  </pic:spPr>
                </pic:pic>
              </a:graphicData>
            </a:graphic>
          </wp:inline>
        </w:drawing>
      </w:r>
    </w:p>
    <w:p w:rsidR="00457F19" w:rsidRDefault="00457F19" w:rsidP="00A9310F">
      <w:pPr>
        <w:rPr>
          <w:b/>
          <w:color w:val="1F4E79"/>
        </w:rPr>
      </w:pPr>
    </w:p>
    <w:p w:rsidR="00A9310F" w:rsidRDefault="00A9310F" w:rsidP="00A9310F">
      <w:r w:rsidRPr="000F5868">
        <w:rPr>
          <w:b/>
          <w:color w:val="1F4E79"/>
        </w:rPr>
        <w:t>Conclusion</w:t>
      </w:r>
      <w:r w:rsidRPr="0017275B">
        <w:t>:</w:t>
      </w:r>
      <w:r>
        <w:t xml:space="preserve"> </w:t>
      </w:r>
    </w:p>
    <w:p w:rsidR="00A9310F" w:rsidRDefault="00A9310F" w:rsidP="00A9310F">
      <w:pPr>
        <w:rPr>
          <w:rFonts w:ascii="Calibri" w:eastAsia="Calibri" w:hAnsi="Calibri" w:cs="Times New Roman"/>
        </w:rPr>
      </w:pPr>
      <w:r>
        <w:t xml:space="preserve">Overall, </w:t>
      </w:r>
      <w:r>
        <w:rPr>
          <w:rFonts w:ascii="Calibri" w:eastAsia="Calibri" w:hAnsi="Calibri" w:cs="Times New Roman"/>
        </w:rPr>
        <w:t>t</w:t>
      </w:r>
      <w:r w:rsidRPr="007918B9">
        <w:rPr>
          <w:rFonts w:ascii="Calibri" w:eastAsia="Calibri" w:hAnsi="Calibri" w:cs="Times New Roman"/>
        </w:rPr>
        <w:t xml:space="preserve">hese findings suggest concrete services use </w:t>
      </w:r>
      <w:r>
        <w:rPr>
          <w:rFonts w:ascii="Calibri" w:eastAsia="Calibri" w:hAnsi="Calibri" w:cs="Times New Roman"/>
        </w:rPr>
        <w:t>is associated</w:t>
      </w:r>
      <w:r w:rsidRPr="007918B9">
        <w:rPr>
          <w:rFonts w:ascii="Calibri" w:eastAsia="Calibri" w:hAnsi="Calibri" w:cs="Times New Roman"/>
        </w:rPr>
        <w:t xml:space="preserve"> with increases in safety and wellbeing. However, permanency, an important concrete service focus, decreased</w:t>
      </w:r>
      <w:r>
        <w:rPr>
          <w:rFonts w:ascii="Calibri" w:eastAsia="Calibri" w:hAnsi="Calibri" w:cs="Times New Roman"/>
        </w:rPr>
        <w:t xml:space="preserve"> and stability did not change</w:t>
      </w:r>
      <w:r w:rsidRPr="007918B9">
        <w:rPr>
          <w:rFonts w:ascii="Calibri" w:eastAsia="Calibri" w:hAnsi="Calibri" w:cs="Times New Roman"/>
        </w:rPr>
        <w:t>.</w:t>
      </w:r>
      <w:r>
        <w:rPr>
          <w:rFonts w:ascii="Calibri" w:eastAsia="Calibri" w:hAnsi="Calibri" w:cs="Times New Roman"/>
        </w:rPr>
        <w:t xml:space="preserve"> Because it is probable that the level of family instability and round which the data was collected had an effect, additional graphs of these differences were created. Graphs grouped by level of instability indicated that permanency decreases associated with use of concrete services in those who had low instability</w:t>
      </w:r>
      <w:r w:rsidR="0002057E">
        <w:rPr>
          <w:rFonts w:ascii="Calibri" w:eastAsia="Calibri" w:hAnsi="Calibri" w:cs="Times New Roman"/>
        </w:rPr>
        <w:t xml:space="preserve"> (less placements)</w:t>
      </w:r>
      <w:r>
        <w:rPr>
          <w:rFonts w:ascii="Calibri" w:eastAsia="Calibri" w:hAnsi="Calibri" w:cs="Times New Roman"/>
        </w:rPr>
        <w:t>; yet, remained stable for families who had higher instability. Graphs separated by round of data collection revealed that permanency and stability steadily increased each round for those who receive concrete services. This may coincide with the steady increase of concrete service during each round. A final graph of level of instability separated for just the 5</w:t>
      </w:r>
      <w:r w:rsidRPr="00665B88">
        <w:rPr>
          <w:rFonts w:ascii="Calibri" w:eastAsia="Calibri" w:hAnsi="Calibri" w:cs="Times New Roman"/>
          <w:vertAlign w:val="superscript"/>
        </w:rPr>
        <w:t>th</w:t>
      </w:r>
      <w:r>
        <w:rPr>
          <w:rFonts w:ascii="Calibri" w:eastAsia="Calibri" w:hAnsi="Calibri" w:cs="Times New Roman"/>
        </w:rPr>
        <w:t xml:space="preserve"> round of data collection revealed that the use of concrete services associated with decreases in permanency in those with low instability; but with those with high instability saw permanency and stability increases. </w:t>
      </w:r>
    </w:p>
    <w:p w:rsidR="000F5868" w:rsidRDefault="000F5868" w:rsidP="00A9310F">
      <w:pPr>
        <w:rPr>
          <w:rStyle w:val="Heading4Char"/>
        </w:rPr>
      </w:pPr>
    </w:p>
    <w:p w:rsidR="00A9310F" w:rsidRDefault="00A9310F" w:rsidP="00A9310F">
      <w:pPr>
        <w:rPr>
          <w:rFonts w:ascii="Calibri" w:eastAsia="Calibri" w:hAnsi="Calibri" w:cs="Times New Roman"/>
        </w:rPr>
      </w:pPr>
      <w:r w:rsidRPr="00D843AE">
        <w:rPr>
          <w:b/>
          <w:color w:val="1F4E79"/>
        </w:rPr>
        <w:t>Take Home Message</w:t>
      </w:r>
      <w:r w:rsidRPr="00F70BC6">
        <w:rPr>
          <w:rStyle w:val="Heading4Char"/>
        </w:rPr>
        <w:t>:</w:t>
      </w:r>
      <w:r>
        <w:rPr>
          <w:rFonts w:ascii="Calibri" w:eastAsia="Calibri" w:hAnsi="Calibri" w:cs="Times New Roman"/>
        </w:rPr>
        <w:t xml:space="preserve"> Overall, the use of concrete services associates with increases in both safety and wellbeing. But, increases in the outcomes of stability and permanency associate with the way concrete services are used. </w:t>
      </w:r>
      <w:r w:rsidR="0002057E">
        <w:rPr>
          <w:rFonts w:ascii="Calibri" w:eastAsia="Calibri" w:hAnsi="Calibri" w:cs="Times New Roman"/>
        </w:rPr>
        <w:t xml:space="preserve">For example, concrete service usage for some children who are in the system longer increase wellbeing but permanency goals may be difficult to achieve. </w:t>
      </w:r>
      <w:r>
        <w:rPr>
          <w:rFonts w:ascii="Calibri" w:eastAsia="Calibri" w:hAnsi="Calibri" w:cs="Times New Roman"/>
        </w:rPr>
        <w:t>More investigation is needed for the statistical and practical significance of these relationships and in what way concrete services can be used to improve these outcomes. Taken together, these findings suggest the use of concrete services show promise as a way to improve outcomes.</w:t>
      </w:r>
    </w:p>
    <w:p w:rsidR="000F5868" w:rsidRDefault="000F5868">
      <w:pPr>
        <w:spacing w:after="160" w:line="259" w:lineRule="auto"/>
        <w:rPr>
          <w:rFonts w:ascii="Calibri" w:eastAsia="Calibri" w:hAnsi="Calibri" w:cs="Times New Roman"/>
        </w:rPr>
      </w:pPr>
      <w:r>
        <w:rPr>
          <w:rFonts w:ascii="Calibri" w:eastAsia="Calibri" w:hAnsi="Calibri" w:cs="Times New Roman"/>
        </w:rPr>
        <w:br w:type="page"/>
      </w:r>
    </w:p>
    <w:p w:rsidR="003A7173" w:rsidRDefault="003A7173" w:rsidP="003A7173">
      <w:pPr>
        <w:pStyle w:val="Heading3"/>
      </w:pPr>
      <w:r>
        <w:t>Factors associated with Concrete Service Usage</w:t>
      </w:r>
    </w:p>
    <w:p w:rsidR="003A7173" w:rsidRDefault="003A7173" w:rsidP="003A7173">
      <w:pPr>
        <w:spacing w:after="200"/>
      </w:pPr>
      <w:r>
        <w:t xml:space="preserve">The following analysis answers the question: what factors predict concrete service usage for those cases reviewed in the Quality Service Reviews? Under this question it was important to understand if the time data that was collected had an effect on weather concrete services were received. Also, the number of participants who received concrete services for each region by round was calculated. </w:t>
      </w:r>
    </w:p>
    <w:p w:rsidR="00B45C01" w:rsidRDefault="00B45C01" w:rsidP="00B45C01">
      <w:pPr>
        <w:spacing w:after="200"/>
      </w:pPr>
      <w:r>
        <w:t xml:space="preserve">To test the hypothesis a probit model was used to test which factors correctly predicted who received and did not receive concrete services. Factors were entered into the model for stress (caregiver and youth), number of placements and round number with round one being the reference category. The predictive value of each factor was calculated along with the overall model’s percent of correct predictions compared against a model without the factors. </w:t>
      </w:r>
    </w:p>
    <w:p w:rsidR="00B45C01" w:rsidRPr="000F5868" w:rsidRDefault="00B45C01" w:rsidP="00B45C01">
      <w:pPr>
        <w:spacing w:after="120"/>
        <w:rPr>
          <w:b/>
          <w:bCs/>
          <w:color w:val="1F4E79"/>
        </w:rPr>
      </w:pPr>
      <w:r w:rsidRPr="000F5868">
        <w:rPr>
          <w:b/>
          <w:bCs/>
          <w:color w:val="1F4E79"/>
        </w:rPr>
        <w:t>Results</w:t>
      </w:r>
      <w:r w:rsidRPr="000F5868">
        <w:rPr>
          <w:color w:val="1F4E79"/>
        </w:rPr>
        <w:t xml:space="preserve">: </w:t>
      </w:r>
      <w:r w:rsidRPr="000F5868">
        <w:rPr>
          <w:b/>
          <w:bCs/>
          <w:color w:val="1F4E79"/>
        </w:rPr>
        <w:t>Probit model predicting receiving concrete services</w:t>
      </w:r>
    </w:p>
    <w:p w:rsidR="00B45C01" w:rsidRDefault="00B45C01" w:rsidP="00B45C01">
      <w:pPr>
        <w:spacing w:after="200"/>
      </w:pPr>
      <w:r>
        <w:t>The probit model indicated significant association of caregiver stress, number of placements, and rounds 2 -5 with w</w:t>
      </w:r>
      <w:r w:rsidR="0002057E">
        <w:t>hether</w:t>
      </w:r>
      <w:r>
        <w:t xml:space="preserve"> or not they receive concrete services </w:t>
      </w:r>
      <w:r w:rsidRPr="00FB7379">
        <w:t>(</w:t>
      </w:r>
      <w:r w:rsidR="00CA3266">
        <w:t>T</w:t>
      </w:r>
      <w:r w:rsidRPr="00FB7379">
        <w:t xml:space="preserve">able </w:t>
      </w:r>
      <w:r w:rsidR="00CA3266">
        <w:t>1</w:t>
      </w:r>
      <w:r w:rsidRPr="00FB7379">
        <w:t>2</w:t>
      </w:r>
      <w:r>
        <w:t xml:space="preserve">). The entire model had a predictive validity of 77.25% correct predictions which was significantly higher than a model without the predictors at 69.41%. When examining the differentiation between predictive probabilities of each factor entered into the model, individual factors and round 2 could not be distinguished as evidence by the overlapping confidence intervals in Figure </w:t>
      </w:r>
      <w:r w:rsidR="00CA3266">
        <w:t>9</w:t>
      </w:r>
      <w:r>
        <w:t>. On the other hand, rounds 3-5 shown a significant increase in predictive validity with being in round 4 and 5 predicting 25-40% of those who received concrete services. These Waiver rounds indicate that they predicted who received services beyond individual factors as indicated by a clear separation of confidence intervals. It is likely that clients still had elevated needs in other rounds th</w:t>
      </w:r>
      <w:r w:rsidR="0002057E">
        <w:t>at</w:t>
      </w:r>
      <w:r>
        <w:t xml:space="preserve"> required concrete services for support but because of the Waiver those funds were not available. These results suggest that Waiver concrete services spending significantly predicted w</w:t>
      </w:r>
      <w:r w:rsidR="0002057E">
        <w:t>het</w:t>
      </w:r>
      <w:r>
        <w:t xml:space="preserve">her clients would receive concrete services. </w:t>
      </w:r>
    </w:p>
    <w:p w:rsidR="00B45C01" w:rsidRDefault="00B45C01" w:rsidP="000F5868">
      <w:pPr>
        <w:pStyle w:val="Heading4"/>
      </w:pPr>
      <w:r w:rsidRPr="0058466D">
        <w:t xml:space="preserve">Table </w:t>
      </w:r>
      <w:r w:rsidR="00CA3266">
        <w:t>1</w:t>
      </w:r>
      <w:r w:rsidRPr="0058466D">
        <w:t>2. Model of personal and time characteristics of receiving concrete services</w:t>
      </w:r>
    </w:p>
    <w:tbl>
      <w:tblPr>
        <w:tblStyle w:val="ListTable4-Accent1"/>
        <w:tblW w:w="0" w:type="auto"/>
        <w:tblLook w:val="04A0" w:firstRow="1" w:lastRow="0" w:firstColumn="1" w:lastColumn="0" w:noHBand="0" w:noVBand="1"/>
      </w:tblPr>
      <w:tblGrid>
        <w:gridCol w:w="3116"/>
        <w:gridCol w:w="2639"/>
        <w:gridCol w:w="2160"/>
      </w:tblGrid>
      <w:tr w:rsidR="00B45C01" w:rsidTr="00B45C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one" w:sz="0" w:space="0" w:color="auto"/>
              <w:left w:val="none" w:sz="0" w:space="0" w:color="auto"/>
              <w:bottom w:val="none" w:sz="0" w:space="0" w:color="auto"/>
            </w:tcBorders>
          </w:tcPr>
          <w:p w:rsidR="00B45C01" w:rsidRDefault="00B45C01" w:rsidP="00B45C01"/>
        </w:tc>
        <w:tc>
          <w:tcPr>
            <w:tcW w:w="2639" w:type="dxa"/>
            <w:tcBorders>
              <w:top w:val="none" w:sz="0" w:space="0" w:color="auto"/>
              <w:bottom w:val="none" w:sz="0" w:space="0" w:color="auto"/>
            </w:tcBorders>
          </w:tcPr>
          <w:p w:rsidR="00B45C01" w:rsidRDefault="00B45C01" w:rsidP="00B45C01">
            <w:pPr>
              <w:jc w:val="center"/>
              <w:cnfStyle w:val="100000000000" w:firstRow="1" w:lastRow="0" w:firstColumn="0" w:lastColumn="0" w:oddVBand="0" w:evenVBand="0" w:oddHBand="0" w:evenHBand="0" w:firstRowFirstColumn="0" w:firstRowLastColumn="0" w:lastRowFirstColumn="0" w:lastRowLastColumn="0"/>
            </w:pPr>
            <w:r>
              <w:t>Beta</w:t>
            </w:r>
          </w:p>
        </w:tc>
        <w:tc>
          <w:tcPr>
            <w:tcW w:w="2160" w:type="dxa"/>
            <w:tcBorders>
              <w:top w:val="none" w:sz="0" w:space="0" w:color="auto"/>
              <w:bottom w:val="none" w:sz="0" w:space="0" w:color="auto"/>
              <w:right w:val="none" w:sz="0" w:space="0" w:color="auto"/>
            </w:tcBorders>
          </w:tcPr>
          <w:p w:rsidR="00B45C01" w:rsidRDefault="00B45C01" w:rsidP="00B45C01">
            <w:pPr>
              <w:jc w:val="center"/>
              <w:cnfStyle w:val="100000000000" w:firstRow="1" w:lastRow="0" w:firstColumn="0" w:lastColumn="0" w:oddVBand="0" w:evenVBand="0" w:oddHBand="0" w:evenHBand="0" w:firstRowFirstColumn="0" w:firstRowLastColumn="0" w:lastRowFirstColumn="0" w:lastRowLastColumn="0"/>
            </w:pPr>
            <w:r>
              <w:t>SE</w:t>
            </w:r>
          </w:p>
        </w:tc>
      </w:tr>
      <w:tr w:rsidR="00B45C01" w:rsidTr="00B4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B45C01" w:rsidRDefault="00B45C01" w:rsidP="00B45C01">
            <w:r>
              <w:t>Youth stress</w:t>
            </w:r>
          </w:p>
        </w:tc>
        <w:tc>
          <w:tcPr>
            <w:tcW w:w="2639" w:type="dxa"/>
          </w:tcPr>
          <w:p w:rsidR="00B45C01" w:rsidRDefault="00B45C01" w:rsidP="00B45C01">
            <w:pPr>
              <w:jc w:val="center"/>
              <w:cnfStyle w:val="000000100000" w:firstRow="0" w:lastRow="0" w:firstColumn="0" w:lastColumn="0" w:oddVBand="0" w:evenVBand="0" w:oddHBand="1" w:evenHBand="0" w:firstRowFirstColumn="0" w:firstRowLastColumn="0" w:lastRowFirstColumn="0" w:lastRowLastColumn="0"/>
            </w:pPr>
            <w:r>
              <w:t>- .002</w:t>
            </w:r>
          </w:p>
        </w:tc>
        <w:tc>
          <w:tcPr>
            <w:tcW w:w="2160" w:type="dxa"/>
          </w:tcPr>
          <w:p w:rsidR="00B45C01" w:rsidRDefault="00B45C01" w:rsidP="00B45C01">
            <w:pPr>
              <w:jc w:val="center"/>
              <w:cnfStyle w:val="000000100000" w:firstRow="0" w:lastRow="0" w:firstColumn="0" w:lastColumn="0" w:oddVBand="0" w:evenVBand="0" w:oddHBand="1" w:evenHBand="0" w:firstRowFirstColumn="0" w:firstRowLastColumn="0" w:lastRowFirstColumn="0" w:lastRowLastColumn="0"/>
            </w:pPr>
            <w:r>
              <w:t>.040</w:t>
            </w:r>
          </w:p>
        </w:tc>
      </w:tr>
      <w:tr w:rsidR="00B45C01" w:rsidTr="00B45C01">
        <w:tc>
          <w:tcPr>
            <w:cnfStyle w:val="001000000000" w:firstRow="0" w:lastRow="0" w:firstColumn="1" w:lastColumn="0" w:oddVBand="0" w:evenVBand="0" w:oddHBand="0" w:evenHBand="0" w:firstRowFirstColumn="0" w:firstRowLastColumn="0" w:lastRowFirstColumn="0" w:lastRowLastColumn="0"/>
            <w:tcW w:w="3116" w:type="dxa"/>
          </w:tcPr>
          <w:p w:rsidR="00B45C01" w:rsidRDefault="00B45C01" w:rsidP="00B45C01">
            <w:r>
              <w:t>Caregiver stress</w:t>
            </w:r>
          </w:p>
        </w:tc>
        <w:tc>
          <w:tcPr>
            <w:tcW w:w="2639" w:type="dxa"/>
          </w:tcPr>
          <w:p w:rsidR="00B45C01" w:rsidRDefault="00B45C01" w:rsidP="00B45C01">
            <w:pPr>
              <w:jc w:val="center"/>
              <w:cnfStyle w:val="000000000000" w:firstRow="0" w:lastRow="0" w:firstColumn="0" w:lastColumn="0" w:oddVBand="0" w:evenVBand="0" w:oddHBand="0" w:evenHBand="0" w:firstRowFirstColumn="0" w:firstRowLastColumn="0" w:lastRowFirstColumn="0" w:lastRowLastColumn="0"/>
            </w:pPr>
            <w:r>
              <w:t>.055*</w:t>
            </w:r>
          </w:p>
        </w:tc>
        <w:tc>
          <w:tcPr>
            <w:tcW w:w="2160" w:type="dxa"/>
          </w:tcPr>
          <w:p w:rsidR="00B45C01" w:rsidRDefault="00B45C01" w:rsidP="00B45C01">
            <w:pPr>
              <w:jc w:val="center"/>
              <w:cnfStyle w:val="000000000000" w:firstRow="0" w:lastRow="0" w:firstColumn="0" w:lastColumn="0" w:oddVBand="0" w:evenVBand="0" w:oddHBand="0" w:evenHBand="0" w:firstRowFirstColumn="0" w:firstRowLastColumn="0" w:lastRowFirstColumn="0" w:lastRowLastColumn="0"/>
            </w:pPr>
            <w:r>
              <w:t>.015</w:t>
            </w:r>
          </w:p>
        </w:tc>
      </w:tr>
      <w:tr w:rsidR="00B45C01" w:rsidTr="00B4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B45C01" w:rsidRDefault="00B45C01" w:rsidP="00B45C01">
            <w:r>
              <w:t>Number of placements</w:t>
            </w:r>
          </w:p>
        </w:tc>
        <w:tc>
          <w:tcPr>
            <w:tcW w:w="2639" w:type="dxa"/>
          </w:tcPr>
          <w:p w:rsidR="00B45C01" w:rsidRDefault="00B45C01" w:rsidP="00B45C01">
            <w:pPr>
              <w:jc w:val="center"/>
              <w:cnfStyle w:val="000000100000" w:firstRow="0" w:lastRow="0" w:firstColumn="0" w:lastColumn="0" w:oddVBand="0" w:evenVBand="0" w:oddHBand="1" w:evenHBand="0" w:firstRowFirstColumn="0" w:firstRowLastColumn="0" w:lastRowFirstColumn="0" w:lastRowLastColumn="0"/>
            </w:pPr>
            <w:r>
              <w:t>.453*</w:t>
            </w:r>
          </w:p>
        </w:tc>
        <w:tc>
          <w:tcPr>
            <w:tcW w:w="2160" w:type="dxa"/>
          </w:tcPr>
          <w:p w:rsidR="00B45C01" w:rsidRDefault="00B45C01" w:rsidP="00B45C01">
            <w:pPr>
              <w:jc w:val="center"/>
              <w:cnfStyle w:val="000000100000" w:firstRow="0" w:lastRow="0" w:firstColumn="0" w:lastColumn="0" w:oddVBand="0" w:evenVBand="0" w:oddHBand="1" w:evenHBand="0" w:firstRowFirstColumn="0" w:firstRowLastColumn="0" w:lastRowFirstColumn="0" w:lastRowLastColumn="0"/>
            </w:pPr>
            <w:r>
              <w:t>.041</w:t>
            </w:r>
          </w:p>
        </w:tc>
      </w:tr>
      <w:tr w:rsidR="00B45C01" w:rsidTr="00B45C01">
        <w:tc>
          <w:tcPr>
            <w:cnfStyle w:val="001000000000" w:firstRow="0" w:lastRow="0" w:firstColumn="1" w:lastColumn="0" w:oddVBand="0" w:evenVBand="0" w:oddHBand="0" w:evenHBand="0" w:firstRowFirstColumn="0" w:firstRowLastColumn="0" w:lastRowFirstColumn="0" w:lastRowLastColumn="0"/>
            <w:tcW w:w="3116" w:type="dxa"/>
          </w:tcPr>
          <w:p w:rsidR="00B45C01" w:rsidRDefault="00B45C01" w:rsidP="00B45C01">
            <w:r>
              <w:t>Round 2</w:t>
            </w:r>
          </w:p>
        </w:tc>
        <w:tc>
          <w:tcPr>
            <w:tcW w:w="2639" w:type="dxa"/>
          </w:tcPr>
          <w:p w:rsidR="00B45C01" w:rsidRDefault="00B45C01" w:rsidP="00B45C01">
            <w:pPr>
              <w:jc w:val="center"/>
              <w:cnfStyle w:val="000000000000" w:firstRow="0" w:lastRow="0" w:firstColumn="0" w:lastColumn="0" w:oddVBand="0" w:evenVBand="0" w:oddHBand="0" w:evenHBand="0" w:firstRowFirstColumn="0" w:firstRowLastColumn="0" w:lastRowFirstColumn="0" w:lastRowLastColumn="0"/>
            </w:pPr>
            <w:r>
              <w:t>.724*</w:t>
            </w:r>
          </w:p>
        </w:tc>
        <w:tc>
          <w:tcPr>
            <w:tcW w:w="2160" w:type="dxa"/>
          </w:tcPr>
          <w:p w:rsidR="00B45C01" w:rsidRDefault="00B45C01" w:rsidP="00B45C01">
            <w:pPr>
              <w:jc w:val="center"/>
              <w:cnfStyle w:val="000000000000" w:firstRow="0" w:lastRow="0" w:firstColumn="0" w:lastColumn="0" w:oddVBand="0" w:evenVBand="0" w:oddHBand="0" w:evenHBand="0" w:firstRowFirstColumn="0" w:firstRowLastColumn="0" w:lastRowFirstColumn="0" w:lastRowLastColumn="0"/>
            </w:pPr>
            <w:r>
              <w:t>.216</w:t>
            </w:r>
          </w:p>
        </w:tc>
      </w:tr>
      <w:tr w:rsidR="00B45C01" w:rsidTr="00B4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B45C01" w:rsidRDefault="00B45C01" w:rsidP="00B45C01">
            <w:r>
              <w:t>Round 3</w:t>
            </w:r>
          </w:p>
        </w:tc>
        <w:tc>
          <w:tcPr>
            <w:tcW w:w="2639" w:type="dxa"/>
          </w:tcPr>
          <w:p w:rsidR="00B45C01" w:rsidRDefault="00B45C01" w:rsidP="00B45C01">
            <w:pPr>
              <w:jc w:val="center"/>
              <w:cnfStyle w:val="000000100000" w:firstRow="0" w:lastRow="0" w:firstColumn="0" w:lastColumn="0" w:oddVBand="0" w:evenVBand="0" w:oddHBand="1" w:evenHBand="0" w:firstRowFirstColumn="0" w:firstRowLastColumn="0" w:lastRowFirstColumn="0" w:lastRowLastColumn="0"/>
            </w:pPr>
            <w:r>
              <w:t>2.246*</w:t>
            </w:r>
          </w:p>
        </w:tc>
        <w:tc>
          <w:tcPr>
            <w:tcW w:w="2160" w:type="dxa"/>
          </w:tcPr>
          <w:p w:rsidR="00B45C01" w:rsidRDefault="00B45C01" w:rsidP="00B45C01">
            <w:pPr>
              <w:jc w:val="center"/>
              <w:cnfStyle w:val="000000100000" w:firstRow="0" w:lastRow="0" w:firstColumn="0" w:lastColumn="0" w:oddVBand="0" w:evenVBand="0" w:oddHBand="1" w:evenHBand="0" w:firstRowFirstColumn="0" w:firstRowLastColumn="0" w:lastRowFirstColumn="0" w:lastRowLastColumn="0"/>
            </w:pPr>
            <w:r>
              <w:t>.209</w:t>
            </w:r>
          </w:p>
        </w:tc>
      </w:tr>
      <w:tr w:rsidR="00B45C01" w:rsidTr="00B45C01">
        <w:tc>
          <w:tcPr>
            <w:cnfStyle w:val="001000000000" w:firstRow="0" w:lastRow="0" w:firstColumn="1" w:lastColumn="0" w:oddVBand="0" w:evenVBand="0" w:oddHBand="0" w:evenHBand="0" w:firstRowFirstColumn="0" w:firstRowLastColumn="0" w:lastRowFirstColumn="0" w:lastRowLastColumn="0"/>
            <w:tcW w:w="3116" w:type="dxa"/>
          </w:tcPr>
          <w:p w:rsidR="00B45C01" w:rsidRDefault="00B45C01" w:rsidP="00B45C01">
            <w:r>
              <w:t>Round 4</w:t>
            </w:r>
          </w:p>
        </w:tc>
        <w:tc>
          <w:tcPr>
            <w:tcW w:w="2639" w:type="dxa"/>
          </w:tcPr>
          <w:p w:rsidR="00B45C01" w:rsidRDefault="00B45C01" w:rsidP="00B45C01">
            <w:pPr>
              <w:jc w:val="center"/>
              <w:cnfStyle w:val="000000000000" w:firstRow="0" w:lastRow="0" w:firstColumn="0" w:lastColumn="0" w:oddVBand="0" w:evenVBand="0" w:oddHBand="0" w:evenHBand="0" w:firstRowFirstColumn="0" w:firstRowLastColumn="0" w:lastRowFirstColumn="0" w:lastRowLastColumn="0"/>
            </w:pPr>
            <w:r>
              <w:t>2.819*</w:t>
            </w:r>
          </w:p>
        </w:tc>
        <w:tc>
          <w:tcPr>
            <w:tcW w:w="2160" w:type="dxa"/>
          </w:tcPr>
          <w:p w:rsidR="00B45C01" w:rsidRDefault="00B45C01" w:rsidP="00B45C01">
            <w:pPr>
              <w:jc w:val="center"/>
              <w:cnfStyle w:val="000000000000" w:firstRow="0" w:lastRow="0" w:firstColumn="0" w:lastColumn="0" w:oddVBand="0" w:evenVBand="0" w:oddHBand="0" w:evenHBand="0" w:firstRowFirstColumn="0" w:firstRowLastColumn="0" w:lastRowFirstColumn="0" w:lastRowLastColumn="0"/>
            </w:pPr>
            <w:r>
              <w:t>.211</w:t>
            </w:r>
          </w:p>
        </w:tc>
      </w:tr>
      <w:tr w:rsidR="00B45C01" w:rsidTr="00B4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B45C01" w:rsidRDefault="00B45C01" w:rsidP="00B45C01">
            <w:r>
              <w:t>Round 5</w:t>
            </w:r>
          </w:p>
        </w:tc>
        <w:tc>
          <w:tcPr>
            <w:tcW w:w="2639" w:type="dxa"/>
          </w:tcPr>
          <w:p w:rsidR="00B45C01" w:rsidRDefault="00B45C01" w:rsidP="00B45C01">
            <w:pPr>
              <w:jc w:val="center"/>
              <w:cnfStyle w:val="000000100000" w:firstRow="0" w:lastRow="0" w:firstColumn="0" w:lastColumn="0" w:oddVBand="0" w:evenVBand="0" w:oddHBand="1" w:evenHBand="0" w:firstRowFirstColumn="0" w:firstRowLastColumn="0" w:lastRowFirstColumn="0" w:lastRowLastColumn="0"/>
            </w:pPr>
            <w:r>
              <w:t>2.821*</w:t>
            </w:r>
          </w:p>
        </w:tc>
        <w:tc>
          <w:tcPr>
            <w:tcW w:w="2160" w:type="dxa"/>
          </w:tcPr>
          <w:p w:rsidR="00B45C01" w:rsidRDefault="00B45C01" w:rsidP="00B45C01">
            <w:pPr>
              <w:jc w:val="center"/>
              <w:cnfStyle w:val="000000100000" w:firstRow="0" w:lastRow="0" w:firstColumn="0" w:lastColumn="0" w:oddVBand="0" w:evenVBand="0" w:oddHBand="1" w:evenHBand="0" w:firstRowFirstColumn="0" w:firstRowLastColumn="0" w:lastRowFirstColumn="0" w:lastRowLastColumn="0"/>
            </w:pPr>
            <w:r>
              <w:t>.214</w:t>
            </w:r>
          </w:p>
        </w:tc>
      </w:tr>
      <w:tr w:rsidR="00B45C01" w:rsidTr="00B45C01">
        <w:tc>
          <w:tcPr>
            <w:cnfStyle w:val="001000000000" w:firstRow="0" w:lastRow="0" w:firstColumn="1" w:lastColumn="0" w:oddVBand="0" w:evenVBand="0" w:oddHBand="0" w:evenHBand="0" w:firstRowFirstColumn="0" w:firstRowLastColumn="0" w:lastRowFirstColumn="0" w:lastRowLastColumn="0"/>
            <w:tcW w:w="7915" w:type="dxa"/>
            <w:gridSpan w:val="3"/>
          </w:tcPr>
          <w:p w:rsidR="00B45C01" w:rsidRDefault="00B45C01" w:rsidP="00B45C01">
            <w:pPr>
              <w:ind w:left="-19"/>
            </w:pPr>
            <w:r w:rsidRPr="00681C47">
              <w:rPr>
                <w:b w:val="0"/>
                <w:bCs w:val="0"/>
              </w:rPr>
              <w:t>Number of cases</w:t>
            </w:r>
            <w:r>
              <w:t xml:space="preserve">            </w:t>
            </w:r>
            <w:r w:rsidRPr="00E32B88">
              <w:rPr>
                <w:b w:val="0"/>
                <w:bCs w:val="0"/>
              </w:rPr>
              <w:t>2140</w:t>
            </w:r>
          </w:p>
          <w:p w:rsidR="00B45C01" w:rsidRDefault="00B45C01" w:rsidP="00B45C01">
            <w:pPr>
              <w:ind w:left="-19"/>
            </w:pPr>
            <w:r>
              <w:rPr>
                <w:b w:val="0"/>
                <w:bCs w:val="0"/>
              </w:rPr>
              <w:t xml:space="preserve">-2 X Log-likelihood </w:t>
            </w:r>
          </w:p>
          <w:p w:rsidR="00B45C01" w:rsidRDefault="00B45C01" w:rsidP="00B45C01">
            <w:r>
              <w:rPr>
                <w:b w:val="0"/>
                <w:bCs w:val="0"/>
              </w:rPr>
              <w:t xml:space="preserve">(degrees of freedom)    </w:t>
            </w:r>
            <w:r w:rsidRPr="00E32B88">
              <w:rPr>
                <w:b w:val="0"/>
                <w:bCs w:val="0"/>
              </w:rPr>
              <w:t xml:space="preserve">2636.9 </w:t>
            </w:r>
          </w:p>
          <w:p w:rsidR="00B45C01" w:rsidRPr="0058466D" w:rsidRDefault="00B45C01" w:rsidP="00B45C01">
            <w:pPr>
              <w:rPr>
                <w:b w:val="0"/>
                <w:bCs w:val="0"/>
                <w:sz w:val="16"/>
              </w:rPr>
            </w:pPr>
          </w:p>
          <w:p w:rsidR="00B45C01" w:rsidRDefault="00B45C01" w:rsidP="00B45C01">
            <w:r>
              <w:rPr>
                <w:b w:val="0"/>
                <w:bCs w:val="0"/>
              </w:rPr>
              <w:t>Model correctly predicted = 77.25%</w:t>
            </w:r>
          </w:p>
          <w:p w:rsidR="00B45C01" w:rsidRDefault="00B45C01" w:rsidP="00B45C01">
            <w:pPr>
              <w:rPr>
                <w:b w:val="0"/>
                <w:bCs w:val="0"/>
              </w:rPr>
            </w:pPr>
            <w:r>
              <w:rPr>
                <w:b w:val="0"/>
                <w:bCs w:val="0"/>
              </w:rPr>
              <w:t>Null model predicts = 69.41%</w:t>
            </w:r>
          </w:p>
          <w:p w:rsidR="00B45C01" w:rsidRPr="0058466D" w:rsidRDefault="00B45C01" w:rsidP="00B45C01">
            <w:pPr>
              <w:rPr>
                <w:sz w:val="12"/>
              </w:rPr>
            </w:pPr>
          </w:p>
          <w:p w:rsidR="00B45C01" w:rsidRDefault="00B45C01" w:rsidP="00B45C01">
            <w:pPr>
              <w:rPr>
                <w:b w:val="0"/>
                <w:bCs w:val="0"/>
              </w:rPr>
            </w:pPr>
            <w:r>
              <w:rPr>
                <w:b w:val="0"/>
                <w:bCs w:val="0"/>
              </w:rPr>
              <w:t>* = p&lt; .05 two-tailed</w:t>
            </w:r>
          </w:p>
          <w:p w:rsidR="00C84371" w:rsidRPr="00E32B88" w:rsidRDefault="00C84371" w:rsidP="00B45C01">
            <w:pPr>
              <w:rPr>
                <w:b w:val="0"/>
                <w:bCs w:val="0"/>
              </w:rPr>
            </w:pPr>
          </w:p>
        </w:tc>
      </w:tr>
    </w:tbl>
    <w:p w:rsidR="00C84371" w:rsidRDefault="00C84371" w:rsidP="00C84371"/>
    <w:p w:rsidR="00B45C01" w:rsidRDefault="00B45C01" w:rsidP="00B45C01">
      <w:pPr>
        <w:pStyle w:val="Heading4"/>
      </w:pPr>
      <w:r w:rsidRPr="00995746">
        <w:t xml:space="preserve">Figure </w:t>
      </w:r>
      <w:r w:rsidR="00CA3266">
        <w:t>9</w:t>
      </w:r>
      <w:r w:rsidRPr="00995746">
        <w:t>. Predicted probabilities of receiving concrete services by round and by individual factors</w:t>
      </w:r>
    </w:p>
    <w:p w:rsidR="00B45C01" w:rsidRDefault="00B45C01" w:rsidP="00B45C01">
      <w:r>
        <w:rPr>
          <w:noProof/>
        </w:rPr>
        <w:drawing>
          <wp:inline distT="0" distB="0" distL="0" distR="0" wp14:anchorId="01A97D77" wp14:editId="5E3EEEB5">
            <wp:extent cx="5814564" cy="3993226"/>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14564" cy="3993226"/>
                    </a:xfrm>
                    <a:prstGeom prst="rect">
                      <a:avLst/>
                    </a:prstGeom>
                  </pic:spPr>
                </pic:pic>
              </a:graphicData>
            </a:graphic>
          </wp:inline>
        </w:drawing>
      </w:r>
    </w:p>
    <w:p w:rsidR="00B45C01" w:rsidRDefault="00B45C01" w:rsidP="00B45C01">
      <w:pPr>
        <w:spacing w:after="200" w:line="276" w:lineRule="auto"/>
      </w:pPr>
    </w:p>
    <w:p w:rsidR="0002057E" w:rsidRDefault="0002057E" w:rsidP="0002057E">
      <w:pPr>
        <w:spacing w:after="200"/>
      </w:pPr>
      <w:r>
        <w:t>Additionally, trends in concrete service spending was calculated. These demonstrate decreases in children or families not receiving concrete services over time and steady increases in those receiving services and generally increasing for each region over time (Table 13).</w:t>
      </w:r>
    </w:p>
    <w:p w:rsidR="000F5868" w:rsidRPr="0002057E" w:rsidRDefault="0002057E">
      <w:pPr>
        <w:spacing w:after="160" w:line="259" w:lineRule="auto"/>
        <w:rPr>
          <w:rFonts w:asciiTheme="majorHAnsi" w:eastAsiaTheme="majorEastAsia" w:hAnsiTheme="majorHAnsi" w:cstheme="majorBidi"/>
          <w:i/>
          <w:iCs/>
          <w:color w:val="2E74B5" w:themeColor="accent1" w:themeShade="BF"/>
        </w:rPr>
      </w:pPr>
      <w:r>
        <w:br w:type="page"/>
      </w:r>
    </w:p>
    <w:p w:rsidR="00CA3266" w:rsidRDefault="00CA3266" w:rsidP="00CA3266">
      <w:pPr>
        <w:pStyle w:val="Heading4"/>
      </w:pPr>
      <w:r w:rsidRPr="00C2511F">
        <w:t xml:space="preserve">Table </w:t>
      </w:r>
      <w:r>
        <w:t>13</w:t>
      </w:r>
      <w:r w:rsidRPr="00C2511F">
        <w:t xml:space="preserve">. </w:t>
      </w:r>
      <w:r>
        <w:t>N</w:t>
      </w:r>
      <w:r w:rsidRPr="00C2511F">
        <w:t>umber of cases receiving concrete services by region and round</w:t>
      </w:r>
    </w:p>
    <w:tbl>
      <w:tblPr>
        <w:tblStyle w:val="ListTable4-Accent1"/>
        <w:tblW w:w="0" w:type="auto"/>
        <w:tblLook w:val="04A0" w:firstRow="1" w:lastRow="0" w:firstColumn="1" w:lastColumn="0" w:noHBand="0" w:noVBand="1"/>
      </w:tblPr>
      <w:tblGrid>
        <w:gridCol w:w="3595"/>
        <w:gridCol w:w="1170"/>
        <w:gridCol w:w="1080"/>
        <w:gridCol w:w="1080"/>
        <w:gridCol w:w="1170"/>
        <w:gridCol w:w="1255"/>
      </w:tblGrid>
      <w:tr w:rsidR="00B45C01" w:rsidTr="00B45C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Borders>
              <w:top w:val="none" w:sz="0" w:space="0" w:color="auto"/>
              <w:left w:val="none" w:sz="0" w:space="0" w:color="auto"/>
              <w:bottom w:val="none" w:sz="0" w:space="0" w:color="auto"/>
            </w:tcBorders>
          </w:tcPr>
          <w:p w:rsidR="00B45C01" w:rsidRDefault="00B45C01" w:rsidP="00B45C01"/>
        </w:tc>
        <w:tc>
          <w:tcPr>
            <w:tcW w:w="1170" w:type="dxa"/>
            <w:tcBorders>
              <w:top w:val="none" w:sz="0" w:space="0" w:color="auto"/>
              <w:bottom w:val="none" w:sz="0" w:space="0" w:color="auto"/>
            </w:tcBorders>
          </w:tcPr>
          <w:p w:rsidR="00B45C01" w:rsidRDefault="00B45C01" w:rsidP="00B45C01">
            <w:pPr>
              <w:cnfStyle w:val="100000000000" w:firstRow="1" w:lastRow="0" w:firstColumn="0" w:lastColumn="0" w:oddVBand="0" w:evenVBand="0" w:oddHBand="0" w:evenHBand="0" w:firstRowFirstColumn="0" w:firstRowLastColumn="0" w:lastRowFirstColumn="0" w:lastRowLastColumn="0"/>
            </w:pPr>
            <w:r>
              <w:t>Round 1</w:t>
            </w:r>
          </w:p>
        </w:tc>
        <w:tc>
          <w:tcPr>
            <w:tcW w:w="1080" w:type="dxa"/>
            <w:tcBorders>
              <w:top w:val="none" w:sz="0" w:space="0" w:color="auto"/>
              <w:bottom w:val="none" w:sz="0" w:space="0" w:color="auto"/>
            </w:tcBorders>
          </w:tcPr>
          <w:p w:rsidR="00B45C01" w:rsidRDefault="00B45C01" w:rsidP="00B45C01">
            <w:pPr>
              <w:cnfStyle w:val="100000000000" w:firstRow="1" w:lastRow="0" w:firstColumn="0" w:lastColumn="0" w:oddVBand="0" w:evenVBand="0" w:oddHBand="0" w:evenHBand="0" w:firstRowFirstColumn="0" w:firstRowLastColumn="0" w:lastRowFirstColumn="0" w:lastRowLastColumn="0"/>
            </w:pPr>
            <w:r>
              <w:t>Round 2</w:t>
            </w:r>
          </w:p>
        </w:tc>
        <w:tc>
          <w:tcPr>
            <w:tcW w:w="1080" w:type="dxa"/>
            <w:tcBorders>
              <w:top w:val="none" w:sz="0" w:space="0" w:color="auto"/>
              <w:bottom w:val="none" w:sz="0" w:space="0" w:color="auto"/>
            </w:tcBorders>
          </w:tcPr>
          <w:p w:rsidR="00B45C01" w:rsidRDefault="00B45C01" w:rsidP="00B45C01">
            <w:pPr>
              <w:cnfStyle w:val="100000000000" w:firstRow="1" w:lastRow="0" w:firstColumn="0" w:lastColumn="0" w:oddVBand="0" w:evenVBand="0" w:oddHBand="0" w:evenHBand="0" w:firstRowFirstColumn="0" w:firstRowLastColumn="0" w:lastRowFirstColumn="0" w:lastRowLastColumn="0"/>
            </w:pPr>
            <w:r>
              <w:t>Round 3</w:t>
            </w:r>
          </w:p>
        </w:tc>
        <w:tc>
          <w:tcPr>
            <w:tcW w:w="1170" w:type="dxa"/>
            <w:tcBorders>
              <w:top w:val="none" w:sz="0" w:space="0" w:color="auto"/>
              <w:bottom w:val="none" w:sz="0" w:space="0" w:color="auto"/>
            </w:tcBorders>
          </w:tcPr>
          <w:p w:rsidR="00B45C01" w:rsidRDefault="00B45C01" w:rsidP="00B45C01">
            <w:pPr>
              <w:cnfStyle w:val="100000000000" w:firstRow="1" w:lastRow="0" w:firstColumn="0" w:lastColumn="0" w:oddVBand="0" w:evenVBand="0" w:oddHBand="0" w:evenHBand="0" w:firstRowFirstColumn="0" w:firstRowLastColumn="0" w:lastRowFirstColumn="0" w:lastRowLastColumn="0"/>
            </w:pPr>
            <w:r>
              <w:t>Round 4</w:t>
            </w:r>
          </w:p>
        </w:tc>
        <w:tc>
          <w:tcPr>
            <w:tcW w:w="1255" w:type="dxa"/>
            <w:tcBorders>
              <w:top w:val="none" w:sz="0" w:space="0" w:color="auto"/>
              <w:bottom w:val="none" w:sz="0" w:space="0" w:color="auto"/>
              <w:right w:val="none" w:sz="0" w:space="0" w:color="auto"/>
            </w:tcBorders>
          </w:tcPr>
          <w:p w:rsidR="00B45C01" w:rsidRDefault="00B45C01" w:rsidP="00B45C01">
            <w:pPr>
              <w:cnfStyle w:val="100000000000" w:firstRow="1" w:lastRow="0" w:firstColumn="0" w:lastColumn="0" w:oddVBand="0" w:evenVBand="0" w:oddHBand="0" w:evenHBand="0" w:firstRowFirstColumn="0" w:firstRowLastColumn="0" w:lastRowFirstColumn="0" w:lastRowLastColumn="0"/>
            </w:pPr>
            <w:r>
              <w:t>Round 5</w:t>
            </w:r>
          </w:p>
        </w:tc>
      </w:tr>
      <w:tr w:rsidR="00B45C01" w:rsidTr="00B4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1 received services</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9</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13</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28</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31</w:t>
            </w:r>
          </w:p>
        </w:tc>
        <w:tc>
          <w:tcPr>
            <w:tcW w:w="1255"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25</w:t>
            </w:r>
          </w:p>
        </w:tc>
      </w:tr>
      <w:tr w:rsidR="00B45C01" w:rsidTr="00B45C01">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2 received services</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3</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11</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8</w:t>
            </w:r>
          </w:p>
        </w:tc>
        <w:tc>
          <w:tcPr>
            <w:tcW w:w="1255"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8</w:t>
            </w:r>
          </w:p>
        </w:tc>
      </w:tr>
      <w:tr w:rsidR="00B45C01" w:rsidTr="00B4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3 received services</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1</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4</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6</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9</w:t>
            </w:r>
          </w:p>
        </w:tc>
        <w:tc>
          <w:tcPr>
            <w:tcW w:w="1255"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10</w:t>
            </w:r>
          </w:p>
        </w:tc>
      </w:tr>
      <w:tr w:rsidR="00B45C01" w:rsidTr="00B45C01">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4 received services</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6</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16</w:t>
            </w:r>
          </w:p>
        </w:tc>
        <w:tc>
          <w:tcPr>
            <w:tcW w:w="1255"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14</w:t>
            </w:r>
          </w:p>
        </w:tc>
      </w:tr>
      <w:tr w:rsidR="00B45C01" w:rsidTr="00B4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5 received services</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3</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2</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6</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7</w:t>
            </w:r>
          </w:p>
        </w:tc>
        <w:tc>
          <w:tcPr>
            <w:tcW w:w="1255"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6</w:t>
            </w:r>
          </w:p>
        </w:tc>
      </w:tr>
      <w:tr w:rsidR="00B45C01" w:rsidTr="00B45C01">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6 received services</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7</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7</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12</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9</w:t>
            </w:r>
          </w:p>
        </w:tc>
        <w:tc>
          <w:tcPr>
            <w:tcW w:w="1255"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10</w:t>
            </w:r>
          </w:p>
        </w:tc>
      </w:tr>
      <w:tr w:rsidR="00B45C01" w:rsidTr="00B4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7 received services</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2</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0</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4</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11</w:t>
            </w:r>
          </w:p>
        </w:tc>
        <w:tc>
          <w:tcPr>
            <w:tcW w:w="1255"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4</w:t>
            </w:r>
          </w:p>
        </w:tc>
      </w:tr>
      <w:tr w:rsidR="00B45C01" w:rsidTr="00B45C01">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8 received services</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3</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5</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8</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11</w:t>
            </w:r>
          </w:p>
        </w:tc>
        <w:tc>
          <w:tcPr>
            <w:tcW w:w="1255"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10</w:t>
            </w:r>
          </w:p>
        </w:tc>
      </w:tr>
      <w:tr w:rsidR="00B45C01" w:rsidTr="00B4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9 received services</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0</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4</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4</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8</w:t>
            </w:r>
          </w:p>
        </w:tc>
        <w:tc>
          <w:tcPr>
            <w:tcW w:w="1255"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9</w:t>
            </w:r>
          </w:p>
        </w:tc>
      </w:tr>
      <w:tr w:rsidR="00B45C01" w:rsidTr="00B45C01">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10 received services</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16</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28</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26</w:t>
            </w:r>
          </w:p>
        </w:tc>
        <w:tc>
          <w:tcPr>
            <w:tcW w:w="1255"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18</w:t>
            </w:r>
          </w:p>
        </w:tc>
      </w:tr>
      <w:tr w:rsidR="00B45C01" w:rsidTr="00B4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11 received services</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2</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2</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5</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7</w:t>
            </w:r>
          </w:p>
        </w:tc>
        <w:tc>
          <w:tcPr>
            <w:tcW w:w="1255"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10</w:t>
            </w:r>
          </w:p>
        </w:tc>
      </w:tr>
      <w:tr w:rsidR="00B45C01" w:rsidTr="00B45C01">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12 received services</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3</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6</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8</w:t>
            </w:r>
          </w:p>
        </w:tc>
        <w:tc>
          <w:tcPr>
            <w:tcW w:w="1255"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7</w:t>
            </w:r>
          </w:p>
        </w:tc>
      </w:tr>
      <w:tr w:rsidR="00B45C01" w:rsidTr="00B4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13 received services</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3</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4</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8</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5</w:t>
            </w:r>
          </w:p>
        </w:tc>
        <w:tc>
          <w:tcPr>
            <w:tcW w:w="1255"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4</w:t>
            </w:r>
          </w:p>
        </w:tc>
      </w:tr>
      <w:tr w:rsidR="00B45C01" w:rsidTr="00B45C01">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14 received services</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2</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2</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4</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13</w:t>
            </w:r>
          </w:p>
        </w:tc>
        <w:tc>
          <w:tcPr>
            <w:tcW w:w="1255"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8</w:t>
            </w:r>
          </w:p>
        </w:tc>
      </w:tr>
      <w:tr w:rsidR="00B45C01" w:rsidTr="00B4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15 received services</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1</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2</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5</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9</w:t>
            </w:r>
          </w:p>
        </w:tc>
        <w:tc>
          <w:tcPr>
            <w:tcW w:w="1255"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10</w:t>
            </w:r>
          </w:p>
        </w:tc>
      </w:tr>
      <w:tr w:rsidR="00B45C01" w:rsidTr="00B45C01">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16 received services</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3</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4</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8</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6</w:t>
            </w:r>
          </w:p>
        </w:tc>
        <w:tc>
          <w:tcPr>
            <w:tcW w:w="1255"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9</w:t>
            </w:r>
          </w:p>
        </w:tc>
      </w:tr>
      <w:tr w:rsidR="00B45C01" w:rsidTr="00B4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17 received services</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2</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3</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6</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8</w:t>
            </w:r>
          </w:p>
        </w:tc>
        <w:tc>
          <w:tcPr>
            <w:tcW w:w="1255"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11</w:t>
            </w:r>
          </w:p>
        </w:tc>
      </w:tr>
      <w:tr w:rsidR="00B45C01" w:rsidTr="00B45C01">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Region 18 received services</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0</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4</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4</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8</w:t>
            </w:r>
          </w:p>
        </w:tc>
        <w:tc>
          <w:tcPr>
            <w:tcW w:w="1255"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4</w:t>
            </w:r>
          </w:p>
        </w:tc>
      </w:tr>
      <w:tr w:rsidR="00B45C01" w:rsidTr="00B4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Total receiving concrete services</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42</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79</w:t>
            </w:r>
          </w:p>
        </w:tc>
        <w:tc>
          <w:tcPr>
            <w:tcW w:w="108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159</w:t>
            </w:r>
          </w:p>
        </w:tc>
        <w:tc>
          <w:tcPr>
            <w:tcW w:w="1170"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200</w:t>
            </w:r>
          </w:p>
        </w:tc>
        <w:tc>
          <w:tcPr>
            <w:tcW w:w="1255" w:type="dxa"/>
          </w:tcPr>
          <w:p w:rsidR="00B45C01" w:rsidRDefault="00B45C01" w:rsidP="00B45C01">
            <w:pPr>
              <w:cnfStyle w:val="000000100000" w:firstRow="0" w:lastRow="0" w:firstColumn="0" w:lastColumn="0" w:oddVBand="0" w:evenVBand="0" w:oddHBand="1" w:evenHBand="0" w:firstRowFirstColumn="0" w:firstRowLastColumn="0" w:lastRowFirstColumn="0" w:lastRowLastColumn="0"/>
            </w:pPr>
            <w:r>
              <w:t>177</w:t>
            </w:r>
          </w:p>
        </w:tc>
      </w:tr>
      <w:tr w:rsidR="00B45C01" w:rsidTr="00B45C01">
        <w:tc>
          <w:tcPr>
            <w:cnfStyle w:val="001000000000" w:firstRow="0" w:lastRow="0" w:firstColumn="1" w:lastColumn="0" w:oddVBand="0" w:evenVBand="0" w:oddHBand="0" w:evenHBand="0" w:firstRowFirstColumn="0" w:firstRowLastColumn="0" w:lastRowFirstColumn="0" w:lastRowLastColumn="0"/>
            <w:tcW w:w="3595" w:type="dxa"/>
          </w:tcPr>
          <w:p w:rsidR="00B45C01" w:rsidRDefault="00B45C01" w:rsidP="00B45C01">
            <w:r>
              <w:t>Total number not receiving services</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425</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455</w:t>
            </w:r>
          </w:p>
        </w:tc>
        <w:tc>
          <w:tcPr>
            <w:tcW w:w="108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263</w:t>
            </w:r>
          </w:p>
        </w:tc>
        <w:tc>
          <w:tcPr>
            <w:tcW w:w="1170"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176</w:t>
            </w:r>
          </w:p>
        </w:tc>
        <w:tc>
          <w:tcPr>
            <w:tcW w:w="1255" w:type="dxa"/>
          </w:tcPr>
          <w:p w:rsidR="00B45C01" w:rsidRDefault="00B45C01" w:rsidP="00B45C01">
            <w:pPr>
              <w:cnfStyle w:val="000000000000" w:firstRow="0" w:lastRow="0" w:firstColumn="0" w:lastColumn="0" w:oddVBand="0" w:evenVBand="0" w:oddHBand="0" w:evenHBand="0" w:firstRowFirstColumn="0" w:firstRowLastColumn="0" w:lastRowFirstColumn="0" w:lastRowLastColumn="0"/>
            </w:pPr>
            <w:r>
              <w:t>170</w:t>
            </w:r>
          </w:p>
        </w:tc>
      </w:tr>
    </w:tbl>
    <w:p w:rsidR="00B45C01" w:rsidRPr="0058466D" w:rsidRDefault="00B45C01" w:rsidP="00B45C01"/>
    <w:p w:rsidR="00B45C01" w:rsidRDefault="00B45C01" w:rsidP="00B45C01">
      <w:pPr>
        <w:spacing w:after="200"/>
      </w:pPr>
      <w:r w:rsidRPr="000F5868">
        <w:rPr>
          <w:b/>
          <w:bCs/>
          <w:color w:val="1F4E79"/>
        </w:rPr>
        <w:t>Conclusion</w:t>
      </w:r>
      <w:r w:rsidRPr="000F5868">
        <w:rPr>
          <w:color w:val="1F4E79"/>
        </w:rPr>
        <w:t xml:space="preserve">: </w:t>
      </w:r>
      <w:r>
        <w:t>Although concrete service needs were prevalent in earlier rounds, the introduction of the Waiver opened up funding and increased the predictive power of receiving concrete services to those who needed them. Results show that higher levels of stress and placements have an association with receiving concrete services suggesting that these fa</w:t>
      </w:r>
      <w:r w:rsidR="00201ED4">
        <w:t>ctors are important indicators of</w:t>
      </w:r>
      <w:r>
        <w:t xml:space="preserve"> those who need services. However, examining the predictive power of each factor, Waiver rounds added significantly more predictive validity for receiving concrete services. </w:t>
      </w:r>
    </w:p>
    <w:p w:rsidR="00B45C01" w:rsidRDefault="00B45C01" w:rsidP="00B45C01">
      <w:pPr>
        <w:spacing w:after="200"/>
      </w:pPr>
      <w:r w:rsidRPr="00D843AE">
        <w:rPr>
          <w:b/>
          <w:color w:val="1F4E79"/>
        </w:rPr>
        <w:t>Take Home Message:</w:t>
      </w:r>
      <w:r w:rsidRPr="00D843AE">
        <w:rPr>
          <w:color w:val="1F4E79"/>
        </w:rPr>
        <w:t xml:space="preserve"> </w:t>
      </w:r>
      <w:r w:rsidR="00201ED4">
        <w:t>Overall, the introduction of the Waiver after round 2 appears to have opened up funding and allowed for support for children and families with higher concrete service needs.</w:t>
      </w:r>
    </w:p>
    <w:p w:rsidR="00B45C01" w:rsidRDefault="00B45C01" w:rsidP="00C70927">
      <w:pPr>
        <w:ind w:firstLine="720"/>
      </w:pPr>
    </w:p>
    <w:p w:rsidR="0004515B" w:rsidRDefault="0004515B" w:rsidP="00C70927">
      <w:pPr>
        <w:ind w:firstLine="720"/>
      </w:pPr>
    </w:p>
    <w:p w:rsidR="000F5868" w:rsidRDefault="000F5868">
      <w:pPr>
        <w:spacing w:after="160" w:line="259" w:lineRule="auto"/>
        <w:rPr>
          <w:b/>
        </w:rPr>
      </w:pPr>
      <w:r>
        <w:rPr>
          <w:b/>
        </w:rPr>
        <w:br w:type="page"/>
      </w:r>
    </w:p>
    <w:p w:rsidR="0004515B" w:rsidRDefault="0004515B" w:rsidP="0004515B">
      <w:pPr>
        <w:pStyle w:val="Heading3"/>
      </w:pPr>
      <w:r>
        <w:t>Concrete Services and Stability</w:t>
      </w:r>
      <w:r w:rsidR="00286DF9">
        <w:rPr>
          <w:rStyle w:val="FootnoteReference"/>
        </w:rPr>
        <w:footnoteReference w:id="5"/>
      </w:r>
    </w:p>
    <w:p w:rsidR="0004515B" w:rsidRPr="001A6356" w:rsidRDefault="0004515B" w:rsidP="0004515B">
      <w:pPr>
        <w:rPr>
          <w:b/>
          <w:color w:val="1F4E79"/>
        </w:rPr>
      </w:pPr>
      <w:r w:rsidRPr="001A6356">
        <w:rPr>
          <w:b/>
          <w:color w:val="1F4E79"/>
        </w:rPr>
        <w:t>Overview</w:t>
      </w:r>
    </w:p>
    <w:p w:rsidR="0004515B" w:rsidRDefault="0004515B" w:rsidP="0004515B">
      <w:bookmarkStart w:id="9" w:name="_Hlk11671666"/>
      <w:bookmarkEnd w:id="9"/>
      <w:r>
        <w:t>Two main questions were addressed in this section of the report: 1) does the amount of concrete service spending associate with improvement in stability (</w:t>
      </w:r>
      <w:r w:rsidRPr="003B0357">
        <w:rPr>
          <w:i/>
        </w:rPr>
        <w:t>See Appendix A for QSR rating definitions</w:t>
      </w:r>
      <w:r>
        <w:t>) amongst those who receive</w:t>
      </w:r>
      <w:r w:rsidR="00201ED4">
        <w:t xml:space="preserve"> those services, and 2) how do</w:t>
      </w:r>
      <w:r>
        <w:t xml:space="preserve"> changes in the amount of concrete service spending over time associate with differences in stability. Under these two questions it was important to understand if there were differences by the amount spent in concrete service categories (general services, general products, material assistance, personal allowance, and total spending) made a difference in child outcomes. </w:t>
      </w:r>
    </w:p>
    <w:p w:rsidR="000F5868" w:rsidRDefault="000F5868" w:rsidP="0004515B">
      <w:pPr>
        <w:rPr>
          <w:b/>
          <w:bCs/>
          <w:color w:val="44546A" w:themeColor="text2"/>
        </w:rPr>
      </w:pPr>
    </w:p>
    <w:p w:rsidR="0004515B" w:rsidRPr="001A6356" w:rsidRDefault="0004515B" w:rsidP="0004515B">
      <w:pPr>
        <w:rPr>
          <w:color w:val="1F4E79"/>
        </w:rPr>
      </w:pPr>
      <w:r w:rsidRPr="001A6356">
        <w:rPr>
          <w:b/>
          <w:bCs/>
          <w:color w:val="1F4E79"/>
        </w:rPr>
        <w:t>Methods</w:t>
      </w:r>
      <w:r w:rsidRPr="001A6356">
        <w:rPr>
          <w:b/>
          <w:color w:val="1F4E79"/>
        </w:rPr>
        <w:t>:</w:t>
      </w:r>
      <w:r w:rsidRPr="001A6356">
        <w:rPr>
          <w:color w:val="1F4E79"/>
        </w:rPr>
        <w:t xml:space="preserve"> </w:t>
      </w:r>
    </w:p>
    <w:p w:rsidR="00201ED4" w:rsidRDefault="00201ED4" w:rsidP="00201ED4">
      <w:r>
        <w:t>Preliminary analyses were conducted to examine the data’s context. First, evaluators tested group differences between youth who received services and those that did not on demographic factors (i.e. age, gender, race) as well as characteristics indicative of higher care needs (i.e. caregiver and child stress, home stability, number of placements). Next correlations among all categories of concrete service spending and outcomes of permanency and stability were used to quantify their relationships and identify which relationships to include in higher analyses. For all analyses statistical significance was defined as a two-tailed p-value &lt; .05.</w:t>
      </w:r>
    </w:p>
    <w:p w:rsidR="00201ED4" w:rsidRDefault="00201ED4" w:rsidP="00201ED4"/>
    <w:p w:rsidR="00201ED4" w:rsidRPr="00326866" w:rsidRDefault="00201ED4" w:rsidP="00201ED4">
      <w:r>
        <w:t>To answer the first question, two cross sectional multiple regressions were conducted using total concrete service spending’s association with stability and general products (e.g. clothing) spending on permanency. To reduce the interference of other contributing factors when testing these relationships, covariates of parent and child stress (i.e. number of stressful or potentially traumatic events endorsed), number of placements, and current placement plan (parental or relative placement in comparison to out of home placement) were included in the models. Prior to analysis, assumptions for normality and homoscedasticity for all variables were conducted and found to be appropriate for regression analysis. Because each variable is on a different scale, all variables were mean centered and standardized for comparisons. Post hoc fit analyses were conducted examining if any of the variables in the analysis significantly influenced the results inappropriately and not only for statistical significance but also for practical significance (i.e. effect size) with r</w:t>
      </w:r>
      <w:r>
        <w:rPr>
          <w:vertAlign w:val="superscript"/>
        </w:rPr>
        <w:t>2</w:t>
      </w:r>
      <w:r>
        <w:t xml:space="preserve"> using Cohen’s thresholds for practical significance for multiple regression (small&gt;.02, medium .15, large &gt;.35).</w:t>
      </w:r>
    </w:p>
    <w:p w:rsidR="00201ED4" w:rsidRDefault="00201ED4" w:rsidP="00201ED4"/>
    <w:p w:rsidR="00201ED4" w:rsidRDefault="00201ED4" w:rsidP="00201ED4">
      <w:r>
        <w:t xml:space="preserve">To answer the second question, mean pooled time series analyses were conducted to examine trends over time and test their association with change in outcomes over time. This analysis method was chosen because it does not assume that each time point is associated with the previous time point. In other words, this approach can examine trends without having to follow the same participants over time. </w:t>
      </w:r>
      <w:r w:rsidRPr="004832C6">
        <w:t>Trend analysis examin</w:t>
      </w:r>
      <w:r>
        <w:t>es</w:t>
      </w:r>
      <w:r w:rsidRPr="004832C6">
        <w:t xml:space="preserve"> the mean stability over time to statistically determine the shape or trend of the relationship with unrepeated data at different levels</w:t>
      </w:r>
      <w:r>
        <w:t>.</w:t>
      </w:r>
      <w:r w:rsidRPr="004832C6">
        <w:t xml:space="preserve"> Time series modeling decomposes the mathematical process into a combination of signals and noise without </w:t>
      </w:r>
      <w:r>
        <w:t>assuming</w:t>
      </w:r>
      <w:r w:rsidRPr="004832C6">
        <w:t xml:space="preserve"> the underlying cause of each.</w:t>
      </w:r>
      <w:r>
        <w:t xml:space="preserve"> Prior to analysis, s</w:t>
      </w:r>
      <w:r w:rsidRPr="004832C6">
        <w:t xml:space="preserve">catter plots were created </w:t>
      </w:r>
      <w:r>
        <w:t xml:space="preserve">to </w:t>
      </w:r>
      <w:r w:rsidRPr="004832C6">
        <w:t xml:space="preserve">examine the best fit for the data (i.e. linear, quadratic). </w:t>
      </w:r>
      <w:r>
        <w:t xml:space="preserve">To conduct the analysis </w:t>
      </w:r>
      <w:r w:rsidRPr="004832C6">
        <w:t>a pooled time series linear model suggested by Walker (2014) was created in r and data were entered as the outcome of stability separated by the predictor of concrete service use over time.</w:t>
      </w:r>
      <w:r>
        <w:t xml:space="preserve"> This model was assessed by statistical significance and the direction of the slope. </w:t>
      </w:r>
    </w:p>
    <w:p w:rsidR="00201ED4" w:rsidRDefault="00201ED4" w:rsidP="00201ED4">
      <w:pPr>
        <w:rPr>
          <w:b/>
          <w:color w:val="44546A" w:themeColor="text2"/>
        </w:rPr>
      </w:pPr>
    </w:p>
    <w:p w:rsidR="00201ED4" w:rsidRPr="00EB7DD4" w:rsidRDefault="00201ED4" w:rsidP="00201ED4">
      <w:pPr>
        <w:rPr>
          <w:b/>
          <w:color w:val="44546A" w:themeColor="text2"/>
        </w:rPr>
      </w:pPr>
      <w:r w:rsidRPr="00EB7DD4">
        <w:rPr>
          <w:b/>
          <w:color w:val="44546A" w:themeColor="text2"/>
        </w:rPr>
        <w:t xml:space="preserve">Results: </w:t>
      </w:r>
    </w:p>
    <w:p w:rsidR="00201ED4" w:rsidRPr="00DA31C8" w:rsidRDefault="00201ED4" w:rsidP="00201ED4">
      <w:pPr>
        <w:rPr>
          <w:b/>
          <w:bCs/>
          <w:i/>
          <w:iCs/>
        </w:rPr>
      </w:pPr>
      <w:r w:rsidRPr="00DA31C8">
        <w:rPr>
          <w:b/>
          <w:bCs/>
          <w:i/>
          <w:iCs/>
        </w:rPr>
        <w:t>Preliminary analysis</w:t>
      </w:r>
    </w:p>
    <w:p w:rsidR="00201ED4" w:rsidRDefault="00201ED4" w:rsidP="00201ED4">
      <w:r>
        <w:t>The t-tests comparing groups who received and did not receive concrete services revealed that neither group differed in demographic factors; but participants who received concrete services had significantly less stability, more placements, and more caregiver and child stress (T</w:t>
      </w:r>
      <w:r w:rsidRPr="0021500B">
        <w:t xml:space="preserve">able </w:t>
      </w:r>
      <w:r w:rsidR="00BD3ED3">
        <w:t>14</w:t>
      </w:r>
      <w:r w:rsidRPr="0021500B">
        <w:t xml:space="preserve">). This result </w:t>
      </w:r>
      <w:r>
        <w:t>indicates a higher level of need and greater barriers for participants in need of concrete services versus those who did not receive concrete services. Because of the significant differences between groups the hypothesis testing analyses separately analyzed the group that received concrete services with those that did not. Correlations cross-sectionally indicated the relationships of significance included total concrete service spending on stability (r=0.109, p&lt;0.05) and general service spending on permanency (r=0.108, p&lt;0.05) for the first question. However, when examining each time point only the relationship between total concrete service spending and stability was deemed appropriate for time series analysis in the second question.</w:t>
      </w:r>
    </w:p>
    <w:p w:rsidR="0004515B" w:rsidRDefault="0004515B" w:rsidP="0004515B">
      <w:r>
        <w:t xml:space="preserve"> </w:t>
      </w:r>
    </w:p>
    <w:p w:rsidR="0004515B" w:rsidRDefault="0004515B" w:rsidP="0004515B">
      <w:pPr>
        <w:pStyle w:val="Heading4"/>
      </w:pPr>
      <w:r>
        <w:t xml:space="preserve">Table </w:t>
      </w:r>
      <w:r w:rsidR="00BD3ED3">
        <w:t>14</w:t>
      </w:r>
      <w:r>
        <w:t>. T-test Results</w:t>
      </w:r>
    </w:p>
    <w:p w:rsidR="0004515B" w:rsidRDefault="0004515B" w:rsidP="0004515B">
      <w:pPr>
        <w:rPr>
          <w:b/>
          <w:bCs/>
          <w:i/>
          <w:iCs/>
        </w:rPr>
      </w:pPr>
      <w:r>
        <w:rPr>
          <w:noProof/>
        </w:rPr>
        <w:drawing>
          <wp:inline distT="0" distB="0" distL="0" distR="0" wp14:anchorId="2F58839A" wp14:editId="71BD74D2">
            <wp:extent cx="3524250" cy="183810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42940" cy="1847856"/>
                    </a:xfrm>
                    <a:prstGeom prst="rect">
                      <a:avLst/>
                    </a:prstGeom>
                    <a:noFill/>
                  </pic:spPr>
                </pic:pic>
              </a:graphicData>
            </a:graphic>
          </wp:inline>
        </w:drawing>
      </w:r>
    </w:p>
    <w:p w:rsidR="0004515B" w:rsidRPr="00713CEF" w:rsidRDefault="0004515B" w:rsidP="0004515B">
      <w:pPr>
        <w:pStyle w:val="Caption"/>
        <w:rPr>
          <w:i w:val="0"/>
          <w:iCs w:val="0"/>
          <w:color w:val="auto"/>
        </w:rPr>
      </w:pPr>
      <w:r w:rsidRPr="00713CEF">
        <w:rPr>
          <w:i w:val="0"/>
          <w:iCs w:val="0"/>
          <w:color w:val="auto"/>
        </w:rPr>
        <w:t>NS = not statistically significant</w:t>
      </w:r>
    </w:p>
    <w:p w:rsidR="0092068A" w:rsidRPr="00DA31C8" w:rsidRDefault="0092068A" w:rsidP="0092068A">
      <w:pPr>
        <w:rPr>
          <w:b/>
          <w:bCs/>
          <w:i/>
          <w:iCs/>
        </w:rPr>
      </w:pPr>
      <w:r w:rsidRPr="00DA31C8">
        <w:rPr>
          <w:b/>
          <w:bCs/>
          <w:i/>
          <w:iCs/>
        </w:rPr>
        <w:t xml:space="preserve">Cross-sectional </w:t>
      </w:r>
      <w:r>
        <w:rPr>
          <w:b/>
          <w:bCs/>
          <w:i/>
          <w:iCs/>
        </w:rPr>
        <w:t>multiple regressions</w:t>
      </w:r>
    </w:p>
    <w:p w:rsidR="0092068A" w:rsidRDefault="0092068A" w:rsidP="0092068A">
      <w:r>
        <w:t>Testing effects of total concrete service spending on home stability found a significant model (f(6,425)=14.38, p &lt;.001, r</w:t>
      </w:r>
      <w:r>
        <w:rPr>
          <w:vertAlign w:val="superscript"/>
        </w:rPr>
        <w:t>2</w:t>
      </w:r>
      <w:r>
        <w:t>=.17) that accounts for a significant amount of variance in stability (17%) indicated by r</w:t>
      </w:r>
      <w:r>
        <w:rPr>
          <w:vertAlign w:val="superscript"/>
        </w:rPr>
        <w:t>2</w:t>
      </w:r>
      <w:r>
        <w:t xml:space="preserve">. Figure </w:t>
      </w:r>
      <w:r w:rsidR="00BD3ED3">
        <w:t>10</w:t>
      </w:r>
      <w:r>
        <w:t xml:space="preserve"> demonstrates the fitted regression line that reduces the amount of residual error across the data showing the positive trend in the data. The individual association of total concrete service spending on stability predicts a positive increase of 0.01532(intercept)+0.125(total spending), p &lt;.05. This suggest that, amongst those who need concrete services, when controlling for placement plan, stress, and number of placements, for every dollar increase in total concrete service spending you would expect an increase in stability of 0.125. Given the moderate effect size (r</w:t>
      </w:r>
      <w:r>
        <w:rPr>
          <w:vertAlign w:val="superscript"/>
        </w:rPr>
        <w:t>2</w:t>
      </w:r>
      <w:r>
        <w:t>=.17, crosses Cohen’s thresholds for moderate .15), this finding of is of practical significance, meaning this finding is generalizable in the larger community and could expect a similar effect.</w:t>
      </w:r>
    </w:p>
    <w:p w:rsidR="0092068A" w:rsidRDefault="0092068A" w:rsidP="0092068A"/>
    <w:p w:rsidR="0092068A" w:rsidRDefault="0092068A" w:rsidP="0092068A">
      <w:r>
        <w:t>Testing the effects of general services spending on permanency also found a significant model (f(6,301)=9.229, p &lt;.001, r</w:t>
      </w:r>
      <w:r>
        <w:rPr>
          <w:vertAlign w:val="superscript"/>
        </w:rPr>
        <w:t>2</w:t>
      </w:r>
      <w:r>
        <w:t>=.16) that accounts for a significant amount of variance in permanency (</w:t>
      </w:r>
      <w:r w:rsidRPr="00105B55">
        <w:t>1</w:t>
      </w:r>
      <w:r>
        <w:t xml:space="preserve">6%) indicated by </w:t>
      </w:r>
      <w:r w:rsidRPr="00105B55">
        <w:t>r</w:t>
      </w:r>
      <w:r>
        <w:rPr>
          <w:vertAlign w:val="superscript"/>
        </w:rPr>
        <w:t>2</w:t>
      </w:r>
      <w:r w:rsidR="00BD3ED3">
        <w:t xml:space="preserve">. Figure 11 </w:t>
      </w:r>
      <w:r>
        <w:t>demonstrates the fitted regression line that reduces the amount of residual error across the data showing the positive trend in the data. The individual association of general service spending on permanency predicts a positive increase of -0.04927(intercept)+0.121(general services spending), p &lt;.01. This suggests that, amongst those who need concrete services, when controlling for placement plan, stress, and number of placements, for every dollar increase in total concrete service spending you would expect an increase in permanency of 0.121. Given the moderate effect size (r</w:t>
      </w:r>
      <w:r>
        <w:rPr>
          <w:vertAlign w:val="superscript"/>
        </w:rPr>
        <w:t>2</w:t>
      </w:r>
      <w:r>
        <w:t xml:space="preserve">=.16, crosses Cohen’s thresholds for moderate .15), this finding of is of practical significance, meaning this finding is generalizable in the larger community and could expect a similar effect. </w:t>
      </w:r>
    </w:p>
    <w:p w:rsidR="0004515B" w:rsidRPr="00457F19" w:rsidRDefault="0004515B" w:rsidP="0004515B">
      <w:pPr>
        <w:rPr>
          <w:sz w:val="18"/>
        </w:rPr>
      </w:pPr>
    </w:p>
    <w:p w:rsidR="0004515B" w:rsidRPr="00EB7DD4" w:rsidRDefault="0004515B" w:rsidP="0004515B">
      <w:pPr>
        <w:pStyle w:val="Heading4"/>
      </w:pPr>
      <w:r w:rsidRPr="00EB7DD4">
        <w:rPr>
          <w:bCs/>
        </w:rPr>
        <w:t xml:space="preserve">Figure </w:t>
      </w:r>
      <w:r w:rsidR="00BD3ED3">
        <w:rPr>
          <w:bCs/>
        </w:rPr>
        <w:t>10</w:t>
      </w:r>
      <w:r w:rsidRPr="00EB7DD4">
        <w:rPr>
          <w:bCs/>
        </w:rPr>
        <w:t>. Total Concrete Services Spending on Outcome of Stability.</w:t>
      </w:r>
      <w:r w:rsidRPr="00EB7DD4">
        <w:t xml:space="preserve"> </w:t>
      </w:r>
    </w:p>
    <w:p w:rsidR="0004515B" w:rsidRDefault="0004515B" w:rsidP="0004515B">
      <w:pPr>
        <w:rPr>
          <w:b/>
          <w:bCs/>
          <w:i/>
          <w:iCs/>
        </w:rPr>
      </w:pPr>
      <w:r>
        <w:rPr>
          <w:noProof/>
        </w:rPr>
        <w:drawing>
          <wp:inline distT="0" distB="0" distL="0" distR="0" wp14:anchorId="0C37A03E" wp14:editId="4D0B190E">
            <wp:extent cx="4326536" cy="2806700"/>
            <wp:effectExtent l="19050" t="19050" r="17145"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1794" cy="2816598"/>
                    </a:xfrm>
                    <a:prstGeom prst="rect">
                      <a:avLst/>
                    </a:prstGeom>
                    <a:noFill/>
                    <a:ln>
                      <a:solidFill>
                        <a:schemeClr val="tx1"/>
                      </a:solidFill>
                    </a:ln>
                  </pic:spPr>
                </pic:pic>
              </a:graphicData>
            </a:graphic>
          </wp:inline>
        </w:drawing>
      </w:r>
    </w:p>
    <w:p w:rsidR="0004515B" w:rsidRDefault="0004515B" w:rsidP="0004515B">
      <w:pPr>
        <w:rPr>
          <w:sz w:val="18"/>
        </w:rPr>
      </w:pPr>
    </w:p>
    <w:p w:rsidR="0004515B" w:rsidRDefault="0004515B" w:rsidP="0004515B">
      <w:pPr>
        <w:pStyle w:val="Heading4"/>
        <w:rPr>
          <w:sz w:val="18"/>
        </w:rPr>
      </w:pPr>
      <w:r w:rsidRPr="00FA1990">
        <w:t xml:space="preserve">Figure </w:t>
      </w:r>
      <w:r w:rsidR="00BD3ED3">
        <w:t>11</w:t>
      </w:r>
      <w:r w:rsidRPr="00FA1990">
        <w:t>. General Service Spending on Outcome of Permanency</w:t>
      </w:r>
      <w:r>
        <w:t>.</w:t>
      </w:r>
    </w:p>
    <w:p w:rsidR="0004515B" w:rsidRDefault="0004515B" w:rsidP="0004515B">
      <w:pPr>
        <w:keepNext/>
        <w:spacing w:after="80"/>
      </w:pPr>
      <w:r>
        <w:rPr>
          <w:noProof/>
        </w:rPr>
        <w:drawing>
          <wp:inline distT="0" distB="0" distL="0" distR="0" wp14:anchorId="3DCD0035" wp14:editId="7C8DCE16">
            <wp:extent cx="4326255" cy="2806519"/>
            <wp:effectExtent l="19050" t="19050" r="17145" b="133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01835" cy="2855549"/>
                    </a:xfrm>
                    <a:prstGeom prst="rect">
                      <a:avLst/>
                    </a:prstGeom>
                    <a:noFill/>
                    <a:ln>
                      <a:solidFill>
                        <a:schemeClr val="tx1"/>
                      </a:solidFill>
                    </a:ln>
                  </pic:spPr>
                </pic:pic>
              </a:graphicData>
            </a:graphic>
          </wp:inline>
        </w:drawing>
      </w:r>
    </w:p>
    <w:p w:rsidR="0004515B" w:rsidRDefault="00457F19" w:rsidP="0004515B">
      <w:pPr>
        <w:pStyle w:val="Caption"/>
        <w:rPr>
          <w:i w:val="0"/>
          <w:iCs w:val="0"/>
          <w:color w:val="auto"/>
        </w:rPr>
      </w:pPr>
      <w:r>
        <w:rPr>
          <w:i w:val="0"/>
          <w:iCs w:val="0"/>
          <w:color w:val="auto"/>
        </w:rPr>
        <w:t xml:space="preserve">In Figures 10 &amp; 11, </w:t>
      </w:r>
      <w:r w:rsidR="0004515B">
        <w:rPr>
          <w:i w:val="0"/>
          <w:iCs w:val="0"/>
          <w:color w:val="auto"/>
        </w:rPr>
        <w:t>The fitted regression line in blue represents the least residual error for all time points revealing the positive trend in the data. The grey area represents the amount of potential error in the line</w:t>
      </w:r>
    </w:p>
    <w:p w:rsidR="0092068A" w:rsidRPr="00DA31C8" w:rsidRDefault="0092068A" w:rsidP="0092068A">
      <w:pPr>
        <w:rPr>
          <w:b/>
          <w:bCs/>
          <w:i/>
          <w:iCs/>
        </w:rPr>
      </w:pPr>
      <w:r w:rsidRPr="00DA31C8">
        <w:rPr>
          <w:b/>
          <w:bCs/>
          <w:i/>
          <w:iCs/>
        </w:rPr>
        <w:t>Trend Analysis Across Time</w:t>
      </w:r>
    </w:p>
    <w:p w:rsidR="0092068A" w:rsidRPr="00BD3ED3" w:rsidRDefault="0092068A" w:rsidP="0092068A">
      <w:pPr>
        <w:tabs>
          <w:tab w:val="left" w:pos="2412"/>
        </w:tabs>
      </w:pPr>
      <w:r w:rsidRPr="001E19DD">
        <w:t>Testing</w:t>
      </w:r>
      <w:r>
        <w:t xml:space="preserve"> the effects of concrete services spending over time indicates significant increases over the five rounds for every spending category including total </w:t>
      </w:r>
      <w:r w:rsidRPr="00BD3ED3">
        <w:t>spending (</w:t>
      </w:r>
      <w:r w:rsidR="00BD3ED3" w:rsidRPr="00BD3ED3">
        <w:t>T</w:t>
      </w:r>
      <w:r w:rsidRPr="00BD3ED3">
        <w:t>able 1</w:t>
      </w:r>
      <w:r w:rsidR="00BD3ED3" w:rsidRPr="00BD3ED3">
        <w:t>5</w:t>
      </w:r>
      <w:r w:rsidRPr="00BD3ED3">
        <w:t xml:space="preserve">). Figure </w:t>
      </w:r>
      <w:r w:rsidR="00BD3ED3" w:rsidRPr="00BD3ED3">
        <w:t>12</w:t>
      </w:r>
      <w:r w:rsidRPr="00BD3ED3">
        <w:t xml:space="preserve"> visually represents these relationships of increases in each category of concrete service spending over time. These relationships show increases from round 1 to round 5 that exponentially increase in-between round 2 and round 3. </w:t>
      </w:r>
    </w:p>
    <w:p w:rsidR="0092068A" w:rsidRDefault="0092068A" w:rsidP="0092068A">
      <w:pPr>
        <w:tabs>
          <w:tab w:val="left" w:pos="2412"/>
        </w:tabs>
      </w:pPr>
      <w:r w:rsidRPr="00BD3ED3">
        <w:t>Testing the relationship of stability on concrete service spending over time indicates a significant increase in those who receive services and an insignificant change in those not receiving services (</w:t>
      </w:r>
      <w:r w:rsidR="00BD3ED3" w:rsidRPr="00BD3ED3">
        <w:t>T</w:t>
      </w:r>
      <w:r w:rsidRPr="00BD3ED3">
        <w:t xml:space="preserve">able </w:t>
      </w:r>
      <w:r w:rsidR="00BD3ED3" w:rsidRPr="00BD3ED3">
        <w:t>15</w:t>
      </w:r>
      <w:r w:rsidRPr="00BD3ED3">
        <w:t xml:space="preserve">). The relationship of home stability increases in youth receiving concrete services over time in relation to mean amount spent on concrete services for each round is visually represented in </w:t>
      </w:r>
      <w:r w:rsidR="00BD3ED3" w:rsidRPr="00BD3ED3">
        <w:t>F</w:t>
      </w:r>
      <w:r w:rsidRPr="00BD3ED3">
        <w:t xml:space="preserve">igure </w:t>
      </w:r>
      <w:r w:rsidR="00BD3ED3" w:rsidRPr="00BD3ED3">
        <w:t>13</w:t>
      </w:r>
      <w:r w:rsidRPr="00BD3ED3">
        <w:t>. This figure depicts the high and stable stability in youth not in need of concrete services over time</w:t>
      </w:r>
      <w:r>
        <w:t>. And, for children in need of concrete services, the steady increase in stability over time has an increase in mean amount spend in total concrete services. These youth at a higher level of need requiring concrete services rise to a mean stability that meets children at a lower need level where concrete service funding is not required.</w:t>
      </w:r>
    </w:p>
    <w:p w:rsidR="0004515B" w:rsidRDefault="0004515B" w:rsidP="0004515B">
      <w:pPr>
        <w:tabs>
          <w:tab w:val="left" w:pos="2412"/>
        </w:tabs>
      </w:pPr>
    </w:p>
    <w:p w:rsidR="0004515B" w:rsidRPr="000305E2" w:rsidRDefault="0004515B" w:rsidP="0004515B">
      <w:pPr>
        <w:pStyle w:val="Heading4"/>
      </w:pPr>
      <w:r w:rsidRPr="000305E2">
        <w:t xml:space="preserve">Table </w:t>
      </w:r>
      <w:r w:rsidR="00BD3ED3">
        <w:t>15</w:t>
      </w:r>
      <w:r w:rsidRPr="000305E2">
        <w:t>. Trend Analysis Results of Changes in Stability and Changes in Concrete Service Spending by Type</w:t>
      </w:r>
    </w:p>
    <w:p w:rsidR="0004515B" w:rsidRDefault="0004515B" w:rsidP="0004515B">
      <w:pPr>
        <w:tabs>
          <w:tab w:val="left" w:pos="2412"/>
        </w:tabs>
      </w:pPr>
      <w:r>
        <w:rPr>
          <w:noProof/>
        </w:rPr>
        <w:drawing>
          <wp:inline distT="0" distB="0" distL="0" distR="0" wp14:anchorId="67282437" wp14:editId="0A02467F">
            <wp:extent cx="5848350" cy="209940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73111" cy="2108294"/>
                    </a:xfrm>
                    <a:prstGeom prst="rect">
                      <a:avLst/>
                    </a:prstGeom>
                    <a:noFill/>
                  </pic:spPr>
                </pic:pic>
              </a:graphicData>
            </a:graphic>
          </wp:inline>
        </w:drawing>
      </w:r>
    </w:p>
    <w:p w:rsidR="0004515B" w:rsidRDefault="0004515B" w:rsidP="0004515B">
      <w:pPr>
        <w:pStyle w:val="Caption"/>
        <w:rPr>
          <w:i w:val="0"/>
          <w:iCs w:val="0"/>
          <w:color w:val="auto"/>
        </w:rPr>
      </w:pPr>
      <w:r w:rsidRPr="00713CEF">
        <w:rPr>
          <w:i w:val="0"/>
          <w:iCs w:val="0"/>
          <w:color w:val="auto"/>
        </w:rPr>
        <w:t>NS = not statistically significant</w:t>
      </w:r>
    </w:p>
    <w:p w:rsidR="0004515B" w:rsidRDefault="0004515B" w:rsidP="0004515B"/>
    <w:p w:rsidR="0004515B" w:rsidRPr="00756B62" w:rsidRDefault="0004515B" w:rsidP="0004515B"/>
    <w:p w:rsidR="0004515B" w:rsidRDefault="0004515B" w:rsidP="0004515B">
      <w:pPr>
        <w:pStyle w:val="Heading4"/>
        <w:rPr>
          <w:noProof/>
        </w:rPr>
      </w:pPr>
      <w:r w:rsidRPr="00FA1990">
        <w:t xml:space="preserve">Figure </w:t>
      </w:r>
      <w:r w:rsidR="00BD3ED3">
        <w:t>12</w:t>
      </w:r>
      <w:r w:rsidRPr="00FA1990">
        <w:t>. Trends of stability by time separated by those receiving concrete services and total spending mean</w:t>
      </w:r>
      <w:r>
        <w:t>.</w:t>
      </w:r>
    </w:p>
    <w:p w:rsidR="0004515B" w:rsidRDefault="0092068A" w:rsidP="0004515B">
      <w:pPr>
        <w:keepNext/>
        <w:spacing w:after="80"/>
      </w:pPr>
      <w:r>
        <w:rPr>
          <w:noProof/>
        </w:rPr>
        <mc:AlternateContent>
          <mc:Choice Requires="wps">
            <w:drawing>
              <wp:anchor distT="0" distB="0" distL="114300" distR="114300" simplePos="0" relativeHeight="251693056" behindDoc="0" locked="0" layoutInCell="1" allowOverlap="1" wp14:anchorId="14573AED" wp14:editId="717C3FD4">
                <wp:simplePos x="0" y="0"/>
                <wp:positionH relativeFrom="column">
                  <wp:posOffset>314325</wp:posOffset>
                </wp:positionH>
                <wp:positionV relativeFrom="paragraph">
                  <wp:posOffset>42545</wp:posOffset>
                </wp:positionV>
                <wp:extent cx="323850" cy="114300"/>
                <wp:effectExtent l="0" t="0" r="0" b="0"/>
                <wp:wrapNone/>
                <wp:docPr id="14339" name="Rectangle 14339"/>
                <wp:cNvGraphicFramePr/>
                <a:graphic xmlns:a="http://schemas.openxmlformats.org/drawingml/2006/main">
                  <a:graphicData uri="http://schemas.microsoft.com/office/word/2010/wordprocessingShape">
                    <wps:wsp>
                      <wps:cNvSpPr/>
                      <wps:spPr>
                        <a:xfrm>
                          <a:off x="0" y="0"/>
                          <a:ext cx="323850" cy="114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5D9F1B" id="Rectangle 14339" o:spid="_x0000_s1026" style="position:absolute;margin-left:24.75pt;margin-top:3.35pt;width:25.5pt;height:9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" fillcolor="white [3212]" stroked="f" strokeweight="1pt"/>
            </w:pict>
          </mc:Fallback>
        </mc:AlternateContent>
      </w:r>
      <w:r w:rsidR="0004515B">
        <w:rPr>
          <w:noProof/>
        </w:rPr>
        <w:drawing>
          <wp:inline distT="0" distB="0" distL="0" distR="0" wp14:anchorId="46A9AEE3" wp14:editId="76A71281">
            <wp:extent cx="4984750" cy="2990850"/>
            <wp:effectExtent l="19050" t="19050" r="2540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985739" cy="2991443"/>
                    </a:xfrm>
                    <a:prstGeom prst="rect">
                      <a:avLst/>
                    </a:prstGeom>
                    <a:ln>
                      <a:solidFill>
                        <a:schemeClr val="tx1"/>
                      </a:solidFill>
                    </a:ln>
                  </pic:spPr>
                </pic:pic>
              </a:graphicData>
            </a:graphic>
          </wp:inline>
        </w:drawing>
      </w:r>
      <w:r w:rsidR="0004515B" w:rsidRPr="00FA1990">
        <w:t xml:space="preserve"> </w:t>
      </w:r>
    </w:p>
    <w:p w:rsidR="0004515B" w:rsidRPr="000305E2" w:rsidRDefault="0004515B" w:rsidP="0004515B">
      <w:pPr>
        <w:pStyle w:val="Caption"/>
        <w:rPr>
          <w:i w:val="0"/>
          <w:iCs w:val="0"/>
          <w:color w:val="auto"/>
        </w:rPr>
      </w:pPr>
      <w:r>
        <w:rPr>
          <w:i w:val="0"/>
          <w:iCs w:val="0"/>
          <w:color w:val="auto"/>
        </w:rPr>
        <w:t xml:space="preserve">Size of each point represent the average amount spent on total concrete services for each time point. The line in blue is for those who did not receive services that stays high and consistent across time points. The line in red is of those who did receive services who started low in the first time point and slowly raised to a level of stability comparable to those who did not receive services as the average amount of concrete service spending increased. </w:t>
      </w:r>
    </w:p>
    <w:p w:rsidR="0004515B" w:rsidRDefault="0004515B" w:rsidP="0004515B">
      <w:pPr>
        <w:pStyle w:val="Heading4"/>
      </w:pPr>
      <w:r w:rsidRPr="00FA1990">
        <w:t xml:space="preserve">Figure </w:t>
      </w:r>
      <w:r w:rsidR="00BD3ED3">
        <w:t>13</w:t>
      </w:r>
      <w:r w:rsidRPr="00FA1990">
        <w:t>. Trends of spending by time separated by spend type</w:t>
      </w:r>
      <w:r>
        <w:t>.</w:t>
      </w:r>
    </w:p>
    <w:p w:rsidR="0004515B" w:rsidRDefault="0004515B" w:rsidP="0004515B">
      <w:pPr>
        <w:keepNext/>
        <w:spacing w:after="80"/>
      </w:pPr>
      <w:r>
        <w:rPr>
          <w:noProof/>
        </w:rPr>
        <w:drawing>
          <wp:inline distT="0" distB="0" distL="0" distR="0" wp14:anchorId="027DC91E" wp14:editId="2E9926E4">
            <wp:extent cx="5067300" cy="3227152"/>
            <wp:effectExtent l="19050" t="19050" r="19050" b="1143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120045" cy="3260743"/>
                    </a:xfrm>
                    <a:prstGeom prst="rect">
                      <a:avLst/>
                    </a:prstGeom>
                    <a:ln>
                      <a:solidFill>
                        <a:schemeClr val="tx1"/>
                      </a:solidFill>
                    </a:ln>
                  </pic:spPr>
                </pic:pic>
              </a:graphicData>
            </a:graphic>
          </wp:inline>
        </w:drawing>
      </w:r>
    </w:p>
    <w:p w:rsidR="0004515B" w:rsidRPr="000305E2" w:rsidRDefault="0004515B" w:rsidP="0004515B">
      <w:pPr>
        <w:pStyle w:val="Caption"/>
        <w:rPr>
          <w:i w:val="0"/>
          <w:iCs w:val="0"/>
          <w:color w:val="auto"/>
        </w:rPr>
      </w:pPr>
      <w:r>
        <w:rPr>
          <w:i w:val="0"/>
          <w:iCs w:val="0"/>
          <w:color w:val="auto"/>
        </w:rPr>
        <w:t xml:space="preserve">Each color line represents a different spend category with the </w:t>
      </w:r>
      <w:r w:rsidR="00D843AE">
        <w:rPr>
          <w:i w:val="0"/>
          <w:iCs w:val="0"/>
          <w:color w:val="auto"/>
        </w:rPr>
        <w:t>red</w:t>
      </w:r>
      <w:r>
        <w:rPr>
          <w:i w:val="0"/>
          <w:iCs w:val="0"/>
          <w:color w:val="auto"/>
        </w:rPr>
        <w:t xml:space="preserve"> line representing total spending across all categories. Trends in each spending category have increased as the round number progress. </w:t>
      </w:r>
    </w:p>
    <w:p w:rsidR="0092068A" w:rsidRPr="000F5868" w:rsidRDefault="0092068A" w:rsidP="0092068A">
      <w:pPr>
        <w:rPr>
          <w:i/>
          <w:color w:val="1F4E79"/>
        </w:rPr>
      </w:pPr>
      <w:r w:rsidRPr="000F5868">
        <w:rPr>
          <w:rStyle w:val="Heading4Char"/>
          <w:b/>
          <w:i w:val="0"/>
          <w:color w:val="1F4E79"/>
        </w:rPr>
        <w:t>Conclusion:</w:t>
      </w:r>
      <w:r w:rsidRPr="000F5868">
        <w:rPr>
          <w:i/>
          <w:color w:val="1F4E79"/>
        </w:rPr>
        <w:t xml:space="preserve"> </w:t>
      </w:r>
    </w:p>
    <w:p w:rsidR="0092068A" w:rsidRDefault="0092068A" w:rsidP="0092068A">
      <w:r>
        <w:t>For cross-sectional analysis, the present</w:t>
      </w:r>
      <w:r w:rsidRPr="00EE4298">
        <w:t xml:space="preserve"> results suggest the use of concrete service spending associates with improved outcomes of stability and permanency. Stability depends on the total concrete service spending while permanency depends on general service (i.e. beds and clothes) spending. It is plausible that case</w:t>
      </w:r>
      <w:r>
        <w:t xml:space="preserve"> managers</w:t>
      </w:r>
      <w:r w:rsidRPr="00EE4298">
        <w:t xml:space="preserve"> spend more on beds and clothing when a permanent placement is found, and the placement may not be sustained without concrete service spending. Stability appears to depend on spend types from all categories rather than a specific one suggesting the complex concrete needs for stability to be maintained. The theoretical interpretation of this cross-sectional analysis is that concrete service spending affects outcomes of permanency and stability. Although this analysis does not account for all causes of variance </w:t>
      </w:r>
      <w:r>
        <w:t xml:space="preserve">as </w:t>
      </w:r>
      <w:r w:rsidRPr="00EE4298">
        <w:t xml:space="preserve">longitudinal data </w:t>
      </w:r>
      <w:r>
        <w:t>are</w:t>
      </w:r>
      <w:r w:rsidRPr="00EE4298">
        <w:t xml:space="preserve"> needed to infer causality, the present study suggests spending on concrete services can improve </w:t>
      </w:r>
      <w:r>
        <w:t xml:space="preserve">child </w:t>
      </w:r>
      <w:r w:rsidRPr="00EE4298">
        <w:t>ability and permanency.</w:t>
      </w:r>
    </w:p>
    <w:p w:rsidR="0092068A" w:rsidRDefault="0092068A" w:rsidP="0092068A"/>
    <w:p w:rsidR="0092068A" w:rsidRDefault="0092068A" w:rsidP="0092068A">
      <w:r>
        <w:t xml:space="preserve">Accounting for changes over time using trend analysis, it is clear that increases in all categories of concrete services have occurred between round 1 and round 5. These changes are likely due to the expansion of concrete service availability since the introduction of Title-IV-E-Waiver in 2012. When looking at outcomes over time, </w:t>
      </w:r>
      <w:r w:rsidRPr="0092068A">
        <w:t>the children who are at a higher need of services have seen an increase in stability meeting the stability of children</w:t>
      </w:r>
      <w:r>
        <w:t xml:space="preserve"> who have a lower level of need and not in need of concrete services. These increases in stability in children in need of concrete services also have increasing mean spending in concrete services at each time point. This suggests that meeting basic needs of families at a higher need aid stability. </w:t>
      </w:r>
    </w:p>
    <w:p w:rsidR="0092068A" w:rsidRDefault="0092068A" w:rsidP="0092068A"/>
    <w:p w:rsidR="0092068A" w:rsidRDefault="0092068A" w:rsidP="0092068A">
      <w:r w:rsidRPr="00D843AE">
        <w:rPr>
          <w:b/>
          <w:color w:val="1F4E79"/>
        </w:rPr>
        <w:t>Take Home Message:</w:t>
      </w:r>
      <w:r w:rsidRPr="00D843AE">
        <w:rPr>
          <w:color w:val="1F4E79"/>
        </w:rPr>
        <w:t xml:space="preserve"> </w:t>
      </w:r>
      <w:r>
        <w:t xml:space="preserve">Overall, the use of concrete services associates with increases in stability for </w:t>
      </w:r>
      <w:r w:rsidRPr="0092068A">
        <w:t>children at a higher level of need. The expansion of concrete services coincides with increases in concrete service use. This expansion of concrete service use, over time, has improved stability outcomes in children</w:t>
      </w:r>
      <w:r>
        <w:t xml:space="preserve"> who are at a higher level of need. The increases in stability associate with total concrete service spending providing evidence of the complex needs across concrete need categories necessary to promote stability. The findings from the present report suggest the use of concrete service for those in need improves stability outcomes. </w:t>
      </w:r>
    </w:p>
    <w:p w:rsidR="0092068A" w:rsidRDefault="0092068A" w:rsidP="0092068A">
      <w:pPr>
        <w:spacing w:after="160" w:line="259" w:lineRule="auto"/>
      </w:pPr>
      <w:r>
        <w:br w:type="page"/>
      </w:r>
    </w:p>
    <w:p w:rsidR="001A6356" w:rsidRDefault="001A6356" w:rsidP="001A6356">
      <w:pPr>
        <w:pStyle w:val="Heading3"/>
      </w:pPr>
      <w:r>
        <w:t>An</w:t>
      </w:r>
      <w:r w:rsidRPr="00110D5E">
        <w:t xml:space="preserve">alysis of Concrete </w:t>
      </w:r>
      <w:r>
        <w:t>Service on Permanency and Stability by Level of Instability</w:t>
      </w:r>
    </w:p>
    <w:p w:rsidR="0092068A" w:rsidRPr="001A6356" w:rsidRDefault="0092068A" w:rsidP="0092068A">
      <w:pPr>
        <w:rPr>
          <w:b/>
          <w:bCs/>
          <w:color w:val="1F4E79"/>
        </w:rPr>
      </w:pPr>
      <w:r w:rsidRPr="001A6356">
        <w:rPr>
          <w:b/>
          <w:bCs/>
          <w:color w:val="1F4E79"/>
        </w:rPr>
        <w:t>Overview</w:t>
      </w:r>
    </w:p>
    <w:p w:rsidR="0092068A" w:rsidRDefault="0092068A" w:rsidP="0092068A">
      <w:r>
        <w:t xml:space="preserve">The present report builds on previous reports identifying that concrete service spending has a positive association with outcomes of permanency and stability when controlling for other sources of variance. This report looks at whether there are differences in these outcomes in response to concrete service spending between groups of those who are at a higher level of need versus a lower level of need. The groupings were based on previous reports t-tests that found significant differences in indicators of levels of needs – youth and parental stress, and number of placements. </w:t>
      </w:r>
    </w:p>
    <w:p w:rsidR="0092068A" w:rsidRDefault="0092068A" w:rsidP="0092068A"/>
    <w:p w:rsidR="0092068A" w:rsidRPr="001A6356" w:rsidRDefault="0092068A" w:rsidP="0092068A">
      <w:pPr>
        <w:rPr>
          <w:color w:val="1F4E79"/>
        </w:rPr>
      </w:pPr>
      <w:r w:rsidRPr="001A6356">
        <w:rPr>
          <w:b/>
          <w:bCs/>
          <w:color w:val="1F4E79"/>
        </w:rPr>
        <w:t>Sample</w:t>
      </w:r>
      <w:r w:rsidRPr="001A6356">
        <w:rPr>
          <w:color w:val="1F4E79"/>
        </w:rPr>
        <w:t xml:space="preserve">: </w:t>
      </w:r>
    </w:p>
    <w:p w:rsidR="0092068A" w:rsidRDefault="0092068A" w:rsidP="0092068A">
      <w:r w:rsidRPr="002A5294">
        <w:t>Data were collected between 2007 and 2017 from five iterations of quality assurance reviews. The peer-review process of a random-like sample of child welfare cases was aimed at improving services to children in each region of the state.  The majority of the 2,494 cases used in the analysis were Caucasian (74%)</w:t>
      </w:r>
      <w:r>
        <w:t>,</w:t>
      </w:r>
      <w:r w:rsidRPr="002A5294">
        <w:t xml:space="preserve"> did not receive concrete services (68%)</w:t>
      </w:r>
      <w:r>
        <w:t>,</w:t>
      </w:r>
      <w:r w:rsidRPr="002A5294">
        <w:t xml:space="preserve"> and had a mean child age of 7.79 (±5.14).</w:t>
      </w:r>
    </w:p>
    <w:p w:rsidR="0092068A" w:rsidRDefault="0092068A" w:rsidP="0092068A">
      <w:pPr>
        <w:rPr>
          <w:b/>
          <w:bCs/>
        </w:rPr>
      </w:pPr>
    </w:p>
    <w:p w:rsidR="0092068A" w:rsidRPr="001A6356" w:rsidRDefault="0092068A" w:rsidP="0092068A">
      <w:pPr>
        <w:rPr>
          <w:b/>
          <w:bCs/>
          <w:color w:val="1F4E79"/>
        </w:rPr>
      </w:pPr>
      <w:r w:rsidRPr="001A6356">
        <w:rPr>
          <w:b/>
          <w:bCs/>
          <w:color w:val="1F4E79"/>
        </w:rPr>
        <w:t>Methods and Results:</w:t>
      </w:r>
    </w:p>
    <w:p w:rsidR="0092068A" w:rsidRDefault="0092068A" w:rsidP="0092068A">
      <w:r>
        <w:t xml:space="preserve">K-means clustering analysis was performed to identify important group differentiations among those who received concrete services. Specifically, identifying those who were at a higher level of instability versus those who were at a lower level of instability. To do this we used </w:t>
      </w:r>
      <w:r w:rsidR="00736D8B">
        <w:t>child</w:t>
      </w:r>
      <w:r>
        <w:t xml:space="preserve"> stress, parental stress, and number of placements as the factors to distinguish these groups. In order to identify the correct number of groups in our clustering analysis, we used a within-cluster sum of square approach that minimizes the variation within each cluster.  This procedure revealed that two groups fit the present data. Next, we performed K-means clustering to identify participants that belonged in each of the two groups. These groups were used in the following analyses</w:t>
      </w:r>
    </w:p>
    <w:p w:rsidR="0092068A" w:rsidRDefault="0092068A" w:rsidP="0092068A"/>
    <w:p w:rsidR="0092068A" w:rsidRDefault="0092068A" w:rsidP="0092068A">
      <w:r>
        <w:t>First, we conducted t-tests</w:t>
      </w:r>
      <w:r w:rsidR="008741B0">
        <w:t xml:space="preserve"> (Figures 14-16)</w:t>
      </w:r>
      <w:r>
        <w:t xml:space="preserve"> to examine what differences existed between these groups on variables of interest. Both groups significantly differed on both permanency (t(430)=-3.151, p=.0017) and stability (</w:t>
      </w:r>
      <w:r w:rsidRPr="00A268B9">
        <w:t>t(430)=-</w:t>
      </w:r>
      <w:r>
        <w:t>2.801</w:t>
      </w:r>
      <w:r w:rsidRPr="00A268B9">
        <w:t>, p=.00</w:t>
      </w:r>
      <w:r>
        <w:t>53) with the group higher on instability being significantly lower. These groups were not different on: safety, wellbeing, or amount of concrete service spending overall or any category.</w:t>
      </w:r>
    </w:p>
    <w:p w:rsidR="001A6356" w:rsidRDefault="001A6356" w:rsidP="001A6356"/>
    <w:p w:rsidR="001A6356" w:rsidRDefault="001A6356" w:rsidP="001A6356">
      <w:pPr>
        <w:pStyle w:val="Heading4"/>
      </w:pPr>
      <w:r w:rsidRPr="004C2BDE">
        <w:t xml:space="preserve">Figure </w:t>
      </w:r>
      <w:r w:rsidR="001A6EE2">
        <w:rPr>
          <w:noProof/>
        </w:rPr>
        <w:fldChar w:fldCharType="begin"/>
      </w:r>
      <w:r w:rsidR="001A6EE2">
        <w:rPr>
          <w:noProof/>
        </w:rPr>
        <w:instrText xml:space="preserve"> SEQ Figure \* ARABIC </w:instrText>
      </w:r>
      <w:r w:rsidR="001A6EE2">
        <w:rPr>
          <w:noProof/>
        </w:rPr>
        <w:fldChar w:fldCharType="separate"/>
      </w:r>
      <w:r>
        <w:rPr>
          <w:noProof/>
        </w:rPr>
        <w:t>1</w:t>
      </w:r>
      <w:r w:rsidR="001A6EE2">
        <w:rPr>
          <w:noProof/>
        </w:rPr>
        <w:fldChar w:fldCharType="end"/>
      </w:r>
      <w:r w:rsidR="008741B0">
        <w:rPr>
          <w:noProof/>
        </w:rPr>
        <w:t>4</w:t>
      </w:r>
      <w:r>
        <w:t xml:space="preserve">. Statistically </w:t>
      </w:r>
      <w:r w:rsidRPr="004C2BDE">
        <w:t>significant</w:t>
      </w:r>
      <w:r>
        <w:t xml:space="preserve"> difference between instability groups on stability.</w:t>
      </w:r>
    </w:p>
    <w:p w:rsidR="001A6356" w:rsidRDefault="001A6356" w:rsidP="001A6356">
      <w:r>
        <w:rPr>
          <w:noProof/>
        </w:rPr>
        <w:drawing>
          <wp:inline distT="0" distB="0" distL="0" distR="0" wp14:anchorId="4475CC00" wp14:editId="761FFE4E">
            <wp:extent cx="4186319" cy="294071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30667" cy="2971863"/>
                    </a:xfrm>
                    <a:prstGeom prst="rect">
                      <a:avLst/>
                    </a:prstGeom>
                  </pic:spPr>
                </pic:pic>
              </a:graphicData>
            </a:graphic>
          </wp:inline>
        </w:drawing>
      </w:r>
      <w:r>
        <w:t xml:space="preserve"> </w:t>
      </w:r>
    </w:p>
    <w:p w:rsidR="001A6356" w:rsidRDefault="001A6356" w:rsidP="001A6356"/>
    <w:p w:rsidR="001A6356" w:rsidRDefault="001A6356" w:rsidP="001A6356"/>
    <w:p w:rsidR="001A6356" w:rsidRDefault="001A6356" w:rsidP="001A6356">
      <w:pPr>
        <w:pStyle w:val="Heading4"/>
      </w:pPr>
      <w:r w:rsidRPr="004C2BDE">
        <w:t xml:space="preserve">Figure </w:t>
      </w:r>
      <w:r w:rsidR="008741B0">
        <w:t>15</w:t>
      </w:r>
      <w:r>
        <w:t xml:space="preserve">. Statistically </w:t>
      </w:r>
      <w:r w:rsidRPr="004C2BDE">
        <w:t>significant</w:t>
      </w:r>
      <w:r>
        <w:t xml:space="preserve"> difference between instability groups on permanency</w:t>
      </w:r>
    </w:p>
    <w:p w:rsidR="001A6356" w:rsidRDefault="001A6356" w:rsidP="001A6356">
      <w:r>
        <w:rPr>
          <w:noProof/>
        </w:rPr>
        <w:drawing>
          <wp:inline distT="0" distB="0" distL="0" distR="0" wp14:anchorId="446BDC2A" wp14:editId="78EA0B66">
            <wp:extent cx="4403750" cy="309344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424497" cy="3108020"/>
                    </a:xfrm>
                    <a:prstGeom prst="rect">
                      <a:avLst/>
                    </a:prstGeom>
                  </pic:spPr>
                </pic:pic>
              </a:graphicData>
            </a:graphic>
          </wp:inline>
        </w:drawing>
      </w:r>
    </w:p>
    <w:p w:rsidR="001A6356" w:rsidRDefault="001A6356" w:rsidP="001A6356"/>
    <w:p w:rsidR="001A6356" w:rsidRDefault="001A6356" w:rsidP="001A6356"/>
    <w:p w:rsidR="001A6356" w:rsidRPr="004C2BDE" w:rsidRDefault="001A6356" w:rsidP="001A6356">
      <w:pPr>
        <w:pStyle w:val="Heading4"/>
      </w:pPr>
      <w:r w:rsidRPr="004C2BDE">
        <w:t xml:space="preserve">Figure </w:t>
      </w:r>
      <w:r w:rsidR="008741B0">
        <w:t>16</w:t>
      </w:r>
      <w:r>
        <w:t>. Non-s</w:t>
      </w:r>
      <w:r w:rsidRPr="004C2BDE">
        <w:t>ignificant</w:t>
      </w:r>
      <w:r>
        <w:t xml:space="preserve"> difference between instability groups and total concrete service spending. </w:t>
      </w:r>
    </w:p>
    <w:p w:rsidR="001A6356" w:rsidRDefault="001A6356" w:rsidP="001A6356">
      <w:r>
        <w:rPr>
          <w:noProof/>
        </w:rPr>
        <w:drawing>
          <wp:inline distT="0" distB="0" distL="0" distR="0" wp14:anchorId="45C44795" wp14:editId="15FAFEF7">
            <wp:extent cx="4248802" cy="2984602"/>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63243" cy="2994746"/>
                    </a:xfrm>
                    <a:prstGeom prst="rect">
                      <a:avLst/>
                    </a:prstGeom>
                  </pic:spPr>
                </pic:pic>
              </a:graphicData>
            </a:graphic>
          </wp:inline>
        </w:drawing>
      </w:r>
    </w:p>
    <w:p w:rsidR="001A6356" w:rsidRDefault="001A6356" w:rsidP="001A6356"/>
    <w:p w:rsidR="001A6356" w:rsidRDefault="001A6356" w:rsidP="001A6356"/>
    <w:p w:rsidR="001A6356" w:rsidRPr="00B14ED0" w:rsidRDefault="001A6356" w:rsidP="001A6356">
      <w:r>
        <w:t xml:space="preserve">Next, we ran linear regressions </w:t>
      </w:r>
      <w:r w:rsidR="008741B0">
        <w:t xml:space="preserve">(Figures 17 and 18) </w:t>
      </w:r>
      <w:r>
        <w:t xml:space="preserve">testing the interaction between total concrete service spending with level of instability groups on outcomes of permanency and stability. </w:t>
      </w:r>
      <w:r w:rsidR="00736D8B">
        <w:t>We ran</w:t>
      </w:r>
      <w:r>
        <w:t xml:space="preserve"> two models, one for permanency and one for stability, controlling for placement type and round number to regress out additional sources of variance. Regression on stability revealed a significant overall model (f(6,425)=9.425, p&lt;.001, r</w:t>
      </w:r>
      <w:r>
        <w:rPr>
          <w:vertAlign w:val="superscript"/>
        </w:rPr>
        <w:t>2</w:t>
      </w:r>
      <w:r>
        <w:t xml:space="preserve">=.11) </w:t>
      </w:r>
      <w:bookmarkStart w:id="10" w:name="_Hlk36645404"/>
      <w:r>
        <w:t xml:space="preserve">as well as a significant positive association for total concrete service spending (b=.00042, p=.0157) and for level of instability (b=.342,p=.0338). </w:t>
      </w:r>
      <w:bookmarkEnd w:id="10"/>
      <w:r>
        <w:t xml:space="preserve">Interaction effects were insignificant for this model (b&lt;.0001, p = .619) indicating there were no interaction effects. Regression on permanency revealed a significant overall model (f(6,425)=7.127, p&lt;.001,r= .093) </w:t>
      </w:r>
      <w:r w:rsidRPr="00B14ED0">
        <w:t>as well as a significant positive association for total concrete service spending (b=.000</w:t>
      </w:r>
      <w:r>
        <w:t>38</w:t>
      </w:r>
      <w:r w:rsidRPr="00B14ED0">
        <w:t>, p=.</w:t>
      </w:r>
      <w:r>
        <w:t>0460</w:t>
      </w:r>
      <w:r w:rsidRPr="00B14ED0">
        <w:t>) and for level of instability (b=.428,p=.</w:t>
      </w:r>
      <w:r>
        <w:t>0142</w:t>
      </w:r>
      <w:r w:rsidRPr="00B14ED0">
        <w:t>). Interaction effects were insignificant for this model (b</w:t>
      </w:r>
      <w:r>
        <w:t>=</w:t>
      </w:r>
      <w:r w:rsidRPr="00B14ED0">
        <w:t>.00</w:t>
      </w:r>
      <w:r>
        <w:t>2</w:t>
      </w:r>
      <w:r w:rsidRPr="00B14ED0">
        <w:t>, p = .</w:t>
      </w:r>
      <w:r>
        <w:t>272</w:t>
      </w:r>
      <w:r w:rsidRPr="00B14ED0">
        <w:t>) indicating there were no interaction effects.</w:t>
      </w:r>
    </w:p>
    <w:p w:rsidR="001A6356" w:rsidRDefault="001A6356" w:rsidP="001A6356"/>
    <w:p w:rsidR="002315A4" w:rsidRPr="002315A4" w:rsidRDefault="002315A4" w:rsidP="002315A4">
      <w:pPr>
        <w:rPr>
          <w:color w:val="1F4E79"/>
        </w:rPr>
      </w:pPr>
      <w:r w:rsidRPr="002315A4">
        <w:rPr>
          <w:b/>
          <w:bCs/>
          <w:color w:val="1F4E79"/>
        </w:rPr>
        <w:t>Conclusion</w:t>
      </w:r>
      <w:r w:rsidRPr="002315A4">
        <w:rPr>
          <w:color w:val="1F4E79"/>
        </w:rPr>
        <w:t xml:space="preserve">: </w:t>
      </w:r>
    </w:p>
    <w:p w:rsidR="002315A4" w:rsidRDefault="002315A4" w:rsidP="002315A4">
      <w:r>
        <w:t xml:space="preserve">The present results suggest that level of instability influenced the response to concrete service on both outcomes of permanency and stability; such that a higher level of instability had a significantly more positive response to concrete service spending. On the higher end of spending both higher and lower levels of instability had almost equivalent levels for each outcome. This has significant implications for the ways that concrete service spending use used—those in higher levels of instability benefit from concrete service use. </w:t>
      </w:r>
    </w:p>
    <w:p w:rsidR="002315A4" w:rsidRDefault="002315A4" w:rsidP="002315A4"/>
    <w:p w:rsidR="002315A4" w:rsidRPr="002315A4" w:rsidRDefault="002315A4" w:rsidP="002315A4">
      <w:pPr>
        <w:rPr>
          <w:color w:val="1F4E79"/>
        </w:rPr>
      </w:pPr>
      <w:r w:rsidRPr="002315A4">
        <w:rPr>
          <w:b/>
          <w:bCs/>
          <w:color w:val="1F4E79"/>
        </w:rPr>
        <w:t>Take Home Message</w:t>
      </w:r>
      <w:r w:rsidRPr="002315A4">
        <w:rPr>
          <w:color w:val="1F4E79"/>
        </w:rPr>
        <w:t xml:space="preserve">: </w:t>
      </w:r>
    </w:p>
    <w:p w:rsidR="002315A4" w:rsidRDefault="00736D8B" w:rsidP="002315A4">
      <w:r>
        <w:t xml:space="preserve">Overall, the use of concrete services associates with increases in stability for youth at a higher level of need and this is particularly important for those at a higher level of instability. Both permanency and stability associated with total concrete service spending provides evidence of the complex concrete needs necessary to accomplish these aims. </w:t>
      </w:r>
      <w:r w:rsidR="002315A4">
        <w:br w:type="page"/>
      </w:r>
    </w:p>
    <w:p w:rsidR="00A34E0A" w:rsidRDefault="00A34E0A" w:rsidP="002315A4">
      <w:pPr>
        <w:pStyle w:val="Heading4"/>
      </w:pPr>
      <w:r w:rsidRPr="0000445C">
        <w:t xml:space="preserve">Figure </w:t>
      </w:r>
      <w:r w:rsidR="008741B0">
        <w:t>17</w:t>
      </w:r>
      <w:r w:rsidRPr="0000445C">
        <w:t xml:space="preserve">. </w:t>
      </w:r>
      <w:bookmarkStart w:id="11" w:name="_Hlk37700121"/>
      <w:r>
        <w:t>OLS regression lines for higher and lower levels of instability in the relationship between total concrete service spending and placement stability</w:t>
      </w:r>
      <w:bookmarkEnd w:id="11"/>
      <w:r>
        <w:t>.</w:t>
      </w:r>
    </w:p>
    <w:p w:rsidR="00A34E0A" w:rsidRDefault="00A34E0A" w:rsidP="001A6356">
      <w:r w:rsidRPr="00B14ED0">
        <w:rPr>
          <w:noProof/>
        </w:rPr>
        <w:drawing>
          <wp:inline distT="0" distB="0" distL="0" distR="0" wp14:anchorId="5914096B" wp14:editId="70BA36D8">
            <wp:extent cx="4961845" cy="34861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648" t="1153" r="1450" b="928"/>
                    <a:stretch/>
                  </pic:blipFill>
                  <pic:spPr bwMode="auto">
                    <a:xfrm>
                      <a:off x="0" y="0"/>
                      <a:ext cx="4978671" cy="3497972"/>
                    </a:xfrm>
                    <a:prstGeom prst="rect">
                      <a:avLst/>
                    </a:prstGeom>
                    <a:ln>
                      <a:noFill/>
                    </a:ln>
                    <a:extLst>
                      <a:ext uri="{53640926-AAD7-44D8-BBD7-CCE9431645EC}">
                        <a14:shadowObscured xmlns:a14="http://schemas.microsoft.com/office/drawing/2010/main"/>
                      </a:ext>
                    </a:extLst>
                  </pic:spPr>
                </pic:pic>
              </a:graphicData>
            </a:graphic>
          </wp:inline>
        </w:drawing>
      </w:r>
    </w:p>
    <w:p w:rsidR="002315A4" w:rsidRDefault="002315A4" w:rsidP="001A6356"/>
    <w:p w:rsidR="002315A4" w:rsidRPr="0000445C" w:rsidRDefault="002315A4" w:rsidP="002315A4">
      <w:pPr>
        <w:pStyle w:val="Heading4"/>
      </w:pPr>
      <w:r w:rsidRPr="0000445C">
        <w:t xml:space="preserve">Figure </w:t>
      </w:r>
      <w:r w:rsidR="008741B0">
        <w:t>18</w:t>
      </w:r>
      <w:r w:rsidRPr="0000445C">
        <w:t xml:space="preserve">. OLS regression lines for higher and lower levels of instability in the relationship between total concrete service spending and placement </w:t>
      </w:r>
      <w:r>
        <w:t xml:space="preserve">permanency. </w:t>
      </w:r>
    </w:p>
    <w:p w:rsidR="002315A4" w:rsidRPr="001A6356" w:rsidRDefault="002315A4" w:rsidP="001A6356">
      <w:pPr>
        <w:sectPr w:rsidR="002315A4" w:rsidRPr="001A6356" w:rsidSect="001E6064">
          <w:headerReference w:type="default" r:id="rId34"/>
          <w:footerReference w:type="default" r:id="rId35"/>
          <w:headerReference w:type="first" r:id="rId36"/>
          <w:pgSz w:w="12240" w:h="15840"/>
          <w:pgMar w:top="1440" w:right="1440" w:bottom="1440" w:left="1440" w:header="720" w:footer="720" w:gutter="0"/>
          <w:cols w:space="720"/>
          <w:docGrid w:linePitch="360"/>
        </w:sectPr>
      </w:pPr>
      <w:r w:rsidRPr="00B14ED0">
        <w:rPr>
          <w:noProof/>
        </w:rPr>
        <w:drawing>
          <wp:inline distT="0" distB="0" distL="0" distR="0" wp14:anchorId="32D6E8AB" wp14:editId="79A8A6AF">
            <wp:extent cx="4981575" cy="351151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501" t="476" r="1478" b="1163"/>
                    <a:stretch/>
                  </pic:blipFill>
                  <pic:spPr bwMode="auto">
                    <a:xfrm>
                      <a:off x="0" y="0"/>
                      <a:ext cx="4987940" cy="3515998"/>
                    </a:xfrm>
                    <a:prstGeom prst="rect">
                      <a:avLst/>
                    </a:prstGeom>
                    <a:ln>
                      <a:noFill/>
                    </a:ln>
                    <a:extLst>
                      <a:ext uri="{53640926-AAD7-44D8-BBD7-CCE9431645EC}">
                        <a14:shadowObscured xmlns:a14="http://schemas.microsoft.com/office/drawing/2010/main"/>
                      </a:ext>
                    </a:extLst>
                  </pic:spPr>
                </pic:pic>
              </a:graphicData>
            </a:graphic>
          </wp:inline>
        </w:drawing>
      </w:r>
    </w:p>
    <w:p w:rsidR="002A34BA" w:rsidRPr="002A34BA" w:rsidRDefault="002A34BA" w:rsidP="002A34BA">
      <w:pPr>
        <w:keepNext/>
        <w:keepLines/>
        <w:spacing w:before="40"/>
        <w:outlineLvl w:val="2"/>
        <w:rPr>
          <w:rFonts w:asciiTheme="majorHAnsi" w:eastAsiaTheme="majorEastAsia" w:hAnsiTheme="majorHAnsi" w:cstheme="majorBidi"/>
          <w:color w:val="1F4D78" w:themeColor="accent1" w:themeShade="7F"/>
          <w:sz w:val="24"/>
          <w:szCs w:val="24"/>
        </w:rPr>
      </w:pPr>
      <w:r w:rsidRPr="002A34BA">
        <w:rPr>
          <w:rFonts w:asciiTheme="majorHAnsi" w:eastAsiaTheme="majorEastAsia" w:hAnsiTheme="majorHAnsi" w:cstheme="majorBidi"/>
          <w:color w:val="1F4D78" w:themeColor="accent1" w:themeShade="7F"/>
          <w:sz w:val="24"/>
          <w:szCs w:val="24"/>
        </w:rPr>
        <w:t>Interaction Analysis Using Propensity Score Matching</w:t>
      </w:r>
    </w:p>
    <w:p w:rsidR="002A34BA" w:rsidRPr="002A34BA" w:rsidRDefault="002A34BA" w:rsidP="002A34BA">
      <w:pPr>
        <w:rPr>
          <w:b/>
          <w:bCs/>
          <w:color w:val="1F4E79"/>
        </w:rPr>
      </w:pPr>
      <w:r w:rsidRPr="002A34BA">
        <w:rPr>
          <w:b/>
          <w:bCs/>
          <w:color w:val="1F4E79"/>
        </w:rPr>
        <w:t>Overview</w:t>
      </w:r>
    </w:p>
    <w:p w:rsidR="002A34BA" w:rsidRPr="002A34BA" w:rsidRDefault="002A34BA" w:rsidP="002A34BA">
      <w:r w:rsidRPr="002A34BA">
        <w:t xml:space="preserve">The present analysis tests if there is a substantial difference between those who are currently in an out of placements and those with stable placements in the outcome of placement stability when receiving and not receiving concrete services. The focus of this analysis was to develop comparison groups of children with unstable and stable placements to determine the effects of concrete service spending as a treatment to address placement stability. </w:t>
      </w:r>
    </w:p>
    <w:p w:rsidR="002A34BA" w:rsidRPr="002A34BA" w:rsidRDefault="002A34BA" w:rsidP="002A34BA"/>
    <w:p w:rsidR="002A34BA" w:rsidRPr="002A34BA" w:rsidRDefault="002A34BA" w:rsidP="002A34BA">
      <w:pPr>
        <w:rPr>
          <w:color w:val="1F4E79"/>
        </w:rPr>
      </w:pPr>
      <w:r w:rsidRPr="002A34BA">
        <w:rPr>
          <w:b/>
          <w:bCs/>
          <w:color w:val="1F4E79"/>
        </w:rPr>
        <w:t>Sample</w:t>
      </w:r>
      <w:r w:rsidRPr="002A34BA">
        <w:rPr>
          <w:color w:val="1F4E79"/>
        </w:rPr>
        <w:t xml:space="preserve">: </w:t>
      </w:r>
    </w:p>
    <w:p w:rsidR="002A34BA" w:rsidRPr="002A34BA" w:rsidRDefault="002A34BA" w:rsidP="002A34BA">
      <w:r w:rsidRPr="002A34BA">
        <w:t>Data were collected between 2007 and 2017 from five iterations of quality assurance reviews. The peer-review process of a random-like sample of child welfare cases was aimed at improving services to children in each region of the state. The majority of the 2,494 cases used in the analysis were Caucasian (74%), did not receive concrete services (68%), and had a mean child age of 7.79 (±5.14).</w:t>
      </w:r>
    </w:p>
    <w:p w:rsidR="002A34BA" w:rsidRPr="002A34BA" w:rsidRDefault="002A34BA" w:rsidP="002A34BA">
      <w:pPr>
        <w:rPr>
          <w:b/>
          <w:bCs/>
        </w:rPr>
      </w:pPr>
    </w:p>
    <w:p w:rsidR="002A34BA" w:rsidRPr="002A34BA" w:rsidRDefault="002A34BA" w:rsidP="002A34BA">
      <w:pPr>
        <w:rPr>
          <w:b/>
          <w:bCs/>
          <w:color w:val="1F4E79"/>
        </w:rPr>
      </w:pPr>
      <w:r w:rsidRPr="002A34BA">
        <w:rPr>
          <w:b/>
          <w:bCs/>
          <w:color w:val="1F4E79"/>
        </w:rPr>
        <w:t>Methods and Results:</w:t>
      </w:r>
    </w:p>
    <w:p w:rsidR="002A34BA" w:rsidRPr="002A34BA" w:rsidRDefault="002A34BA" w:rsidP="002A34BA">
      <w:r w:rsidRPr="002A34BA">
        <w:rPr>
          <w:i/>
          <w:iCs/>
        </w:rPr>
        <w:t>Propensity Score Matching</w:t>
      </w:r>
      <w:r w:rsidRPr="002A34BA">
        <w:t xml:space="preserve">: First we needed to find common characteristics among those who received concrete services and did not in order to obtain a sample of comparable characteristics. The intention of this approach is to strengthen our inferences of effects being because of the intervention of concrete services and not just sampling error. To do this we matched participants on characteristics of caregiver and children stress, number of placements, the round number and whether they were currently in an out of home placement. Propensity score matched total of 864 participants (1,277 were unmatched and 353 were discarded due to missingness) with n=432 that received concrete services and n=432 who did not receive concrete services. </w:t>
      </w:r>
    </w:p>
    <w:p w:rsidR="002A34BA" w:rsidRPr="002A34BA" w:rsidRDefault="002A34BA" w:rsidP="002A34BA"/>
    <w:p w:rsidR="002A34BA" w:rsidRPr="002A34BA" w:rsidRDefault="002A34BA" w:rsidP="002A34BA">
      <w:pPr>
        <w:rPr>
          <w:b/>
          <w:i/>
        </w:rPr>
      </w:pPr>
      <w:r w:rsidRPr="002A34BA">
        <w:rPr>
          <w:b/>
          <w:i/>
        </w:rPr>
        <w:t xml:space="preserve">Data in the model included: </w:t>
      </w:r>
    </w:p>
    <w:p w:rsidR="002A34BA" w:rsidRPr="002A34BA" w:rsidRDefault="002A34BA" w:rsidP="002A34BA">
      <w:r w:rsidRPr="002A34BA">
        <w:rPr>
          <w:b/>
          <w:bCs/>
        </w:rPr>
        <w:t>Assumption testing</w:t>
      </w:r>
      <w:r w:rsidRPr="002A34BA">
        <w:t>. Mahalanobis Distance was calculated following accepted guidelines and no multivariate outliers were detected</w:t>
      </w:r>
    </w:p>
    <w:p w:rsidR="002A34BA" w:rsidRPr="002A34BA" w:rsidRDefault="002A34BA" w:rsidP="002A34BA">
      <w:r w:rsidRPr="002A34BA">
        <w:rPr>
          <w:b/>
          <w:bCs/>
        </w:rPr>
        <w:t>Child and caregiver stress</w:t>
      </w:r>
      <w:r w:rsidRPr="002A34BA">
        <w:t xml:space="preserve">. Both child and caregiver stress were rated by checking off items on a list of potentially traumatic or stressful events in either the child of caregivers’ life. Caseworkers checked off items and the total number of events were added and used in the analysis indicating the potential level of trauma and stress. Child items consisted of events such as “history of sexual abuse”; and caregiver items consisted of events like “abused/neglected as a child.” A higher score indicates more exposure to traumatic stress. </w:t>
      </w:r>
    </w:p>
    <w:p w:rsidR="002A34BA" w:rsidRPr="002A34BA" w:rsidRDefault="002A34BA" w:rsidP="002A34BA">
      <w:r w:rsidRPr="002A34BA">
        <w:rPr>
          <w:b/>
          <w:bCs/>
        </w:rPr>
        <w:t>Number of placements</w:t>
      </w:r>
      <w:r w:rsidRPr="002A34BA">
        <w:t xml:space="preserve">. The number of placements is included as a control because it negatively affects both permanency and placement stability. Because placements ranged from 0-20 with very few above five, placements were recoded into four categories 0 were recoded to 0, 1-2 were recoded to 1, 3-4 were recoded to 2, and 5 or more placements were recoded to 4. Higher number indicates a greater number of placements. </w:t>
      </w:r>
    </w:p>
    <w:p w:rsidR="002A34BA" w:rsidRPr="002A34BA" w:rsidRDefault="002A34BA" w:rsidP="002A34BA">
      <w:r w:rsidRPr="002A34BA">
        <w:rPr>
          <w:b/>
          <w:bCs/>
        </w:rPr>
        <w:t>Current out of home placement</w:t>
      </w:r>
      <w:r w:rsidRPr="002A34BA">
        <w:t xml:space="preserve">. The current placement was assessed by the reviewer at the current placement for the child at the time of data collection. This variable was a dichotomous variable with out of home coded as 1 and any in home placement coded as 0. </w:t>
      </w:r>
    </w:p>
    <w:p w:rsidR="002A34BA" w:rsidRPr="002A34BA" w:rsidRDefault="002A34BA" w:rsidP="002A34BA">
      <w:r w:rsidRPr="002A34BA">
        <w:rPr>
          <w:b/>
          <w:bCs/>
        </w:rPr>
        <w:t>Future placement plan</w:t>
      </w:r>
      <w:r w:rsidRPr="002A34BA">
        <w:t xml:space="preserve">. The future placement plan was assessed by the reviewer as the current placement plan at the time data was collected for each case. Placement plans consisted of a parental plan (planned to be placed with parents), a relative plan (plans to be placed with a relative or kinship care), or an out of home placement (adoption or other out of home placement). The out of home placement plan was used as a reference category for the present analysis. </w:t>
      </w:r>
    </w:p>
    <w:p w:rsidR="002A34BA" w:rsidRPr="002A34BA" w:rsidRDefault="002A34BA" w:rsidP="002A34BA">
      <w:r w:rsidRPr="002A34BA">
        <w:rPr>
          <w:b/>
          <w:bCs/>
        </w:rPr>
        <w:t>Data collection round number</w:t>
      </w:r>
      <w:r w:rsidRPr="002A34BA">
        <w:t xml:space="preserve">. This data was collected over 10 years with different participants at each collection. Effects of different time periods on participant outcomes were accounted for by including the round number as a control variable. There were five rounds at the time of this analysis (ranging from 1 – 5, each spanning just under 2 years between collection) that accounted for the different time period at each collection with higher number meaning the most recent data collection period. </w:t>
      </w:r>
    </w:p>
    <w:p w:rsidR="002A34BA" w:rsidRPr="002A34BA" w:rsidRDefault="002A34BA" w:rsidP="002A34BA"/>
    <w:p w:rsidR="002A34BA" w:rsidRPr="002A34BA" w:rsidRDefault="002A34BA" w:rsidP="002A34BA">
      <w:r w:rsidRPr="002A34BA">
        <w:t xml:space="preserve">A summary of the balanced data for treatment and controls </w:t>
      </w:r>
      <w:r>
        <w:t>are below</w:t>
      </w:r>
      <w:r w:rsidRPr="002A34BA">
        <w:t xml:space="preserve"> in Table 16.</w:t>
      </w:r>
    </w:p>
    <w:p w:rsidR="002A34BA" w:rsidRPr="002A34BA" w:rsidRDefault="002A34BA" w:rsidP="002A34BA"/>
    <w:p w:rsidR="002A34BA" w:rsidRPr="002A34BA" w:rsidRDefault="002A34BA" w:rsidP="002A34BA">
      <w:pPr>
        <w:keepNext/>
        <w:keepLines/>
        <w:spacing w:before="40"/>
        <w:outlineLvl w:val="3"/>
        <w:rPr>
          <w:rFonts w:asciiTheme="majorHAnsi" w:eastAsiaTheme="majorEastAsia" w:hAnsiTheme="majorHAnsi" w:cstheme="majorBidi"/>
          <w:i/>
          <w:iCs/>
          <w:color w:val="2E74B5" w:themeColor="accent1" w:themeShade="BF"/>
        </w:rPr>
      </w:pPr>
      <w:r w:rsidRPr="002A34BA">
        <w:rPr>
          <w:rFonts w:asciiTheme="majorHAnsi" w:eastAsiaTheme="majorEastAsia" w:hAnsiTheme="majorHAnsi" w:cstheme="majorBidi"/>
          <w:i/>
          <w:iCs/>
          <w:color w:val="2E74B5" w:themeColor="accent1" w:themeShade="BF"/>
        </w:rPr>
        <w:t>Table 16. Characteristics of propensity score matched data</w:t>
      </w:r>
    </w:p>
    <w:tbl>
      <w:tblPr>
        <w:tblStyle w:val="GridTable4-Accent51"/>
        <w:tblpPr w:leftFromText="180" w:rightFromText="180" w:vertAnchor="text" w:horzAnchor="margin" w:tblpY="90"/>
        <w:tblW w:w="0" w:type="auto"/>
        <w:tblLook w:val="04A0" w:firstRow="1" w:lastRow="0" w:firstColumn="1" w:lastColumn="0" w:noHBand="0" w:noVBand="1"/>
      </w:tblPr>
      <w:tblGrid>
        <w:gridCol w:w="2029"/>
        <w:gridCol w:w="1206"/>
        <w:gridCol w:w="1440"/>
        <w:gridCol w:w="1980"/>
        <w:gridCol w:w="2695"/>
      </w:tblGrid>
      <w:tr w:rsidR="002A34BA" w:rsidRPr="002A34BA" w:rsidTr="00EE5A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5"/>
          </w:tcPr>
          <w:p w:rsidR="002A34BA" w:rsidRPr="002A34BA" w:rsidRDefault="002A34BA" w:rsidP="002A34BA">
            <w:r w:rsidRPr="002A34BA">
              <w:t>Matched data (n=864)</w:t>
            </w:r>
          </w:p>
        </w:tc>
      </w:tr>
      <w:tr w:rsidR="002A34BA" w:rsidRPr="002A34BA" w:rsidTr="00EE5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shd w:val="clear" w:color="auto" w:fill="4472C4" w:themeFill="accent5"/>
          </w:tcPr>
          <w:p w:rsidR="002A34BA" w:rsidRPr="002A34BA" w:rsidRDefault="002A34BA" w:rsidP="002A34BA">
            <w:pPr>
              <w:rPr>
                <w:color w:val="FFFFFF" w:themeColor="background1"/>
              </w:rPr>
            </w:pPr>
          </w:p>
        </w:tc>
        <w:tc>
          <w:tcPr>
            <w:tcW w:w="1206" w:type="dxa"/>
            <w:shd w:val="clear" w:color="auto" w:fill="4472C4" w:themeFill="accent5"/>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2A34BA">
              <w:rPr>
                <w:b/>
                <w:color w:val="FFFFFF" w:themeColor="background1"/>
              </w:rPr>
              <w:t>Treated n=432</w:t>
            </w:r>
          </w:p>
        </w:tc>
        <w:tc>
          <w:tcPr>
            <w:tcW w:w="1440" w:type="dxa"/>
            <w:shd w:val="clear" w:color="auto" w:fill="4472C4" w:themeFill="accent5"/>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2A34BA">
              <w:rPr>
                <w:b/>
                <w:color w:val="FFFFFF" w:themeColor="background1"/>
              </w:rPr>
              <w:t>Untreated n=432</w:t>
            </w:r>
          </w:p>
        </w:tc>
        <w:tc>
          <w:tcPr>
            <w:tcW w:w="1980" w:type="dxa"/>
            <w:shd w:val="clear" w:color="auto" w:fill="4472C4" w:themeFill="accent5"/>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2A34BA">
              <w:rPr>
                <w:b/>
                <w:color w:val="FFFFFF" w:themeColor="background1"/>
              </w:rPr>
              <w:t>Mean difference</w:t>
            </w:r>
          </w:p>
        </w:tc>
        <w:tc>
          <w:tcPr>
            <w:tcW w:w="2695" w:type="dxa"/>
            <w:shd w:val="clear" w:color="auto" w:fill="4472C4" w:themeFill="accent5"/>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2A34BA">
              <w:rPr>
                <w:b/>
                <w:color w:val="FFFFFF" w:themeColor="background1"/>
              </w:rPr>
              <w:t>% balance improvement</w:t>
            </w:r>
          </w:p>
        </w:tc>
      </w:tr>
      <w:tr w:rsidR="002A34BA" w:rsidRPr="002A34BA" w:rsidTr="00EE5A4D">
        <w:tc>
          <w:tcPr>
            <w:cnfStyle w:val="001000000000" w:firstRow="0" w:lastRow="0" w:firstColumn="1" w:lastColumn="0" w:oddVBand="0" w:evenVBand="0" w:oddHBand="0" w:evenHBand="0" w:firstRowFirstColumn="0" w:firstRowLastColumn="0" w:lastRowFirstColumn="0" w:lastRowLastColumn="0"/>
            <w:tcW w:w="2029" w:type="dxa"/>
          </w:tcPr>
          <w:p w:rsidR="002A34BA" w:rsidRPr="002A34BA" w:rsidRDefault="002A34BA" w:rsidP="002A34BA">
            <w:r w:rsidRPr="002A34BA">
              <w:t>Distance</w:t>
            </w:r>
          </w:p>
        </w:tc>
        <w:tc>
          <w:tcPr>
            <w:tcW w:w="1206"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 xml:space="preserve">  .425</w:t>
            </w:r>
          </w:p>
        </w:tc>
        <w:tc>
          <w:tcPr>
            <w:tcW w:w="144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 xml:space="preserve">  .393</w:t>
            </w:r>
          </w:p>
        </w:tc>
        <w:tc>
          <w:tcPr>
            <w:tcW w:w="198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 xml:space="preserve"> .032</w:t>
            </w:r>
          </w:p>
        </w:tc>
        <w:tc>
          <w:tcPr>
            <w:tcW w:w="2695"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88.46%</w:t>
            </w:r>
          </w:p>
        </w:tc>
      </w:tr>
      <w:tr w:rsidR="002A34BA" w:rsidRPr="002A34BA" w:rsidTr="00EE5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tcPr>
          <w:p w:rsidR="002A34BA" w:rsidRPr="002A34BA" w:rsidRDefault="002A34BA" w:rsidP="002A34BA">
            <w:r w:rsidRPr="002A34BA">
              <w:t>Caregiver stress</w:t>
            </w:r>
          </w:p>
        </w:tc>
        <w:tc>
          <w:tcPr>
            <w:tcW w:w="1206"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5.833</w:t>
            </w:r>
          </w:p>
        </w:tc>
        <w:tc>
          <w:tcPr>
            <w:tcW w:w="144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5.717</w:t>
            </w:r>
          </w:p>
        </w:tc>
        <w:tc>
          <w:tcPr>
            <w:tcW w:w="198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 xml:space="preserve"> .115</w:t>
            </w:r>
          </w:p>
        </w:tc>
        <w:tc>
          <w:tcPr>
            <w:tcW w:w="2695"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77.35%</w:t>
            </w:r>
          </w:p>
        </w:tc>
      </w:tr>
      <w:tr w:rsidR="002A34BA" w:rsidRPr="002A34BA" w:rsidTr="00EE5A4D">
        <w:tc>
          <w:tcPr>
            <w:cnfStyle w:val="001000000000" w:firstRow="0" w:lastRow="0" w:firstColumn="1" w:lastColumn="0" w:oddVBand="0" w:evenVBand="0" w:oddHBand="0" w:evenHBand="0" w:firstRowFirstColumn="0" w:firstRowLastColumn="0" w:lastRowFirstColumn="0" w:lastRowLastColumn="0"/>
            <w:tcW w:w="2029" w:type="dxa"/>
          </w:tcPr>
          <w:p w:rsidR="002A34BA" w:rsidRPr="002A34BA" w:rsidRDefault="002A34BA" w:rsidP="002A34BA">
            <w:r w:rsidRPr="002A34BA">
              <w:t xml:space="preserve">Placements </w:t>
            </w:r>
          </w:p>
        </w:tc>
        <w:tc>
          <w:tcPr>
            <w:tcW w:w="1206"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1.648</w:t>
            </w:r>
          </w:p>
        </w:tc>
        <w:tc>
          <w:tcPr>
            <w:tcW w:w="144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1.236</w:t>
            </w:r>
          </w:p>
        </w:tc>
        <w:tc>
          <w:tcPr>
            <w:tcW w:w="198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 xml:space="preserve"> .412</w:t>
            </w:r>
          </w:p>
        </w:tc>
        <w:tc>
          <w:tcPr>
            <w:tcW w:w="2695"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13.44%</w:t>
            </w:r>
          </w:p>
        </w:tc>
      </w:tr>
      <w:tr w:rsidR="002A34BA" w:rsidRPr="002A34BA" w:rsidTr="00EE5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tcPr>
          <w:p w:rsidR="002A34BA" w:rsidRPr="002A34BA" w:rsidRDefault="002A34BA" w:rsidP="002A34BA">
            <w:r w:rsidRPr="002A34BA">
              <w:t xml:space="preserve">Round number </w:t>
            </w:r>
          </w:p>
        </w:tc>
        <w:tc>
          <w:tcPr>
            <w:tcW w:w="1206"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4.074</w:t>
            </w:r>
          </w:p>
        </w:tc>
        <w:tc>
          <w:tcPr>
            <w:tcW w:w="144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4.138</w:t>
            </w:r>
          </w:p>
        </w:tc>
        <w:tc>
          <w:tcPr>
            <w:tcW w:w="198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-.648</w:t>
            </w:r>
          </w:p>
        </w:tc>
        <w:tc>
          <w:tcPr>
            <w:tcW w:w="2695"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96.92%</w:t>
            </w:r>
          </w:p>
        </w:tc>
      </w:tr>
      <w:tr w:rsidR="002A34BA" w:rsidRPr="002A34BA" w:rsidTr="00EE5A4D">
        <w:tc>
          <w:tcPr>
            <w:cnfStyle w:val="001000000000" w:firstRow="0" w:lastRow="0" w:firstColumn="1" w:lastColumn="0" w:oddVBand="0" w:evenVBand="0" w:oddHBand="0" w:evenHBand="0" w:firstRowFirstColumn="0" w:firstRowLastColumn="0" w:lastRowFirstColumn="0" w:lastRowLastColumn="0"/>
            <w:tcW w:w="2029" w:type="dxa"/>
          </w:tcPr>
          <w:p w:rsidR="002A34BA" w:rsidRPr="002A34BA" w:rsidRDefault="002A34BA" w:rsidP="002A34BA">
            <w:r w:rsidRPr="002A34BA">
              <w:t>Out of home</w:t>
            </w:r>
          </w:p>
        </w:tc>
        <w:tc>
          <w:tcPr>
            <w:tcW w:w="1206"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 xml:space="preserve">  .898</w:t>
            </w:r>
          </w:p>
        </w:tc>
        <w:tc>
          <w:tcPr>
            <w:tcW w:w="144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 xml:space="preserve">  .821</w:t>
            </w:r>
          </w:p>
        </w:tc>
        <w:tc>
          <w:tcPr>
            <w:tcW w:w="198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 xml:space="preserve"> .076</w:t>
            </w:r>
          </w:p>
        </w:tc>
        <w:tc>
          <w:tcPr>
            <w:tcW w:w="2695"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71.73%</w:t>
            </w:r>
          </w:p>
        </w:tc>
      </w:tr>
    </w:tbl>
    <w:p w:rsidR="002A34BA" w:rsidRPr="002A34BA" w:rsidRDefault="002A34BA" w:rsidP="002A34BA">
      <w:pPr>
        <w:rPr>
          <w:i/>
          <w:iCs/>
        </w:rPr>
      </w:pPr>
    </w:p>
    <w:p w:rsidR="002A34BA" w:rsidRDefault="002A34BA" w:rsidP="002A34BA">
      <w:r w:rsidRPr="002A34BA">
        <w:rPr>
          <w:i/>
          <w:iCs/>
        </w:rPr>
        <w:t>Hierarchal multiple regression</w:t>
      </w:r>
      <w:r w:rsidRPr="002A34BA">
        <w:t>: Next we fit three regression models, two additive (a model with just control variables, Model 1 and a model with all relevant predictors, Model 2) and an one interaction model (the same model with an added interaction term, Model 3) using controls of children and caregiver stress, number of placements, the future placement plan, and the round number as seen in Table 17. .</w:t>
      </w:r>
    </w:p>
    <w:p w:rsidR="002A34BA" w:rsidRPr="002A34BA" w:rsidRDefault="002A34BA" w:rsidP="002A34BA"/>
    <w:p w:rsidR="002A34BA" w:rsidRPr="002A34BA" w:rsidRDefault="002A34BA" w:rsidP="002A34BA">
      <w:r w:rsidRPr="002A34BA">
        <w:t xml:space="preserve">The model fits were for both models 2 and 3 and were compared using an F-test to determine which fit the data best. The F test determined the interaction term had less error (additive RSS=861.17, interaction RSS=856.31) and significantly fit the data better than the additive model (F=4.855, p=.0278). The results of the interaction model are significant (F(9,854)=19.89, p&lt;.001, R2=.1652) indicating our model did predict the outcome of placement stability better than chance. For the individual predictors, there was a significant interaction between those with unstable placements and received concrete services (B=.4533, p=.0278). This finding indicates that we would expect an increase in placement stability in those who are currently are in unstable placements when they receive concrete services after controlling for other sources of variance. </w:t>
      </w:r>
    </w:p>
    <w:p w:rsidR="002A34BA" w:rsidRPr="002A34BA" w:rsidRDefault="002A34BA" w:rsidP="002A34BA"/>
    <w:p w:rsidR="002A34BA" w:rsidRPr="002A34BA" w:rsidRDefault="002A34BA" w:rsidP="002A34BA"/>
    <w:p w:rsidR="002A34BA" w:rsidRPr="002A34BA" w:rsidRDefault="002A34BA" w:rsidP="002A34BA"/>
    <w:p w:rsidR="002A34BA" w:rsidRPr="002A34BA" w:rsidRDefault="002A34BA" w:rsidP="002A34BA"/>
    <w:p w:rsidR="002A34BA" w:rsidRPr="002A34BA" w:rsidRDefault="002A34BA" w:rsidP="002A34BA"/>
    <w:p w:rsidR="002A34BA" w:rsidRPr="002A34BA" w:rsidRDefault="002A34BA" w:rsidP="002A34BA"/>
    <w:p w:rsidR="002A34BA" w:rsidRPr="002A34BA" w:rsidRDefault="002A34BA" w:rsidP="002A34BA"/>
    <w:p w:rsidR="002A34BA" w:rsidRPr="002A34BA" w:rsidRDefault="002A34BA" w:rsidP="002A34BA"/>
    <w:p w:rsidR="002A34BA" w:rsidRPr="002A34BA" w:rsidRDefault="002A34BA" w:rsidP="002A34BA"/>
    <w:p w:rsidR="002A34BA" w:rsidRPr="002A34BA" w:rsidRDefault="002A34BA" w:rsidP="002A34BA">
      <w:pPr>
        <w:keepNext/>
        <w:keepLines/>
        <w:spacing w:before="40"/>
        <w:outlineLvl w:val="3"/>
        <w:rPr>
          <w:rFonts w:asciiTheme="majorHAnsi" w:eastAsiaTheme="majorEastAsia" w:hAnsiTheme="majorHAnsi" w:cstheme="majorBidi"/>
          <w:i/>
          <w:iCs/>
          <w:color w:val="2E74B5" w:themeColor="accent1" w:themeShade="BF"/>
        </w:rPr>
      </w:pPr>
      <w:r w:rsidRPr="002A34BA">
        <w:rPr>
          <w:rFonts w:asciiTheme="majorHAnsi" w:eastAsiaTheme="majorEastAsia" w:hAnsiTheme="majorHAnsi" w:cstheme="majorBidi"/>
          <w:i/>
          <w:iCs/>
          <w:color w:val="2E74B5" w:themeColor="accent1" w:themeShade="BF"/>
        </w:rPr>
        <w:t>Table 17. Hierarchal regression results</w:t>
      </w:r>
    </w:p>
    <w:tbl>
      <w:tblPr>
        <w:tblStyle w:val="GridTable4-Accent51"/>
        <w:tblW w:w="0" w:type="auto"/>
        <w:tblLook w:val="04A0" w:firstRow="1" w:lastRow="0" w:firstColumn="1" w:lastColumn="0" w:noHBand="0" w:noVBand="1"/>
      </w:tblPr>
      <w:tblGrid>
        <w:gridCol w:w="5130"/>
        <w:gridCol w:w="1170"/>
        <w:gridCol w:w="1530"/>
        <w:gridCol w:w="1520"/>
      </w:tblGrid>
      <w:tr w:rsidR="002A34BA" w:rsidRPr="002A34BA" w:rsidTr="00EE5A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tcPr>
          <w:p w:rsidR="002A34BA" w:rsidRPr="002A34BA" w:rsidRDefault="002A34BA" w:rsidP="002A34BA">
            <w:r w:rsidRPr="002A34BA">
              <w:t>Modeling QSR Stability (n=864)</w:t>
            </w:r>
          </w:p>
        </w:tc>
      </w:tr>
      <w:tr w:rsidR="002A34BA" w:rsidRPr="002A34BA" w:rsidTr="00EE5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shd w:val="clear" w:color="auto" w:fill="4472C4" w:themeFill="accent5"/>
          </w:tcPr>
          <w:p w:rsidR="002A34BA" w:rsidRPr="002A34BA" w:rsidRDefault="002A34BA" w:rsidP="002A34BA">
            <w:pPr>
              <w:jc w:val="center"/>
              <w:rPr>
                <w:b w:val="0"/>
                <w:color w:val="FFFFFF" w:themeColor="background1"/>
              </w:rPr>
            </w:pPr>
          </w:p>
        </w:tc>
        <w:tc>
          <w:tcPr>
            <w:tcW w:w="1170" w:type="dxa"/>
            <w:shd w:val="clear" w:color="auto" w:fill="4472C4" w:themeFill="accent5"/>
          </w:tcPr>
          <w:p w:rsidR="002A34BA" w:rsidRPr="002A34BA" w:rsidRDefault="002A34BA" w:rsidP="002A34BA">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2A34BA">
              <w:rPr>
                <w:b/>
                <w:color w:val="FFFFFF" w:themeColor="background1"/>
              </w:rPr>
              <w:t>Model 1</w:t>
            </w:r>
          </w:p>
        </w:tc>
        <w:tc>
          <w:tcPr>
            <w:tcW w:w="1530" w:type="dxa"/>
            <w:shd w:val="clear" w:color="auto" w:fill="4472C4" w:themeFill="accent5"/>
          </w:tcPr>
          <w:p w:rsidR="002A34BA" w:rsidRPr="002A34BA" w:rsidRDefault="002A34BA" w:rsidP="002A34BA">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2A34BA">
              <w:rPr>
                <w:b/>
                <w:color w:val="FFFFFF" w:themeColor="background1"/>
              </w:rPr>
              <w:t>Model 2</w:t>
            </w:r>
          </w:p>
        </w:tc>
        <w:tc>
          <w:tcPr>
            <w:tcW w:w="1520" w:type="dxa"/>
            <w:shd w:val="clear" w:color="auto" w:fill="4472C4" w:themeFill="accent5"/>
          </w:tcPr>
          <w:p w:rsidR="002A34BA" w:rsidRPr="002A34BA" w:rsidRDefault="002A34BA" w:rsidP="002A34BA">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2A34BA">
              <w:rPr>
                <w:b/>
                <w:color w:val="FFFFFF" w:themeColor="background1"/>
              </w:rPr>
              <w:t>Model 3</w:t>
            </w:r>
          </w:p>
        </w:tc>
      </w:tr>
      <w:tr w:rsidR="002A34BA" w:rsidRPr="002A34BA" w:rsidTr="00EE5A4D">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jc w:val="center"/>
              <w:rPr>
                <w:b w:val="0"/>
              </w:rPr>
            </w:pPr>
          </w:p>
        </w:tc>
        <w:tc>
          <w:tcPr>
            <w:tcW w:w="1170" w:type="dxa"/>
          </w:tcPr>
          <w:p w:rsidR="002A34BA" w:rsidRPr="002A34BA" w:rsidRDefault="002A34BA" w:rsidP="002A34BA">
            <w:pPr>
              <w:jc w:val="center"/>
              <w:cnfStyle w:val="000000000000" w:firstRow="0" w:lastRow="0" w:firstColumn="0" w:lastColumn="0" w:oddVBand="0" w:evenVBand="0" w:oddHBand="0" w:evenHBand="0" w:firstRowFirstColumn="0" w:firstRowLastColumn="0" w:lastRowFirstColumn="0" w:lastRowLastColumn="0"/>
              <w:rPr>
                <w:b/>
              </w:rPr>
            </w:pPr>
            <w:r w:rsidRPr="002A34BA">
              <w:rPr>
                <w:rFonts w:cstheme="minorHAnsi"/>
                <w:b/>
              </w:rPr>
              <w:t>β</w:t>
            </w:r>
          </w:p>
        </w:tc>
        <w:tc>
          <w:tcPr>
            <w:tcW w:w="1530" w:type="dxa"/>
          </w:tcPr>
          <w:p w:rsidR="002A34BA" w:rsidRPr="002A34BA" w:rsidRDefault="002A34BA" w:rsidP="002A34BA">
            <w:pPr>
              <w:jc w:val="center"/>
              <w:cnfStyle w:val="000000000000" w:firstRow="0" w:lastRow="0" w:firstColumn="0" w:lastColumn="0" w:oddVBand="0" w:evenVBand="0" w:oddHBand="0" w:evenHBand="0" w:firstRowFirstColumn="0" w:firstRowLastColumn="0" w:lastRowFirstColumn="0" w:lastRowLastColumn="0"/>
              <w:rPr>
                <w:b/>
              </w:rPr>
            </w:pPr>
            <w:r w:rsidRPr="002A34BA">
              <w:rPr>
                <w:rFonts w:cstheme="minorHAnsi"/>
                <w:b/>
              </w:rPr>
              <w:t>β</w:t>
            </w:r>
          </w:p>
        </w:tc>
        <w:tc>
          <w:tcPr>
            <w:tcW w:w="1520" w:type="dxa"/>
          </w:tcPr>
          <w:p w:rsidR="002A34BA" w:rsidRPr="002A34BA" w:rsidRDefault="002A34BA" w:rsidP="002A34BA">
            <w:pPr>
              <w:jc w:val="center"/>
              <w:cnfStyle w:val="000000000000" w:firstRow="0" w:lastRow="0" w:firstColumn="0" w:lastColumn="0" w:oddVBand="0" w:evenVBand="0" w:oddHBand="0" w:evenHBand="0" w:firstRowFirstColumn="0" w:firstRowLastColumn="0" w:lastRowFirstColumn="0" w:lastRowLastColumn="0"/>
              <w:rPr>
                <w:b/>
              </w:rPr>
            </w:pPr>
            <w:r w:rsidRPr="002A34BA">
              <w:rPr>
                <w:rFonts w:cstheme="minorHAnsi"/>
                <w:b/>
              </w:rPr>
              <w:t>β</w:t>
            </w:r>
          </w:p>
        </w:tc>
      </w:tr>
      <w:tr w:rsidR="002A34BA" w:rsidRPr="002A34BA" w:rsidTr="00EE5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rPr>
                <w:b w:val="0"/>
              </w:rPr>
            </w:pPr>
            <w:r w:rsidRPr="002A34BA">
              <w:rPr>
                <w:b w:val="0"/>
              </w:rPr>
              <w:t>Child stress</w:t>
            </w:r>
          </w:p>
        </w:tc>
        <w:tc>
          <w:tcPr>
            <w:tcW w:w="117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-.135*</w:t>
            </w:r>
          </w:p>
        </w:tc>
        <w:tc>
          <w:tcPr>
            <w:tcW w:w="153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-.134*</w:t>
            </w:r>
          </w:p>
        </w:tc>
        <w:tc>
          <w:tcPr>
            <w:tcW w:w="152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-.136*</w:t>
            </w:r>
          </w:p>
        </w:tc>
      </w:tr>
      <w:tr w:rsidR="002A34BA" w:rsidRPr="002A34BA" w:rsidTr="00EE5A4D">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rPr>
                <w:b w:val="0"/>
              </w:rPr>
            </w:pPr>
            <w:r w:rsidRPr="002A34BA">
              <w:rPr>
                <w:b w:val="0"/>
              </w:rPr>
              <w:t>Caregiver stress</w:t>
            </w:r>
          </w:p>
        </w:tc>
        <w:tc>
          <w:tcPr>
            <w:tcW w:w="117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-.047*</w:t>
            </w:r>
          </w:p>
        </w:tc>
        <w:tc>
          <w:tcPr>
            <w:tcW w:w="153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-.046*</w:t>
            </w:r>
          </w:p>
        </w:tc>
        <w:tc>
          <w:tcPr>
            <w:tcW w:w="152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-.046*</w:t>
            </w:r>
          </w:p>
        </w:tc>
      </w:tr>
      <w:tr w:rsidR="002A34BA" w:rsidRPr="002A34BA" w:rsidTr="00EE5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rPr>
                <w:b w:val="0"/>
              </w:rPr>
            </w:pPr>
            <w:r w:rsidRPr="002A34BA">
              <w:rPr>
                <w:b w:val="0"/>
              </w:rPr>
              <w:t>Placements</w:t>
            </w:r>
          </w:p>
        </w:tc>
        <w:tc>
          <w:tcPr>
            <w:tcW w:w="117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-.368*</w:t>
            </w:r>
          </w:p>
        </w:tc>
        <w:tc>
          <w:tcPr>
            <w:tcW w:w="153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-.346*</w:t>
            </w:r>
          </w:p>
        </w:tc>
        <w:tc>
          <w:tcPr>
            <w:tcW w:w="152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-.350*</w:t>
            </w:r>
          </w:p>
        </w:tc>
      </w:tr>
      <w:tr w:rsidR="002A34BA" w:rsidRPr="002A34BA" w:rsidTr="00EE5A4D">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rPr>
                <w:b w:val="0"/>
              </w:rPr>
            </w:pPr>
            <w:r w:rsidRPr="002A34BA">
              <w:rPr>
                <w:b w:val="0"/>
              </w:rPr>
              <w:t>Relative plan</w:t>
            </w:r>
          </w:p>
        </w:tc>
        <w:tc>
          <w:tcPr>
            <w:tcW w:w="117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-.338</w:t>
            </w:r>
          </w:p>
        </w:tc>
        <w:tc>
          <w:tcPr>
            <w:tcW w:w="153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-.329</w:t>
            </w:r>
          </w:p>
        </w:tc>
        <w:tc>
          <w:tcPr>
            <w:tcW w:w="152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-.321</w:t>
            </w:r>
          </w:p>
        </w:tc>
      </w:tr>
      <w:tr w:rsidR="002A34BA" w:rsidRPr="002A34BA" w:rsidTr="00EE5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rPr>
                <w:b w:val="0"/>
              </w:rPr>
            </w:pPr>
            <w:r w:rsidRPr="002A34BA">
              <w:rPr>
                <w:b w:val="0"/>
              </w:rPr>
              <w:t>Parent pan</w:t>
            </w:r>
          </w:p>
        </w:tc>
        <w:tc>
          <w:tcPr>
            <w:tcW w:w="117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-.958*</w:t>
            </w:r>
          </w:p>
        </w:tc>
        <w:tc>
          <w:tcPr>
            <w:tcW w:w="153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-.963*</w:t>
            </w:r>
          </w:p>
        </w:tc>
        <w:tc>
          <w:tcPr>
            <w:tcW w:w="152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-.952*</w:t>
            </w:r>
          </w:p>
        </w:tc>
      </w:tr>
      <w:tr w:rsidR="002A34BA" w:rsidRPr="002A34BA" w:rsidTr="00EE5A4D">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rPr>
                <w:b w:val="0"/>
              </w:rPr>
            </w:pPr>
            <w:r w:rsidRPr="002A34BA">
              <w:rPr>
                <w:b w:val="0"/>
              </w:rPr>
              <w:t>Round number</w:t>
            </w:r>
          </w:p>
        </w:tc>
        <w:tc>
          <w:tcPr>
            <w:tcW w:w="117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-.025</w:t>
            </w:r>
          </w:p>
        </w:tc>
        <w:tc>
          <w:tcPr>
            <w:tcW w:w="153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-.019</w:t>
            </w:r>
          </w:p>
        </w:tc>
        <w:tc>
          <w:tcPr>
            <w:tcW w:w="152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-.033</w:t>
            </w:r>
          </w:p>
        </w:tc>
      </w:tr>
      <w:tr w:rsidR="002A34BA" w:rsidRPr="002A34BA" w:rsidTr="00EE5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rPr>
                <w:b w:val="0"/>
              </w:rPr>
            </w:pPr>
            <w:r w:rsidRPr="002A34BA">
              <w:rPr>
                <w:b w:val="0"/>
              </w:rPr>
              <w:t>Concrete services</w:t>
            </w:r>
          </w:p>
        </w:tc>
        <w:tc>
          <w:tcPr>
            <w:tcW w:w="117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p>
        </w:tc>
        <w:tc>
          <w:tcPr>
            <w:tcW w:w="153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 xml:space="preserve"> .035</w:t>
            </w:r>
          </w:p>
        </w:tc>
        <w:tc>
          <w:tcPr>
            <w:tcW w:w="152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-.340</w:t>
            </w:r>
          </w:p>
        </w:tc>
      </w:tr>
      <w:tr w:rsidR="002A34BA" w:rsidRPr="002A34BA" w:rsidTr="00EE5A4D">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rPr>
                <w:b w:val="0"/>
              </w:rPr>
            </w:pPr>
            <w:r w:rsidRPr="002A34BA">
              <w:rPr>
                <w:b w:val="0"/>
              </w:rPr>
              <w:t>Currently placed out of home</w:t>
            </w:r>
          </w:p>
        </w:tc>
        <w:tc>
          <w:tcPr>
            <w:tcW w:w="117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p>
        </w:tc>
        <w:tc>
          <w:tcPr>
            <w:tcW w:w="153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-.116</w:t>
            </w:r>
          </w:p>
        </w:tc>
        <w:tc>
          <w:tcPr>
            <w:tcW w:w="152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-.276</w:t>
            </w:r>
          </w:p>
        </w:tc>
      </w:tr>
      <w:tr w:rsidR="002A34BA" w:rsidRPr="002A34BA" w:rsidTr="00EE5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rPr>
                <w:b w:val="0"/>
              </w:rPr>
            </w:pPr>
            <w:r w:rsidRPr="002A34BA">
              <w:rPr>
                <w:b w:val="0"/>
              </w:rPr>
              <w:t xml:space="preserve">Interaction: Concrete services &amp; out of home </w:t>
            </w:r>
          </w:p>
        </w:tc>
        <w:tc>
          <w:tcPr>
            <w:tcW w:w="117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p>
        </w:tc>
        <w:tc>
          <w:tcPr>
            <w:tcW w:w="153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p>
        </w:tc>
        <w:tc>
          <w:tcPr>
            <w:tcW w:w="152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 xml:space="preserve"> .432*</w:t>
            </w:r>
          </w:p>
        </w:tc>
      </w:tr>
      <w:tr w:rsidR="002A34BA" w:rsidRPr="002A34BA" w:rsidTr="00EE5A4D">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rPr>
                <w:b w:val="0"/>
              </w:rPr>
            </w:pPr>
          </w:p>
        </w:tc>
        <w:tc>
          <w:tcPr>
            <w:tcW w:w="117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p>
        </w:tc>
        <w:tc>
          <w:tcPr>
            <w:tcW w:w="153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p>
        </w:tc>
        <w:tc>
          <w:tcPr>
            <w:tcW w:w="152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p>
        </w:tc>
      </w:tr>
      <w:tr w:rsidR="002A34BA" w:rsidRPr="002A34BA" w:rsidTr="00EE5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rPr>
                <w:b w:val="0"/>
              </w:rPr>
            </w:pPr>
            <w:r w:rsidRPr="002A34BA">
              <w:rPr>
                <w:rFonts w:cstheme="minorHAnsi"/>
                <w:b w:val="0"/>
              </w:rPr>
              <w:t>Δ</w:t>
            </w:r>
            <w:r w:rsidRPr="002A34BA">
              <w:rPr>
                <w:b w:val="0"/>
              </w:rPr>
              <w:t>F</w:t>
            </w:r>
          </w:p>
        </w:tc>
        <w:tc>
          <w:tcPr>
            <w:tcW w:w="117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p>
        </w:tc>
        <w:tc>
          <w:tcPr>
            <w:tcW w:w="153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 xml:space="preserve">   .667</w:t>
            </w:r>
          </w:p>
        </w:tc>
        <w:tc>
          <w:tcPr>
            <w:tcW w:w="152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 xml:space="preserve">  4.33*</w:t>
            </w:r>
          </w:p>
        </w:tc>
      </w:tr>
      <w:tr w:rsidR="002A34BA" w:rsidRPr="002A34BA" w:rsidTr="00EE5A4D">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rPr>
                <w:b w:val="0"/>
              </w:rPr>
            </w:pPr>
            <w:r w:rsidRPr="002A34BA">
              <w:rPr>
                <w:b w:val="0"/>
              </w:rPr>
              <w:t>F</w:t>
            </w:r>
          </w:p>
        </w:tc>
        <w:tc>
          <w:tcPr>
            <w:tcW w:w="117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29.61*</w:t>
            </w:r>
          </w:p>
        </w:tc>
        <w:tc>
          <w:tcPr>
            <w:tcW w:w="153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22.35*</w:t>
            </w:r>
          </w:p>
        </w:tc>
        <w:tc>
          <w:tcPr>
            <w:tcW w:w="152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20.44*</w:t>
            </w:r>
          </w:p>
        </w:tc>
      </w:tr>
      <w:tr w:rsidR="002A34BA" w:rsidRPr="002A34BA" w:rsidTr="00EE5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rPr>
                <w:b w:val="0"/>
              </w:rPr>
            </w:pPr>
            <w:r w:rsidRPr="002A34BA">
              <w:rPr>
                <w:b w:val="0"/>
              </w:rPr>
              <w:t>Residual error</w:t>
            </w:r>
          </w:p>
        </w:tc>
        <w:tc>
          <w:tcPr>
            <w:tcW w:w="117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 xml:space="preserve">  1.00</w:t>
            </w:r>
          </w:p>
        </w:tc>
        <w:tc>
          <w:tcPr>
            <w:tcW w:w="153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 xml:space="preserve">  1.00</w:t>
            </w:r>
          </w:p>
        </w:tc>
        <w:tc>
          <w:tcPr>
            <w:tcW w:w="152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 xml:space="preserve">  1.00</w:t>
            </w:r>
          </w:p>
        </w:tc>
      </w:tr>
      <w:tr w:rsidR="002A34BA" w:rsidRPr="002A34BA" w:rsidTr="00EE5A4D">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rPr>
                <w:b w:val="0"/>
              </w:rPr>
            </w:pPr>
            <w:r w:rsidRPr="002A34BA">
              <w:rPr>
                <w:b w:val="0"/>
              </w:rPr>
              <w:t>Adj R</w:t>
            </w:r>
            <w:r w:rsidRPr="002A34BA">
              <w:rPr>
                <w:b w:val="0"/>
                <w:vertAlign w:val="superscript"/>
              </w:rPr>
              <w:t>2</w:t>
            </w:r>
          </w:p>
        </w:tc>
        <w:tc>
          <w:tcPr>
            <w:tcW w:w="117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 xml:space="preserve">  .165</w:t>
            </w:r>
          </w:p>
        </w:tc>
        <w:tc>
          <w:tcPr>
            <w:tcW w:w="153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 xml:space="preserve">    .165</w:t>
            </w:r>
          </w:p>
        </w:tc>
        <w:tc>
          <w:tcPr>
            <w:tcW w:w="1520" w:type="dxa"/>
          </w:tcPr>
          <w:p w:rsidR="002A34BA" w:rsidRPr="002A34BA" w:rsidRDefault="002A34BA" w:rsidP="002A34BA">
            <w:pPr>
              <w:cnfStyle w:val="000000000000" w:firstRow="0" w:lastRow="0" w:firstColumn="0" w:lastColumn="0" w:oddVBand="0" w:evenVBand="0" w:oddHBand="0" w:evenHBand="0" w:firstRowFirstColumn="0" w:firstRowLastColumn="0" w:lastRowFirstColumn="0" w:lastRowLastColumn="0"/>
            </w:pPr>
            <w:r w:rsidRPr="002A34BA">
              <w:t xml:space="preserve">   .168</w:t>
            </w:r>
          </w:p>
        </w:tc>
      </w:tr>
      <w:tr w:rsidR="002A34BA" w:rsidRPr="002A34BA" w:rsidTr="00EE5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rsidR="002A34BA" w:rsidRPr="002A34BA" w:rsidRDefault="002A34BA" w:rsidP="002A34BA">
            <w:pPr>
              <w:rPr>
                <w:b w:val="0"/>
              </w:rPr>
            </w:pPr>
            <w:r w:rsidRPr="002A34BA">
              <w:rPr>
                <w:b w:val="0"/>
              </w:rPr>
              <w:t>Cohen’s D</w:t>
            </w:r>
          </w:p>
        </w:tc>
        <w:tc>
          <w:tcPr>
            <w:tcW w:w="117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p>
        </w:tc>
        <w:tc>
          <w:tcPr>
            <w:tcW w:w="153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p>
        </w:tc>
        <w:tc>
          <w:tcPr>
            <w:tcW w:w="1520" w:type="dxa"/>
          </w:tcPr>
          <w:p w:rsidR="002A34BA" w:rsidRPr="002A34BA" w:rsidRDefault="002A34BA" w:rsidP="002A34BA">
            <w:pPr>
              <w:cnfStyle w:val="000000100000" w:firstRow="0" w:lastRow="0" w:firstColumn="0" w:lastColumn="0" w:oddVBand="0" w:evenVBand="0" w:oddHBand="1" w:evenHBand="0" w:firstRowFirstColumn="0" w:firstRowLastColumn="0" w:lastRowFirstColumn="0" w:lastRowLastColumn="0"/>
            </w:pPr>
            <w:r w:rsidRPr="002A34BA">
              <w:t>.3094</w:t>
            </w:r>
          </w:p>
        </w:tc>
      </w:tr>
      <w:tr w:rsidR="002A34BA" w:rsidRPr="002A34BA" w:rsidTr="00EE5A4D">
        <w:tc>
          <w:tcPr>
            <w:cnfStyle w:val="001000000000" w:firstRow="0" w:lastRow="0" w:firstColumn="1" w:lastColumn="0" w:oddVBand="0" w:evenVBand="0" w:oddHBand="0" w:evenHBand="0" w:firstRowFirstColumn="0" w:firstRowLastColumn="0" w:lastRowFirstColumn="0" w:lastRowLastColumn="0"/>
            <w:tcW w:w="9350" w:type="dxa"/>
            <w:gridSpan w:val="4"/>
          </w:tcPr>
          <w:p w:rsidR="002A34BA" w:rsidRPr="002A34BA" w:rsidRDefault="002A34BA" w:rsidP="002A34BA">
            <w:pPr>
              <w:rPr>
                <w:b w:val="0"/>
              </w:rPr>
            </w:pPr>
            <w:r w:rsidRPr="002A34BA">
              <w:rPr>
                <w:b w:val="0"/>
              </w:rPr>
              <w:t>*FDR corrected p &lt;.05</w:t>
            </w:r>
          </w:p>
        </w:tc>
      </w:tr>
    </w:tbl>
    <w:p w:rsidR="002A34BA" w:rsidRPr="002A34BA" w:rsidRDefault="002A34BA" w:rsidP="002A34BA"/>
    <w:p w:rsidR="002A34BA" w:rsidRPr="002A34BA" w:rsidRDefault="002A34BA" w:rsidP="002A34BA">
      <w:pPr>
        <w:rPr>
          <w:color w:val="1F4E79"/>
        </w:rPr>
      </w:pPr>
      <w:r w:rsidRPr="002A34BA">
        <w:rPr>
          <w:b/>
          <w:bCs/>
          <w:color w:val="1F4E79"/>
        </w:rPr>
        <w:t>Conclusion</w:t>
      </w:r>
      <w:r w:rsidRPr="002A34BA">
        <w:rPr>
          <w:color w:val="1F4E79"/>
        </w:rPr>
        <w:t xml:space="preserve"> </w:t>
      </w:r>
      <w:r w:rsidRPr="002A34BA">
        <w:rPr>
          <w:b/>
          <w:bCs/>
          <w:color w:val="1F4E79"/>
        </w:rPr>
        <w:t>and</w:t>
      </w:r>
      <w:r w:rsidRPr="002A34BA">
        <w:rPr>
          <w:color w:val="1F4E79"/>
        </w:rPr>
        <w:t xml:space="preserve"> </w:t>
      </w:r>
      <w:r w:rsidRPr="002A34BA">
        <w:rPr>
          <w:b/>
          <w:bCs/>
          <w:color w:val="1F4E79"/>
        </w:rPr>
        <w:t>Take Home Message</w:t>
      </w:r>
      <w:r w:rsidRPr="002A34BA">
        <w:rPr>
          <w:color w:val="1F4E79"/>
        </w:rPr>
        <w:t xml:space="preserve">: </w:t>
      </w:r>
    </w:p>
    <w:p w:rsidR="003A3B11" w:rsidRDefault="002A34BA" w:rsidP="002A34BA">
      <w:pPr>
        <w:rPr>
          <w:color w:val="2E74B5" w:themeColor="accent1" w:themeShade="BF"/>
          <w:sz w:val="32"/>
          <w:szCs w:val="32"/>
        </w:rPr>
      </w:pPr>
      <w:r w:rsidRPr="002A34BA">
        <w:t>The present analysis suggests that the use of concrete services in children who are in unstable placements improves placement stability. This is a necessary condition for a child’s wellbeing and permanency. The use of concrete services in children who are in out of home placements shows promise for improving placement stability.</w:t>
      </w:r>
      <w:r w:rsidR="003A3B11">
        <w:br w:type="page"/>
      </w:r>
    </w:p>
    <w:p w:rsidR="002D42B2" w:rsidRPr="00320E1E" w:rsidRDefault="002D42B2" w:rsidP="002D42B2">
      <w:pPr>
        <w:pStyle w:val="Heading1"/>
      </w:pPr>
      <w:bookmarkStart w:id="12" w:name="_Toc43887879"/>
      <w:r w:rsidRPr="00440792">
        <w:t>Process</w:t>
      </w:r>
      <w:r w:rsidR="00515259" w:rsidRPr="00440792">
        <w:t xml:space="preserve"> Study</w:t>
      </w:r>
      <w:bookmarkEnd w:id="12"/>
    </w:p>
    <w:p w:rsidR="00B45C01" w:rsidRDefault="00820046" w:rsidP="0018763D">
      <w:pPr>
        <w:ind w:firstLine="720"/>
      </w:pPr>
      <w:r w:rsidRPr="00440792">
        <w:t>The process study comprises the</w:t>
      </w:r>
      <w:r w:rsidR="00492974" w:rsidRPr="00440792">
        <w:t xml:space="preserve"> 2012 </w:t>
      </w:r>
      <w:r w:rsidR="00A5038C">
        <w:t>Waiver</w:t>
      </w:r>
      <w:r w:rsidR="00492974" w:rsidRPr="00440792">
        <w:t xml:space="preserve"> story and changing </w:t>
      </w:r>
      <w:r w:rsidRPr="00440792">
        <w:t xml:space="preserve">perceptions of key stakeholders within DCS over the demonstration period.  </w:t>
      </w:r>
      <w:r w:rsidR="00412B9D" w:rsidRPr="00440792">
        <w:t xml:space="preserve">The </w:t>
      </w:r>
      <w:r w:rsidR="00A5038C">
        <w:t>Waiver</w:t>
      </w:r>
      <w:r w:rsidR="00412B9D" w:rsidRPr="00440792">
        <w:t xml:space="preserve"> story consists of the mid-</w:t>
      </w:r>
      <w:r w:rsidR="00492974" w:rsidRPr="00440792">
        <w:t>course</w:t>
      </w:r>
      <w:r w:rsidR="00412B9D" w:rsidRPr="00440792">
        <w:t xml:space="preserve"> correction and establishment and expansion of CQI</w:t>
      </w:r>
      <w:r w:rsidR="00064B95">
        <w:t>. The investment in CQI and data driven policies continued at DCS during the demonstration and extension period</w:t>
      </w:r>
      <w:r w:rsidRPr="00440792">
        <w:t xml:space="preserve">.  </w:t>
      </w:r>
    </w:p>
    <w:p w:rsidR="00736D8B" w:rsidRPr="0027731D" w:rsidRDefault="00B45C01" w:rsidP="00064B95">
      <w:pPr>
        <w:ind w:firstLine="720"/>
        <w:rPr>
          <w:rFonts w:cstheme="minorHAnsi"/>
          <w:szCs w:val="20"/>
        </w:rPr>
      </w:pPr>
      <w:r>
        <w:t>During</w:t>
      </w:r>
      <w:r w:rsidR="001028B1">
        <w:t xml:space="preserve"> the extension period, DCS had multiple changes in leadership roles including the director, chief of staff, evaluation, </w:t>
      </w:r>
      <w:r w:rsidR="00B5607B">
        <w:t xml:space="preserve">services, </w:t>
      </w:r>
      <w:r w:rsidR="001028B1">
        <w:t>and the field.</w:t>
      </w:r>
      <w:r w:rsidR="00534946">
        <w:t xml:space="preserve">  </w:t>
      </w:r>
      <w:r w:rsidR="00736D8B">
        <w:rPr>
          <w:rFonts w:cstheme="minorHAnsi"/>
        </w:rPr>
        <w:t xml:space="preserve">Eric Miller became the new chief of staff in late 2017.  On December 28, 2017 the governor of Indiana announced the new director of DCS, Terry Stigdon. </w:t>
      </w:r>
      <w:r w:rsidR="00736D8B" w:rsidRPr="002E7BC1">
        <w:rPr>
          <w:rFonts w:cstheme="minorHAnsi"/>
        </w:rPr>
        <w:t>In February 2018 the current Deputy Director of Field Operations r</w:t>
      </w:r>
      <w:r w:rsidR="00736D8B">
        <w:rPr>
          <w:rFonts w:cstheme="minorHAnsi"/>
        </w:rPr>
        <w:t>etired</w:t>
      </w:r>
      <w:r w:rsidR="00736D8B" w:rsidRPr="002E7BC1">
        <w:rPr>
          <w:rFonts w:cstheme="minorHAnsi"/>
        </w:rPr>
        <w:t xml:space="preserve">.  </w:t>
      </w:r>
      <w:r w:rsidR="00736D8B">
        <w:rPr>
          <w:rFonts w:cstheme="minorHAnsi"/>
        </w:rPr>
        <w:t>Sarah Sailors was named the new Deputy Director of Field Operations in April 2018.</w:t>
      </w:r>
      <w:r w:rsidR="00871B07">
        <w:rPr>
          <w:rFonts w:cstheme="minorHAnsi"/>
        </w:rPr>
        <w:t xml:space="preserve"> The field operations added two new Assistant Deputy Directors of Field Operation</w:t>
      </w:r>
      <w:r w:rsidR="00736D8B">
        <w:rPr>
          <w:rFonts w:cstheme="minorHAnsi"/>
        </w:rPr>
        <w:t xml:space="preserve"> </w:t>
      </w:r>
      <w:r w:rsidR="00871B07">
        <w:rPr>
          <w:rFonts w:cstheme="minorHAnsi"/>
        </w:rPr>
        <w:t>to make a total of four positions statewide.</w:t>
      </w:r>
    </w:p>
    <w:p w:rsidR="0018763D" w:rsidRDefault="00B5607B" w:rsidP="0018763D">
      <w:pPr>
        <w:ind w:firstLine="720"/>
      </w:pPr>
      <w:r>
        <w:t xml:space="preserve">Indiana recently launched </w:t>
      </w:r>
      <w:r w:rsidR="0018763D">
        <w:t>a request for proposals (RFP) entitled: “</w:t>
      </w:r>
      <w:r w:rsidR="0018763D" w:rsidRPr="0018763D">
        <w:t>Community-Based Family Preservation Services</w:t>
      </w:r>
      <w:r w:rsidR="0018763D">
        <w:t>.”  This RFP</w:t>
      </w:r>
      <w:r w:rsidR="0018763D" w:rsidRPr="0018763D">
        <w:t xml:space="preserve"> </w:t>
      </w:r>
      <w:r w:rsidR="0018763D">
        <w:t xml:space="preserve">aims to select multiple Community-Based Family Preservation Services providers that can satisfy DCS’s need for the provision of Family Preservation Services in the 18 DCS Regions and the corresponding local offices in the State. Community-Based Family Preservation Services are services provided to families who have had a substantiated incident of abuse and/or neglect, but, where DCS believes the child(ren) can remain in the home with the introduction of appropriate services to the entire family. </w:t>
      </w:r>
    </w:p>
    <w:p w:rsidR="003224B6" w:rsidRDefault="003224B6" w:rsidP="0018763D">
      <w:pPr>
        <w:ind w:firstLine="720"/>
      </w:pPr>
      <w:r>
        <w:t xml:space="preserve">Family Preservation Services include assessment of child/parent/family resulting in an appropriate service/treatment plan that is based on the assessed need. Family Preservation Services are homebased and monitor and address any safety concerns for the child(ren). Any interventions are strength-based and family-driven with the family actively participating in identifying the focus of services. </w:t>
      </w:r>
    </w:p>
    <w:p w:rsidR="003224B6" w:rsidRDefault="003224B6" w:rsidP="0018763D">
      <w:pPr>
        <w:ind w:firstLine="720"/>
      </w:pPr>
      <w:r>
        <w:t xml:space="preserve">Family Preservation Services are all inclusive and must aim to preserve the family by addressing any present safety and supervision concerns. All family members (provided it is age-appropriate for children to do so) should be involved in treatment planning and establishment of goals. The overarching goal for these services is to preserve families by addressing and resolving identified safety and supervision concerns. </w:t>
      </w:r>
    </w:p>
    <w:p w:rsidR="003224B6" w:rsidRDefault="003224B6" w:rsidP="0018763D">
      <w:pPr>
        <w:ind w:firstLine="720"/>
      </w:pPr>
      <w:r>
        <w:t>DCS must also be involved in the creation of treatment plans and safety plans. It is expected that Family Preservation Services providers will be actively engaged in the DCS Practice Model (https://www.in.gov/dcs/3208.htm) and attend scheduled Child and Family Team Meetings (CFTMs) whenever requested. Through the teaming process DCS will participate in the continuous development of family goals.</w:t>
      </w:r>
    </w:p>
    <w:p w:rsidR="003224B6" w:rsidRPr="00440792" w:rsidRDefault="003224B6" w:rsidP="0018763D">
      <w:pPr>
        <w:ind w:firstLine="720"/>
      </w:pPr>
      <w:r>
        <w:t>At the direction of the Indiana State Legislature, Family Preservation Services will move to a per</w:t>
      </w:r>
      <w:r w:rsidR="001E19DD">
        <w:t>-</w:t>
      </w:r>
      <w:r>
        <w:t>diem model for reimbursement with the execution of this Contract. Separately from this mandate, DCS is also requiring that evidence-based models be used in the provision of Family Preservation Services through this Contract. To classify as evidence-based, a practice must be classified at a minimum as a “Promising Practice” on the California Evidence-Based Clearinghouse (CEBC) (http://www.cebc4cw.org/). Models that are classified on the CEBC as “Supported” or “Well-Supported” may also be used. No practice that is classified as “Fails to Demonstrate Effect” or “Concerning Practice”, or that is not listed at all on the CEBC may be utilized except for concrete assistance. Examples of concrete assistance needs include: overdue rent when the family is facing an eviction or other loss of housing, past-due utilities that may result in electricity and/or gas to the home being suspended creating an unsafe or unsuitable living condition for the child(ren), and food or clothing insecurity.</w:t>
      </w:r>
    </w:p>
    <w:p w:rsidR="003F06B3" w:rsidRDefault="003F06B3" w:rsidP="003F06B3"/>
    <w:p w:rsidR="00BB1F96" w:rsidRDefault="00BB1F96" w:rsidP="005F131C">
      <w:pPr>
        <w:ind w:firstLine="720"/>
      </w:pPr>
      <w:r w:rsidRPr="00440792">
        <w:t xml:space="preserve">This section will provide </w:t>
      </w:r>
      <w:r w:rsidR="003F06B3">
        <w:t>studies on the changes in concrete service spending by Regions, the Regional Manager interviews from 2019, a comparison of Regional Manager interviews over all five rounds, and the Family Case Manager (FCM) survey results</w:t>
      </w:r>
      <w:r w:rsidRPr="00440792">
        <w:t>.</w:t>
      </w:r>
      <w:r w:rsidR="003F06B3">
        <w:t xml:space="preserve">  FCM analyses include safety, permanency, and well-being of the most recently opened and most recently closed cases, FCM understanding of FFPSA, FCM perceptions of the service array, perception of concrete service use, determinants of intent to stay in child welfare, </w:t>
      </w:r>
      <w:r w:rsidR="009E666D">
        <w:t>evaluation of the fidelity of child family team meetings, and how that fidelity impacts child well-being.</w:t>
      </w:r>
    </w:p>
    <w:p w:rsidR="00BB1F96" w:rsidRPr="00440792" w:rsidRDefault="00BB1F96" w:rsidP="00BB1F96"/>
    <w:p w:rsidR="002D42B2" w:rsidRPr="00440792" w:rsidRDefault="00A469E3" w:rsidP="002D42B2">
      <w:pPr>
        <w:pStyle w:val="Heading3"/>
      </w:pPr>
      <w:r>
        <w:t>Indiana’s Continued Investment in Innovation</w:t>
      </w:r>
    </w:p>
    <w:p w:rsidR="00A469E3" w:rsidRDefault="00BB1F96" w:rsidP="00BB1F96">
      <w:r>
        <w:t>During the 2012 Waiver</w:t>
      </w:r>
      <w:r w:rsidR="00A469E3">
        <w:t>, Indiana made a large investment</w:t>
      </w:r>
      <w:r>
        <w:t xml:space="preserve"> in concrete services as described in our previous Final Report.  </w:t>
      </w:r>
      <w:r w:rsidR="00A469E3">
        <w:t>Since that report, Indiana</w:t>
      </w:r>
      <w:r>
        <w:t xml:space="preserve"> is particularly interested in how those investments have affected safety, permanency, and well-being of the children in </w:t>
      </w:r>
      <w:r w:rsidRPr="00B60D3C">
        <w:t xml:space="preserve">DCS. Due to the nature of concrete service spending, </w:t>
      </w:r>
      <w:r w:rsidR="00406691" w:rsidRPr="00286DF9">
        <w:t>DCS intends to design and implement an evaluation plan that will meet the rigor required by the</w:t>
      </w:r>
      <w:r w:rsidR="00A469E3" w:rsidRPr="00B60D3C">
        <w:t xml:space="preserve"> IV-E Prevention Services Clearinghouse</w:t>
      </w:r>
      <w:r w:rsidR="00406691" w:rsidRPr="00286DF9">
        <w:t>. Based on prior IV-E Waiver evaluation findings, DCS intends to further support concrete services and supports to keep children in their home of origin and reduce entry in out of home care.</w:t>
      </w:r>
      <w:r w:rsidR="00A469E3" w:rsidRPr="00B60D3C">
        <w:t xml:space="preserve"> It is important to understand and quantify the</w:t>
      </w:r>
      <w:r w:rsidR="00A469E3">
        <w:t xml:space="preserve"> impact of concrete service usage to prevent foster care placements, decrease the time to permanency, support children’s well-being, and provide supports for alternative placements.</w:t>
      </w:r>
    </w:p>
    <w:p w:rsidR="00A469E3" w:rsidRPr="00440792" w:rsidRDefault="00A469E3" w:rsidP="00BB1F96"/>
    <w:p w:rsidR="002D42B2" w:rsidRPr="00440792" w:rsidRDefault="002D42B2" w:rsidP="002D42B2">
      <w:pPr>
        <w:pStyle w:val="Heading3"/>
      </w:pPr>
      <w:bookmarkStart w:id="13" w:name="_Toc418840270"/>
      <w:r w:rsidRPr="00440792">
        <w:t>Organizing CQI in Practice</w:t>
      </w:r>
      <w:bookmarkEnd w:id="13"/>
    </w:p>
    <w:p w:rsidR="002D42B2" w:rsidRPr="00440792" w:rsidRDefault="002D42B2" w:rsidP="003F06B3">
      <w:r w:rsidRPr="00440792">
        <w:t xml:space="preserve">DCS and the IU Evaluation Team have conceptualized how CQI will be organized and executed within the agency.  This takes a great deal of commitment from all parts of the Executive Team.  The Central CQI Team </w:t>
      </w:r>
      <w:r w:rsidR="00064B95">
        <w:t>comprises</w:t>
      </w:r>
      <w:r w:rsidRPr="00440792">
        <w:t xml:space="preserve"> of key Executive staff representing all areas of the Department from field to fiscal staff.  This Central CQI Team meets bi-weekly for at least two hours per meeting.  Up to this point, the primary goal of these meetings has been to document CQI initiatives and opportunities for each of the objectives listed in the DCS Child and Family Services Plan.  All work completed or initiated for each objective and intervention, as well as responsible staff for that objective or intervention has been documented.  For objectives and interventions that have not yet been initiated, the Central CQI Team is responsible for creating a priority level and time</w:t>
      </w:r>
      <w:r w:rsidR="00EB064D" w:rsidRPr="00440792">
        <w:t>t</w:t>
      </w:r>
      <w:r w:rsidR="00284DBF" w:rsidRPr="00440792">
        <w:t>able</w:t>
      </w:r>
      <w:r w:rsidRPr="00440792">
        <w:t xml:space="preserve"> so that the objective or intervention is completed within the five-year period.  The Central CQI Team desires a two-way exchange, whereby CQI needs and efforts are brought from the field to the Central CQI Team, and decisions and efforts at the Central CQI level are funneled down to the field.  The Central CQI Team is committed to continuing these working meetings and formally disseminating findings and information to mid-level and field staff in an effort to be more transparent within the Department and to support data-driven decisions in practice.  </w:t>
      </w:r>
    </w:p>
    <w:p w:rsidR="00EC11CA" w:rsidRDefault="00EC11CA">
      <w:pPr>
        <w:rPr>
          <w:rFonts w:asciiTheme="majorHAnsi" w:eastAsiaTheme="majorEastAsia" w:hAnsiTheme="majorHAnsi" w:cstheme="majorBidi"/>
          <w:color w:val="2E74B5" w:themeColor="accent1" w:themeShade="BF"/>
          <w:sz w:val="26"/>
          <w:szCs w:val="26"/>
        </w:rPr>
      </w:pPr>
      <w:r>
        <w:br w:type="page"/>
      </w:r>
    </w:p>
    <w:p w:rsidR="00A9310F" w:rsidRDefault="00A9310F" w:rsidP="00A9310F">
      <w:pPr>
        <w:pStyle w:val="Heading2"/>
        <w:keepLines w:val="0"/>
        <w:spacing w:before="0"/>
      </w:pPr>
      <w:bookmarkStart w:id="14" w:name="_Toc43887880"/>
      <w:r>
        <w:t>Concrete Services Spending pre and post-Waiver by Region</w:t>
      </w:r>
      <w:bookmarkEnd w:id="14"/>
    </w:p>
    <w:p w:rsidR="0034629B" w:rsidRPr="00862D90" w:rsidRDefault="0034629B" w:rsidP="0034629B">
      <w:pPr>
        <w:contextualSpacing/>
        <w:rPr>
          <w:rFonts w:ascii="Calibri" w:hAnsi="Calibri" w:cs="Calibri"/>
        </w:rPr>
      </w:pPr>
      <w:r w:rsidRPr="00862D90">
        <w:rPr>
          <w:rFonts w:ascii="Calibri" w:hAnsi="Calibri" w:cs="Calibri"/>
        </w:rPr>
        <w:t xml:space="preserve">Provision of concrete services help families by providing financial assistance to promote permanency and placement stability. Concrete service funding was expanded as a part of Indiana’s 2012 Title IV-E </w:t>
      </w:r>
      <w:r w:rsidR="00DC7A7D">
        <w:rPr>
          <w:rFonts w:ascii="Calibri" w:hAnsi="Calibri" w:cs="Calibri"/>
        </w:rPr>
        <w:t>Waiver</w:t>
      </w:r>
      <w:r w:rsidRPr="00862D90">
        <w:rPr>
          <w:rFonts w:ascii="Calibri" w:hAnsi="Calibri" w:cs="Calibri"/>
        </w:rPr>
        <w:t xml:space="preserve"> to prevent instabil</w:t>
      </w:r>
      <w:r w:rsidR="00064B95">
        <w:rPr>
          <w:rFonts w:ascii="Calibri" w:hAnsi="Calibri" w:cs="Calibri"/>
        </w:rPr>
        <w:t xml:space="preserve">ity and improve family success. </w:t>
      </w:r>
      <w:r w:rsidRPr="00862D90">
        <w:rPr>
          <w:rFonts w:ascii="Calibri" w:hAnsi="Calibri" w:cs="Calibri"/>
        </w:rPr>
        <w:t xml:space="preserve">The IV-E Waiver allows states more flexible use of federal funds to permit states to test new financing approaches in an effort to improve outcomes for children and families involved with the child welfare system. </w:t>
      </w:r>
    </w:p>
    <w:p w:rsidR="0034629B" w:rsidRPr="00862D90" w:rsidRDefault="0034629B" w:rsidP="0034629B">
      <w:pPr>
        <w:contextualSpacing/>
        <w:rPr>
          <w:rFonts w:ascii="Calibri" w:hAnsi="Calibri" w:cs="Calibri"/>
        </w:rPr>
      </w:pPr>
    </w:p>
    <w:p w:rsidR="0034629B" w:rsidRPr="00862D90" w:rsidRDefault="0034629B" w:rsidP="0034629B">
      <w:pPr>
        <w:contextualSpacing/>
        <w:rPr>
          <w:rFonts w:ascii="Calibri" w:hAnsi="Calibri" w:cs="Calibri"/>
        </w:rPr>
      </w:pPr>
      <w:r w:rsidRPr="00862D90">
        <w:rPr>
          <w:rFonts w:ascii="Calibri" w:hAnsi="Calibri" w:cs="Calibri"/>
          <w:bCs/>
        </w:rPr>
        <w:t xml:space="preserve">Concrete services spanned four broad categories: </w:t>
      </w:r>
      <w:r w:rsidRPr="00862D90">
        <w:rPr>
          <w:rFonts w:ascii="Calibri" w:hAnsi="Calibri" w:cs="Calibri"/>
          <w:i/>
          <w:iCs/>
        </w:rPr>
        <w:t xml:space="preserve">General Products </w:t>
      </w:r>
      <w:r w:rsidRPr="00862D90">
        <w:rPr>
          <w:rFonts w:ascii="Calibri" w:hAnsi="Calibri" w:cs="Calibri"/>
        </w:rPr>
        <w:t xml:space="preserve">(Birth certificates, children's bed and bedding), </w:t>
      </w:r>
      <w:r w:rsidRPr="00862D90">
        <w:rPr>
          <w:rFonts w:ascii="Calibri" w:hAnsi="Calibri" w:cs="Calibri"/>
          <w:i/>
          <w:iCs/>
        </w:rPr>
        <w:t xml:space="preserve">General Services </w:t>
      </w:r>
      <w:r w:rsidRPr="00862D90">
        <w:rPr>
          <w:rFonts w:ascii="Calibri" w:hAnsi="Calibri" w:cs="Calibri"/>
        </w:rPr>
        <w:t xml:space="preserve">(dental, GED/skills-based programs, summer school, tutoring), </w:t>
      </w:r>
      <w:r w:rsidRPr="00862D90">
        <w:rPr>
          <w:rFonts w:ascii="Calibri" w:hAnsi="Calibri" w:cs="Calibri"/>
          <w:i/>
          <w:iCs/>
        </w:rPr>
        <w:t xml:space="preserve">Material Assistance </w:t>
      </w:r>
      <w:r w:rsidRPr="00862D90">
        <w:rPr>
          <w:rFonts w:ascii="Calibri" w:hAnsi="Calibri" w:cs="Calibri"/>
        </w:rPr>
        <w:t xml:space="preserve">(Day care services, rent, utilities, and pest control), and </w:t>
      </w:r>
      <w:r w:rsidRPr="00862D90">
        <w:rPr>
          <w:rFonts w:ascii="Calibri" w:hAnsi="Calibri" w:cs="Calibri"/>
          <w:i/>
          <w:iCs/>
        </w:rPr>
        <w:t xml:space="preserve">Personal Allowance </w:t>
      </w:r>
      <w:r w:rsidRPr="00862D90">
        <w:rPr>
          <w:rFonts w:ascii="Calibri" w:hAnsi="Calibri" w:cs="Calibri"/>
        </w:rPr>
        <w:t>(computer/electronic devices, driver’s education, dues, class pictures, field trips).</w:t>
      </w:r>
    </w:p>
    <w:p w:rsidR="0034629B" w:rsidRPr="00862D90" w:rsidRDefault="0034629B" w:rsidP="0034629B">
      <w:pPr>
        <w:contextualSpacing/>
        <w:rPr>
          <w:rFonts w:ascii="Calibri" w:hAnsi="Calibri" w:cs="Calibri"/>
        </w:rPr>
      </w:pPr>
    </w:p>
    <w:p w:rsidR="0034629B" w:rsidRPr="00862D90" w:rsidRDefault="0034629B" w:rsidP="0034629B">
      <w:pPr>
        <w:contextualSpacing/>
        <w:rPr>
          <w:rFonts w:ascii="Calibri" w:hAnsi="Calibri" w:cs="Calibri"/>
        </w:rPr>
      </w:pPr>
      <w:r w:rsidRPr="00862D90">
        <w:rPr>
          <w:rFonts w:ascii="Calibri" w:hAnsi="Calibri" w:cs="Calibri"/>
        </w:rPr>
        <w:t xml:space="preserve">The purpose of this report is to provide an explanation of the difference(s) between concrete service spending by region, pre-and post- Waiver implementation. </w:t>
      </w:r>
    </w:p>
    <w:p w:rsidR="0034629B" w:rsidRPr="00862D90" w:rsidRDefault="0034629B" w:rsidP="0034629B">
      <w:pPr>
        <w:contextualSpacing/>
        <w:rPr>
          <w:rFonts w:ascii="Calibri" w:hAnsi="Calibri" w:cs="Calibri"/>
          <w:b/>
        </w:rPr>
      </w:pPr>
    </w:p>
    <w:p w:rsidR="0034629B" w:rsidRPr="000F5868" w:rsidRDefault="000F5868" w:rsidP="000F5868">
      <w:pPr>
        <w:rPr>
          <w:b/>
          <w:color w:val="1F4E79"/>
        </w:rPr>
      </w:pPr>
      <w:r w:rsidRPr="000F5868">
        <w:rPr>
          <w:b/>
          <w:color w:val="1F4E79"/>
        </w:rPr>
        <w:t>Methods</w:t>
      </w:r>
    </w:p>
    <w:p w:rsidR="0034629B" w:rsidRPr="00862D90" w:rsidRDefault="0034629B" w:rsidP="0034629B">
      <w:pPr>
        <w:contextualSpacing/>
        <w:rPr>
          <w:rFonts w:ascii="Calibri" w:hAnsi="Calibri" w:cs="Calibri"/>
        </w:rPr>
      </w:pPr>
      <w:r w:rsidRPr="00862D90">
        <w:rPr>
          <w:rFonts w:ascii="Calibri" w:hAnsi="Calibri" w:cs="Calibri"/>
        </w:rPr>
        <w:t xml:space="preserve">Concrete service spending data were collected </w:t>
      </w:r>
      <w:r w:rsidR="000F5868">
        <w:rPr>
          <w:rFonts w:ascii="Calibri" w:hAnsi="Calibri" w:cs="Calibri"/>
        </w:rPr>
        <w:t>using administrative data</w:t>
      </w:r>
      <w:r w:rsidRPr="00862D90">
        <w:rPr>
          <w:rFonts w:ascii="Calibri" w:hAnsi="Calibri" w:cs="Calibri"/>
        </w:rPr>
        <w:t xml:space="preserve"> from Fiscal Years (FY, July-June) 2013 and 2017. In 2013 there were 45,657 disbursements totaling $3,696,176.30 to 42,437 individuals.  In 2017 there were 154,623 disbursements totaling $15,568,658.84 to 79,568 individuals. The number of cases were calculated by </w:t>
      </w:r>
      <w:r>
        <w:rPr>
          <w:rFonts w:ascii="Calibri" w:hAnsi="Calibri" w:cs="Calibri"/>
        </w:rPr>
        <w:t xml:space="preserve">the number of people involved (involvement) with DCS in each </w:t>
      </w:r>
      <w:r w:rsidRPr="00862D90">
        <w:rPr>
          <w:rFonts w:ascii="Calibri" w:hAnsi="Calibri" w:cs="Calibri"/>
        </w:rPr>
        <w:t xml:space="preserve">region </w:t>
      </w:r>
      <w:r>
        <w:rPr>
          <w:rFonts w:ascii="Calibri" w:hAnsi="Calibri" w:cs="Calibri"/>
        </w:rPr>
        <w:t xml:space="preserve">for FY2013 and 2017 (see Table </w:t>
      </w:r>
      <w:r w:rsidR="008741B0">
        <w:rPr>
          <w:rFonts w:ascii="Calibri" w:hAnsi="Calibri" w:cs="Calibri"/>
        </w:rPr>
        <w:t>1</w:t>
      </w:r>
      <w:r w:rsidR="002A34BA">
        <w:rPr>
          <w:rFonts w:ascii="Calibri" w:hAnsi="Calibri" w:cs="Calibri"/>
        </w:rPr>
        <w:t>8</w:t>
      </w:r>
      <w:r w:rsidRPr="00862D90">
        <w:rPr>
          <w:rFonts w:ascii="Calibri" w:hAnsi="Calibri" w:cs="Calibri"/>
        </w:rPr>
        <w:t xml:space="preserve">). </w:t>
      </w:r>
    </w:p>
    <w:p w:rsidR="0034629B" w:rsidRPr="00862D90" w:rsidRDefault="0034629B" w:rsidP="0034629B">
      <w:pPr>
        <w:contextualSpacing/>
        <w:rPr>
          <w:rFonts w:ascii="Calibri" w:hAnsi="Calibri" w:cs="Calibri"/>
          <w:sz w:val="24"/>
          <w:szCs w:val="24"/>
        </w:rPr>
      </w:pPr>
    </w:p>
    <w:p w:rsidR="0034629B" w:rsidRDefault="0034629B" w:rsidP="0034629B">
      <w:pPr>
        <w:pStyle w:val="Heading4"/>
      </w:pPr>
      <w:r>
        <w:t xml:space="preserve">Table </w:t>
      </w:r>
      <w:r w:rsidR="008741B0">
        <w:t>1</w:t>
      </w:r>
      <w:r w:rsidR="002A34BA">
        <w:t>8</w:t>
      </w:r>
      <w:r>
        <w:t>. Involvement by Region</w:t>
      </w:r>
    </w:p>
    <w:tbl>
      <w:tblPr>
        <w:tblStyle w:val="PlainTable2"/>
        <w:tblW w:w="3343" w:type="pct"/>
        <w:tblLook w:val="0600" w:firstRow="0" w:lastRow="0" w:firstColumn="0" w:lastColumn="0" w:noHBand="1" w:noVBand="1"/>
      </w:tblPr>
      <w:tblGrid>
        <w:gridCol w:w="1043"/>
        <w:gridCol w:w="1043"/>
        <w:gridCol w:w="1043"/>
        <w:gridCol w:w="1043"/>
        <w:gridCol w:w="1043"/>
        <w:gridCol w:w="1043"/>
      </w:tblGrid>
      <w:tr w:rsidR="0034629B" w:rsidRPr="00BF4E7E" w:rsidTr="00CE1AFB">
        <w:trPr>
          <w:trHeight w:val="395"/>
        </w:trPr>
        <w:tc>
          <w:tcPr>
            <w:tcW w:w="833" w:type="pct"/>
            <w:tcBorders>
              <w:top w:val="single" w:sz="4" w:space="0" w:color="7F7F7F" w:themeColor="text1" w:themeTint="80"/>
              <w:bottom w:val="single" w:sz="4" w:space="0" w:color="auto"/>
            </w:tcBorders>
            <w:shd w:val="clear" w:color="auto" w:fill="4F81BD"/>
            <w:hideMark/>
          </w:tcPr>
          <w:p w:rsidR="0034629B" w:rsidRPr="003C6E41" w:rsidRDefault="0034629B" w:rsidP="00CE1AFB">
            <w:pPr>
              <w:contextualSpacing/>
              <w:jc w:val="center"/>
              <w:rPr>
                <w:rFonts w:cs="Times New Roman"/>
                <w:color w:val="FFFFFF" w:themeColor="background1"/>
                <w:sz w:val="24"/>
                <w:szCs w:val="24"/>
              </w:rPr>
            </w:pPr>
            <w:r w:rsidRPr="003C6E41">
              <w:rPr>
                <w:rFonts w:cs="Times New Roman"/>
                <w:b/>
                <w:bCs/>
                <w:color w:val="FFFFFF" w:themeColor="background1"/>
                <w:sz w:val="24"/>
                <w:szCs w:val="24"/>
              </w:rPr>
              <w:t>Region</w:t>
            </w:r>
          </w:p>
        </w:tc>
        <w:tc>
          <w:tcPr>
            <w:tcW w:w="833" w:type="pct"/>
            <w:tcBorders>
              <w:top w:val="single" w:sz="4" w:space="0" w:color="7F7F7F" w:themeColor="text1" w:themeTint="80"/>
              <w:bottom w:val="single" w:sz="4" w:space="0" w:color="auto"/>
            </w:tcBorders>
            <w:shd w:val="clear" w:color="auto" w:fill="4F81BD"/>
            <w:hideMark/>
          </w:tcPr>
          <w:p w:rsidR="0034629B" w:rsidRPr="003C6E41" w:rsidRDefault="0034629B" w:rsidP="00CE1AFB">
            <w:pPr>
              <w:contextualSpacing/>
              <w:jc w:val="center"/>
              <w:rPr>
                <w:rFonts w:cs="Times New Roman"/>
                <w:color w:val="FFFFFF" w:themeColor="background1"/>
                <w:sz w:val="24"/>
                <w:szCs w:val="24"/>
              </w:rPr>
            </w:pPr>
            <w:r w:rsidRPr="003C6E41">
              <w:rPr>
                <w:rFonts w:cs="Times New Roman"/>
                <w:b/>
                <w:bCs/>
                <w:color w:val="FFFFFF" w:themeColor="background1"/>
                <w:sz w:val="24"/>
                <w:szCs w:val="24"/>
              </w:rPr>
              <w:t>2013</w:t>
            </w:r>
          </w:p>
        </w:tc>
        <w:tc>
          <w:tcPr>
            <w:tcW w:w="833" w:type="pct"/>
            <w:tcBorders>
              <w:top w:val="single" w:sz="4" w:space="0" w:color="7F7F7F" w:themeColor="text1" w:themeTint="80"/>
              <w:bottom w:val="single" w:sz="4" w:space="0" w:color="auto"/>
              <w:right w:val="single" w:sz="4" w:space="0" w:color="auto"/>
            </w:tcBorders>
            <w:shd w:val="clear" w:color="auto" w:fill="4F81BD"/>
            <w:hideMark/>
          </w:tcPr>
          <w:p w:rsidR="0034629B" w:rsidRPr="003C6E41" w:rsidRDefault="0034629B" w:rsidP="00CE1AFB">
            <w:pPr>
              <w:contextualSpacing/>
              <w:jc w:val="center"/>
              <w:rPr>
                <w:rFonts w:cs="Times New Roman"/>
                <w:color w:val="FFFFFF" w:themeColor="background1"/>
                <w:sz w:val="24"/>
                <w:szCs w:val="24"/>
              </w:rPr>
            </w:pPr>
            <w:r w:rsidRPr="003C6E41">
              <w:rPr>
                <w:rFonts w:cs="Times New Roman"/>
                <w:b/>
                <w:bCs/>
                <w:color w:val="FFFFFF" w:themeColor="background1"/>
                <w:sz w:val="24"/>
                <w:szCs w:val="24"/>
              </w:rPr>
              <w:t>2017</w:t>
            </w:r>
          </w:p>
        </w:tc>
        <w:tc>
          <w:tcPr>
            <w:tcW w:w="833" w:type="pct"/>
            <w:tcBorders>
              <w:top w:val="single" w:sz="4" w:space="0" w:color="7F7F7F" w:themeColor="text1" w:themeTint="80"/>
              <w:left w:val="single" w:sz="4" w:space="0" w:color="auto"/>
              <w:bottom w:val="single" w:sz="4" w:space="0" w:color="auto"/>
            </w:tcBorders>
            <w:shd w:val="clear" w:color="auto" w:fill="4F81BD"/>
          </w:tcPr>
          <w:p w:rsidR="0034629B" w:rsidRPr="003C6E41" w:rsidRDefault="0034629B" w:rsidP="00CE1AFB">
            <w:pPr>
              <w:contextualSpacing/>
              <w:jc w:val="center"/>
              <w:rPr>
                <w:rFonts w:cs="Times New Roman"/>
                <w:b/>
                <w:bCs/>
                <w:color w:val="FFFFFF" w:themeColor="background1"/>
                <w:sz w:val="24"/>
                <w:szCs w:val="24"/>
              </w:rPr>
            </w:pPr>
            <w:r w:rsidRPr="003C6E41">
              <w:rPr>
                <w:rFonts w:cs="Times New Roman"/>
                <w:b/>
                <w:bCs/>
                <w:color w:val="FFFFFF" w:themeColor="background1"/>
                <w:sz w:val="24"/>
                <w:szCs w:val="24"/>
              </w:rPr>
              <w:t>Region</w:t>
            </w:r>
          </w:p>
        </w:tc>
        <w:tc>
          <w:tcPr>
            <w:tcW w:w="833" w:type="pct"/>
            <w:tcBorders>
              <w:top w:val="single" w:sz="4" w:space="0" w:color="7F7F7F" w:themeColor="text1" w:themeTint="80"/>
              <w:bottom w:val="single" w:sz="4" w:space="0" w:color="auto"/>
            </w:tcBorders>
            <w:shd w:val="clear" w:color="auto" w:fill="4F81BD"/>
          </w:tcPr>
          <w:p w:rsidR="0034629B" w:rsidRPr="003C6E41" w:rsidRDefault="0034629B" w:rsidP="00CE1AFB">
            <w:pPr>
              <w:contextualSpacing/>
              <w:jc w:val="center"/>
              <w:rPr>
                <w:rFonts w:cs="Times New Roman"/>
                <w:color w:val="FFFFFF" w:themeColor="background1"/>
                <w:sz w:val="24"/>
                <w:szCs w:val="24"/>
              </w:rPr>
            </w:pPr>
            <w:r w:rsidRPr="003C6E41">
              <w:rPr>
                <w:rFonts w:cs="Times New Roman"/>
                <w:b/>
                <w:bCs/>
                <w:color w:val="FFFFFF" w:themeColor="background1"/>
                <w:sz w:val="24"/>
                <w:szCs w:val="24"/>
              </w:rPr>
              <w:t>2013</w:t>
            </w:r>
          </w:p>
        </w:tc>
        <w:tc>
          <w:tcPr>
            <w:tcW w:w="833" w:type="pct"/>
            <w:tcBorders>
              <w:top w:val="single" w:sz="4" w:space="0" w:color="7F7F7F" w:themeColor="text1" w:themeTint="80"/>
              <w:bottom w:val="single" w:sz="4" w:space="0" w:color="auto"/>
            </w:tcBorders>
            <w:shd w:val="clear" w:color="auto" w:fill="4F81BD"/>
          </w:tcPr>
          <w:p w:rsidR="0034629B" w:rsidRPr="003C6E41" w:rsidRDefault="0034629B" w:rsidP="00CE1AFB">
            <w:pPr>
              <w:contextualSpacing/>
              <w:jc w:val="center"/>
              <w:rPr>
                <w:rFonts w:cs="Times New Roman"/>
                <w:color w:val="FFFFFF" w:themeColor="background1"/>
                <w:sz w:val="24"/>
                <w:szCs w:val="24"/>
              </w:rPr>
            </w:pPr>
            <w:r w:rsidRPr="003C6E41">
              <w:rPr>
                <w:rFonts w:cs="Times New Roman"/>
                <w:b/>
                <w:bCs/>
                <w:color w:val="FFFFFF" w:themeColor="background1"/>
                <w:sz w:val="24"/>
                <w:szCs w:val="24"/>
              </w:rPr>
              <w:t>2017</w:t>
            </w:r>
          </w:p>
        </w:tc>
      </w:tr>
      <w:tr w:rsidR="0034629B" w:rsidRPr="00BF4E7E" w:rsidTr="00CE1AFB">
        <w:trPr>
          <w:trHeight w:val="395"/>
        </w:trPr>
        <w:tc>
          <w:tcPr>
            <w:tcW w:w="833" w:type="pct"/>
            <w:tcBorders>
              <w:top w:val="single" w:sz="4" w:space="0" w:color="auto"/>
            </w:tcBorders>
            <w:hideMark/>
          </w:tcPr>
          <w:p w:rsidR="0034629B" w:rsidRPr="003C6E41" w:rsidRDefault="0034629B" w:rsidP="00CE1AFB">
            <w:pPr>
              <w:contextualSpacing/>
              <w:jc w:val="center"/>
              <w:rPr>
                <w:rFonts w:cs="Times New Roman"/>
              </w:rPr>
            </w:pPr>
            <w:r w:rsidRPr="003C6E41">
              <w:rPr>
                <w:rFonts w:cs="Times New Roman"/>
              </w:rPr>
              <w:t>1</w:t>
            </w:r>
          </w:p>
        </w:tc>
        <w:tc>
          <w:tcPr>
            <w:tcW w:w="833" w:type="pct"/>
            <w:tcBorders>
              <w:top w:val="single" w:sz="4" w:space="0" w:color="auto"/>
            </w:tcBorders>
            <w:hideMark/>
          </w:tcPr>
          <w:p w:rsidR="0034629B" w:rsidRPr="003C6E41" w:rsidRDefault="0034629B" w:rsidP="00CE1AFB">
            <w:pPr>
              <w:contextualSpacing/>
              <w:jc w:val="center"/>
              <w:rPr>
                <w:rFonts w:cs="Times New Roman"/>
              </w:rPr>
            </w:pPr>
            <w:r w:rsidRPr="003C6E41">
              <w:rPr>
                <w:rFonts w:cs="Times New Roman"/>
              </w:rPr>
              <w:t>4208</w:t>
            </w:r>
          </w:p>
        </w:tc>
        <w:tc>
          <w:tcPr>
            <w:tcW w:w="833" w:type="pct"/>
            <w:tcBorders>
              <w:top w:val="single" w:sz="4" w:space="0" w:color="auto"/>
              <w:right w:val="single" w:sz="4" w:space="0" w:color="auto"/>
            </w:tcBorders>
            <w:hideMark/>
          </w:tcPr>
          <w:p w:rsidR="0034629B" w:rsidRPr="003C6E41" w:rsidRDefault="0034629B" w:rsidP="00CE1AFB">
            <w:pPr>
              <w:contextualSpacing/>
              <w:jc w:val="center"/>
              <w:rPr>
                <w:rFonts w:cs="Times New Roman"/>
              </w:rPr>
            </w:pPr>
            <w:r w:rsidRPr="003C6E41">
              <w:rPr>
                <w:rFonts w:cs="Times New Roman"/>
              </w:rPr>
              <w:t>5087</w:t>
            </w:r>
          </w:p>
        </w:tc>
        <w:tc>
          <w:tcPr>
            <w:tcW w:w="833" w:type="pct"/>
            <w:tcBorders>
              <w:top w:val="single" w:sz="4" w:space="0" w:color="auto"/>
              <w:left w:val="single" w:sz="4" w:space="0" w:color="auto"/>
            </w:tcBorders>
          </w:tcPr>
          <w:p w:rsidR="0034629B" w:rsidRPr="003C6E41" w:rsidRDefault="0034629B" w:rsidP="00CE1AFB">
            <w:pPr>
              <w:contextualSpacing/>
              <w:jc w:val="center"/>
              <w:rPr>
                <w:rFonts w:cs="Times New Roman"/>
              </w:rPr>
            </w:pPr>
            <w:r w:rsidRPr="003C6E41">
              <w:rPr>
                <w:rFonts w:cs="Times New Roman"/>
              </w:rPr>
              <w:t>10</w:t>
            </w:r>
          </w:p>
        </w:tc>
        <w:tc>
          <w:tcPr>
            <w:tcW w:w="833" w:type="pct"/>
            <w:tcBorders>
              <w:top w:val="single" w:sz="4" w:space="0" w:color="auto"/>
            </w:tcBorders>
          </w:tcPr>
          <w:p w:rsidR="0034629B" w:rsidRPr="003C6E41" w:rsidRDefault="0034629B" w:rsidP="00CE1AFB">
            <w:pPr>
              <w:contextualSpacing/>
              <w:jc w:val="center"/>
              <w:rPr>
                <w:rFonts w:cs="Times New Roman"/>
              </w:rPr>
            </w:pPr>
            <w:r w:rsidRPr="003C6E41">
              <w:rPr>
                <w:rFonts w:cs="Times New Roman"/>
              </w:rPr>
              <w:t>8044</w:t>
            </w:r>
          </w:p>
        </w:tc>
        <w:tc>
          <w:tcPr>
            <w:tcW w:w="833" w:type="pct"/>
            <w:tcBorders>
              <w:top w:val="single" w:sz="4" w:space="0" w:color="auto"/>
            </w:tcBorders>
          </w:tcPr>
          <w:p w:rsidR="0034629B" w:rsidRPr="003C6E41" w:rsidRDefault="0034629B" w:rsidP="00CE1AFB">
            <w:pPr>
              <w:contextualSpacing/>
              <w:jc w:val="center"/>
              <w:rPr>
                <w:rFonts w:cs="Times New Roman"/>
              </w:rPr>
            </w:pPr>
            <w:r w:rsidRPr="003C6E41">
              <w:rPr>
                <w:rFonts w:cs="Times New Roman"/>
              </w:rPr>
              <w:t>14750</w:t>
            </w:r>
          </w:p>
        </w:tc>
      </w:tr>
      <w:tr w:rsidR="0034629B" w:rsidRPr="00BF4E7E" w:rsidTr="00CE1AFB">
        <w:trPr>
          <w:trHeight w:val="395"/>
        </w:trPr>
        <w:tc>
          <w:tcPr>
            <w:tcW w:w="833" w:type="pct"/>
            <w:shd w:val="clear" w:color="auto" w:fill="B8CCE4"/>
            <w:hideMark/>
          </w:tcPr>
          <w:p w:rsidR="0034629B" w:rsidRPr="003C6E41" w:rsidRDefault="0034629B" w:rsidP="00CE1AFB">
            <w:pPr>
              <w:contextualSpacing/>
              <w:jc w:val="center"/>
              <w:rPr>
                <w:rFonts w:cs="Times New Roman"/>
              </w:rPr>
            </w:pPr>
            <w:r w:rsidRPr="003C6E41">
              <w:rPr>
                <w:rFonts w:cs="Times New Roman"/>
              </w:rPr>
              <w:t>2</w:t>
            </w:r>
          </w:p>
        </w:tc>
        <w:tc>
          <w:tcPr>
            <w:tcW w:w="833" w:type="pct"/>
            <w:shd w:val="clear" w:color="auto" w:fill="B8CCE4"/>
            <w:hideMark/>
          </w:tcPr>
          <w:p w:rsidR="0034629B" w:rsidRPr="003C6E41" w:rsidRDefault="0034629B" w:rsidP="00CE1AFB">
            <w:pPr>
              <w:contextualSpacing/>
              <w:jc w:val="center"/>
              <w:rPr>
                <w:rFonts w:cs="Times New Roman"/>
              </w:rPr>
            </w:pPr>
            <w:r w:rsidRPr="003C6E41">
              <w:rPr>
                <w:rFonts w:cs="Times New Roman"/>
              </w:rPr>
              <w:t>1542</w:t>
            </w:r>
          </w:p>
        </w:tc>
        <w:tc>
          <w:tcPr>
            <w:tcW w:w="833" w:type="pct"/>
            <w:tcBorders>
              <w:right w:val="single" w:sz="4" w:space="0" w:color="auto"/>
            </w:tcBorders>
            <w:shd w:val="clear" w:color="auto" w:fill="B8CCE4"/>
            <w:hideMark/>
          </w:tcPr>
          <w:p w:rsidR="0034629B" w:rsidRPr="003C6E41" w:rsidRDefault="0034629B" w:rsidP="00CE1AFB">
            <w:pPr>
              <w:contextualSpacing/>
              <w:jc w:val="center"/>
              <w:rPr>
                <w:rFonts w:cs="Times New Roman"/>
              </w:rPr>
            </w:pPr>
            <w:r w:rsidRPr="003C6E41">
              <w:rPr>
                <w:rFonts w:cs="Times New Roman"/>
              </w:rPr>
              <w:t>3371</w:t>
            </w:r>
          </w:p>
        </w:tc>
        <w:tc>
          <w:tcPr>
            <w:tcW w:w="833" w:type="pct"/>
            <w:tcBorders>
              <w:left w:val="single" w:sz="4" w:space="0" w:color="auto"/>
            </w:tcBorders>
            <w:shd w:val="clear" w:color="auto" w:fill="B8CCE4"/>
          </w:tcPr>
          <w:p w:rsidR="0034629B" w:rsidRPr="003C6E41" w:rsidRDefault="0034629B" w:rsidP="00CE1AFB">
            <w:pPr>
              <w:contextualSpacing/>
              <w:jc w:val="center"/>
              <w:rPr>
                <w:rFonts w:cs="Times New Roman"/>
              </w:rPr>
            </w:pPr>
            <w:r w:rsidRPr="003C6E41">
              <w:rPr>
                <w:rFonts w:cs="Times New Roman"/>
              </w:rPr>
              <w:t>11</w:t>
            </w:r>
          </w:p>
        </w:tc>
        <w:tc>
          <w:tcPr>
            <w:tcW w:w="833" w:type="pct"/>
            <w:shd w:val="clear" w:color="auto" w:fill="B8CCE4"/>
          </w:tcPr>
          <w:p w:rsidR="0034629B" w:rsidRPr="003C6E41" w:rsidRDefault="0034629B" w:rsidP="00CE1AFB">
            <w:pPr>
              <w:contextualSpacing/>
              <w:jc w:val="center"/>
              <w:rPr>
                <w:rFonts w:cs="Times New Roman"/>
              </w:rPr>
            </w:pPr>
            <w:r w:rsidRPr="003C6E41">
              <w:rPr>
                <w:rFonts w:cs="Times New Roman"/>
              </w:rPr>
              <w:t>1722</w:t>
            </w:r>
          </w:p>
        </w:tc>
        <w:tc>
          <w:tcPr>
            <w:tcW w:w="833" w:type="pct"/>
            <w:shd w:val="clear" w:color="auto" w:fill="B8CCE4"/>
          </w:tcPr>
          <w:p w:rsidR="0034629B" w:rsidRPr="003C6E41" w:rsidRDefault="0034629B" w:rsidP="00CE1AFB">
            <w:pPr>
              <w:contextualSpacing/>
              <w:jc w:val="center"/>
              <w:rPr>
                <w:rFonts w:cs="Times New Roman"/>
              </w:rPr>
            </w:pPr>
            <w:r w:rsidRPr="003C6E41">
              <w:rPr>
                <w:rFonts w:cs="Times New Roman"/>
              </w:rPr>
              <w:t>4194</w:t>
            </w:r>
          </w:p>
        </w:tc>
      </w:tr>
      <w:tr w:rsidR="0034629B" w:rsidRPr="00BF4E7E" w:rsidTr="00CE1AFB">
        <w:trPr>
          <w:trHeight w:val="395"/>
        </w:trPr>
        <w:tc>
          <w:tcPr>
            <w:tcW w:w="833" w:type="pct"/>
            <w:hideMark/>
          </w:tcPr>
          <w:p w:rsidR="0034629B" w:rsidRPr="003C6E41" w:rsidRDefault="0034629B" w:rsidP="00CE1AFB">
            <w:pPr>
              <w:contextualSpacing/>
              <w:jc w:val="center"/>
              <w:rPr>
                <w:rFonts w:cs="Times New Roman"/>
              </w:rPr>
            </w:pPr>
            <w:r w:rsidRPr="003C6E41">
              <w:rPr>
                <w:rFonts w:cs="Times New Roman"/>
              </w:rPr>
              <w:t>3</w:t>
            </w:r>
          </w:p>
        </w:tc>
        <w:tc>
          <w:tcPr>
            <w:tcW w:w="833" w:type="pct"/>
            <w:hideMark/>
          </w:tcPr>
          <w:p w:rsidR="0034629B" w:rsidRPr="003C6E41" w:rsidRDefault="0034629B" w:rsidP="00CE1AFB">
            <w:pPr>
              <w:contextualSpacing/>
              <w:jc w:val="center"/>
              <w:rPr>
                <w:rFonts w:cs="Times New Roman"/>
              </w:rPr>
            </w:pPr>
            <w:r w:rsidRPr="003C6E41">
              <w:rPr>
                <w:rFonts w:cs="Times New Roman"/>
              </w:rPr>
              <w:t>3264</w:t>
            </w:r>
          </w:p>
        </w:tc>
        <w:tc>
          <w:tcPr>
            <w:tcW w:w="833" w:type="pct"/>
            <w:tcBorders>
              <w:right w:val="single" w:sz="4" w:space="0" w:color="auto"/>
            </w:tcBorders>
            <w:hideMark/>
          </w:tcPr>
          <w:p w:rsidR="0034629B" w:rsidRPr="003C6E41" w:rsidRDefault="0034629B" w:rsidP="00CE1AFB">
            <w:pPr>
              <w:contextualSpacing/>
              <w:jc w:val="center"/>
              <w:rPr>
                <w:rFonts w:cs="Times New Roman"/>
              </w:rPr>
            </w:pPr>
            <w:r w:rsidRPr="003C6E41">
              <w:rPr>
                <w:rFonts w:cs="Times New Roman"/>
              </w:rPr>
              <w:t>4958</w:t>
            </w:r>
          </w:p>
        </w:tc>
        <w:tc>
          <w:tcPr>
            <w:tcW w:w="833" w:type="pct"/>
            <w:tcBorders>
              <w:left w:val="single" w:sz="4" w:space="0" w:color="auto"/>
            </w:tcBorders>
          </w:tcPr>
          <w:p w:rsidR="0034629B" w:rsidRPr="003C6E41" w:rsidRDefault="0034629B" w:rsidP="00CE1AFB">
            <w:pPr>
              <w:contextualSpacing/>
              <w:jc w:val="center"/>
              <w:rPr>
                <w:rFonts w:cs="Times New Roman"/>
              </w:rPr>
            </w:pPr>
            <w:r w:rsidRPr="003C6E41">
              <w:rPr>
                <w:rFonts w:cs="Times New Roman"/>
              </w:rPr>
              <w:t>12</w:t>
            </w:r>
          </w:p>
        </w:tc>
        <w:tc>
          <w:tcPr>
            <w:tcW w:w="833" w:type="pct"/>
          </w:tcPr>
          <w:p w:rsidR="0034629B" w:rsidRPr="003C6E41" w:rsidRDefault="0034629B" w:rsidP="00CE1AFB">
            <w:pPr>
              <w:contextualSpacing/>
              <w:jc w:val="center"/>
              <w:rPr>
                <w:rFonts w:cs="Times New Roman"/>
              </w:rPr>
            </w:pPr>
            <w:r w:rsidRPr="003C6E41">
              <w:rPr>
                <w:rFonts w:cs="Times New Roman"/>
              </w:rPr>
              <w:t>1142</w:t>
            </w:r>
          </w:p>
        </w:tc>
        <w:tc>
          <w:tcPr>
            <w:tcW w:w="833" w:type="pct"/>
          </w:tcPr>
          <w:p w:rsidR="0034629B" w:rsidRPr="003C6E41" w:rsidRDefault="0034629B" w:rsidP="00CE1AFB">
            <w:pPr>
              <w:contextualSpacing/>
              <w:jc w:val="center"/>
              <w:rPr>
                <w:rFonts w:cs="Times New Roman"/>
              </w:rPr>
            </w:pPr>
            <w:r w:rsidRPr="003C6E41">
              <w:rPr>
                <w:rFonts w:cs="Times New Roman"/>
              </w:rPr>
              <w:t>2682</w:t>
            </w:r>
          </w:p>
        </w:tc>
      </w:tr>
      <w:tr w:rsidR="0034629B" w:rsidRPr="00BF4E7E" w:rsidTr="00CE1AFB">
        <w:trPr>
          <w:trHeight w:val="395"/>
        </w:trPr>
        <w:tc>
          <w:tcPr>
            <w:tcW w:w="833" w:type="pct"/>
            <w:shd w:val="clear" w:color="auto" w:fill="B8CCE4"/>
            <w:hideMark/>
          </w:tcPr>
          <w:p w:rsidR="0034629B" w:rsidRPr="003C6E41" w:rsidRDefault="0034629B" w:rsidP="00CE1AFB">
            <w:pPr>
              <w:contextualSpacing/>
              <w:jc w:val="center"/>
              <w:rPr>
                <w:rFonts w:cs="Times New Roman"/>
              </w:rPr>
            </w:pPr>
            <w:r w:rsidRPr="003C6E41">
              <w:rPr>
                <w:rFonts w:cs="Times New Roman"/>
              </w:rPr>
              <w:t>4</w:t>
            </w:r>
          </w:p>
        </w:tc>
        <w:tc>
          <w:tcPr>
            <w:tcW w:w="833" w:type="pct"/>
            <w:shd w:val="clear" w:color="auto" w:fill="B8CCE4"/>
            <w:hideMark/>
          </w:tcPr>
          <w:p w:rsidR="0034629B" w:rsidRPr="003C6E41" w:rsidRDefault="0034629B" w:rsidP="00CE1AFB">
            <w:pPr>
              <w:contextualSpacing/>
              <w:jc w:val="center"/>
              <w:rPr>
                <w:rFonts w:cs="Times New Roman"/>
              </w:rPr>
            </w:pPr>
            <w:r w:rsidRPr="003C6E41">
              <w:rPr>
                <w:rFonts w:cs="Times New Roman"/>
              </w:rPr>
              <w:t>3721</w:t>
            </w:r>
          </w:p>
        </w:tc>
        <w:tc>
          <w:tcPr>
            <w:tcW w:w="833" w:type="pct"/>
            <w:tcBorders>
              <w:right w:val="single" w:sz="4" w:space="0" w:color="auto"/>
            </w:tcBorders>
            <w:shd w:val="clear" w:color="auto" w:fill="B8CCE4"/>
            <w:hideMark/>
          </w:tcPr>
          <w:p w:rsidR="0034629B" w:rsidRPr="003C6E41" w:rsidRDefault="0034629B" w:rsidP="00CE1AFB">
            <w:pPr>
              <w:contextualSpacing/>
              <w:jc w:val="center"/>
              <w:rPr>
                <w:rFonts w:cs="Times New Roman"/>
              </w:rPr>
            </w:pPr>
            <w:r w:rsidRPr="003C6E41">
              <w:rPr>
                <w:rFonts w:cs="Times New Roman"/>
              </w:rPr>
              <w:t>5592</w:t>
            </w:r>
          </w:p>
        </w:tc>
        <w:tc>
          <w:tcPr>
            <w:tcW w:w="833" w:type="pct"/>
            <w:tcBorders>
              <w:left w:val="single" w:sz="4" w:space="0" w:color="auto"/>
            </w:tcBorders>
            <w:shd w:val="clear" w:color="auto" w:fill="B8CCE4"/>
          </w:tcPr>
          <w:p w:rsidR="0034629B" w:rsidRPr="003C6E41" w:rsidRDefault="0034629B" w:rsidP="00CE1AFB">
            <w:pPr>
              <w:contextualSpacing/>
              <w:jc w:val="center"/>
              <w:rPr>
                <w:rFonts w:cs="Times New Roman"/>
              </w:rPr>
            </w:pPr>
            <w:r w:rsidRPr="003C6E41">
              <w:rPr>
                <w:rFonts w:cs="Times New Roman"/>
              </w:rPr>
              <w:t>13</w:t>
            </w:r>
          </w:p>
        </w:tc>
        <w:tc>
          <w:tcPr>
            <w:tcW w:w="833" w:type="pct"/>
            <w:shd w:val="clear" w:color="auto" w:fill="B8CCE4"/>
          </w:tcPr>
          <w:p w:rsidR="0034629B" w:rsidRPr="003C6E41" w:rsidRDefault="0034629B" w:rsidP="00CE1AFB">
            <w:pPr>
              <w:contextualSpacing/>
              <w:jc w:val="center"/>
              <w:rPr>
                <w:rFonts w:cs="Times New Roman"/>
              </w:rPr>
            </w:pPr>
            <w:r w:rsidRPr="003C6E41">
              <w:rPr>
                <w:rFonts w:cs="Times New Roman"/>
              </w:rPr>
              <w:t>1245</w:t>
            </w:r>
          </w:p>
        </w:tc>
        <w:tc>
          <w:tcPr>
            <w:tcW w:w="833" w:type="pct"/>
            <w:shd w:val="clear" w:color="auto" w:fill="B8CCE4"/>
          </w:tcPr>
          <w:p w:rsidR="0034629B" w:rsidRPr="003C6E41" w:rsidRDefault="0034629B" w:rsidP="00CE1AFB">
            <w:pPr>
              <w:contextualSpacing/>
              <w:jc w:val="center"/>
              <w:rPr>
                <w:rFonts w:cs="Times New Roman"/>
              </w:rPr>
            </w:pPr>
            <w:r w:rsidRPr="003C6E41">
              <w:rPr>
                <w:rFonts w:cs="Times New Roman"/>
              </w:rPr>
              <w:t>3711</w:t>
            </w:r>
          </w:p>
        </w:tc>
      </w:tr>
      <w:tr w:rsidR="0034629B" w:rsidRPr="00BF4E7E" w:rsidTr="00CE1AFB">
        <w:trPr>
          <w:trHeight w:val="395"/>
        </w:trPr>
        <w:tc>
          <w:tcPr>
            <w:tcW w:w="833" w:type="pct"/>
            <w:hideMark/>
          </w:tcPr>
          <w:p w:rsidR="0034629B" w:rsidRPr="003C6E41" w:rsidRDefault="0034629B" w:rsidP="00CE1AFB">
            <w:pPr>
              <w:contextualSpacing/>
              <w:jc w:val="center"/>
              <w:rPr>
                <w:rFonts w:cs="Times New Roman"/>
              </w:rPr>
            </w:pPr>
            <w:r w:rsidRPr="003C6E41">
              <w:rPr>
                <w:rFonts w:cs="Times New Roman"/>
              </w:rPr>
              <w:t>5</w:t>
            </w:r>
          </w:p>
        </w:tc>
        <w:tc>
          <w:tcPr>
            <w:tcW w:w="833" w:type="pct"/>
            <w:hideMark/>
          </w:tcPr>
          <w:p w:rsidR="0034629B" w:rsidRPr="003C6E41" w:rsidRDefault="0034629B" w:rsidP="00CE1AFB">
            <w:pPr>
              <w:contextualSpacing/>
              <w:jc w:val="center"/>
              <w:rPr>
                <w:rFonts w:cs="Times New Roman"/>
              </w:rPr>
            </w:pPr>
            <w:r w:rsidRPr="003C6E41">
              <w:rPr>
                <w:rFonts w:cs="Times New Roman"/>
              </w:rPr>
              <w:t>1285</w:t>
            </w:r>
          </w:p>
        </w:tc>
        <w:tc>
          <w:tcPr>
            <w:tcW w:w="833" w:type="pct"/>
            <w:tcBorders>
              <w:right w:val="single" w:sz="4" w:space="0" w:color="auto"/>
            </w:tcBorders>
            <w:hideMark/>
          </w:tcPr>
          <w:p w:rsidR="0034629B" w:rsidRPr="003C6E41" w:rsidRDefault="0034629B" w:rsidP="00CE1AFB">
            <w:pPr>
              <w:contextualSpacing/>
              <w:jc w:val="center"/>
              <w:rPr>
                <w:rFonts w:cs="Times New Roman"/>
              </w:rPr>
            </w:pPr>
            <w:r w:rsidRPr="003C6E41">
              <w:rPr>
                <w:rFonts w:cs="Times New Roman"/>
              </w:rPr>
              <w:t>2937</w:t>
            </w:r>
          </w:p>
        </w:tc>
        <w:tc>
          <w:tcPr>
            <w:tcW w:w="833" w:type="pct"/>
            <w:tcBorders>
              <w:left w:val="single" w:sz="4" w:space="0" w:color="auto"/>
            </w:tcBorders>
          </w:tcPr>
          <w:p w:rsidR="0034629B" w:rsidRPr="003C6E41" w:rsidRDefault="0034629B" w:rsidP="00CE1AFB">
            <w:pPr>
              <w:contextualSpacing/>
              <w:jc w:val="center"/>
              <w:rPr>
                <w:rFonts w:cs="Times New Roman"/>
              </w:rPr>
            </w:pPr>
            <w:r w:rsidRPr="003C6E41">
              <w:rPr>
                <w:rFonts w:cs="Times New Roman"/>
              </w:rPr>
              <w:t>14</w:t>
            </w:r>
          </w:p>
        </w:tc>
        <w:tc>
          <w:tcPr>
            <w:tcW w:w="833" w:type="pct"/>
          </w:tcPr>
          <w:p w:rsidR="0034629B" w:rsidRPr="003C6E41" w:rsidRDefault="0034629B" w:rsidP="00CE1AFB">
            <w:pPr>
              <w:contextualSpacing/>
              <w:jc w:val="center"/>
              <w:rPr>
                <w:rFonts w:cs="Times New Roman"/>
              </w:rPr>
            </w:pPr>
            <w:r w:rsidRPr="003C6E41">
              <w:rPr>
                <w:rFonts w:cs="Times New Roman"/>
              </w:rPr>
              <w:t>2079</w:t>
            </w:r>
          </w:p>
        </w:tc>
        <w:tc>
          <w:tcPr>
            <w:tcW w:w="833" w:type="pct"/>
          </w:tcPr>
          <w:p w:rsidR="0034629B" w:rsidRPr="003C6E41" w:rsidRDefault="0034629B" w:rsidP="00CE1AFB">
            <w:pPr>
              <w:contextualSpacing/>
              <w:jc w:val="center"/>
              <w:rPr>
                <w:rFonts w:cs="Times New Roman"/>
              </w:rPr>
            </w:pPr>
            <w:r w:rsidRPr="003C6E41">
              <w:rPr>
                <w:rFonts w:cs="Times New Roman"/>
              </w:rPr>
              <w:t>3313</w:t>
            </w:r>
          </w:p>
        </w:tc>
      </w:tr>
      <w:tr w:rsidR="0034629B" w:rsidRPr="00BF4E7E" w:rsidTr="00CE1AFB">
        <w:trPr>
          <w:trHeight w:val="395"/>
        </w:trPr>
        <w:tc>
          <w:tcPr>
            <w:tcW w:w="833" w:type="pct"/>
            <w:shd w:val="clear" w:color="auto" w:fill="B8CCE4"/>
            <w:hideMark/>
          </w:tcPr>
          <w:p w:rsidR="0034629B" w:rsidRPr="003C6E41" w:rsidRDefault="0034629B" w:rsidP="00CE1AFB">
            <w:pPr>
              <w:contextualSpacing/>
              <w:jc w:val="center"/>
              <w:rPr>
                <w:rFonts w:cs="Times New Roman"/>
              </w:rPr>
            </w:pPr>
            <w:r w:rsidRPr="003C6E41">
              <w:rPr>
                <w:rFonts w:cs="Times New Roman"/>
              </w:rPr>
              <w:t>6</w:t>
            </w:r>
          </w:p>
        </w:tc>
        <w:tc>
          <w:tcPr>
            <w:tcW w:w="833" w:type="pct"/>
            <w:shd w:val="clear" w:color="auto" w:fill="B8CCE4"/>
            <w:hideMark/>
          </w:tcPr>
          <w:p w:rsidR="0034629B" w:rsidRPr="003C6E41" w:rsidRDefault="0034629B" w:rsidP="00CE1AFB">
            <w:pPr>
              <w:contextualSpacing/>
              <w:jc w:val="center"/>
              <w:rPr>
                <w:rFonts w:cs="Times New Roman"/>
              </w:rPr>
            </w:pPr>
            <w:r w:rsidRPr="003C6E41">
              <w:rPr>
                <w:rFonts w:cs="Times New Roman"/>
              </w:rPr>
              <w:t>1995</w:t>
            </w:r>
          </w:p>
        </w:tc>
        <w:tc>
          <w:tcPr>
            <w:tcW w:w="833" w:type="pct"/>
            <w:tcBorders>
              <w:right w:val="single" w:sz="4" w:space="0" w:color="auto"/>
            </w:tcBorders>
            <w:shd w:val="clear" w:color="auto" w:fill="B8CCE4"/>
            <w:hideMark/>
          </w:tcPr>
          <w:p w:rsidR="0034629B" w:rsidRPr="003C6E41" w:rsidRDefault="0034629B" w:rsidP="00CE1AFB">
            <w:pPr>
              <w:contextualSpacing/>
              <w:jc w:val="center"/>
              <w:rPr>
                <w:rFonts w:cs="Times New Roman"/>
              </w:rPr>
            </w:pPr>
            <w:r w:rsidRPr="003C6E41">
              <w:rPr>
                <w:rFonts w:cs="Times New Roman"/>
              </w:rPr>
              <w:t>2874</w:t>
            </w:r>
          </w:p>
        </w:tc>
        <w:tc>
          <w:tcPr>
            <w:tcW w:w="833" w:type="pct"/>
            <w:tcBorders>
              <w:left w:val="single" w:sz="4" w:space="0" w:color="auto"/>
            </w:tcBorders>
            <w:shd w:val="clear" w:color="auto" w:fill="B8CCE4"/>
          </w:tcPr>
          <w:p w:rsidR="0034629B" w:rsidRPr="003C6E41" w:rsidRDefault="0034629B" w:rsidP="00CE1AFB">
            <w:pPr>
              <w:contextualSpacing/>
              <w:jc w:val="center"/>
              <w:rPr>
                <w:rFonts w:cs="Times New Roman"/>
              </w:rPr>
            </w:pPr>
            <w:r w:rsidRPr="003C6E41">
              <w:rPr>
                <w:rFonts w:cs="Times New Roman"/>
              </w:rPr>
              <w:t>15</w:t>
            </w:r>
          </w:p>
        </w:tc>
        <w:tc>
          <w:tcPr>
            <w:tcW w:w="833" w:type="pct"/>
            <w:shd w:val="clear" w:color="auto" w:fill="B8CCE4"/>
          </w:tcPr>
          <w:p w:rsidR="0034629B" w:rsidRPr="003C6E41" w:rsidRDefault="0034629B" w:rsidP="00CE1AFB">
            <w:pPr>
              <w:contextualSpacing/>
              <w:jc w:val="center"/>
              <w:rPr>
                <w:rFonts w:cs="Times New Roman"/>
              </w:rPr>
            </w:pPr>
            <w:r w:rsidRPr="003C6E41">
              <w:rPr>
                <w:rFonts w:cs="Times New Roman"/>
              </w:rPr>
              <w:t>1150</w:t>
            </w:r>
          </w:p>
        </w:tc>
        <w:tc>
          <w:tcPr>
            <w:tcW w:w="833" w:type="pct"/>
            <w:shd w:val="clear" w:color="auto" w:fill="B8CCE4"/>
          </w:tcPr>
          <w:p w:rsidR="0034629B" w:rsidRPr="003C6E41" w:rsidRDefault="0034629B" w:rsidP="00CE1AFB">
            <w:pPr>
              <w:contextualSpacing/>
              <w:jc w:val="center"/>
              <w:rPr>
                <w:rFonts w:cs="Times New Roman"/>
              </w:rPr>
            </w:pPr>
            <w:r w:rsidRPr="003C6E41">
              <w:rPr>
                <w:rFonts w:cs="Times New Roman"/>
              </w:rPr>
              <w:t>2865</w:t>
            </w:r>
          </w:p>
        </w:tc>
      </w:tr>
      <w:tr w:rsidR="0034629B" w:rsidRPr="00BF4E7E" w:rsidTr="00CE1AFB">
        <w:trPr>
          <w:trHeight w:val="395"/>
        </w:trPr>
        <w:tc>
          <w:tcPr>
            <w:tcW w:w="833" w:type="pct"/>
            <w:hideMark/>
          </w:tcPr>
          <w:p w:rsidR="0034629B" w:rsidRPr="003C6E41" w:rsidRDefault="0034629B" w:rsidP="00CE1AFB">
            <w:pPr>
              <w:contextualSpacing/>
              <w:jc w:val="center"/>
              <w:rPr>
                <w:rFonts w:cs="Times New Roman"/>
              </w:rPr>
            </w:pPr>
            <w:r w:rsidRPr="003C6E41">
              <w:rPr>
                <w:rFonts w:cs="Times New Roman"/>
              </w:rPr>
              <w:t>7</w:t>
            </w:r>
          </w:p>
        </w:tc>
        <w:tc>
          <w:tcPr>
            <w:tcW w:w="833" w:type="pct"/>
            <w:hideMark/>
          </w:tcPr>
          <w:p w:rsidR="0034629B" w:rsidRPr="003C6E41" w:rsidRDefault="0034629B" w:rsidP="00CE1AFB">
            <w:pPr>
              <w:contextualSpacing/>
              <w:jc w:val="center"/>
              <w:rPr>
                <w:rFonts w:cs="Times New Roman"/>
              </w:rPr>
            </w:pPr>
            <w:r w:rsidRPr="003C6E41">
              <w:rPr>
                <w:rFonts w:cs="Times New Roman"/>
              </w:rPr>
              <w:t>2022</w:t>
            </w:r>
          </w:p>
        </w:tc>
        <w:tc>
          <w:tcPr>
            <w:tcW w:w="833" w:type="pct"/>
            <w:tcBorders>
              <w:right w:val="single" w:sz="4" w:space="0" w:color="auto"/>
            </w:tcBorders>
            <w:hideMark/>
          </w:tcPr>
          <w:p w:rsidR="0034629B" w:rsidRPr="003C6E41" w:rsidRDefault="0034629B" w:rsidP="00CE1AFB">
            <w:pPr>
              <w:contextualSpacing/>
              <w:jc w:val="center"/>
              <w:rPr>
                <w:rFonts w:cs="Times New Roman"/>
              </w:rPr>
            </w:pPr>
            <w:r w:rsidRPr="003C6E41">
              <w:rPr>
                <w:rFonts w:cs="Times New Roman"/>
              </w:rPr>
              <w:t>4726</w:t>
            </w:r>
          </w:p>
        </w:tc>
        <w:tc>
          <w:tcPr>
            <w:tcW w:w="833" w:type="pct"/>
            <w:tcBorders>
              <w:left w:val="single" w:sz="4" w:space="0" w:color="auto"/>
            </w:tcBorders>
          </w:tcPr>
          <w:p w:rsidR="0034629B" w:rsidRPr="003C6E41" w:rsidRDefault="0034629B" w:rsidP="00CE1AFB">
            <w:pPr>
              <w:contextualSpacing/>
              <w:jc w:val="center"/>
              <w:rPr>
                <w:rFonts w:cs="Times New Roman"/>
              </w:rPr>
            </w:pPr>
            <w:r w:rsidRPr="003C6E41">
              <w:rPr>
                <w:rFonts w:cs="Times New Roman"/>
              </w:rPr>
              <w:t>16</w:t>
            </w:r>
          </w:p>
        </w:tc>
        <w:tc>
          <w:tcPr>
            <w:tcW w:w="833" w:type="pct"/>
          </w:tcPr>
          <w:p w:rsidR="0034629B" w:rsidRPr="003C6E41" w:rsidRDefault="0034629B" w:rsidP="00CE1AFB">
            <w:pPr>
              <w:contextualSpacing/>
              <w:jc w:val="center"/>
              <w:rPr>
                <w:rFonts w:cs="Times New Roman"/>
              </w:rPr>
            </w:pPr>
            <w:r w:rsidRPr="003C6E41">
              <w:rPr>
                <w:rFonts w:cs="Times New Roman"/>
              </w:rPr>
              <w:t>3227</w:t>
            </w:r>
          </w:p>
        </w:tc>
        <w:tc>
          <w:tcPr>
            <w:tcW w:w="833" w:type="pct"/>
          </w:tcPr>
          <w:p w:rsidR="0034629B" w:rsidRPr="003C6E41" w:rsidRDefault="0034629B" w:rsidP="00CE1AFB">
            <w:pPr>
              <w:contextualSpacing/>
              <w:jc w:val="center"/>
              <w:rPr>
                <w:rFonts w:cs="Times New Roman"/>
              </w:rPr>
            </w:pPr>
            <w:r w:rsidRPr="003C6E41">
              <w:rPr>
                <w:rFonts w:cs="Times New Roman"/>
              </w:rPr>
              <w:t>5087</w:t>
            </w:r>
          </w:p>
        </w:tc>
      </w:tr>
      <w:tr w:rsidR="0034629B" w:rsidRPr="00BF4E7E" w:rsidTr="00CE1AFB">
        <w:trPr>
          <w:trHeight w:val="395"/>
        </w:trPr>
        <w:tc>
          <w:tcPr>
            <w:tcW w:w="833" w:type="pct"/>
            <w:shd w:val="clear" w:color="auto" w:fill="B8CCE4"/>
            <w:hideMark/>
          </w:tcPr>
          <w:p w:rsidR="0034629B" w:rsidRPr="003C6E41" w:rsidRDefault="0034629B" w:rsidP="00CE1AFB">
            <w:pPr>
              <w:contextualSpacing/>
              <w:jc w:val="center"/>
              <w:rPr>
                <w:rFonts w:cs="Times New Roman"/>
              </w:rPr>
            </w:pPr>
            <w:r w:rsidRPr="003C6E41">
              <w:rPr>
                <w:rFonts w:cs="Times New Roman"/>
              </w:rPr>
              <w:t>8</w:t>
            </w:r>
          </w:p>
        </w:tc>
        <w:tc>
          <w:tcPr>
            <w:tcW w:w="833" w:type="pct"/>
            <w:shd w:val="clear" w:color="auto" w:fill="B8CCE4"/>
            <w:hideMark/>
          </w:tcPr>
          <w:p w:rsidR="0034629B" w:rsidRPr="003C6E41" w:rsidRDefault="0034629B" w:rsidP="00CE1AFB">
            <w:pPr>
              <w:contextualSpacing/>
              <w:jc w:val="center"/>
              <w:rPr>
                <w:rFonts w:cs="Times New Roman"/>
              </w:rPr>
            </w:pPr>
            <w:r w:rsidRPr="003C6E41">
              <w:rPr>
                <w:rFonts w:cs="Times New Roman"/>
              </w:rPr>
              <w:t>1440</w:t>
            </w:r>
          </w:p>
        </w:tc>
        <w:tc>
          <w:tcPr>
            <w:tcW w:w="833" w:type="pct"/>
            <w:tcBorders>
              <w:right w:val="single" w:sz="4" w:space="0" w:color="auto"/>
            </w:tcBorders>
            <w:shd w:val="clear" w:color="auto" w:fill="B8CCE4"/>
            <w:hideMark/>
          </w:tcPr>
          <w:p w:rsidR="0034629B" w:rsidRPr="003C6E41" w:rsidRDefault="0034629B" w:rsidP="00CE1AFB">
            <w:pPr>
              <w:contextualSpacing/>
              <w:jc w:val="center"/>
              <w:rPr>
                <w:rFonts w:cs="Times New Roman"/>
              </w:rPr>
            </w:pPr>
            <w:r w:rsidRPr="003C6E41">
              <w:rPr>
                <w:rFonts w:cs="Times New Roman"/>
              </w:rPr>
              <w:t>3681</w:t>
            </w:r>
          </w:p>
        </w:tc>
        <w:tc>
          <w:tcPr>
            <w:tcW w:w="833" w:type="pct"/>
            <w:tcBorders>
              <w:left w:val="single" w:sz="4" w:space="0" w:color="auto"/>
            </w:tcBorders>
            <w:shd w:val="clear" w:color="auto" w:fill="B8CCE4"/>
          </w:tcPr>
          <w:p w:rsidR="0034629B" w:rsidRPr="003C6E41" w:rsidRDefault="0034629B" w:rsidP="00CE1AFB">
            <w:pPr>
              <w:contextualSpacing/>
              <w:jc w:val="center"/>
              <w:rPr>
                <w:rFonts w:cs="Times New Roman"/>
              </w:rPr>
            </w:pPr>
            <w:r w:rsidRPr="003C6E41">
              <w:rPr>
                <w:rFonts w:cs="Times New Roman"/>
              </w:rPr>
              <w:t>17</w:t>
            </w:r>
          </w:p>
        </w:tc>
        <w:tc>
          <w:tcPr>
            <w:tcW w:w="833" w:type="pct"/>
            <w:shd w:val="clear" w:color="auto" w:fill="B8CCE4"/>
          </w:tcPr>
          <w:p w:rsidR="0034629B" w:rsidRPr="003C6E41" w:rsidRDefault="0034629B" w:rsidP="00CE1AFB">
            <w:pPr>
              <w:contextualSpacing/>
              <w:jc w:val="center"/>
              <w:rPr>
                <w:rFonts w:cs="Times New Roman"/>
              </w:rPr>
            </w:pPr>
            <w:r w:rsidRPr="003C6E41">
              <w:rPr>
                <w:rFonts w:cs="Times New Roman"/>
              </w:rPr>
              <w:t>1012</w:t>
            </w:r>
          </w:p>
        </w:tc>
        <w:tc>
          <w:tcPr>
            <w:tcW w:w="833" w:type="pct"/>
            <w:shd w:val="clear" w:color="auto" w:fill="B8CCE4"/>
          </w:tcPr>
          <w:p w:rsidR="0034629B" w:rsidRPr="003C6E41" w:rsidRDefault="0034629B" w:rsidP="00CE1AFB">
            <w:pPr>
              <w:contextualSpacing/>
              <w:jc w:val="center"/>
              <w:rPr>
                <w:rFonts w:cs="Times New Roman"/>
              </w:rPr>
            </w:pPr>
            <w:r w:rsidRPr="003C6E41">
              <w:rPr>
                <w:rFonts w:cs="Times New Roman"/>
              </w:rPr>
              <w:t>3112</w:t>
            </w:r>
          </w:p>
        </w:tc>
      </w:tr>
      <w:tr w:rsidR="0034629B" w:rsidRPr="00BF4E7E" w:rsidTr="00CE1AFB">
        <w:trPr>
          <w:trHeight w:val="378"/>
        </w:trPr>
        <w:tc>
          <w:tcPr>
            <w:tcW w:w="833" w:type="pct"/>
            <w:hideMark/>
          </w:tcPr>
          <w:p w:rsidR="0034629B" w:rsidRPr="003C6E41" w:rsidRDefault="0034629B" w:rsidP="00CE1AFB">
            <w:pPr>
              <w:contextualSpacing/>
              <w:jc w:val="center"/>
              <w:rPr>
                <w:rFonts w:cs="Times New Roman"/>
              </w:rPr>
            </w:pPr>
            <w:r w:rsidRPr="003C6E41">
              <w:rPr>
                <w:rFonts w:cs="Times New Roman"/>
              </w:rPr>
              <w:t>9</w:t>
            </w:r>
          </w:p>
        </w:tc>
        <w:tc>
          <w:tcPr>
            <w:tcW w:w="833" w:type="pct"/>
            <w:hideMark/>
          </w:tcPr>
          <w:p w:rsidR="0034629B" w:rsidRPr="003C6E41" w:rsidRDefault="0034629B" w:rsidP="00CE1AFB">
            <w:pPr>
              <w:contextualSpacing/>
              <w:jc w:val="center"/>
              <w:rPr>
                <w:rFonts w:cs="Times New Roman"/>
              </w:rPr>
            </w:pPr>
            <w:r w:rsidRPr="003C6E41">
              <w:rPr>
                <w:rFonts w:cs="Times New Roman"/>
              </w:rPr>
              <w:t>950</w:t>
            </w:r>
          </w:p>
        </w:tc>
        <w:tc>
          <w:tcPr>
            <w:tcW w:w="833" w:type="pct"/>
            <w:tcBorders>
              <w:right w:val="single" w:sz="4" w:space="0" w:color="auto"/>
            </w:tcBorders>
            <w:hideMark/>
          </w:tcPr>
          <w:p w:rsidR="0034629B" w:rsidRPr="003C6E41" w:rsidRDefault="0034629B" w:rsidP="00CE1AFB">
            <w:pPr>
              <w:contextualSpacing/>
              <w:jc w:val="center"/>
              <w:rPr>
                <w:rFonts w:cs="Times New Roman"/>
              </w:rPr>
            </w:pPr>
            <w:r w:rsidRPr="003C6E41">
              <w:rPr>
                <w:rFonts w:cs="Times New Roman"/>
              </w:rPr>
              <w:t>2903</w:t>
            </w:r>
          </w:p>
        </w:tc>
        <w:tc>
          <w:tcPr>
            <w:tcW w:w="833" w:type="pct"/>
            <w:tcBorders>
              <w:left w:val="single" w:sz="4" w:space="0" w:color="auto"/>
              <w:bottom w:val="single" w:sz="4" w:space="0" w:color="7F7F7F" w:themeColor="text1" w:themeTint="80"/>
            </w:tcBorders>
          </w:tcPr>
          <w:p w:rsidR="0034629B" w:rsidRPr="003C6E41" w:rsidRDefault="0034629B" w:rsidP="00CE1AFB">
            <w:pPr>
              <w:contextualSpacing/>
              <w:jc w:val="center"/>
              <w:rPr>
                <w:rFonts w:cs="Times New Roman"/>
              </w:rPr>
            </w:pPr>
            <w:r w:rsidRPr="003C6E41">
              <w:rPr>
                <w:rFonts w:cs="Times New Roman"/>
              </w:rPr>
              <w:t>18</w:t>
            </w:r>
          </w:p>
        </w:tc>
        <w:tc>
          <w:tcPr>
            <w:tcW w:w="833" w:type="pct"/>
          </w:tcPr>
          <w:p w:rsidR="0034629B" w:rsidRPr="003C6E41" w:rsidRDefault="0034629B" w:rsidP="00CE1AFB">
            <w:pPr>
              <w:contextualSpacing/>
              <w:jc w:val="center"/>
              <w:rPr>
                <w:rFonts w:cs="Times New Roman"/>
              </w:rPr>
            </w:pPr>
            <w:r w:rsidRPr="003C6E41">
              <w:rPr>
                <w:rFonts w:cs="Times New Roman"/>
              </w:rPr>
              <w:t>2389</w:t>
            </w:r>
          </w:p>
        </w:tc>
        <w:tc>
          <w:tcPr>
            <w:tcW w:w="833" w:type="pct"/>
          </w:tcPr>
          <w:p w:rsidR="0034629B" w:rsidRPr="003C6E41" w:rsidRDefault="0034629B" w:rsidP="00CE1AFB">
            <w:pPr>
              <w:contextualSpacing/>
              <w:jc w:val="center"/>
              <w:rPr>
                <w:rFonts w:cs="Times New Roman"/>
              </w:rPr>
            </w:pPr>
            <w:r w:rsidRPr="003C6E41">
              <w:rPr>
                <w:rFonts w:cs="Times New Roman"/>
              </w:rPr>
              <w:t>3725</w:t>
            </w:r>
          </w:p>
        </w:tc>
      </w:tr>
    </w:tbl>
    <w:p w:rsidR="0034629B" w:rsidRDefault="0034629B" w:rsidP="0034629B">
      <w:pPr>
        <w:contextualSpacing/>
        <w:rPr>
          <w:rFonts w:ascii="Times New Roman" w:hAnsi="Times New Roman" w:cs="Times New Roman"/>
          <w:b/>
          <w:sz w:val="24"/>
          <w:szCs w:val="24"/>
        </w:rPr>
      </w:pPr>
    </w:p>
    <w:p w:rsidR="0034629B" w:rsidRDefault="0034629B" w:rsidP="0034629B">
      <w:pPr>
        <w:contextualSpacing/>
        <w:rPr>
          <w:rFonts w:ascii="Times New Roman" w:hAnsi="Times New Roman" w:cs="Times New Roman"/>
          <w:b/>
          <w:sz w:val="24"/>
          <w:szCs w:val="24"/>
        </w:rPr>
      </w:pPr>
    </w:p>
    <w:p w:rsidR="0034629B" w:rsidRDefault="0034629B" w:rsidP="0034629B">
      <w:pPr>
        <w:contextualSpacing/>
        <w:rPr>
          <w:rFonts w:ascii="Times New Roman" w:hAnsi="Times New Roman" w:cs="Times New Roman"/>
          <w:b/>
          <w:sz w:val="24"/>
          <w:szCs w:val="24"/>
        </w:rPr>
      </w:pPr>
    </w:p>
    <w:p w:rsidR="000F5868" w:rsidRDefault="000F5868" w:rsidP="000F5868">
      <w:pPr>
        <w:rPr>
          <w:b/>
          <w:color w:val="1F4E79"/>
        </w:rPr>
      </w:pPr>
    </w:p>
    <w:p w:rsidR="00064B95" w:rsidRDefault="00064B95" w:rsidP="000F5868">
      <w:pPr>
        <w:rPr>
          <w:b/>
          <w:color w:val="1F4E79"/>
        </w:rPr>
      </w:pPr>
    </w:p>
    <w:p w:rsidR="000F5868" w:rsidRDefault="000F5868" w:rsidP="000F5868">
      <w:pPr>
        <w:rPr>
          <w:b/>
          <w:color w:val="1F4E79"/>
        </w:rPr>
      </w:pPr>
    </w:p>
    <w:p w:rsidR="008741B0" w:rsidRDefault="008741B0" w:rsidP="000F5868">
      <w:pPr>
        <w:rPr>
          <w:b/>
          <w:color w:val="1F4E79"/>
        </w:rPr>
      </w:pPr>
    </w:p>
    <w:p w:rsidR="0034629B" w:rsidRPr="000F5868" w:rsidRDefault="0034629B" w:rsidP="000F5868">
      <w:pPr>
        <w:rPr>
          <w:b/>
          <w:color w:val="1F4E79"/>
        </w:rPr>
      </w:pPr>
      <w:r w:rsidRPr="000F5868">
        <w:rPr>
          <w:b/>
          <w:color w:val="1F4E79"/>
        </w:rPr>
        <w:t>Analysis / Results</w:t>
      </w:r>
    </w:p>
    <w:p w:rsidR="0034629B" w:rsidRPr="00862D90" w:rsidRDefault="0034629B" w:rsidP="0034629B">
      <w:pPr>
        <w:contextualSpacing/>
        <w:rPr>
          <w:rFonts w:ascii="Calibri" w:hAnsi="Calibri" w:cs="Calibri"/>
        </w:rPr>
      </w:pPr>
      <w:r w:rsidRPr="00862D90">
        <w:rPr>
          <w:rFonts w:ascii="Calibri" w:hAnsi="Calibri" w:cs="Calibri"/>
        </w:rPr>
        <w:t xml:space="preserve">Concrete spending was weighted according to the number of individuals involved with the regional system by multiplying expenditures by the proportion of the total population that region represented. </w:t>
      </w:r>
    </w:p>
    <w:p w:rsidR="0034629B" w:rsidRPr="00862D90" w:rsidRDefault="0034629B" w:rsidP="0034629B">
      <w:pPr>
        <w:contextualSpacing/>
        <w:rPr>
          <w:rFonts w:ascii="Calibri" w:hAnsi="Calibri" w:cs="Calibri"/>
        </w:rPr>
      </w:pPr>
    </w:p>
    <w:p w:rsidR="0034629B" w:rsidRPr="00862D90" w:rsidRDefault="0034629B" w:rsidP="0034629B">
      <w:pPr>
        <w:contextualSpacing/>
        <w:rPr>
          <w:rFonts w:ascii="Calibri" w:hAnsi="Calibri" w:cs="Calibri"/>
        </w:rPr>
      </w:pPr>
      <w:r w:rsidRPr="00862D90">
        <w:rPr>
          <w:rFonts w:ascii="Calibri" w:hAnsi="Calibri" w:cs="Calibri"/>
        </w:rPr>
        <w:t>Prior to the Waiver implementation, mean concrete spending (</w:t>
      </w:r>
      <w:r w:rsidRPr="00862D90">
        <w:rPr>
          <w:rFonts w:ascii="Calibri" w:hAnsi="Calibri" w:cs="Calibri"/>
          <w:i/>
          <w:iCs/>
        </w:rPr>
        <w:t>M</w:t>
      </w:r>
      <w:r w:rsidRPr="00862D90">
        <w:rPr>
          <w:rFonts w:ascii="Calibri" w:hAnsi="Calibri" w:cs="Calibri"/>
        </w:rPr>
        <w:t>=$33 ±$1,862) ranged from $39-$145 per person involved in the waiver. Spending for concrete services increased post-Waiver to $84-$359 (</w:t>
      </w:r>
      <w:r w:rsidRPr="00862D90">
        <w:rPr>
          <w:rFonts w:ascii="Calibri" w:hAnsi="Calibri" w:cs="Calibri"/>
          <w:i/>
          <w:iCs/>
        </w:rPr>
        <w:t>M</w:t>
      </w:r>
      <w:r w:rsidRPr="00862D90">
        <w:rPr>
          <w:rFonts w:ascii="Calibri" w:hAnsi="Calibri" w:cs="Calibri"/>
        </w:rPr>
        <w:t xml:space="preserve">=$7±$63). </w:t>
      </w:r>
    </w:p>
    <w:p w:rsidR="0034629B" w:rsidRPr="00862D90" w:rsidRDefault="0034629B" w:rsidP="0034629B">
      <w:pPr>
        <w:contextualSpacing/>
        <w:rPr>
          <w:rFonts w:ascii="Calibri" w:hAnsi="Calibri" w:cs="Calibri"/>
        </w:rPr>
      </w:pPr>
    </w:p>
    <w:p w:rsidR="0034629B" w:rsidRPr="00862D90" w:rsidRDefault="0034629B" w:rsidP="0034629B">
      <w:pPr>
        <w:contextualSpacing/>
        <w:rPr>
          <w:rFonts w:ascii="Calibri" w:hAnsi="Calibri" w:cs="Calibri"/>
        </w:rPr>
      </w:pPr>
      <w:r w:rsidRPr="00862D90">
        <w:rPr>
          <w:rFonts w:ascii="Calibri" w:hAnsi="Calibri" w:cs="Calibri"/>
        </w:rPr>
        <w:t>QGIS, an open source geographic information system (GIS) software, was used to map data by region for concrete service spending pre- and post- waiver implementation to provide a visual representation of the findings.  Three maps were created illustrating spending prior to Waiver implementation (Figure 1</w:t>
      </w:r>
      <w:r w:rsidR="008741B0">
        <w:rPr>
          <w:rFonts w:ascii="Calibri" w:hAnsi="Calibri" w:cs="Calibri"/>
        </w:rPr>
        <w:t>9</w:t>
      </w:r>
      <w:r w:rsidRPr="00862D90">
        <w:rPr>
          <w:rFonts w:ascii="Calibri" w:hAnsi="Calibri" w:cs="Calibri"/>
        </w:rPr>
        <w:t xml:space="preserve">), post waiver implementation (Figure </w:t>
      </w:r>
      <w:r w:rsidR="008741B0">
        <w:rPr>
          <w:rFonts w:ascii="Calibri" w:hAnsi="Calibri" w:cs="Calibri"/>
        </w:rPr>
        <w:t>0</w:t>
      </w:r>
      <w:r w:rsidRPr="00862D90">
        <w:rPr>
          <w:rFonts w:ascii="Calibri" w:hAnsi="Calibri" w:cs="Calibri"/>
        </w:rPr>
        <w:t xml:space="preserve">), and how spending pre- and post- waiver implementation (Figure </w:t>
      </w:r>
      <w:r w:rsidR="008741B0">
        <w:rPr>
          <w:rFonts w:ascii="Calibri" w:hAnsi="Calibri" w:cs="Calibri"/>
        </w:rPr>
        <w:t>21</w:t>
      </w:r>
      <w:r w:rsidRPr="00862D90">
        <w:rPr>
          <w:rFonts w:ascii="Calibri" w:hAnsi="Calibri" w:cs="Calibri"/>
        </w:rPr>
        <w:t>) differed. The stars in Figure 3 denote a statistically significant difference in regional spending pre- and post- Waiver.</w:t>
      </w:r>
    </w:p>
    <w:p w:rsidR="0034629B" w:rsidRDefault="0034629B" w:rsidP="0034629B">
      <w:pPr>
        <w:contextualSpacing/>
        <w:rPr>
          <w:rFonts w:ascii="Times New Roman" w:hAnsi="Times New Roman" w:cs="Times New Roman"/>
          <w:sz w:val="24"/>
          <w:szCs w:val="24"/>
        </w:rPr>
      </w:pPr>
    </w:p>
    <w:p w:rsidR="0034629B" w:rsidRPr="00F47E8A" w:rsidRDefault="0034629B" w:rsidP="0034629B">
      <w:pPr>
        <w:pStyle w:val="Heading4"/>
      </w:pPr>
      <w:r>
        <w:t>Figure 1</w:t>
      </w:r>
      <w:r w:rsidR="008741B0">
        <w:t>9</w:t>
      </w:r>
      <w:r w:rsidRPr="00F47E8A">
        <w:t>. Mean Spending P</w:t>
      </w:r>
      <w:r>
        <w:t>re</w:t>
      </w:r>
      <w:r w:rsidRPr="00F47E8A">
        <w:t>-Waiver</w:t>
      </w:r>
    </w:p>
    <w:p w:rsidR="0034629B" w:rsidRPr="00BF4E7E" w:rsidRDefault="0034629B" w:rsidP="0034629B">
      <w:pPr>
        <w:contextualSpacing/>
        <w:rPr>
          <w:rFonts w:ascii="Times New Roman" w:hAnsi="Times New Roman" w:cs="Times New Roman"/>
          <w:sz w:val="24"/>
          <w:szCs w:val="24"/>
        </w:rPr>
      </w:pPr>
      <w:r w:rsidRPr="00BF4E7E">
        <w:rPr>
          <w:rFonts w:ascii="Times New Roman" w:hAnsi="Times New Roman" w:cs="Times New Roman"/>
          <w:noProof/>
          <w:sz w:val="24"/>
          <w:szCs w:val="24"/>
        </w:rPr>
        <w:drawing>
          <wp:inline distT="0" distB="0" distL="0" distR="0" wp14:anchorId="560F7B1D" wp14:editId="2AF2E4F9">
            <wp:extent cx="5104503" cy="4867275"/>
            <wp:effectExtent l="0" t="0" r="127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38" cstate="print">
                      <a:extLst>
                        <a:ext uri="{28A0092B-C50C-407E-A947-70E740481C1C}">
                          <a14:useLocalDpi xmlns:a14="http://schemas.microsoft.com/office/drawing/2010/main" val="0"/>
                        </a:ext>
                      </a:extLst>
                    </a:blip>
                    <a:srcRect l="5457" t="4858" b="33143"/>
                    <a:stretch/>
                  </pic:blipFill>
                  <pic:spPr>
                    <a:xfrm>
                      <a:off x="0" y="0"/>
                      <a:ext cx="5129375" cy="4890991"/>
                    </a:xfrm>
                    <a:prstGeom prst="rect">
                      <a:avLst/>
                    </a:prstGeom>
                  </pic:spPr>
                </pic:pic>
              </a:graphicData>
            </a:graphic>
          </wp:inline>
        </w:drawing>
      </w:r>
    </w:p>
    <w:p w:rsidR="0034629B" w:rsidRPr="00F533F5" w:rsidRDefault="0034629B" w:rsidP="0034629B">
      <w:pPr>
        <w:pStyle w:val="Heading4"/>
      </w:pPr>
      <w:r>
        <w:t>Figure 2</w:t>
      </w:r>
      <w:r w:rsidR="008741B0">
        <w:t>0</w:t>
      </w:r>
      <w:r>
        <w:t>. Mean Spending Post</w:t>
      </w:r>
      <w:r w:rsidRPr="00F47E8A">
        <w:t xml:space="preserve"> Waiver</w:t>
      </w:r>
    </w:p>
    <w:p w:rsidR="0034629B" w:rsidRPr="00BF4E7E" w:rsidRDefault="0034629B" w:rsidP="0034629B">
      <w:pPr>
        <w:contextualSpacing/>
        <w:rPr>
          <w:rFonts w:ascii="Times New Roman" w:hAnsi="Times New Roman" w:cs="Times New Roman"/>
          <w:sz w:val="24"/>
          <w:szCs w:val="24"/>
        </w:rPr>
      </w:pPr>
      <w:r w:rsidRPr="00BF4E7E">
        <w:rPr>
          <w:rFonts w:ascii="Times New Roman" w:hAnsi="Times New Roman" w:cs="Times New Roman"/>
          <w:noProof/>
          <w:sz w:val="24"/>
          <w:szCs w:val="24"/>
        </w:rPr>
        <w:drawing>
          <wp:inline distT="0" distB="0" distL="0" distR="0" wp14:anchorId="4346EB57" wp14:editId="12BF3C01">
            <wp:extent cx="5943600" cy="6212205"/>
            <wp:effectExtent l="0" t="0" r="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39" cstate="print">
                      <a:extLst>
                        <a:ext uri="{28A0092B-C50C-407E-A947-70E740481C1C}">
                          <a14:useLocalDpi xmlns:a14="http://schemas.microsoft.com/office/drawing/2010/main" val="0"/>
                        </a:ext>
                      </a:extLst>
                    </a:blip>
                    <a:srcRect l="6281" t="19188" r="-862" b="17825"/>
                    <a:stretch/>
                  </pic:blipFill>
                  <pic:spPr>
                    <a:xfrm>
                      <a:off x="0" y="0"/>
                      <a:ext cx="5943600" cy="6212205"/>
                    </a:xfrm>
                    <a:prstGeom prst="rect">
                      <a:avLst/>
                    </a:prstGeom>
                  </pic:spPr>
                </pic:pic>
              </a:graphicData>
            </a:graphic>
          </wp:inline>
        </w:drawing>
      </w:r>
    </w:p>
    <w:p w:rsidR="0034629B" w:rsidRDefault="0034629B" w:rsidP="0034629B">
      <w:pPr>
        <w:contextualSpacing/>
        <w:rPr>
          <w:rFonts w:ascii="Times New Roman" w:hAnsi="Times New Roman" w:cs="Times New Roman"/>
          <w:i/>
          <w:sz w:val="24"/>
          <w:szCs w:val="24"/>
        </w:rPr>
      </w:pPr>
    </w:p>
    <w:p w:rsidR="0034629B" w:rsidRDefault="0034629B" w:rsidP="0034629B">
      <w:pPr>
        <w:contextualSpacing/>
        <w:rPr>
          <w:rFonts w:ascii="Times New Roman" w:hAnsi="Times New Roman" w:cs="Times New Roman"/>
          <w:i/>
          <w:sz w:val="24"/>
          <w:szCs w:val="24"/>
        </w:rPr>
      </w:pPr>
    </w:p>
    <w:p w:rsidR="0034629B" w:rsidRDefault="0034629B" w:rsidP="0034629B">
      <w:pPr>
        <w:contextualSpacing/>
        <w:rPr>
          <w:rFonts w:ascii="Times New Roman" w:hAnsi="Times New Roman" w:cs="Times New Roman"/>
          <w:i/>
          <w:sz w:val="24"/>
          <w:szCs w:val="24"/>
        </w:rPr>
      </w:pPr>
    </w:p>
    <w:p w:rsidR="0034629B" w:rsidRDefault="0034629B" w:rsidP="0034629B">
      <w:pPr>
        <w:contextualSpacing/>
        <w:rPr>
          <w:rFonts w:ascii="Times New Roman" w:hAnsi="Times New Roman" w:cs="Times New Roman"/>
          <w:i/>
          <w:sz w:val="24"/>
          <w:szCs w:val="24"/>
        </w:rPr>
      </w:pPr>
    </w:p>
    <w:p w:rsidR="0034629B" w:rsidRDefault="0034629B" w:rsidP="0034629B">
      <w:pPr>
        <w:contextualSpacing/>
        <w:rPr>
          <w:rFonts w:ascii="Times New Roman" w:hAnsi="Times New Roman" w:cs="Times New Roman"/>
          <w:i/>
          <w:sz w:val="24"/>
          <w:szCs w:val="24"/>
        </w:rPr>
      </w:pPr>
    </w:p>
    <w:p w:rsidR="0034629B" w:rsidRDefault="0034629B" w:rsidP="0034629B">
      <w:pPr>
        <w:contextualSpacing/>
        <w:rPr>
          <w:rFonts w:ascii="Times New Roman" w:hAnsi="Times New Roman" w:cs="Times New Roman"/>
          <w:i/>
          <w:sz w:val="24"/>
          <w:szCs w:val="24"/>
        </w:rPr>
      </w:pPr>
    </w:p>
    <w:p w:rsidR="0034629B" w:rsidRPr="00F47E8A" w:rsidRDefault="0034629B" w:rsidP="0034629B">
      <w:pPr>
        <w:pStyle w:val="Heading4"/>
      </w:pPr>
      <w:r w:rsidRPr="00F47E8A">
        <w:t xml:space="preserve">Figure </w:t>
      </w:r>
      <w:r w:rsidR="008741B0">
        <w:t>21</w:t>
      </w:r>
      <w:r w:rsidRPr="00F47E8A">
        <w:t>. Mean Spending Difference</w:t>
      </w:r>
    </w:p>
    <w:p w:rsidR="0034629B" w:rsidRDefault="0034629B" w:rsidP="0034629B">
      <w:pPr>
        <w:contextualSpacing/>
        <w:rPr>
          <w:rFonts w:ascii="Times New Roman" w:hAnsi="Times New Roman" w:cs="Times New Roman"/>
          <w:sz w:val="24"/>
          <w:szCs w:val="24"/>
        </w:rPr>
      </w:pPr>
      <w:r w:rsidRPr="00BF4E7E">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4D6DAC35" wp14:editId="03744FCA">
                <wp:simplePos x="0" y="0"/>
                <wp:positionH relativeFrom="column">
                  <wp:posOffset>3181350</wp:posOffset>
                </wp:positionH>
                <wp:positionV relativeFrom="paragraph">
                  <wp:posOffset>5753100</wp:posOffset>
                </wp:positionV>
                <wp:extent cx="3208578" cy="784830"/>
                <wp:effectExtent l="0" t="0" r="0" b="0"/>
                <wp:wrapNone/>
                <wp:docPr id="1" name="TextBox 9"/>
                <wp:cNvGraphicFramePr/>
                <a:graphic xmlns:a="http://schemas.openxmlformats.org/drawingml/2006/main">
                  <a:graphicData uri="http://schemas.microsoft.com/office/word/2010/wordprocessingShape">
                    <wps:wsp>
                      <wps:cNvSpPr txBox="1"/>
                      <wps:spPr>
                        <a:xfrm>
                          <a:off x="0" y="0"/>
                          <a:ext cx="3208578" cy="784830"/>
                        </a:xfrm>
                        <a:prstGeom prst="rect">
                          <a:avLst/>
                        </a:prstGeom>
                        <a:noFill/>
                      </wps:spPr>
                      <wps:txbx>
                        <w:txbxContent>
                          <w:p w:rsidR="00CE2773" w:rsidRPr="003C6E41" w:rsidRDefault="00CE2773" w:rsidP="0034629B">
                            <w:pPr>
                              <w:pStyle w:val="NormalWeb"/>
                              <w:spacing w:before="0" w:beforeAutospacing="0" w:after="0" w:afterAutospacing="0"/>
                              <w:textAlignment w:val="baseline"/>
                              <w:rPr>
                                <w:rFonts w:asciiTheme="minorHAnsi" w:eastAsia="MS PGothic" w:hAnsiTheme="minorHAnsi" w:cs="MS PGothic"/>
                                <w:i/>
                                <w:iCs/>
                                <w:color w:val="000000" w:themeColor="text1"/>
                                <w:kern w:val="24"/>
                                <w:szCs w:val="30"/>
                              </w:rPr>
                            </w:pPr>
                            <w:r w:rsidRPr="003C6E41">
                              <w:rPr>
                                <w:rFonts w:asciiTheme="minorHAnsi" w:eastAsia="MS PGothic" w:hAnsiTheme="minorHAnsi" w:cs="MS PGothic"/>
                                <w:i/>
                                <w:iCs/>
                                <w:color w:val="000000" w:themeColor="text1"/>
                                <w:kern w:val="24"/>
                                <w:szCs w:val="30"/>
                              </w:rPr>
                              <w:t xml:space="preserve">= significant (p&lt;.05) difference in spending   </w:t>
                            </w:r>
                          </w:p>
                          <w:p w:rsidR="00CE2773" w:rsidRPr="003C6E41" w:rsidRDefault="00CE2773" w:rsidP="0034629B">
                            <w:pPr>
                              <w:pStyle w:val="NormalWeb"/>
                              <w:spacing w:before="0" w:beforeAutospacing="0" w:after="0" w:afterAutospacing="0"/>
                              <w:textAlignment w:val="baseline"/>
                              <w:rPr>
                                <w:rFonts w:asciiTheme="minorHAnsi" w:hAnsiTheme="minorHAnsi"/>
                                <w:sz w:val="20"/>
                              </w:rPr>
                            </w:pPr>
                            <w:r w:rsidRPr="003C6E41">
                              <w:rPr>
                                <w:rFonts w:asciiTheme="minorHAnsi" w:eastAsia="MS PGothic" w:hAnsiTheme="minorHAnsi" w:cs="MS PGothic"/>
                                <w:i/>
                                <w:iCs/>
                                <w:color w:val="000000" w:themeColor="text1"/>
                                <w:kern w:val="24"/>
                                <w:szCs w:val="30"/>
                              </w:rPr>
                              <w:t xml:space="preserve">    before and after Waiver implementation</w:t>
                            </w:r>
                          </w:p>
                        </w:txbxContent>
                      </wps:txbx>
                      <wps:bodyPr wrap="square" rtlCol="0">
                        <a:spAutoFit/>
                      </wps:bodyPr>
                    </wps:wsp>
                  </a:graphicData>
                </a:graphic>
              </wp:anchor>
            </w:drawing>
          </mc:Choice>
          <mc:Fallback>
            <w:pict>
              <v:shape w14:anchorId="4D6DAC35" id="TextBox 9" o:spid="_x0000_s1033" type="#_x0000_t202" style="position:absolute;margin-left:250.5pt;margin-top:453pt;width:252.65pt;height:61.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" filled="f" stroked="f">
                <v:textbox style="mso-fit-shape-to-text:t">
                  <w:txbxContent>
                    <w:p w:rsidR="00CE2773" w:rsidRPr="003C6E41" w:rsidRDefault="00CE2773" w:rsidP="0034629B">
                      <w:pPr>
                        <w:pStyle w:val="NormalWeb"/>
                        <w:spacing w:before="0" w:beforeAutospacing="0" w:after="0" w:afterAutospacing="0"/>
                        <w:textAlignment w:val="baseline"/>
                        <w:rPr>
                          <w:rFonts w:asciiTheme="minorHAnsi" w:eastAsia="MS PGothic" w:hAnsiTheme="minorHAnsi" w:cs="MS PGothic"/>
                          <w:i/>
                          <w:iCs/>
                          <w:color w:val="000000" w:themeColor="text1"/>
                          <w:kern w:val="24"/>
                          <w:szCs w:val="30"/>
                        </w:rPr>
                      </w:pPr>
                      <w:r w:rsidRPr="003C6E41">
                        <w:rPr>
                          <w:rFonts w:asciiTheme="minorHAnsi" w:eastAsia="MS PGothic" w:hAnsiTheme="minorHAnsi" w:cs="MS PGothic"/>
                          <w:i/>
                          <w:iCs/>
                          <w:color w:val="000000" w:themeColor="text1"/>
                          <w:kern w:val="24"/>
                          <w:szCs w:val="30"/>
                        </w:rPr>
                        <w:t xml:space="preserve">= significant (p&lt;.05) difference in spending   </w:t>
                      </w:r>
                    </w:p>
                    <w:p w:rsidR="00CE2773" w:rsidRPr="003C6E41" w:rsidRDefault="00CE2773" w:rsidP="0034629B">
                      <w:pPr>
                        <w:pStyle w:val="NormalWeb"/>
                        <w:spacing w:before="0" w:beforeAutospacing="0" w:after="0" w:afterAutospacing="0"/>
                        <w:textAlignment w:val="baseline"/>
                        <w:rPr>
                          <w:rFonts w:asciiTheme="minorHAnsi" w:hAnsiTheme="minorHAnsi"/>
                          <w:sz w:val="20"/>
                        </w:rPr>
                      </w:pPr>
                      <w:r w:rsidRPr="003C6E41">
                        <w:rPr>
                          <w:rFonts w:asciiTheme="minorHAnsi" w:eastAsia="MS PGothic" w:hAnsiTheme="minorHAnsi" w:cs="MS PGothic"/>
                          <w:i/>
                          <w:iCs/>
                          <w:color w:val="000000" w:themeColor="text1"/>
                          <w:kern w:val="24"/>
                          <w:szCs w:val="30"/>
                        </w:rPr>
                        <w:t xml:space="preserve">    before and after Waiver implementation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2025A664" wp14:editId="5F6D1208">
                <wp:simplePos x="0" y="0"/>
                <wp:positionH relativeFrom="column">
                  <wp:posOffset>3095625</wp:posOffset>
                </wp:positionH>
                <wp:positionV relativeFrom="paragraph">
                  <wp:posOffset>5814060</wp:posOffset>
                </wp:positionV>
                <wp:extent cx="142875" cy="123825"/>
                <wp:effectExtent l="38100" t="38100" r="47625" b="47625"/>
                <wp:wrapNone/>
                <wp:docPr id="25" name="5-Point Star 25"/>
                <wp:cNvGraphicFramePr/>
                <a:graphic xmlns:a="http://schemas.openxmlformats.org/drawingml/2006/main">
                  <a:graphicData uri="http://schemas.microsoft.com/office/word/2010/wordprocessingShape">
                    <wps:wsp>
                      <wps:cNvSpPr/>
                      <wps:spPr>
                        <a:xfrm>
                          <a:off x="0" y="0"/>
                          <a:ext cx="142875" cy="123825"/>
                        </a:xfrm>
                        <a:prstGeom prst="star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68561C" id="5-Point Star 25" o:spid="_x0000_s1026" style="position:absolute;margin-left:243.75pt;margin-top:457.8pt;width:11.25pt;height:9.75pt;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14287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" path="m,47297r54574,l71438,,88301,47297r54574,l98724,76528r16864,47297l71438,94593,27287,123825,44151,76528,,47297xe" fillcolor="black [3213]" strokecolor="black [3213]" strokeweight="1pt">
                <v:stroke joinstyle="miter"/>
                <v:path arrowok="t" o:connecttype="custom" o:connectlocs="0,47297;54574,47297;71438,0;88301,47297;142875,47297;98724,76528;115588,123825;71438,94593;27287,123825;44151,76528;0,47297" o:connectangles="0,0,0,0,0,0,0,0,0,0,0"/>
              </v:shape>
            </w:pict>
          </mc:Fallback>
        </mc:AlternateContent>
      </w:r>
      <w:r w:rsidRPr="00BF4E7E">
        <w:rPr>
          <w:rFonts w:ascii="Times New Roman" w:hAnsi="Times New Roman" w:cs="Times New Roman"/>
          <w:noProof/>
          <w:sz w:val="24"/>
          <w:szCs w:val="24"/>
        </w:rPr>
        <w:drawing>
          <wp:inline distT="0" distB="0" distL="0" distR="0" wp14:anchorId="7659B696" wp14:editId="6ABE9818">
            <wp:extent cx="5943600" cy="6555105"/>
            <wp:effectExtent l="0" t="0" r="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5943600" cy="6555105"/>
                    </a:xfrm>
                    <a:prstGeom prst="rect">
                      <a:avLst/>
                    </a:prstGeom>
                  </pic:spPr>
                </pic:pic>
              </a:graphicData>
            </a:graphic>
          </wp:inline>
        </w:drawing>
      </w:r>
    </w:p>
    <w:p w:rsidR="0034629B" w:rsidRPr="00862D90" w:rsidRDefault="0034629B" w:rsidP="0034629B">
      <w:pPr>
        <w:contextualSpacing/>
        <w:rPr>
          <w:rFonts w:ascii="Calibri" w:hAnsi="Calibri" w:cs="Calibri"/>
        </w:rPr>
      </w:pPr>
      <w:r w:rsidRPr="00862D90">
        <w:rPr>
          <w:rFonts w:ascii="Calibri" w:hAnsi="Calibri" w:cs="Calibri"/>
        </w:rPr>
        <w:t>The majority of regions (N=17</w:t>
      </w:r>
      <w:r>
        <w:rPr>
          <w:rFonts w:ascii="Calibri" w:hAnsi="Calibri" w:cs="Calibri"/>
        </w:rPr>
        <w:t xml:space="preserve">  </w:t>
      </w:r>
      <w:r w:rsidRPr="00862D90">
        <w:rPr>
          <w:rFonts w:ascii="Calibri" w:hAnsi="Calibri" w:cs="Calibri"/>
        </w:rPr>
        <w:t xml:space="preserve">) saw an increase in spending after the Waiver implementation, with exception of Region 5. </w:t>
      </w:r>
    </w:p>
    <w:p w:rsidR="0034629B" w:rsidRPr="00862D90" w:rsidRDefault="0034629B" w:rsidP="0034629B">
      <w:pPr>
        <w:contextualSpacing/>
        <w:rPr>
          <w:rFonts w:ascii="Calibri" w:hAnsi="Calibri" w:cs="Calibri"/>
        </w:rPr>
      </w:pPr>
    </w:p>
    <w:p w:rsidR="0034629B" w:rsidRPr="00862D90" w:rsidRDefault="0034629B" w:rsidP="0034629B">
      <w:pPr>
        <w:contextualSpacing/>
        <w:rPr>
          <w:rFonts w:ascii="Calibri" w:hAnsi="Calibri" w:cs="Calibri"/>
        </w:rPr>
      </w:pPr>
      <w:r w:rsidRPr="00862D90">
        <w:rPr>
          <w:rFonts w:ascii="Calibri" w:hAnsi="Calibri" w:cs="Calibri"/>
        </w:rPr>
        <w:t xml:space="preserve"> SPSS v25 was used to conduct 18 paired </w:t>
      </w:r>
      <w:r>
        <w:rPr>
          <w:rFonts w:ascii="Calibri" w:hAnsi="Calibri" w:cs="Calibri"/>
        </w:rPr>
        <w:t>t</w:t>
      </w:r>
      <w:r w:rsidRPr="00862D90">
        <w:rPr>
          <w:rFonts w:ascii="Calibri" w:hAnsi="Calibri" w:cs="Calibri"/>
        </w:rPr>
        <w:t xml:space="preserve">-tests to compare regional mean spending pre- and post-waiver. When looking at regional spending by year, mean concrete services spending was significantly different from 2013 to 2017 for 13 regions (see Figure 3). </w:t>
      </w:r>
    </w:p>
    <w:p w:rsidR="0034629B" w:rsidRPr="00862D90" w:rsidRDefault="0034629B" w:rsidP="0034629B">
      <w:pPr>
        <w:contextualSpacing/>
        <w:rPr>
          <w:rFonts w:ascii="Calibri" w:hAnsi="Calibri" w:cs="Calibri"/>
        </w:rPr>
      </w:pPr>
    </w:p>
    <w:p w:rsidR="0034629B" w:rsidRPr="00862D90" w:rsidRDefault="0034629B" w:rsidP="0034629B">
      <w:pPr>
        <w:contextualSpacing/>
        <w:rPr>
          <w:rFonts w:ascii="Calibri" w:hAnsi="Calibri" w:cs="Calibri"/>
        </w:rPr>
      </w:pPr>
      <w:r w:rsidRPr="00862D90">
        <w:rPr>
          <w:rFonts w:ascii="Calibri" w:hAnsi="Calibri" w:cs="Calibri"/>
        </w:rPr>
        <w:t xml:space="preserve">SPSS v25 was used to conduct a multivariate analysis of variance (MANOVA) to determine if there were any statistically significant differences in mean concrete spending across regions for both 2013 and 2017.  Using Pillai’s trace, and controlling for the number of individuals receiving services, there was an overall significant effect of time (before and after Waiver implementation) on regional concrete service spending, </w:t>
      </w:r>
      <w:r w:rsidRPr="00862D90">
        <w:rPr>
          <w:rFonts w:ascii="Calibri" w:hAnsi="Calibri" w:cs="Calibri"/>
          <w:i/>
          <w:iCs/>
        </w:rPr>
        <w:t xml:space="preserve">V </w:t>
      </w:r>
      <w:r w:rsidRPr="00862D90">
        <w:rPr>
          <w:rFonts w:ascii="Calibri" w:hAnsi="Calibri" w:cs="Calibri"/>
        </w:rPr>
        <w:t xml:space="preserve">= .014, </w:t>
      </w:r>
      <w:r w:rsidRPr="00862D90">
        <w:rPr>
          <w:rFonts w:ascii="Calibri" w:hAnsi="Calibri" w:cs="Calibri"/>
          <w:i/>
          <w:iCs/>
        </w:rPr>
        <w:t xml:space="preserve">F </w:t>
      </w:r>
      <w:r w:rsidRPr="00862D90">
        <w:rPr>
          <w:rFonts w:ascii="Calibri" w:hAnsi="Calibri" w:cs="Calibri"/>
        </w:rPr>
        <w:t xml:space="preserve">(34, 400,524) = 81.52, </w:t>
      </w:r>
      <w:r w:rsidRPr="00862D90">
        <w:rPr>
          <w:rFonts w:ascii="Calibri" w:hAnsi="Calibri" w:cs="Calibri"/>
          <w:i/>
          <w:iCs/>
        </w:rPr>
        <w:t xml:space="preserve">p </w:t>
      </w:r>
      <w:r w:rsidRPr="00862D90">
        <w:rPr>
          <w:rFonts w:ascii="Calibri" w:hAnsi="Calibri" w:cs="Calibri"/>
        </w:rPr>
        <w:t>&lt; .001. Pairwise comparisons were conducted to discover if there were any significant relationships between regions’ mean differences in pre- post- waiver concrete spending.  Only one region was found to have significantly different mean concrete spending f</w:t>
      </w:r>
      <w:r>
        <w:rPr>
          <w:rFonts w:ascii="Calibri" w:hAnsi="Calibri" w:cs="Calibri"/>
        </w:rPr>
        <w:t>rom all other regions: Region 10</w:t>
      </w:r>
      <w:r w:rsidRPr="00862D90">
        <w:rPr>
          <w:rFonts w:ascii="Calibri" w:hAnsi="Calibri" w:cs="Calibri"/>
        </w:rPr>
        <w:t>.</w:t>
      </w:r>
    </w:p>
    <w:p w:rsidR="0034629B" w:rsidRPr="00862D90" w:rsidRDefault="0034629B" w:rsidP="0034629B">
      <w:pPr>
        <w:contextualSpacing/>
        <w:rPr>
          <w:rFonts w:ascii="Calibri" w:hAnsi="Calibri" w:cs="Calibri"/>
        </w:rPr>
      </w:pPr>
    </w:p>
    <w:p w:rsidR="0034629B" w:rsidRPr="000F5868" w:rsidRDefault="000F5868" w:rsidP="000F5868">
      <w:pPr>
        <w:rPr>
          <w:b/>
        </w:rPr>
      </w:pPr>
      <w:r w:rsidRPr="000F5868">
        <w:rPr>
          <w:b/>
          <w:color w:val="1F4E79"/>
        </w:rPr>
        <w:t>Conclusion</w:t>
      </w:r>
      <w:r w:rsidRPr="000F5868">
        <w:rPr>
          <w:b/>
        </w:rPr>
        <w:t xml:space="preserve"> </w:t>
      </w:r>
    </w:p>
    <w:p w:rsidR="0034629B" w:rsidRPr="00862D90" w:rsidRDefault="0034629B" w:rsidP="0034629B">
      <w:pPr>
        <w:contextualSpacing/>
        <w:rPr>
          <w:rFonts w:ascii="Calibri" w:hAnsi="Calibri" w:cs="Calibri"/>
        </w:rPr>
      </w:pPr>
      <w:r w:rsidRPr="00862D90">
        <w:rPr>
          <w:rFonts w:ascii="Calibri" w:hAnsi="Calibri" w:cs="Calibri"/>
        </w:rPr>
        <w:t>It was to be expected that spending on concrete services would increase as this was the goal of the waiver. That said, higher expenditures could be the result of high rates of substance use or abuse, which can often lead to long and costly associations with the child welfare system. Regions have various resources that are specific to their particular geography. Hence, resource sharing might make it difficult or unnecessary to pay for services with concrete service dollars as a result of location or existing funding mechanisms.</w:t>
      </w:r>
    </w:p>
    <w:p w:rsidR="0034629B" w:rsidRPr="00862D90" w:rsidRDefault="0034629B" w:rsidP="0034629B">
      <w:pPr>
        <w:contextualSpacing/>
        <w:rPr>
          <w:rFonts w:ascii="Calibri" w:hAnsi="Calibri" w:cs="Calibri"/>
        </w:rPr>
      </w:pPr>
    </w:p>
    <w:p w:rsidR="00064B95" w:rsidRPr="00862D90" w:rsidRDefault="00064B95" w:rsidP="00064B95">
      <w:pPr>
        <w:contextualSpacing/>
        <w:rPr>
          <w:rFonts w:ascii="Calibri" w:hAnsi="Calibri" w:cs="Calibri"/>
          <w:color w:val="FF0000"/>
        </w:rPr>
      </w:pPr>
      <w:r w:rsidRPr="00862D90">
        <w:rPr>
          <w:rFonts w:ascii="Calibri" w:hAnsi="Calibri" w:cs="Calibri"/>
        </w:rPr>
        <w:t>Regions without a significant change in spending were all adjacent to other states who were not involved in this State’s Waiver. This might suggest that individuals or families us</w:t>
      </w:r>
      <w:r>
        <w:rPr>
          <w:rFonts w:ascii="Calibri" w:hAnsi="Calibri" w:cs="Calibri"/>
        </w:rPr>
        <w:t>e</w:t>
      </w:r>
      <w:r w:rsidRPr="00862D90">
        <w:rPr>
          <w:rFonts w:ascii="Calibri" w:hAnsi="Calibri" w:cs="Calibri"/>
        </w:rPr>
        <w:t>/access</w:t>
      </w:r>
      <w:r>
        <w:rPr>
          <w:rFonts w:ascii="Calibri" w:hAnsi="Calibri" w:cs="Calibri"/>
        </w:rPr>
        <w:t xml:space="preserve"> </w:t>
      </w:r>
      <w:r w:rsidRPr="00862D90">
        <w:rPr>
          <w:rFonts w:ascii="Calibri" w:hAnsi="Calibri" w:cs="Calibri"/>
        </w:rPr>
        <w:t>resources from contiguous states or private agencies (this could, for example, explain the decrease in spending in Region 5). This require</w:t>
      </w:r>
      <w:r>
        <w:rPr>
          <w:rFonts w:ascii="Calibri" w:hAnsi="Calibri" w:cs="Calibri"/>
        </w:rPr>
        <w:t>s</w:t>
      </w:r>
      <w:r w:rsidRPr="00862D90">
        <w:rPr>
          <w:rFonts w:ascii="Calibri" w:hAnsi="Calibri" w:cs="Calibri"/>
        </w:rPr>
        <w:t xml:space="preserve"> future research to determine fully, however.</w:t>
      </w:r>
    </w:p>
    <w:p w:rsidR="00064B95" w:rsidRPr="00862D90" w:rsidRDefault="00064B95" w:rsidP="00064B95">
      <w:pPr>
        <w:contextualSpacing/>
        <w:rPr>
          <w:rFonts w:ascii="Calibri" w:hAnsi="Calibri" w:cs="Calibri"/>
          <w:b/>
        </w:rPr>
      </w:pPr>
    </w:p>
    <w:p w:rsidR="00064B95" w:rsidRPr="00862D90" w:rsidRDefault="00064B95" w:rsidP="00064B95">
      <w:pPr>
        <w:contextualSpacing/>
        <w:rPr>
          <w:rFonts w:ascii="Calibri" w:hAnsi="Calibri" w:cs="Calibri"/>
        </w:rPr>
      </w:pPr>
      <w:r w:rsidRPr="00862D90">
        <w:rPr>
          <w:rFonts w:ascii="Calibri" w:hAnsi="Calibri" w:cs="Calibri"/>
        </w:rPr>
        <w:t xml:space="preserve">Future studies should explore the payment for and use of concrete services in depth to understand how regions’ use of concrete service will support stakeholders in their fiscal and programmatic decision-making processes as this </w:t>
      </w:r>
      <w:r>
        <w:rPr>
          <w:rFonts w:ascii="Calibri" w:hAnsi="Calibri" w:cs="Calibri"/>
        </w:rPr>
        <w:t>could</w:t>
      </w:r>
      <w:r w:rsidRPr="00862D90">
        <w:rPr>
          <w:rFonts w:ascii="Calibri" w:hAnsi="Calibri" w:cs="Calibri"/>
        </w:rPr>
        <w:t xml:space="preserve"> become an evidence-based practice in child welfare. This is especially pertinent in light of recent Family First Prevention Act legislation. </w:t>
      </w:r>
    </w:p>
    <w:p w:rsidR="00064B95" w:rsidRPr="006672E2" w:rsidRDefault="00064B95" w:rsidP="00064B95">
      <w:pPr>
        <w:rPr>
          <w:rFonts w:ascii="Times New Roman" w:hAnsi="Times New Roman" w:cs="Times New Roman"/>
          <w:b/>
          <w:sz w:val="24"/>
          <w:szCs w:val="24"/>
        </w:rPr>
      </w:pPr>
    </w:p>
    <w:p w:rsidR="00064B95" w:rsidRPr="00A93CC8" w:rsidRDefault="00064B95" w:rsidP="00064B95"/>
    <w:p w:rsidR="0034629B" w:rsidRPr="006672E2" w:rsidRDefault="0034629B" w:rsidP="0034629B">
      <w:pPr>
        <w:rPr>
          <w:rFonts w:ascii="Times New Roman" w:hAnsi="Times New Roman" w:cs="Times New Roman"/>
          <w:b/>
          <w:sz w:val="24"/>
          <w:szCs w:val="24"/>
        </w:rPr>
      </w:pPr>
    </w:p>
    <w:p w:rsidR="0034629B" w:rsidRPr="00A93CC8" w:rsidRDefault="0034629B" w:rsidP="0034629B"/>
    <w:p w:rsidR="00A9310F" w:rsidRPr="00A9310F" w:rsidRDefault="00A9310F" w:rsidP="00A9310F">
      <w:pPr>
        <w:spacing w:after="200" w:line="276" w:lineRule="auto"/>
      </w:pPr>
    </w:p>
    <w:p w:rsidR="000F5868" w:rsidRDefault="000F5868">
      <w:pPr>
        <w:spacing w:after="160" w:line="259" w:lineRule="auto"/>
        <w:rPr>
          <w:rFonts w:asciiTheme="majorHAnsi" w:eastAsiaTheme="majorEastAsia" w:hAnsiTheme="majorHAnsi" w:cstheme="majorBidi"/>
          <w:color w:val="2E74B5" w:themeColor="accent1" w:themeShade="BF"/>
          <w:sz w:val="26"/>
          <w:szCs w:val="26"/>
        </w:rPr>
      </w:pPr>
      <w:r>
        <w:br w:type="page"/>
      </w:r>
    </w:p>
    <w:p w:rsidR="00BB36C4" w:rsidRPr="00440792" w:rsidRDefault="002D42B2" w:rsidP="00BB36C4">
      <w:pPr>
        <w:pStyle w:val="Heading2"/>
      </w:pPr>
      <w:bookmarkStart w:id="15" w:name="_Toc43887881"/>
      <w:r w:rsidRPr="00440792">
        <w:t>Regional Manager Interviews</w:t>
      </w:r>
      <w:r w:rsidR="00837A26">
        <w:t xml:space="preserve"> 2019</w:t>
      </w:r>
      <w:r w:rsidR="00C34156">
        <w:rPr>
          <w:rStyle w:val="FootnoteReference"/>
        </w:rPr>
        <w:footnoteReference w:id="6"/>
      </w:r>
      <w:bookmarkEnd w:id="15"/>
    </w:p>
    <w:p w:rsidR="001E3185" w:rsidRPr="0027731D" w:rsidRDefault="001E3185" w:rsidP="001E3185">
      <w:pPr>
        <w:pStyle w:val="Heading3"/>
        <w:spacing w:before="0"/>
      </w:pPr>
      <w:bookmarkStart w:id="16" w:name="_Hlk38888832"/>
      <w:r w:rsidRPr="0027731D">
        <w:t>Overview 201</w:t>
      </w:r>
      <w:r>
        <w:t>9</w:t>
      </w:r>
    </w:p>
    <w:p w:rsidR="001E3185" w:rsidRDefault="001E3185" w:rsidP="001E3185">
      <w:r>
        <w:t xml:space="preserve">This section of the report presents content from the Title IV-E Evaluation Team’s qualitative interviews with Indiana DCS Regional Managers (RMs) and field operations administrators from the fall of 2019.  Data were collected as a continuation of the Process Study component of the overall Waiver Evaluation Project.  In the 2019 iteration of the study, the evaluation team interviewed 17 of 18 RMs (one RM was covering for an RM on leave), four Assistant Deputy Directors of Field (ADDs) – ADDs of the North, South, and Central regions as well as the ADD of Foster Care and Older Youth Services, and the Deputy Director of Field Operations (DD) for DCS.  While the structure of the 2019 interviews was similar to prior rounds (participants’ perspectives regarding administrative responsibilities, regional services, strengths, and needs, use and effectiveness of concrete services, and Waiver impact), the 2019 round of data collection also ascertained participants’ reactions to self-care and professional well-being data collected with FCMs in 2018 as well as perceptions of the </w:t>
      </w:r>
      <w:r w:rsidR="00064B95">
        <w:t>t</w:t>
      </w:r>
      <w:r>
        <w:t>ransition from the Title IV-E Waiver era into the Family First Prevention and Services Act (FFPSA) era.</w:t>
      </w:r>
    </w:p>
    <w:p w:rsidR="001E3185" w:rsidRDefault="001E3185" w:rsidP="001E3185"/>
    <w:p w:rsidR="001E3185" w:rsidRPr="0027731D" w:rsidRDefault="001E3185" w:rsidP="001E3185">
      <w:pPr>
        <w:pStyle w:val="Heading3"/>
        <w:spacing w:before="0"/>
      </w:pPr>
      <w:r w:rsidRPr="0027731D">
        <w:t>Background 201</w:t>
      </w:r>
      <w:r>
        <w:t>9</w:t>
      </w:r>
    </w:p>
    <w:p w:rsidR="001E3185" w:rsidRDefault="001E3185" w:rsidP="001E3185">
      <w:r w:rsidRPr="0027731D">
        <w:t xml:space="preserve">The purpose of this </w:t>
      </w:r>
      <w:r>
        <w:t>2019 study was</w:t>
      </w:r>
      <w:r w:rsidRPr="0027731D">
        <w:t xml:space="preserve"> to </w:t>
      </w:r>
      <w:r>
        <w:t xml:space="preserve">collect and </w:t>
      </w:r>
      <w:r w:rsidRPr="0027731D">
        <w:t xml:space="preserve">analyze data from semi-structured, qualitative interviews with DCS Managers </w:t>
      </w:r>
      <w:r>
        <w:t xml:space="preserve">and administrators </w:t>
      </w:r>
      <w:r w:rsidRPr="0027731D">
        <w:t xml:space="preserve">regarding their histories with DCS, the regions and areas they manage, and their perceptions and experiences related to the 2012 Title IV-E Waiver in </w:t>
      </w:r>
      <w:r>
        <w:t xml:space="preserve">the final </w:t>
      </w:r>
      <w:r w:rsidRPr="0027731D">
        <w:t xml:space="preserve">year the Waiver demonstration period.  </w:t>
      </w:r>
    </w:p>
    <w:p w:rsidR="001E3185" w:rsidRDefault="001E3185" w:rsidP="001E3185">
      <w:r>
        <w:t>As in past iterations, the evaluation team employed case study analysis to analyze data and present findings.  As reported previously, c</w:t>
      </w:r>
      <w:r w:rsidRPr="0027731D">
        <w:t>ase study methods are not as explicit as some other forms of qualitative research and the subject matter can vary greatly.  Case study research involves the study of an issue explored through one or more cases within a bounded system (such as a setting or context) over time through detailed, in-depth data collection, involving multiple data sources.  The product of case study research involves a report of a case description and case-based themes.  Th</w:t>
      </w:r>
      <w:r>
        <w:t>e 2019</w:t>
      </w:r>
      <w:r w:rsidRPr="0027731D">
        <w:t xml:space="preserve"> analysis is considered a collective case study, making use of multiple cases (Regional and </w:t>
      </w:r>
      <w:r>
        <w:t>Field Operations Administrators</w:t>
      </w:r>
      <w:r w:rsidRPr="0027731D">
        <w:t>) to illustrate an issue (the 2012 Waiver) within the bounded context of the Indiana DCS.  This particular analysis is also bounded by the time frame of FY 201</w:t>
      </w:r>
      <w:r>
        <w:t>8</w:t>
      </w:r>
      <w:r w:rsidRPr="0027731D">
        <w:t xml:space="preserve"> – FY 201</w:t>
      </w:r>
      <w:r>
        <w:t>9</w:t>
      </w:r>
      <w:r w:rsidRPr="0027731D">
        <w:t>.</w:t>
      </w:r>
    </w:p>
    <w:p w:rsidR="001E3185" w:rsidRPr="0027731D" w:rsidRDefault="001E3185" w:rsidP="001E3185"/>
    <w:p w:rsidR="001E3185" w:rsidRPr="0027731D" w:rsidRDefault="001E3185" w:rsidP="001E3185">
      <w:pPr>
        <w:pStyle w:val="Heading3"/>
        <w:spacing w:before="0"/>
      </w:pPr>
      <w:r w:rsidRPr="0027731D">
        <w:t>Research Questions 201</w:t>
      </w:r>
      <w:r>
        <w:t>9</w:t>
      </w:r>
    </w:p>
    <w:p w:rsidR="001E3185" w:rsidRDefault="001E3185" w:rsidP="001E3185">
      <w:r w:rsidRPr="0027731D">
        <w:t>The research questions for the 201</w:t>
      </w:r>
      <w:r>
        <w:t>9</w:t>
      </w:r>
      <w:r w:rsidRPr="0027731D">
        <w:t xml:space="preserve"> Regional Managers and </w:t>
      </w:r>
      <w:r>
        <w:t>Field Operations Administrator</w:t>
      </w:r>
      <w:r w:rsidRPr="0027731D">
        <w:t xml:space="preserve"> interviews</w:t>
      </w:r>
      <w:r w:rsidR="005F131C">
        <w:t xml:space="preserve">: </w:t>
      </w:r>
    </w:p>
    <w:p w:rsidR="00064B95" w:rsidRPr="001E3185" w:rsidRDefault="00064B95" w:rsidP="00064B95">
      <w:pPr>
        <w:pStyle w:val="ListParagraph"/>
        <w:numPr>
          <w:ilvl w:val="0"/>
          <w:numId w:val="47"/>
        </w:numPr>
        <w:spacing w:after="0" w:line="240" w:lineRule="auto"/>
        <w:rPr>
          <w:rFonts w:asciiTheme="minorHAnsi" w:hAnsiTheme="minorHAnsi"/>
          <w:sz w:val="22"/>
        </w:rPr>
      </w:pPr>
      <w:r w:rsidRPr="001E3185">
        <w:rPr>
          <w:rFonts w:asciiTheme="minorHAnsi" w:hAnsiTheme="minorHAnsi"/>
          <w:sz w:val="22"/>
        </w:rPr>
        <w:t xml:space="preserve">What challenges and positives do </w:t>
      </w:r>
      <w:r>
        <w:rPr>
          <w:rFonts w:asciiTheme="minorHAnsi" w:hAnsiTheme="minorHAnsi"/>
          <w:sz w:val="22"/>
        </w:rPr>
        <w:t>m</w:t>
      </w:r>
      <w:r w:rsidRPr="001E3185">
        <w:rPr>
          <w:rFonts w:asciiTheme="minorHAnsi" w:hAnsiTheme="minorHAnsi"/>
          <w:sz w:val="22"/>
        </w:rPr>
        <w:t>anagers and administrators experience in their positions?</w:t>
      </w:r>
    </w:p>
    <w:p w:rsidR="00064B95" w:rsidRPr="001E3185" w:rsidRDefault="00064B95" w:rsidP="00064B95">
      <w:pPr>
        <w:pStyle w:val="ListParagraph"/>
        <w:numPr>
          <w:ilvl w:val="0"/>
          <w:numId w:val="47"/>
        </w:numPr>
        <w:spacing w:after="0" w:line="240" w:lineRule="auto"/>
        <w:rPr>
          <w:rFonts w:asciiTheme="minorHAnsi" w:hAnsiTheme="minorHAnsi"/>
          <w:sz w:val="22"/>
        </w:rPr>
      </w:pPr>
      <w:r w:rsidRPr="001E3185">
        <w:rPr>
          <w:rFonts w:asciiTheme="minorHAnsi" w:hAnsiTheme="minorHAnsi"/>
          <w:sz w:val="22"/>
        </w:rPr>
        <w:t xml:space="preserve">How do </w:t>
      </w:r>
      <w:r>
        <w:rPr>
          <w:rFonts w:asciiTheme="minorHAnsi" w:hAnsiTheme="minorHAnsi"/>
          <w:sz w:val="22"/>
        </w:rPr>
        <w:t>m</w:t>
      </w:r>
      <w:r w:rsidRPr="001E3185">
        <w:rPr>
          <w:rFonts w:asciiTheme="minorHAnsi" w:hAnsiTheme="minorHAnsi"/>
          <w:sz w:val="22"/>
        </w:rPr>
        <w:t>anagers approach staff development?</w:t>
      </w:r>
    </w:p>
    <w:p w:rsidR="00064B95" w:rsidRPr="001E3185" w:rsidRDefault="00064B95" w:rsidP="00064B95">
      <w:pPr>
        <w:pStyle w:val="ListParagraph"/>
        <w:numPr>
          <w:ilvl w:val="0"/>
          <w:numId w:val="47"/>
        </w:numPr>
        <w:spacing w:after="0" w:line="240" w:lineRule="auto"/>
        <w:rPr>
          <w:rFonts w:asciiTheme="minorHAnsi" w:hAnsiTheme="minorHAnsi"/>
          <w:sz w:val="22"/>
        </w:rPr>
      </w:pPr>
      <w:r w:rsidRPr="001E3185">
        <w:rPr>
          <w:rFonts w:asciiTheme="minorHAnsi" w:hAnsiTheme="minorHAnsi"/>
          <w:sz w:val="22"/>
        </w:rPr>
        <w:t xml:space="preserve">What are </w:t>
      </w:r>
      <w:r>
        <w:rPr>
          <w:rFonts w:asciiTheme="minorHAnsi" w:hAnsiTheme="minorHAnsi"/>
          <w:sz w:val="22"/>
        </w:rPr>
        <w:t>m</w:t>
      </w:r>
      <w:r w:rsidRPr="001E3185">
        <w:rPr>
          <w:rFonts w:asciiTheme="minorHAnsi" w:hAnsiTheme="minorHAnsi"/>
          <w:sz w:val="22"/>
        </w:rPr>
        <w:t>anagers’ and administrators’ responses to self-care and professional well-being-related FCM data?</w:t>
      </w:r>
    </w:p>
    <w:p w:rsidR="00064B95" w:rsidRPr="001E3185" w:rsidRDefault="00064B95" w:rsidP="00064B95">
      <w:pPr>
        <w:pStyle w:val="ListParagraph"/>
        <w:numPr>
          <w:ilvl w:val="0"/>
          <w:numId w:val="47"/>
        </w:numPr>
        <w:spacing w:after="0" w:line="240" w:lineRule="auto"/>
        <w:rPr>
          <w:rFonts w:asciiTheme="minorHAnsi" w:hAnsiTheme="minorHAnsi"/>
          <w:sz w:val="22"/>
        </w:rPr>
      </w:pPr>
      <w:r w:rsidRPr="001E3185">
        <w:rPr>
          <w:rFonts w:asciiTheme="minorHAnsi" w:hAnsiTheme="minorHAnsi"/>
          <w:sz w:val="22"/>
        </w:rPr>
        <w:t xml:space="preserve">How do </w:t>
      </w:r>
      <w:r>
        <w:rPr>
          <w:rFonts w:asciiTheme="minorHAnsi" w:hAnsiTheme="minorHAnsi"/>
          <w:sz w:val="22"/>
        </w:rPr>
        <w:t>m</w:t>
      </w:r>
      <w:r w:rsidRPr="001E3185">
        <w:rPr>
          <w:rFonts w:asciiTheme="minorHAnsi" w:hAnsiTheme="minorHAnsi"/>
          <w:sz w:val="22"/>
        </w:rPr>
        <w:t>anagers and administrators perceive key relationships?</w:t>
      </w:r>
    </w:p>
    <w:p w:rsidR="00064B95" w:rsidRPr="001E3185" w:rsidRDefault="00064B95" w:rsidP="00064B95">
      <w:pPr>
        <w:pStyle w:val="ListParagraph"/>
        <w:numPr>
          <w:ilvl w:val="0"/>
          <w:numId w:val="47"/>
        </w:numPr>
        <w:spacing w:after="0" w:line="240" w:lineRule="auto"/>
        <w:rPr>
          <w:rFonts w:asciiTheme="minorHAnsi" w:hAnsiTheme="minorHAnsi"/>
          <w:sz w:val="22"/>
        </w:rPr>
      </w:pPr>
      <w:r w:rsidRPr="001E3185">
        <w:rPr>
          <w:rFonts w:asciiTheme="minorHAnsi" w:hAnsiTheme="minorHAnsi"/>
          <w:sz w:val="22"/>
        </w:rPr>
        <w:t xml:space="preserve">What are </w:t>
      </w:r>
      <w:r>
        <w:rPr>
          <w:rFonts w:asciiTheme="minorHAnsi" w:hAnsiTheme="minorHAnsi"/>
          <w:sz w:val="22"/>
        </w:rPr>
        <w:t>m</w:t>
      </w:r>
      <w:r w:rsidRPr="001E3185">
        <w:rPr>
          <w:rFonts w:asciiTheme="minorHAnsi" w:hAnsiTheme="minorHAnsi"/>
          <w:sz w:val="22"/>
        </w:rPr>
        <w:t xml:space="preserve">anagers’ perceptions of the 2012 Waiver?  </w:t>
      </w:r>
    </w:p>
    <w:p w:rsidR="00064B95" w:rsidRPr="001E3185" w:rsidRDefault="00064B95" w:rsidP="00064B95">
      <w:pPr>
        <w:pStyle w:val="ListParagraph"/>
        <w:numPr>
          <w:ilvl w:val="0"/>
          <w:numId w:val="47"/>
        </w:numPr>
        <w:spacing w:after="0" w:line="240" w:lineRule="auto"/>
        <w:rPr>
          <w:rFonts w:asciiTheme="minorHAnsi" w:hAnsiTheme="minorHAnsi"/>
          <w:sz w:val="22"/>
        </w:rPr>
      </w:pPr>
      <w:r w:rsidRPr="001E3185">
        <w:rPr>
          <w:rFonts w:asciiTheme="minorHAnsi" w:hAnsiTheme="minorHAnsi"/>
          <w:sz w:val="22"/>
        </w:rPr>
        <w:t xml:space="preserve">What are </w:t>
      </w:r>
      <w:r>
        <w:rPr>
          <w:rFonts w:asciiTheme="minorHAnsi" w:hAnsiTheme="minorHAnsi"/>
          <w:sz w:val="22"/>
        </w:rPr>
        <w:t>m</w:t>
      </w:r>
      <w:r w:rsidRPr="001E3185">
        <w:rPr>
          <w:rFonts w:asciiTheme="minorHAnsi" w:hAnsiTheme="minorHAnsi"/>
          <w:sz w:val="22"/>
        </w:rPr>
        <w:t>anagers’ perceptions of the current state of relative care in the state?</w:t>
      </w:r>
    </w:p>
    <w:p w:rsidR="00064B95" w:rsidRPr="001E3185" w:rsidRDefault="00064B95" w:rsidP="00064B95">
      <w:pPr>
        <w:pStyle w:val="ListParagraph"/>
        <w:numPr>
          <w:ilvl w:val="0"/>
          <w:numId w:val="47"/>
        </w:numPr>
        <w:spacing w:after="0" w:line="240" w:lineRule="auto"/>
        <w:rPr>
          <w:rFonts w:asciiTheme="minorHAnsi" w:hAnsiTheme="minorHAnsi"/>
          <w:sz w:val="22"/>
        </w:rPr>
      </w:pPr>
      <w:r w:rsidRPr="001E3185">
        <w:rPr>
          <w:rFonts w:asciiTheme="minorHAnsi" w:hAnsiTheme="minorHAnsi"/>
          <w:sz w:val="22"/>
        </w:rPr>
        <w:t xml:space="preserve">What are </w:t>
      </w:r>
      <w:r>
        <w:rPr>
          <w:rFonts w:asciiTheme="minorHAnsi" w:hAnsiTheme="minorHAnsi"/>
          <w:sz w:val="22"/>
        </w:rPr>
        <w:t>m</w:t>
      </w:r>
      <w:r w:rsidRPr="001E3185">
        <w:rPr>
          <w:rFonts w:asciiTheme="minorHAnsi" w:hAnsiTheme="minorHAnsi"/>
          <w:sz w:val="22"/>
        </w:rPr>
        <w:t xml:space="preserve">anagers’ perceptions of concrete services?  </w:t>
      </w:r>
    </w:p>
    <w:p w:rsidR="00064B95" w:rsidRPr="001E3185" w:rsidRDefault="00064B95" w:rsidP="00064B95">
      <w:pPr>
        <w:pStyle w:val="ListParagraph"/>
        <w:numPr>
          <w:ilvl w:val="0"/>
          <w:numId w:val="47"/>
        </w:numPr>
        <w:spacing w:after="0" w:line="240" w:lineRule="auto"/>
        <w:rPr>
          <w:rFonts w:asciiTheme="minorHAnsi" w:hAnsiTheme="minorHAnsi"/>
          <w:sz w:val="22"/>
        </w:rPr>
      </w:pPr>
      <w:r w:rsidRPr="001E3185">
        <w:rPr>
          <w:rFonts w:asciiTheme="minorHAnsi" w:hAnsiTheme="minorHAnsi"/>
          <w:sz w:val="22"/>
        </w:rPr>
        <w:t xml:space="preserve">What are </w:t>
      </w:r>
      <w:r>
        <w:rPr>
          <w:rFonts w:asciiTheme="minorHAnsi" w:hAnsiTheme="minorHAnsi"/>
          <w:sz w:val="22"/>
        </w:rPr>
        <w:t>m</w:t>
      </w:r>
      <w:r w:rsidRPr="001E3185">
        <w:rPr>
          <w:rFonts w:asciiTheme="minorHAnsi" w:hAnsiTheme="minorHAnsi"/>
          <w:sz w:val="22"/>
        </w:rPr>
        <w:t>anagers’ perceptions of practice sustainability in a post-Waiver DCS?</w:t>
      </w:r>
    </w:p>
    <w:p w:rsidR="001E3185" w:rsidRPr="0027731D" w:rsidRDefault="001E3185" w:rsidP="001E3185"/>
    <w:p w:rsidR="001E3185" w:rsidRPr="0027731D" w:rsidRDefault="001E3185" w:rsidP="001E3185">
      <w:pPr>
        <w:pStyle w:val="Heading3"/>
        <w:spacing w:before="0"/>
      </w:pPr>
      <w:r w:rsidRPr="0027731D">
        <w:t>Methodology 201</w:t>
      </w:r>
      <w:r>
        <w:t>9</w:t>
      </w:r>
    </w:p>
    <w:p w:rsidR="001E3185" w:rsidRDefault="001E3185" w:rsidP="001E3185">
      <w:r>
        <w:t xml:space="preserve">Consistent with past rounds, evaluators used a semi-structured interview guide, developed in collaboration with the DD, to collect this fifth round of data via telephone interviews.  One evaluator worked individually with all participants to schedule a phone interview at a date and time convenient to each participant.  Unlike prior rounds of interviews, all RM interviews in 2019 were audio-recorded, with permission, and transcribed verbatim.  </w:t>
      </w:r>
    </w:p>
    <w:p w:rsidR="001E3185" w:rsidRPr="0027731D" w:rsidRDefault="001E3185" w:rsidP="001E3185"/>
    <w:p w:rsidR="001E3185" w:rsidRDefault="001E3185" w:rsidP="001E3185">
      <w:r w:rsidRPr="0027731D">
        <w:t xml:space="preserve">Interview questions were designed to elicit information regarding </w:t>
      </w:r>
      <w:r>
        <w:t xml:space="preserve">participants’ </w:t>
      </w:r>
      <w:r w:rsidRPr="0027731D">
        <w:t>tenure and roles with DCS</w:t>
      </w:r>
      <w:r>
        <w:t xml:space="preserve"> as well as perceptions of</w:t>
      </w:r>
      <w:r w:rsidRPr="0027731D">
        <w:t xml:space="preserve"> regional/state strengths and needs</w:t>
      </w:r>
      <w:r>
        <w:t>;</w:t>
      </w:r>
      <w:r w:rsidRPr="0027731D">
        <w:t xml:space="preserve"> </w:t>
      </w:r>
      <w:r>
        <w:t xml:space="preserve">participants’ </w:t>
      </w:r>
      <w:r w:rsidRPr="0027731D">
        <w:t>administrative responsibilities</w:t>
      </w:r>
      <w:r>
        <w:t>, strengths, and needs;</w:t>
      </w:r>
      <w:r w:rsidRPr="0027731D">
        <w:t xml:space="preserve"> </w:t>
      </w:r>
      <w:r>
        <w:t>reactions to self-care and professional well-being data collected with FCMs in 2018 via the evaluator’s FCM survey;</w:t>
      </w:r>
      <w:r w:rsidRPr="0027731D">
        <w:t xml:space="preserve"> use</w:t>
      </w:r>
      <w:r>
        <w:t>, role,</w:t>
      </w:r>
      <w:r w:rsidRPr="0027731D">
        <w:t xml:space="preserve"> and value of concrete services</w:t>
      </w:r>
      <w:r>
        <w:t xml:space="preserve">; reactions to agency and region-specific data regarding concrete services spending and disbursements; </w:t>
      </w:r>
      <w:r w:rsidRPr="0027731D">
        <w:t>knowledge</w:t>
      </w:r>
      <w:r>
        <w:t xml:space="preserve"> and</w:t>
      </w:r>
      <w:r w:rsidRPr="0027731D">
        <w:t xml:space="preserve"> effects</w:t>
      </w:r>
      <w:r>
        <w:t xml:space="preserve"> </w:t>
      </w:r>
      <w:r w:rsidRPr="0027731D">
        <w:t xml:space="preserve"> of the 2012 Waiver</w:t>
      </w:r>
      <w:r>
        <w:t>; and understandings and perceptions of the FFPSA era.</w:t>
      </w:r>
      <w:r w:rsidRPr="0027731D">
        <w:t xml:space="preserve"> </w:t>
      </w:r>
    </w:p>
    <w:p w:rsidR="001E3185" w:rsidRDefault="001E3185" w:rsidP="001E3185">
      <w:r w:rsidRPr="00660A25">
        <w:t xml:space="preserve">One evaluation team member began interviews in mid-September and completed the 22 interviews by mid-October 2019.  Interviews lasted approximately 75 minutes – 90 minutes.  The average length of interviews increased with each year of data collection; added questions as well as enhanced rapport are thought to be causal factors for this increase in time spent in each interview.  Following the completion of </w:t>
      </w:r>
      <w:r>
        <w:t>the</w:t>
      </w:r>
      <w:r w:rsidRPr="00660A25">
        <w:t xml:space="preserve"> 17 Regional Manager interviews, the same evaluation team member completed interviews with the state’s four ADDs and concluded data collection by interviewing the DD.  </w:t>
      </w:r>
      <w:r>
        <w:t>Interviews with RMs helped to informed interviews with ADDs and interviews with ADDs helped to inform the interview with the DD.  Interviews with ADDs and the DD were not audio-recorded, however, responses were recorded via notes by the interviewer in real time.  The 2019 data were reviewed and coded by two researchers.</w:t>
      </w:r>
    </w:p>
    <w:p w:rsidR="001E3185" w:rsidRPr="0027731D" w:rsidRDefault="001E3185" w:rsidP="001E3185"/>
    <w:p w:rsidR="001E3185" w:rsidRPr="00660A25" w:rsidRDefault="001E3185" w:rsidP="001E3185">
      <w:pPr>
        <w:pStyle w:val="Heading3"/>
        <w:spacing w:before="0"/>
      </w:pPr>
      <w:r w:rsidRPr="00660A25">
        <w:t>Sample Characteristics 2019</w:t>
      </w:r>
    </w:p>
    <w:p w:rsidR="001E3185" w:rsidRDefault="001E3185" w:rsidP="001E3185">
      <w:r w:rsidRPr="00660A25">
        <w:t xml:space="preserve">As noted above, data were collected with 17 RMs, four ADDs, and one DD for the 2019 study.  Of the 22 participants, 18 are female and four are male.  Participants have a wealth of experience with the </w:t>
      </w:r>
      <w:r>
        <w:t>agency</w:t>
      </w:r>
      <w:r w:rsidRPr="00660A25">
        <w:t>.  Tenure with the DCS ranged from 12 years to 43 years with an average of approximately 22 years among RMs.  Administrators (ADDs and DD) also averaged approximately 22 years of experience with DCS and their tenure with the agency ranged from 14 to 28 years.  In 2019, RMs had less experience in their RM position than in prior years (3 years), however, number of prior positions w</w:t>
      </w:r>
      <w:r w:rsidR="00CB2BCE">
        <w:t>ere</w:t>
      </w:r>
      <w:r w:rsidRPr="00660A25">
        <w:t xml:space="preserve"> consistent with previous rounds of data collection (3 positions).  Less than half of participants reported holding a graduate degree (N = 10) and less than half (N = 9) reported holding at least one degree in social work. </w:t>
      </w:r>
    </w:p>
    <w:p w:rsidR="001E3185" w:rsidRPr="00660A25" w:rsidRDefault="001E3185" w:rsidP="001E3185">
      <w:r w:rsidRPr="00660A25">
        <w:t xml:space="preserve"> </w:t>
      </w:r>
    </w:p>
    <w:p w:rsidR="001E3185" w:rsidRDefault="001E3185" w:rsidP="001E3185">
      <w:pPr>
        <w:pStyle w:val="Heading3"/>
        <w:spacing w:before="0"/>
        <w:rPr>
          <w:rFonts w:cstheme="minorHAnsi"/>
        </w:rPr>
      </w:pPr>
      <w:r>
        <w:rPr>
          <w:rFonts w:cstheme="minorHAnsi"/>
        </w:rPr>
        <w:t xml:space="preserve">Findings </w:t>
      </w:r>
      <w:r w:rsidRPr="00660A25">
        <w:rPr>
          <w:rFonts w:cstheme="minorHAnsi"/>
        </w:rPr>
        <w:t>2019</w:t>
      </w:r>
    </w:p>
    <w:p w:rsidR="00064B95" w:rsidRDefault="00064B95" w:rsidP="00064B95">
      <w:r>
        <w:t xml:space="preserve">The 2019 interviews produced four grand themes.  First, there was a perceived shift in the culture and climate of the agency.  Participants reported a more positive, inclusive, engaged, and connected DCS.  In large part, this shift was credited to leadership and leadership philosophies by the new (2018) State Director and DD (2018) as well as the new (2018) ADD structure (four versus the prior two ADDs).  Under the grand theme of a perceived shift in the culture and climate of the agency emerged a secondary theme related to the development and well-being of direct line workers.  Participants reported greater intentionality regarding staff development in terms of vision alignment, more effective supervision practices, greater training for supervisors, and more attention paid to employee support, self-care, and work/life balance.  The second grand theme that emerged in the 2019 data is that of a shift in the way participants described the use and purpose of concrete services.  Participants continue to conceptualize the 2012 Waiver as meeting child and family needs through concrete services.  However, in 2019, </w:t>
      </w:r>
      <w:r w:rsidRPr="0067442D">
        <w:t>participants consistently highlighted the need for concrete services to be used in responsible ways that promote sustainability for families.  Participants discussed continuing to meet unique needs on behalf of families, but focused more on exploring and exhausting community-based resources first then, when needed, using concrete services disbursements with sustainable plans for families’ futures.</w:t>
      </w:r>
      <w:r>
        <w:t xml:space="preserve">  The evaluators asked participants to discuss approaches to data-driven practices and also inquired into a new data management system that has begun rollout at the agency.  In turn, data woes emerged as a third grand theme.  Participants perceive data to be valuable, however, feel as if managers and their staff are inundated with data, that there are too many data management systems – which were not, at the time of data collection, compatible with one another, that new system has promise, but that managers’ understanding and practice with the new system were so varied that meaningful data and data sharing is still a challenge.  The fourth and final grand theme of the 2019 interviews is that of the transition from the 2012 Waiver to practice under the FFPSA.  Participants were asked to share perceptions related to the effectiveness of the Waiver.  Again, on the whole, participants conceptualize the Waiver as meeting unique child and family needs through the flexibility of concrete services and continue to report the essentiality of being able to do so to achieve permanency on behalf of children and youth.  Participants were also asked about knowledge and preparation for a post-Waiver DCS.  Similar to earlier rounds of data collection in which participants were asked about Waiver-related knowledge, knowledge regarding policy and practice under FFPSA was limited and varied.  The overwhelming perceptions, however, were that practice will not change significantly, that managers and staff need more training, but that individually and as an agency, DCS will continue to serve children and families under their current practice model and with same mission and values that guide their practice now.  </w:t>
      </w:r>
    </w:p>
    <w:p w:rsidR="001E3185" w:rsidRDefault="001E3185" w:rsidP="001E3185"/>
    <w:p w:rsidR="001E3185" w:rsidRPr="0027731D" w:rsidRDefault="001E3185" w:rsidP="001E3185">
      <w:pPr>
        <w:pStyle w:val="Heading3"/>
        <w:spacing w:before="0"/>
      </w:pPr>
      <w:r w:rsidRPr="0027731D">
        <w:t>Summary and Conclusions</w:t>
      </w:r>
      <w:r>
        <w:t xml:space="preserve"> 2019</w:t>
      </w:r>
    </w:p>
    <w:p w:rsidR="001E3185" w:rsidRDefault="001E3185" w:rsidP="001E3185">
      <w:r>
        <w:t>T</w:t>
      </w:r>
      <w:r w:rsidRPr="003F26FB">
        <w:t xml:space="preserve">he 2019 RM and Field Operations Administrator </w:t>
      </w:r>
      <w:r>
        <w:t>i</w:t>
      </w:r>
      <w:r w:rsidRPr="003F26FB">
        <w:t xml:space="preserve">nterviews </w:t>
      </w:r>
      <w:r>
        <w:t>are assessed to be another</w:t>
      </w:r>
      <w:r w:rsidRPr="003F26FB">
        <w:t xml:space="preserve"> success</w:t>
      </w:r>
      <w:r>
        <w:t>ful</w:t>
      </w:r>
      <w:r w:rsidRPr="003F26FB">
        <w:t xml:space="preserve"> and valuable component of the Process Study for the overall </w:t>
      </w:r>
      <w:r>
        <w:t xml:space="preserve">Title IV-E </w:t>
      </w:r>
      <w:r w:rsidRPr="003F26FB">
        <w:t xml:space="preserve">evaluation.  The length and quality of the interviews demonstrate </w:t>
      </w:r>
      <w:r>
        <w:t>healthy,</w:t>
      </w:r>
      <w:r w:rsidRPr="003F26FB">
        <w:t xml:space="preserve"> positive</w:t>
      </w:r>
      <w:r>
        <w:t>, and cultivated</w:t>
      </w:r>
      <w:r w:rsidRPr="003F26FB">
        <w:t xml:space="preserve"> rapport and trust between the evaluation team and field managers and administrators at DCS.  The 2019 interviews and data aided in the </w:t>
      </w:r>
      <w:r>
        <w:t>contextual picture and overall assessment of the evaluation and helped to connect the 2012 Title IV-E Waiver demonstration and the post-Waiver/FFPSA policy and practice era in Indiana.</w:t>
      </w:r>
    </w:p>
    <w:p w:rsidR="001E3185" w:rsidRDefault="001E3185">
      <w:pPr>
        <w:spacing w:after="160" w:line="259" w:lineRule="auto"/>
        <w:rPr>
          <w:color w:val="000000" w:themeColor="text1"/>
        </w:rPr>
      </w:pPr>
      <w:r>
        <w:rPr>
          <w:color w:val="000000" w:themeColor="text1"/>
        </w:rPr>
        <w:br w:type="page"/>
      </w:r>
    </w:p>
    <w:p w:rsidR="001E3185" w:rsidRPr="003F26FB" w:rsidRDefault="000B765E" w:rsidP="001E3185">
      <w:pPr>
        <w:pStyle w:val="Heading2"/>
      </w:pPr>
      <w:bookmarkStart w:id="17" w:name="_Toc43887882"/>
      <w:r>
        <w:t>Regional Manager</w:t>
      </w:r>
      <w:r w:rsidR="001E3185">
        <w:t xml:space="preserve"> Interviews 2013-2019</w:t>
      </w:r>
      <w:bookmarkEnd w:id="17"/>
    </w:p>
    <w:bookmarkEnd w:id="16"/>
    <w:p w:rsidR="00891371" w:rsidRPr="007E0D31" w:rsidRDefault="00891371" w:rsidP="00891371">
      <w:pPr>
        <w:pStyle w:val="Heading3"/>
        <w:spacing w:before="0"/>
        <w:rPr>
          <w:sz w:val="22"/>
          <w:szCs w:val="22"/>
        </w:rPr>
      </w:pPr>
      <w:r w:rsidRPr="007E0D31">
        <w:rPr>
          <w:sz w:val="22"/>
          <w:szCs w:val="22"/>
        </w:rPr>
        <w:t xml:space="preserve">Overview </w:t>
      </w:r>
      <w:r>
        <w:rPr>
          <w:sz w:val="22"/>
          <w:szCs w:val="22"/>
        </w:rPr>
        <w:t>and Background</w:t>
      </w:r>
    </w:p>
    <w:p w:rsidR="00891371" w:rsidRDefault="00891371" w:rsidP="001E3185">
      <w:r w:rsidRPr="007E0D31">
        <w:t xml:space="preserve">This report presents an overview of an analysis completed as part of the Process Study component of the Title IV-E Waiver Evaluation Project.  This study utilized qualitative interviews with Indiana’s Regional Managers and Field Operations Administrators </w:t>
      </w:r>
      <w:r>
        <w:t xml:space="preserve">(formerly referred to as Executive Manages) </w:t>
      </w:r>
      <w:r w:rsidRPr="007E0D31">
        <w:t xml:space="preserve">in 2013, 2014, 2015, 2016, and 2019 of the </w:t>
      </w:r>
      <w:r>
        <w:t xml:space="preserve">Waiver </w:t>
      </w:r>
      <w:r w:rsidRPr="007E0D31">
        <w:t xml:space="preserve">demonstration.  Evaluators completed 100 semi-structured telephone interviews with participants across the five rounds of data collection.  Evaluators used case study analysis to analyze each round of data as well as the collective case study.  Research questions, methodology, case study participant characteristics, grand themes and collective case assertions, as well as a case summary and </w:t>
      </w:r>
      <w:r>
        <w:t>implications</w:t>
      </w:r>
      <w:r w:rsidRPr="007E0D31">
        <w:t xml:space="preserve"> are shared here.</w:t>
      </w:r>
    </w:p>
    <w:p w:rsidR="00064B95" w:rsidRPr="0077533B" w:rsidRDefault="00064B95" w:rsidP="001E3185"/>
    <w:p w:rsidR="00891371" w:rsidRPr="007E0D31" w:rsidRDefault="00891371" w:rsidP="00891371">
      <w:pPr>
        <w:pStyle w:val="Heading3"/>
        <w:spacing w:before="0"/>
        <w:rPr>
          <w:sz w:val="22"/>
          <w:szCs w:val="22"/>
        </w:rPr>
      </w:pPr>
      <w:r w:rsidRPr="007E0D31">
        <w:rPr>
          <w:sz w:val="22"/>
          <w:szCs w:val="22"/>
        </w:rPr>
        <w:t xml:space="preserve">Research Questions </w:t>
      </w:r>
    </w:p>
    <w:p w:rsidR="00891371" w:rsidRPr="007E0D31" w:rsidRDefault="00891371" w:rsidP="00891371">
      <w:r w:rsidRPr="007E0D31">
        <w:t>The primary research questions for this study include:</w:t>
      </w:r>
    </w:p>
    <w:p w:rsidR="00891371" w:rsidRPr="007E0D31" w:rsidRDefault="00891371" w:rsidP="00891371">
      <w:pPr>
        <w:numPr>
          <w:ilvl w:val="0"/>
          <w:numId w:val="43"/>
        </w:numPr>
      </w:pPr>
      <w:r w:rsidRPr="007E0D31">
        <w:t>What are Regional</w:t>
      </w:r>
      <w:r>
        <w:t xml:space="preserve"> Managers’</w:t>
      </w:r>
      <w:r w:rsidRPr="007E0D31">
        <w:t>/</w:t>
      </w:r>
      <w:r>
        <w:t>Field Administrators’</w:t>
      </w:r>
      <w:r w:rsidRPr="007E0D31">
        <w:t xml:space="preserve"> perceptions of their roles &amp; responsibilities?</w:t>
      </w:r>
    </w:p>
    <w:p w:rsidR="00891371" w:rsidRPr="007E0D31" w:rsidRDefault="00891371" w:rsidP="00891371">
      <w:pPr>
        <w:numPr>
          <w:ilvl w:val="0"/>
          <w:numId w:val="43"/>
        </w:numPr>
      </w:pPr>
      <w:r w:rsidRPr="007E0D31">
        <w:t>What are Regional</w:t>
      </w:r>
      <w:r>
        <w:t xml:space="preserve"> Managers’</w:t>
      </w:r>
      <w:r w:rsidRPr="007E0D31">
        <w:t>/</w:t>
      </w:r>
      <w:r>
        <w:t>Field Administrators’</w:t>
      </w:r>
      <w:r w:rsidRPr="007E0D31">
        <w:t xml:space="preserve"> perceptions of various components of regional/state child welfare practice?</w:t>
      </w:r>
    </w:p>
    <w:p w:rsidR="00891371" w:rsidRDefault="00891371" w:rsidP="00891371">
      <w:pPr>
        <w:numPr>
          <w:ilvl w:val="0"/>
          <w:numId w:val="43"/>
        </w:numPr>
        <w:spacing w:after="200"/>
      </w:pPr>
      <w:r w:rsidRPr="007E0D31">
        <w:t>What are Regional</w:t>
      </w:r>
      <w:r>
        <w:t xml:space="preserve"> Managers’</w:t>
      </w:r>
      <w:r w:rsidRPr="007E0D31">
        <w:t>/</w:t>
      </w:r>
      <w:r>
        <w:t>Field Administrators’</w:t>
      </w:r>
      <w:r w:rsidRPr="007E0D31">
        <w:t xml:space="preserve"> perceptions of the 2012 Waiver?</w:t>
      </w:r>
    </w:p>
    <w:p w:rsidR="00891371" w:rsidRDefault="00891371" w:rsidP="00891371">
      <w:r>
        <w:t>Additional areas of inquiry include Waiver-related communications; gaps in Waiver-related knowledge; Positives and Challenges of Roles and Responsibilities; Perceptions of Key Agency Relationships; Regional and State Practice Needs and Strengths; Concrete Services Use and Effectiveness; Role of Experience in Performance; Staff Development Approaches; Use and Perceptions of Data; Responses to FCM Survey Data; Perceptions of and Plans for Practice Stability and Sustainability.</w:t>
      </w:r>
    </w:p>
    <w:p w:rsidR="001E3185" w:rsidRDefault="001E3185" w:rsidP="00891371"/>
    <w:p w:rsidR="00891371" w:rsidRDefault="001E3185" w:rsidP="001E3185">
      <w:pPr>
        <w:pStyle w:val="Heading4"/>
      </w:pPr>
      <w:r w:rsidRPr="00AB4FC0">
        <w:t xml:space="preserve">Table </w:t>
      </w:r>
      <w:r w:rsidR="00AB4FC0" w:rsidRPr="00AB4FC0">
        <w:t>1</w:t>
      </w:r>
      <w:r w:rsidR="002A34BA">
        <w:t>9</w:t>
      </w:r>
      <w:r>
        <w:t xml:space="preserve">. </w:t>
      </w:r>
      <w:r w:rsidR="00891371">
        <w:t>Research questions by round are outlined in the below table.</w:t>
      </w:r>
    </w:p>
    <w:tbl>
      <w:tblPr>
        <w:tblStyle w:val="GridTable4-Accent5"/>
        <w:tblW w:w="0" w:type="auto"/>
        <w:tblLook w:val="04A0" w:firstRow="1" w:lastRow="0" w:firstColumn="1" w:lastColumn="0" w:noHBand="0" w:noVBand="1"/>
      </w:tblPr>
      <w:tblGrid>
        <w:gridCol w:w="9350"/>
      </w:tblGrid>
      <w:tr w:rsidR="00891371" w:rsidRPr="008A5682" w:rsidTr="008913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jc w:val="center"/>
              <w:rPr>
                <w:rFonts w:cstheme="minorHAnsi"/>
                <w:color w:val="000000" w:themeColor="text1"/>
              </w:rPr>
            </w:pPr>
            <w:r w:rsidRPr="00BF38A9">
              <w:rPr>
                <w:rFonts w:cstheme="minorHAnsi"/>
              </w:rPr>
              <w:t>Research Questions</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jc w:val="center"/>
              <w:rPr>
                <w:rFonts w:cstheme="minorHAnsi"/>
              </w:rPr>
            </w:pPr>
            <w:r w:rsidRPr="008A5682">
              <w:rPr>
                <w:rFonts w:cstheme="minorHAnsi"/>
              </w:rPr>
              <w:t>2013</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do Regional and Executive Managers know about the 2012 Waiver?</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How was information about the 2012 Waiver communicated to Regional and Executive Managers?</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are Regional and Executive Managers perceptions of the 2012 Waiver?</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gaps in knowledge exist regarding the 2012 Waiver?</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jc w:val="center"/>
              <w:rPr>
                <w:rFonts w:cstheme="minorHAnsi"/>
              </w:rPr>
            </w:pPr>
            <w:r w:rsidRPr="008A5682">
              <w:rPr>
                <w:rFonts w:cstheme="minorHAnsi"/>
              </w:rPr>
              <w:t>2014</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challenges and positives to Regional and Executive Managers experience in their positions?</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are the needs and strengths of each region?  The state?</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How do Regional and Executive Managers perceive key relationships?</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are Regional and Executive Managers perceptions of concrete services?</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do Regional and Executive Managers know about the 2012 Waiver?</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are Regional and Executive Managers perceptions of the 2012 Waiver?</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jc w:val="center"/>
              <w:rPr>
                <w:rFonts w:cstheme="minorHAnsi"/>
              </w:rPr>
            </w:pPr>
            <w:r w:rsidRPr="008A5682">
              <w:rPr>
                <w:rFonts w:cstheme="minorHAnsi"/>
              </w:rPr>
              <w:t>2015</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challenges and positives do Managers experience in their positions?</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are the needs and strengths of each region?  The state?</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How do Managers perceive key relationships?</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are Managers’ perceptions of concrete services?</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do Managers know about the 2012 Waiver?</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are Managers’ perceptions of the 2012 Waiver?</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can Managers tell us about the role of experience in performing their duties?</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How do Managers approach staff development?</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jc w:val="center"/>
              <w:rPr>
                <w:rFonts w:cstheme="minorHAnsi"/>
              </w:rPr>
            </w:pPr>
            <w:r w:rsidRPr="008A5682">
              <w:rPr>
                <w:rFonts w:cstheme="minorHAnsi"/>
              </w:rPr>
              <w:t>2016</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challenges and positives do Managers experience in their positions?</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are the needs and strengths of each region?  The state?</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How do Managers perceive key relationships?</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are Managers’ perceptions of concrete services?</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do Managers know about the 2012 Waiver?</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are Managers’ perceptions of the 2012 Waiver?</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can Managers tell us about the role of experience in performing their duties?</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How do Managers approach staff development?</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How do Managers respond to qualitative data from the 2016 FCM survey?</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How will Managers maintain stability on behalf of children, families, and staff in the face of possible state administration changes?</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jc w:val="center"/>
              <w:rPr>
                <w:rFonts w:cstheme="minorHAnsi"/>
              </w:rPr>
            </w:pPr>
            <w:r w:rsidRPr="008A5682">
              <w:rPr>
                <w:rFonts w:cstheme="minorHAnsi"/>
              </w:rPr>
              <w:t>2019</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bookmarkStart w:id="18" w:name="_Hlk38878981"/>
            <w:r w:rsidRPr="008A5682">
              <w:rPr>
                <w:rFonts w:cstheme="minorHAnsi"/>
                <w:b w:val="0"/>
                <w:bCs w:val="0"/>
              </w:rPr>
              <w:t>What challenges and positives do Managers and administrators experience in their positions?</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How do Managers approach staff development?</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are Managers’ and administrators’ responses to self-care and professional well-being-related FCM data?</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How do Managers and administrators perceive key relationships?</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 xml:space="preserve">What are Managers’ perceptions of the 2012 Waiver?  </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are Managers’ perceptions of the current state of relative care in the state?</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 xml:space="preserve">What are Managers’ perceptions of concrete services?  </w:t>
            </w:r>
          </w:p>
        </w:tc>
      </w:tr>
      <w:tr w:rsidR="00891371" w:rsidRPr="008A5682"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are Managers’ perceptions of practice sustainability in a post-Waiver DCS?</w:t>
            </w:r>
          </w:p>
        </w:tc>
      </w:tr>
      <w:tr w:rsidR="00891371" w:rsidRPr="008A5682" w:rsidTr="00891371">
        <w:tc>
          <w:tcPr>
            <w:cnfStyle w:val="001000000000" w:firstRow="0" w:lastRow="0" w:firstColumn="1" w:lastColumn="0" w:oddVBand="0" w:evenVBand="0" w:oddHBand="0" w:evenHBand="0" w:firstRowFirstColumn="0" w:firstRowLastColumn="0" w:lastRowFirstColumn="0" w:lastRowLastColumn="0"/>
            <w:tcW w:w="9350" w:type="dxa"/>
          </w:tcPr>
          <w:p w:rsidR="00891371" w:rsidRPr="008A5682" w:rsidRDefault="00891371" w:rsidP="00891371">
            <w:pPr>
              <w:rPr>
                <w:rFonts w:cstheme="minorHAnsi"/>
                <w:b w:val="0"/>
                <w:bCs w:val="0"/>
              </w:rPr>
            </w:pPr>
            <w:r w:rsidRPr="008A5682">
              <w:rPr>
                <w:rFonts w:cstheme="minorHAnsi"/>
                <w:b w:val="0"/>
                <w:bCs w:val="0"/>
              </w:rPr>
              <w:t>What challenges and positives do Managers and administrators experience in their positions?</w:t>
            </w:r>
          </w:p>
        </w:tc>
      </w:tr>
      <w:bookmarkEnd w:id="18"/>
    </w:tbl>
    <w:p w:rsidR="00891371" w:rsidRDefault="00891371" w:rsidP="001E3185"/>
    <w:p w:rsidR="00891371" w:rsidRDefault="00891371" w:rsidP="00891371">
      <w:pPr>
        <w:pStyle w:val="Heading3"/>
        <w:rPr>
          <w:sz w:val="22"/>
          <w:szCs w:val="22"/>
        </w:rPr>
      </w:pPr>
      <w:r w:rsidRPr="007E0D31">
        <w:rPr>
          <w:sz w:val="22"/>
          <w:szCs w:val="22"/>
        </w:rPr>
        <w:t xml:space="preserve">Methodology </w:t>
      </w:r>
    </w:p>
    <w:p w:rsidR="00891371" w:rsidRDefault="00891371" w:rsidP="00891371">
      <w:pPr>
        <w:rPr>
          <w:rFonts w:cstheme="minorHAnsi"/>
        </w:rPr>
      </w:pPr>
      <w:r w:rsidRPr="00C917F1">
        <w:rPr>
          <w:rFonts w:cstheme="minorHAnsi"/>
        </w:rPr>
        <w:t>The methodological framework for this study is a collective case study.  The study was conceptualized to be longitudinal in nature.  Case study research involves the analysis of an issue explored through one or more cases within a bounded system, such as a setting or context, over time through detailed, in-depth data collection, involving multiple data sources (Creswell, 2007).  The product of case study research involves a report of a case description</w:t>
      </w:r>
      <w:r>
        <w:rPr>
          <w:rFonts w:cstheme="minorHAnsi"/>
        </w:rPr>
        <w:t>s</w:t>
      </w:r>
      <w:r w:rsidRPr="00C917F1">
        <w:rPr>
          <w:rFonts w:cstheme="minorHAnsi"/>
        </w:rPr>
        <w:t xml:space="preserve"> and case-based themes (Creswell, 2007).  This </w:t>
      </w:r>
      <w:r>
        <w:rPr>
          <w:rFonts w:cstheme="minorHAnsi"/>
        </w:rPr>
        <w:t xml:space="preserve">present </w:t>
      </w:r>
      <w:r w:rsidRPr="00C917F1">
        <w:rPr>
          <w:rFonts w:cstheme="minorHAnsi"/>
        </w:rPr>
        <w:t>study is considered a collective case study, making use of multiple cases (</w:t>
      </w:r>
      <w:r>
        <w:rPr>
          <w:rFonts w:cstheme="minorHAnsi"/>
        </w:rPr>
        <w:t>Regional Manager and Field Operations Administrator interviews</w:t>
      </w:r>
      <w:r w:rsidRPr="00C917F1">
        <w:rPr>
          <w:rFonts w:cstheme="minorHAnsi"/>
        </w:rPr>
        <w:t>) to illustrate an issue (the 2012 Waiver) within the bounded context of the state’s child welfare agency and within the time frame(s) of fiscal years (FYs) 2012 – 2016</w:t>
      </w:r>
      <w:r>
        <w:rPr>
          <w:rFonts w:cstheme="minorHAnsi"/>
        </w:rPr>
        <w:t xml:space="preserve"> and 2018 – 2019.  Of note, the evaluators did not collect interview data in 2017 and 2018 due agency leadership changes, IV-E Waiver demonstration changes (i.e., awaiting an extension), and a need to focus on alternative components of the overall evaluation. </w:t>
      </w:r>
    </w:p>
    <w:p w:rsidR="00891371" w:rsidRDefault="00891371" w:rsidP="00891371">
      <w:pPr>
        <w:rPr>
          <w:rFonts w:cstheme="minorHAnsi"/>
        </w:rPr>
      </w:pPr>
      <w:r>
        <w:rPr>
          <w:rFonts w:cstheme="minorHAnsi"/>
        </w:rPr>
        <w:t>In the first round of data collection (2013), three evaluators collected and analyzed interview data.  In the following round (2014), two evaluators collected and analyzed interview data.  After these initial two rounds, the project shifted to become the primary task of one evaluator.  In all subsequent rounds (2015, 2016, and 2019), this one evaluator collected the data.  Additional members of the evaluation team were kept abreast of study development and assisted in the overall analysis and reporting of the data.  Of note, two researchers, including the primary evaluator for this study, coded the 2019 data.  Interview data were consistently collected in the fall months.  Collecting data at this time of year was strategic as most DCS employees take vacation over the summer months as well as during traditional holiday seasons. Data collection typically spanned two months (2013 – August and September; 2014 – October and November; 2015 September, October, and November; 2016 – October and November; and 2019 – September and October) with the exception of 2015.</w:t>
      </w:r>
    </w:p>
    <w:p w:rsidR="00891371" w:rsidRPr="0077533B" w:rsidRDefault="00891371" w:rsidP="00891371">
      <w:pPr>
        <w:rPr>
          <w:rFonts w:cstheme="minorHAnsi"/>
        </w:rPr>
      </w:pPr>
      <w:r>
        <w:rPr>
          <w:rFonts w:cstheme="minorHAnsi"/>
        </w:rPr>
        <w:t>The steps for analysis used in this study were inspired by Creswell (2007) and are as follows:</w:t>
      </w:r>
      <w:r>
        <w:rPr>
          <w:rFonts w:cstheme="minorHAnsi"/>
        </w:rPr>
        <w:br/>
      </w:r>
      <w:r w:rsidRPr="0077533B">
        <w:rPr>
          <w:rFonts w:cstheme="minorHAnsi"/>
        </w:rPr>
        <w:t>Steps in analysis:</w:t>
      </w:r>
    </w:p>
    <w:p w:rsidR="00891371" w:rsidRPr="007F59EA" w:rsidRDefault="00891371" w:rsidP="00891371">
      <w:pPr>
        <w:pStyle w:val="ListParagraph"/>
        <w:numPr>
          <w:ilvl w:val="0"/>
          <w:numId w:val="44"/>
        </w:numPr>
        <w:rPr>
          <w:rFonts w:asciiTheme="minorHAnsi" w:hAnsiTheme="minorHAnsi"/>
          <w:sz w:val="22"/>
          <w:szCs w:val="22"/>
        </w:rPr>
      </w:pPr>
      <w:r w:rsidRPr="007F59EA">
        <w:rPr>
          <w:rFonts w:asciiTheme="minorHAnsi" w:hAnsiTheme="minorHAnsi"/>
          <w:sz w:val="22"/>
          <w:szCs w:val="22"/>
        </w:rPr>
        <w:t>Become familiar/re-familiar with the issue (the 2012 Waiver and child welfare practice in the state)</w:t>
      </w:r>
    </w:p>
    <w:p w:rsidR="00891371" w:rsidRPr="007F59EA" w:rsidRDefault="00891371" w:rsidP="00891371">
      <w:pPr>
        <w:pStyle w:val="ListParagraph"/>
        <w:numPr>
          <w:ilvl w:val="0"/>
          <w:numId w:val="44"/>
        </w:numPr>
        <w:rPr>
          <w:rFonts w:asciiTheme="minorHAnsi" w:hAnsiTheme="minorHAnsi"/>
          <w:sz w:val="22"/>
          <w:szCs w:val="22"/>
        </w:rPr>
      </w:pPr>
      <w:r w:rsidRPr="007F59EA">
        <w:rPr>
          <w:rFonts w:asciiTheme="minorHAnsi" w:hAnsiTheme="minorHAnsi"/>
          <w:sz w:val="22"/>
          <w:szCs w:val="22"/>
        </w:rPr>
        <w:t>Read each case (notes/transcript)</w:t>
      </w:r>
    </w:p>
    <w:p w:rsidR="00891371" w:rsidRPr="007F59EA" w:rsidRDefault="00891371" w:rsidP="00891371">
      <w:pPr>
        <w:pStyle w:val="ListParagraph"/>
        <w:numPr>
          <w:ilvl w:val="0"/>
          <w:numId w:val="44"/>
        </w:numPr>
        <w:rPr>
          <w:rFonts w:asciiTheme="minorHAnsi" w:hAnsiTheme="minorHAnsi"/>
          <w:sz w:val="22"/>
          <w:szCs w:val="22"/>
        </w:rPr>
      </w:pPr>
      <w:r w:rsidRPr="007F59EA">
        <w:rPr>
          <w:rFonts w:asciiTheme="minorHAnsi" w:hAnsiTheme="minorHAnsi"/>
          <w:sz w:val="22"/>
          <w:szCs w:val="22"/>
        </w:rPr>
        <w:t>Provide a detailed description of each case (describe overall impressions)</w:t>
      </w:r>
    </w:p>
    <w:p w:rsidR="00891371" w:rsidRPr="007F59EA" w:rsidRDefault="00891371" w:rsidP="00891371">
      <w:pPr>
        <w:pStyle w:val="ListParagraph"/>
        <w:numPr>
          <w:ilvl w:val="0"/>
          <w:numId w:val="44"/>
        </w:numPr>
        <w:rPr>
          <w:rFonts w:asciiTheme="minorHAnsi" w:hAnsiTheme="minorHAnsi"/>
          <w:sz w:val="22"/>
          <w:szCs w:val="22"/>
        </w:rPr>
      </w:pPr>
      <w:r w:rsidRPr="007F59EA">
        <w:rPr>
          <w:rFonts w:asciiTheme="minorHAnsi" w:hAnsiTheme="minorHAnsi"/>
          <w:sz w:val="22"/>
          <w:szCs w:val="22"/>
        </w:rPr>
        <w:t>Re-read each case</w:t>
      </w:r>
    </w:p>
    <w:p w:rsidR="00891371" w:rsidRPr="007F59EA" w:rsidRDefault="00891371" w:rsidP="00891371">
      <w:pPr>
        <w:pStyle w:val="ListParagraph"/>
        <w:numPr>
          <w:ilvl w:val="0"/>
          <w:numId w:val="44"/>
        </w:numPr>
        <w:rPr>
          <w:rFonts w:asciiTheme="minorHAnsi" w:hAnsiTheme="minorHAnsi"/>
          <w:sz w:val="22"/>
          <w:szCs w:val="22"/>
        </w:rPr>
      </w:pPr>
      <w:r w:rsidRPr="007F59EA">
        <w:rPr>
          <w:rFonts w:asciiTheme="minorHAnsi" w:hAnsiTheme="minorHAnsi"/>
          <w:sz w:val="22"/>
          <w:szCs w:val="22"/>
        </w:rPr>
        <w:t>Identify themes within each case – within case analysis</w:t>
      </w:r>
    </w:p>
    <w:p w:rsidR="00891371" w:rsidRPr="007F59EA" w:rsidRDefault="00891371" w:rsidP="00891371">
      <w:pPr>
        <w:pStyle w:val="ListParagraph"/>
        <w:numPr>
          <w:ilvl w:val="0"/>
          <w:numId w:val="44"/>
        </w:numPr>
        <w:rPr>
          <w:rFonts w:asciiTheme="minorHAnsi" w:hAnsiTheme="minorHAnsi"/>
          <w:sz w:val="22"/>
          <w:szCs w:val="22"/>
        </w:rPr>
      </w:pPr>
      <w:r w:rsidRPr="007F59EA">
        <w:rPr>
          <w:rFonts w:asciiTheme="minorHAnsi" w:hAnsiTheme="minorHAnsi"/>
          <w:sz w:val="22"/>
          <w:szCs w:val="22"/>
        </w:rPr>
        <w:t>Identify common themes that transcend cases – cross-case analysis</w:t>
      </w:r>
    </w:p>
    <w:p w:rsidR="00891371" w:rsidRPr="007F59EA" w:rsidRDefault="00891371" w:rsidP="00891371">
      <w:pPr>
        <w:pStyle w:val="ListParagraph"/>
        <w:numPr>
          <w:ilvl w:val="0"/>
          <w:numId w:val="44"/>
        </w:numPr>
        <w:rPr>
          <w:rFonts w:asciiTheme="minorHAnsi" w:hAnsiTheme="minorHAnsi"/>
          <w:sz w:val="22"/>
          <w:szCs w:val="22"/>
        </w:rPr>
      </w:pPr>
      <w:r w:rsidRPr="007F59EA">
        <w:rPr>
          <w:rFonts w:asciiTheme="minorHAnsi" w:hAnsiTheme="minorHAnsi"/>
          <w:sz w:val="22"/>
          <w:szCs w:val="22"/>
        </w:rPr>
        <w:t>Develop assertions – an interpretation of the meaning of the cases, lessons learned</w:t>
      </w:r>
    </w:p>
    <w:p w:rsidR="00891371" w:rsidRDefault="00891371" w:rsidP="00891371">
      <w:pPr>
        <w:rPr>
          <w:rFonts w:cstheme="minorHAnsi"/>
        </w:rPr>
      </w:pPr>
      <w:r>
        <w:rPr>
          <w:rFonts w:cstheme="minorHAnsi"/>
        </w:rPr>
        <w:t>Analysis steps were completed for each round of data collection as well as for the collective case, reviewing all rounds of data.</w:t>
      </w:r>
    </w:p>
    <w:p w:rsidR="007F59EA" w:rsidRPr="00AA28BE" w:rsidRDefault="007F59EA" w:rsidP="00891371">
      <w:pPr>
        <w:rPr>
          <w:rFonts w:cstheme="minorHAnsi"/>
        </w:rPr>
      </w:pPr>
    </w:p>
    <w:p w:rsidR="00891371" w:rsidRDefault="00891371" w:rsidP="00891371">
      <w:pPr>
        <w:pStyle w:val="Heading3"/>
        <w:spacing w:before="0"/>
        <w:rPr>
          <w:sz w:val="22"/>
          <w:szCs w:val="22"/>
        </w:rPr>
      </w:pPr>
      <w:r w:rsidRPr="007E0D31">
        <w:rPr>
          <w:sz w:val="22"/>
          <w:szCs w:val="22"/>
        </w:rPr>
        <w:t xml:space="preserve">Sample Characteristics </w:t>
      </w:r>
    </w:p>
    <w:p w:rsidR="00891371" w:rsidRDefault="00891371" w:rsidP="00891371">
      <w:pPr>
        <w:rPr>
          <w:rFonts w:cstheme="minorHAnsi"/>
        </w:rPr>
      </w:pPr>
      <w:r w:rsidRPr="00754111">
        <w:rPr>
          <w:rFonts w:cstheme="minorHAnsi"/>
        </w:rPr>
        <w:t xml:space="preserve">The </w:t>
      </w:r>
      <w:r>
        <w:rPr>
          <w:rFonts w:cstheme="minorHAnsi"/>
        </w:rPr>
        <w:t xml:space="preserve">collective </w:t>
      </w:r>
      <w:r w:rsidRPr="00754111">
        <w:rPr>
          <w:rFonts w:cstheme="minorHAnsi"/>
        </w:rPr>
        <w:t xml:space="preserve">sample consists of </w:t>
      </w:r>
      <w:r>
        <w:rPr>
          <w:rFonts w:cstheme="minorHAnsi"/>
        </w:rPr>
        <w:t>100 total</w:t>
      </w:r>
      <w:r w:rsidRPr="00754111">
        <w:rPr>
          <w:rFonts w:cstheme="minorHAnsi"/>
        </w:rPr>
        <w:t xml:space="preserve"> </w:t>
      </w:r>
      <w:r>
        <w:rPr>
          <w:rFonts w:cstheme="minorHAnsi"/>
        </w:rPr>
        <w:t>interviews including</w:t>
      </w:r>
      <w:r w:rsidRPr="00754111">
        <w:rPr>
          <w:rFonts w:cstheme="minorHAnsi"/>
        </w:rPr>
        <w:t xml:space="preserve"> </w:t>
      </w:r>
      <w:r>
        <w:rPr>
          <w:rFonts w:cstheme="minorHAnsi"/>
        </w:rPr>
        <w:t>87</w:t>
      </w:r>
      <w:r w:rsidRPr="00754111">
        <w:rPr>
          <w:rFonts w:cstheme="minorHAnsi"/>
        </w:rPr>
        <w:t xml:space="preserve"> </w:t>
      </w:r>
      <w:r>
        <w:rPr>
          <w:rFonts w:cstheme="minorHAnsi"/>
        </w:rPr>
        <w:t xml:space="preserve">individual </w:t>
      </w:r>
      <w:r w:rsidRPr="00754111">
        <w:rPr>
          <w:rFonts w:cstheme="minorHAnsi"/>
        </w:rPr>
        <w:t xml:space="preserve">RM cases and </w:t>
      </w:r>
      <w:r>
        <w:rPr>
          <w:rFonts w:cstheme="minorHAnsi"/>
        </w:rPr>
        <w:t>13</w:t>
      </w:r>
      <w:r w:rsidRPr="00754111">
        <w:rPr>
          <w:rFonts w:cstheme="minorHAnsi"/>
        </w:rPr>
        <w:t xml:space="preserve"> </w:t>
      </w:r>
      <w:r>
        <w:rPr>
          <w:rFonts w:cstheme="minorHAnsi"/>
        </w:rPr>
        <w:t>individual administrator</w:t>
      </w:r>
      <w:r w:rsidRPr="00754111">
        <w:rPr>
          <w:rFonts w:cstheme="minorHAnsi"/>
        </w:rPr>
        <w:t xml:space="preserve"> cases.</w:t>
      </w:r>
      <w:r>
        <w:rPr>
          <w:rFonts w:cstheme="minorHAnsi"/>
        </w:rPr>
        <w:t xml:space="preserve">  </w:t>
      </w:r>
      <w:r w:rsidRPr="006D47A1">
        <w:rPr>
          <w:rFonts w:cstheme="minorHAnsi"/>
        </w:rPr>
        <w:t>Of note, throughout the study period, evaluators conducted interviews with 29 unique RM</w:t>
      </w:r>
      <w:r>
        <w:rPr>
          <w:rFonts w:cstheme="minorHAnsi"/>
        </w:rPr>
        <w:t>s</w:t>
      </w:r>
      <w:r w:rsidRPr="006D47A1">
        <w:rPr>
          <w:rFonts w:cstheme="minorHAnsi"/>
        </w:rPr>
        <w:t xml:space="preserve"> and three unique administrators.  Interview participants varied by </w:t>
      </w:r>
      <w:r>
        <w:rPr>
          <w:rFonts w:cstheme="minorHAnsi"/>
        </w:rPr>
        <w:t>round</w:t>
      </w:r>
      <w:r w:rsidRPr="006D47A1">
        <w:rPr>
          <w:rFonts w:cstheme="minorHAnsi"/>
        </w:rPr>
        <w:t xml:space="preserve"> due to turnove</w:t>
      </w:r>
      <w:r>
        <w:rPr>
          <w:rFonts w:cstheme="minorHAnsi"/>
        </w:rPr>
        <w:t xml:space="preserve">r, </w:t>
      </w:r>
      <w:r w:rsidRPr="006D47A1">
        <w:rPr>
          <w:rFonts w:cstheme="minorHAnsi"/>
        </w:rPr>
        <w:t>vacancies</w:t>
      </w:r>
      <w:r>
        <w:rPr>
          <w:rFonts w:cstheme="minorHAnsi"/>
        </w:rPr>
        <w:t xml:space="preserve">, and newly created </w:t>
      </w:r>
      <w:r w:rsidRPr="006D47A1">
        <w:rPr>
          <w:rFonts w:cstheme="minorHAnsi"/>
        </w:rPr>
        <w:t xml:space="preserve">positions.  Turnover in child welfare practice, including among managers and administrators, is a common phenomenon (Child Welfare Information Gateway, n.d.).  </w:t>
      </w:r>
      <w:r w:rsidRPr="00872FE7">
        <w:rPr>
          <w:rFonts w:cstheme="minorHAnsi"/>
        </w:rPr>
        <w:t>Six Managers/administrators participated in all five interview rounds.</w:t>
      </w:r>
      <w:r w:rsidR="007F59EA">
        <w:rPr>
          <w:rFonts w:cstheme="minorHAnsi"/>
        </w:rPr>
        <w:t xml:space="preserve"> </w:t>
      </w:r>
      <w:r>
        <w:rPr>
          <w:rFonts w:cstheme="minorHAnsi"/>
        </w:rPr>
        <w:t>Participant characterist</w:t>
      </w:r>
      <w:r w:rsidR="008741B0">
        <w:rPr>
          <w:rFonts w:cstheme="minorHAnsi"/>
        </w:rPr>
        <w:t>ics by round are outli</w:t>
      </w:r>
      <w:r w:rsidR="002A34BA">
        <w:rPr>
          <w:rFonts w:cstheme="minorHAnsi"/>
        </w:rPr>
        <w:t>ned in Table 20</w:t>
      </w:r>
      <w:r w:rsidR="008741B0">
        <w:rPr>
          <w:rFonts w:cstheme="minorHAnsi"/>
        </w:rPr>
        <w:t xml:space="preserve"> below</w:t>
      </w:r>
      <w:r>
        <w:rPr>
          <w:rFonts w:cstheme="minorHAnsi"/>
        </w:rPr>
        <w:t>.</w:t>
      </w:r>
    </w:p>
    <w:p w:rsidR="007F59EA" w:rsidRDefault="007F59EA" w:rsidP="00891371">
      <w:pPr>
        <w:rPr>
          <w:rFonts w:cstheme="minorHAnsi"/>
        </w:rPr>
      </w:pPr>
    </w:p>
    <w:tbl>
      <w:tblPr>
        <w:tblStyle w:val="GridTable4-Accent5"/>
        <w:tblpPr w:leftFromText="180" w:rightFromText="180" w:vertAnchor="text" w:horzAnchor="margin" w:tblpY="328"/>
        <w:tblW w:w="9355" w:type="dxa"/>
        <w:tblLook w:val="0420" w:firstRow="1" w:lastRow="0" w:firstColumn="0" w:lastColumn="0" w:noHBand="0" w:noVBand="1"/>
      </w:tblPr>
      <w:tblGrid>
        <w:gridCol w:w="1975"/>
        <w:gridCol w:w="1476"/>
        <w:gridCol w:w="1476"/>
        <w:gridCol w:w="1476"/>
        <w:gridCol w:w="1476"/>
        <w:gridCol w:w="1476"/>
      </w:tblGrid>
      <w:tr w:rsidR="007F59EA" w:rsidRPr="00F73780" w:rsidTr="007F59EA">
        <w:trPr>
          <w:cnfStyle w:val="100000000000" w:firstRow="1" w:lastRow="0" w:firstColumn="0" w:lastColumn="0" w:oddVBand="0" w:evenVBand="0" w:oddHBand="0" w:evenHBand="0" w:firstRowFirstColumn="0" w:firstRowLastColumn="0" w:lastRowFirstColumn="0" w:lastRowLastColumn="0"/>
          <w:trHeight w:val="628"/>
        </w:trPr>
        <w:tc>
          <w:tcPr>
            <w:tcW w:w="1975" w:type="dxa"/>
            <w:vAlign w:val="bottom"/>
            <w:hideMark/>
          </w:tcPr>
          <w:p w:rsidR="007F59EA" w:rsidRPr="007F59EA" w:rsidRDefault="007F59EA" w:rsidP="007F59EA">
            <w:pPr>
              <w:jc w:val="center"/>
            </w:pPr>
            <w:r w:rsidRPr="007F59EA">
              <w:t>Background Info</w:t>
            </w:r>
          </w:p>
        </w:tc>
        <w:tc>
          <w:tcPr>
            <w:tcW w:w="1476" w:type="dxa"/>
            <w:vAlign w:val="bottom"/>
            <w:hideMark/>
          </w:tcPr>
          <w:p w:rsidR="007F59EA" w:rsidRPr="007F59EA" w:rsidRDefault="007F59EA" w:rsidP="007F59EA">
            <w:pPr>
              <w:jc w:val="center"/>
            </w:pPr>
            <w:r w:rsidRPr="007F59EA">
              <w:t>2013 N = 20</w:t>
            </w:r>
          </w:p>
        </w:tc>
        <w:tc>
          <w:tcPr>
            <w:tcW w:w="1476" w:type="dxa"/>
            <w:vAlign w:val="bottom"/>
            <w:hideMark/>
          </w:tcPr>
          <w:p w:rsidR="007F59EA" w:rsidRPr="007F59EA" w:rsidRDefault="007F59EA" w:rsidP="007F59EA">
            <w:pPr>
              <w:jc w:val="center"/>
            </w:pPr>
            <w:r w:rsidRPr="007F59EA">
              <w:t>2014 N = 20</w:t>
            </w:r>
          </w:p>
        </w:tc>
        <w:tc>
          <w:tcPr>
            <w:tcW w:w="1476" w:type="dxa"/>
            <w:vAlign w:val="bottom"/>
            <w:hideMark/>
          </w:tcPr>
          <w:p w:rsidR="007F59EA" w:rsidRPr="007F59EA" w:rsidRDefault="007F59EA" w:rsidP="007F59EA">
            <w:pPr>
              <w:jc w:val="center"/>
            </w:pPr>
            <w:r w:rsidRPr="007F59EA">
              <w:t>2015 N = 18</w:t>
            </w:r>
          </w:p>
        </w:tc>
        <w:tc>
          <w:tcPr>
            <w:tcW w:w="1476" w:type="dxa"/>
            <w:vAlign w:val="bottom"/>
            <w:hideMark/>
          </w:tcPr>
          <w:p w:rsidR="007F59EA" w:rsidRPr="007F59EA" w:rsidRDefault="007F59EA" w:rsidP="007F59EA">
            <w:pPr>
              <w:jc w:val="center"/>
            </w:pPr>
            <w:r w:rsidRPr="007F59EA">
              <w:t>2016 N = 20</w:t>
            </w:r>
          </w:p>
        </w:tc>
        <w:tc>
          <w:tcPr>
            <w:tcW w:w="1476" w:type="dxa"/>
            <w:vAlign w:val="bottom"/>
          </w:tcPr>
          <w:p w:rsidR="007F59EA" w:rsidRPr="007F59EA" w:rsidRDefault="007F59EA" w:rsidP="007F59EA">
            <w:pPr>
              <w:jc w:val="center"/>
            </w:pPr>
            <w:r w:rsidRPr="007F59EA">
              <w:t>2019 N = 22</w:t>
            </w:r>
          </w:p>
        </w:tc>
      </w:tr>
      <w:tr w:rsidR="007F59EA" w:rsidRPr="00F73780" w:rsidTr="007F59EA">
        <w:trPr>
          <w:cnfStyle w:val="000000100000" w:firstRow="0" w:lastRow="0" w:firstColumn="0" w:lastColumn="0" w:oddVBand="0" w:evenVBand="0" w:oddHBand="1" w:evenHBand="0" w:firstRowFirstColumn="0" w:firstRowLastColumn="0" w:lastRowFirstColumn="0" w:lastRowLastColumn="0"/>
          <w:trHeight w:val="434"/>
        </w:trPr>
        <w:tc>
          <w:tcPr>
            <w:tcW w:w="1975" w:type="dxa"/>
            <w:hideMark/>
          </w:tcPr>
          <w:p w:rsidR="007F59EA" w:rsidRPr="00F73780" w:rsidRDefault="007F59EA" w:rsidP="007F59EA">
            <w:r w:rsidRPr="00F73780">
              <w:t>Ave. Dept. Tenure</w:t>
            </w:r>
          </w:p>
        </w:tc>
        <w:tc>
          <w:tcPr>
            <w:tcW w:w="1476" w:type="dxa"/>
            <w:hideMark/>
          </w:tcPr>
          <w:p w:rsidR="007F59EA" w:rsidRPr="00F73780" w:rsidRDefault="007F59EA" w:rsidP="007F59EA">
            <w:r w:rsidRPr="00F73780">
              <w:t>23 years</w:t>
            </w:r>
          </w:p>
        </w:tc>
        <w:tc>
          <w:tcPr>
            <w:tcW w:w="1476" w:type="dxa"/>
            <w:hideMark/>
          </w:tcPr>
          <w:p w:rsidR="007F59EA" w:rsidRPr="00F73780" w:rsidRDefault="007F59EA" w:rsidP="007F59EA">
            <w:r w:rsidRPr="00F73780">
              <w:t>22 years</w:t>
            </w:r>
          </w:p>
        </w:tc>
        <w:tc>
          <w:tcPr>
            <w:tcW w:w="1476" w:type="dxa"/>
            <w:hideMark/>
          </w:tcPr>
          <w:p w:rsidR="007F59EA" w:rsidRPr="00F73780" w:rsidRDefault="007F59EA" w:rsidP="007F59EA">
            <w:r w:rsidRPr="00F73780">
              <w:t>21 years</w:t>
            </w:r>
          </w:p>
        </w:tc>
        <w:tc>
          <w:tcPr>
            <w:tcW w:w="1476" w:type="dxa"/>
            <w:hideMark/>
          </w:tcPr>
          <w:p w:rsidR="007F59EA" w:rsidRPr="00F73780" w:rsidRDefault="007F59EA" w:rsidP="007F59EA">
            <w:r w:rsidRPr="00F73780">
              <w:t>19 years</w:t>
            </w:r>
          </w:p>
        </w:tc>
        <w:tc>
          <w:tcPr>
            <w:tcW w:w="1476" w:type="dxa"/>
          </w:tcPr>
          <w:p w:rsidR="007F59EA" w:rsidRPr="00F73780" w:rsidRDefault="007F59EA" w:rsidP="007F59EA">
            <w:r>
              <w:t>22 years</w:t>
            </w:r>
          </w:p>
        </w:tc>
      </w:tr>
      <w:tr w:rsidR="007F59EA" w:rsidRPr="00F73780" w:rsidTr="007F59EA">
        <w:trPr>
          <w:trHeight w:val="326"/>
        </w:trPr>
        <w:tc>
          <w:tcPr>
            <w:tcW w:w="1975" w:type="dxa"/>
            <w:hideMark/>
          </w:tcPr>
          <w:p w:rsidR="007F59EA" w:rsidRPr="00F73780" w:rsidRDefault="007F59EA" w:rsidP="007F59EA">
            <w:r w:rsidRPr="00F73780">
              <w:t>Ave. Role Tenure</w:t>
            </w:r>
          </w:p>
        </w:tc>
        <w:tc>
          <w:tcPr>
            <w:tcW w:w="1476" w:type="dxa"/>
            <w:hideMark/>
          </w:tcPr>
          <w:p w:rsidR="007F59EA" w:rsidRPr="00F73780" w:rsidRDefault="007F59EA" w:rsidP="007F59EA">
            <w:r w:rsidRPr="00F73780">
              <w:t>5 years</w:t>
            </w:r>
          </w:p>
        </w:tc>
        <w:tc>
          <w:tcPr>
            <w:tcW w:w="1476" w:type="dxa"/>
            <w:hideMark/>
          </w:tcPr>
          <w:p w:rsidR="007F59EA" w:rsidRPr="00F73780" w:rsidRDefault="007F59EA" w:rsidP="007F59EA">
            <w:r w:rsidRPr="00F73780">
              <w:t>5 years</w:t>
            </w:r>
          </w:p>
        </w:tc>
        <w:tc>
          <w:tcPr>
            <w:tcW w:w="1476" w:type="dxa"/>
            <w:hideMark/>
          </w:tcPr>
          <w:p w:rsidR="007F59EA" w:rsidRPr="00F73780" w:rsidRDefault="007F59EA" w:rsidP="007F59EA">
            <w:r w:rsidRPr="00F73780">
              <w:t>4 years</w:t>
            </w:r>
          </w:p>
        </w:tc>
        <w:tc>
          <w:tcPr>
            <w:tcW w:w="1476" w:type="dxa"/>
            <w:hideMark/>
          </w:tcPr>
          <w:p w:rsidR="007F59EA" w:rsidRPr="00F73780" w:rsidRDefault="007F59EA" w:rsidP="007F59EA">
            <w:r w:rsidRPr="00F73780">
              <w:t>4.5 years</w:t>
            </w:r>
          </w:p>
        </w:tc>
        <w:tc>
          <w:tcPr>
            <w:tcW w:w="1476" w:type="dxa"/>
          </w:tcPr>
          <w:p w:rsidR="007F59EA" w:rsidRPr="005D7FE4" w:rsidRDefault="007F59EA" w:rsidP="007F59EA">
            <w:r w:rsidRPr="005D7FE4">
              <w:t>3.2 years</w:t>
            </w:r>
          </w:p>
        </w:tc>
      </w:tr>
      <w:tr w:rsidR="007F59EA" w:rsidRPr="00F73780" w:rsidTr="007F59EA">
        <w:trPr>
          <w:cnfStyle w:val="000000100000" w:firstRow="0" w:lastRow="0" w:firstColumn="0" w:lastColumn="0" w:oddVBand="0" w:evenVBand="0" w:oddHBand="1" w:evenHBand="0" w:firstRowFirstColumn="0" w:firstRowLastColumn="0" w:lastRowFirstColumn="0" w:lastRowLastColumn="0"/>
          <w:trHeight w:val="334"/>
        </w:trPr>
        <w:tc>
          <w:tcPr>
            <w:tcW w:w="1975" w:type="dxa"/>
            <w:hideMark/>
          </w:tcPr>
          <w:p w:rsidR="007F59EA" w:rsidRPr="00F73780" w:rsidRDefault="007F59EA" w:rsidP="007F59EA">
            <w:r w:rsidRPr="00F73780">
              <w:t>Ave. Add. Positions</w:t>
            </w:r>
          </w:p>
        </w:tc>
        <w:tc>
          <w:tcPr>
            <w:tcW w:w="1476" w:type="dxa"/>
            <w:hideMark/>
          </w:tcPr>
          <w:p w:rsidR="007F59EA" w:rsidRPr="00F73780" w:rsidRDefault="007F59EA" w:rsidP="007F59EA">
            <w:r w:rsidRPr="00F73780">
              <w:t>3 positions</w:t>
            </w:r>
          </w:p>
        </w:tc>
        <w:tc>
          <w:tcPr>
            <w:tcW w:w="1476" w:type="dxa"/>
            <w:hideMark/>
          </w:tcPr>
          <w:p w:rsidR="007F59EA" w:rsidRPr="00F73780" w:rsidRDefault="007F59EA" w:rsidP="007F59EA">
            <w:r w:rsidRPr="00F73780">
              <w:t>3 positions</w:t>
            </w:r>
          </w:p>
        </w:tc>
        <w:tc>
          <w:tcPr>
            <w:tcW w:w="1476" w:type="dxa"/>
            <w:hideMark/>
          </w:tcPr>
          <w:p w:rsidR="007F59EA" w:rsidRPr="00F73780" w:rsidRDefault="007F59EA" w:rsidP="007F59EA">
            <w:r w:rsidRPr="00F73780">
              <w:t>3 positions</w:t>
            </w:r>
          </w:p>
        </w:tc>
        <w:tc>
          <w:tcPr>
            <w:tcW w:w="1476" w:type="dxa"/>
            <w:hideMark/>
          </w:tcPr>
          <w:p w:rsidR="007F59EA" w:rsidRPr="00F73780" w:rsidRDefault="007F59EA" w:rsidP="007F59EA">
            <w:r w:rsidRPr="00F73780">
              <w:t>3 positions</w:t>
            </w:r>
          </w:p>
        </w:tc>
        <w:tc>
          <w:tcPr>
            <w:tcW w:w="1476" w:type="dxa"/>
          </w:tcPr>
          <w:p w:rsidR="007F59EA" w:rsidRPr="005D7FE4" w:rsidRDefault="007F59EA" w:rsidP="007F59EA">
            <w:r w:rsidRPr="005D7FE4">
              <w:t>3 positions</w:t>
            </w:r>
          </w:p>
        </w:tc>
      </w:tr>
      <w:tr w:rsidR="007F59EA" w:rsidRPr="00F73780" w:rsidTr="007F59EA">
        <w:trPr>
          <w:trHeight w:val="434"/>
        </w:trPr>
        <w:tc>
          <w:tcPr>
            <w:tcW w:w="1975" w:type="dxa"/>
            <w:hideMark/>
          </w:tcPr>
          <w:p w:rsidR="007F59EA" w:rsidRPr="00F73780" w:rsidRDefault="007F59EA" w:rsidP="007F59EA">
            <w:r w:rsidRPr="00F73780">
              <w:t>Bachelor’s Degree</w:t>
            </w:r>
          </w:p>
        </w:tc>
        <w:tc>
          <w:tcPr>
            <w:tcW w:w="1476" w:type="dxa"/>
            <w:hideMark/>
          </w:tcPr>
          <w:p w:rsidR="007F59EA" w:rsidRPr="00F73780" w:rsidRDefault="007F59EA" w:rsidP="007F59EA">
            <w:r w:rsidRPr="00F73780">
              <w:t>N = 20</w:t>
            </w:r>
          </w:p>
        </w:tc>
        <w:tc>
          <w:tcPr>
            <w:tcW w:w="1476" w:type="dxa"/>
            <w:hideMark/>
          </w:tcPr>
          <w:p w:rsidR="007F59EA" w:rsidRPr="00F73780" w:rsidRDefault="007F59EA" w:rsidP="007F59EA">
            <w:r w:rsidRPr="00F73780">
              <w:t>N = 20</w:t>
            </w:r>
          </w:p>
        </w:tc>
        <w:tc>
          <w:tcPr>
            <w:tcW w:w="1476" w:type="dxa"/>
            <w:hideMark/>
          </w:tcPr>
          <w:p w:rsidR="007F59EA" w:rsidRPr="00F73780" w:rsidRDefault="007F59EA" w:rsidP="007F59EA">
            <w:r w:rsidRPr="00F73780">
              <w:t>N = 18</w:t>
            </w:r>
          </w:p>
        </w:tc>
        <w:tc>
          <w:tcPr>
            <w:tcW w:w="1476" w:type="dxa"/>
            <w:hideMark/>
          </w:tcPr>
          <w:p w:rsidR="007F59EA" w:rsidRPr="00F73780" w:rsidRDefault="007F59EA" w:rsidP="007F59EA">
            <w:r w:rsidRPr="00F73780">
              <w:t xml:space="preserve">N = 20 </w:t>
            </w:r>
          </w:p>
        </w:tc>
        <w:tc>
          <w:tcPr>
            <w:tcW w:w="1476" w:type="dxa"/>
          </w:tcPr>
          <w:p w:rsidR="007F59EA" w:rsidRPr="00F73780" w:rsidRDefault="007F59EA" w:rsidP="007F59EA">
            <w:r>
              <w:t>N = 22</w:t>
            </w:r>
          </w:p>
        </w:tc>
      </w:tr>
      <w:tr w:rsidR="007F59EA" w:rsidRPr="00F73780" w:rsidTr="007F59EA">
        <w:trPr>
          <w:cnfStyle w:val="000000100000" w:firstRow="0" w:lastRow="0" w:firstColumn="0" w:lastColumn="0" w:oddVBand="0" w:evenVBand="0" w:oddHBand="1" w:evenHBand="0" w:firstRowFirstColumn="0" w:firstRowLastColumn="0" w:lastRowFirstColumn="0" w:lastRowLastColumn="0"/>
          <w:trHeight w:val="326"/>
        </w:trPr>
        <w:tc>
          <w:tcPr>
            <w:tcW w:w="1975" w:type="dxa"/>
            <w:hideMark/>
          </w:tcPr>
          <w:p w:rsidR="007F59EA" w:rsidRPr="00F73780" w:rsidRDefault="007F59EA" w:rsidP="007F59EA">
            <w:r w:rsidRPr="00F73780">
              <w:t>Master’s Degree</w:t>
            </w:r>
          </w:p>
        </w:tc>
        <w:tc>
          <w:tcPr>
            <w:tcW w:w="1476" w:type="dxa"/>
            <w:hideMark/>
          </w:tcPr>
          <w:p w:rsidR="007F59EA" w:rsidRPr="00F73780" w:rsidRDefault="007F59EA" w:rsidP="007F59EA">
            <w:r w:rsidRPr="00F73780">
              <w:t>N = 12</w:t>
            </w:r>
          </w:p>
        </w:tc>
        <w:tc>
          <w:tcPr>
            <w:tcW w:w="1476" w:type="dxa"/>
            <w:hideMark/>
          </w:tcPr>
          <w:p w:rsidR="007F59EA" w:rsidRPr="00F73780" w:rsidRDefault="007F59EA" w:rsidP="007F59EA">
            <w:r w:rsidRPr="00F73780">
              <w:t>N = 13</w:t>
            </w:r>
          </w:p>
        </w:tc>
        <w:tc>
          <w:tcPr>
            <w:tcW w:w="1476" w:type="dxa"/>
            <w:hideMark/>
          </w:tcPr>
          <w:p w:rsidR="007F59EA" w:rsidRPr="00F73780" w:rsidRDefault="007F59EA" w:rsidP="007F59EA">
            <w:r w:rsidRPr="00F73780">
              <w:t>N = 12</w:t>
            </w:r>
          </w:p>
        </w:tc>
        <w:tc>
          <w:tcPr>
            <w:tcW w:w="1476" w:type="dxa"/>
            <w:hideMark/>
          </w:tcPr>
          <w:p w:rsidR="007F59EA" w:rsidRPr="00F73780" w:rsidRDefault="007F59EA" w:rsidP="007F59EA">
            <w:r w:rsidRPr="00F73780">
              <w:t>N = 14</w:t>
            </w:r>
          </w:p>
        </w:tc>
        <w:tc>
          <w:tcPr>
            <w:tcW w:w="1476" w:type="dxa"/>
          </w:tcPr>
          <w:p w:rsidR="007F59EA" w:rsidRPr="00F73780" w:rsidRDefault="007F59EA" w:rsidP="007F59EA">
            <w:r>
              <w:t>N = 10</w:t>
            </w:r>
          </w:p>
        </w:tc>
      </w:tr>
      <w:tr w:rsidR="007F59EA" w:rsidRPr="00F73780" w:rsidTr="007F59EA">
        <w:trPr>
          <w:trHeight w:val="326"/>
        </w:trPr>
        <w:tc>
          <w:tcPr>
            <w:tcW w:w="1975" w:type="dxa"/>
            <w:hideMark/>
          </w:tcPr>
          <w:p w:rsidR="007F59EA" w:rsidRPr="00F73780" w:rsidRDefault="007F59EA" w:rsidP="007F59EA">
            <w:r w:rsidRPr="00F73780">
              <w:t>Social Work Degree</w:t>
            </w:r>
          </w:p>
        </w:tc>
        <w:tc>
          <w:tcPr>
            <w:tcW w:w="1476" w:type="dxa"/>
            <w:hideMark/>
          </w:tcPr>
          <w:p w:rsidR="007F59EA" w:rsidRPr="00F73780" w:rsidRDefault="007F59EA" w:rsidP="007F59EA">
            <w:r w:rsidRPr="00F73780">
              <w:t>N = 11</w:t>
            </w:r>
          </w:p>
        </w:tc>
        <w:tc>
          <w:tcPr>
            <w:tcW w:w="1476" w:type="dxa"/>
            <w:hideMark/>
          </w:tcPr>
          <w:p w:rsidR="007F59EA" w:rsidRPr="00F73780" w:rsidRDefault="007F59EA" w:rsidP="007F59EA">
            <w:r w:rsidRPr="00F73780">
              <w:t>N = 9</w:t>
            </w:r>
          </w:p>
        </w:tc>
        <w:tc>
          <w:tcPr>
            <w:tcW w:w="1476" w:type="dxa"/>
            <w:hideMark/>
          </w:tcPr>
          <w:p w:rsidR="007F59EA" w:rsidRPr="00F73780" w:rsidRDefault="007F59EA" w:rsidP="007F59EA">
            <w:r w:rsidRPr="00F73780">
              <w:t>N = 10</w:t>
            </w:r>
          </w:p>
        </w:tc>
        <w:tc>
          <w:tcPr>
            <w:tcW w:w="1476" w:type="dxa"/>
            <w:hideMark/>
          </w:tcPr>
          <w:p w:rsidR="007F59EA" w:rsidRPr="00F73780" w:rsidRDefault="007F59EA" w:rsidP="007F59EA">
            <w:r w:rsidRPr="00F73780">
              <w:t>N = 11</w:t>
            </w:r>
          </w:p>
        </w:tc>
        <w:tc>
          <w:tcPr>
            <w:tcW w:w="1476" w:type="dxa"/>
          </w:tcPr>
          <w:p w:rsidR="007F59EA" w:rsidRPr="00F73780" w:rsidRDefault="007F59EA" w:rsidP="007F59EA">
            <w:r>
              <w:t>N = 9</w:t>
            </w:r>
          </w:p>
        </w:tc>
      </w:tr>
    </w:tbl>
    <w:p w:rsidR="007F59EA" w:rsidRDefault="007F59EA" w:rsidP="007F59EA">
      <w:pPr>
        <w:pStyle w:val="Heading4"/>
      </w:pPr>
      <w:r>
        <w:t xml:space="preserve">Table </w:t>
      </w:r>
      <w:r w:rsidR="002A34BA">
        <w:t>20</w:t>
      </w:r>
      <w:r>
        <w:t>. Participant characteristics</w:t>
      </w:r>
    </w:p>
    <w:p w:rsidR="00891371" w:rsidRDefault="00891371" w:rsidP="001E3185"/>
    <w:p w:rsidR="00891371" w:rsidRDefault="00891371" w:rsidP="00891371">
      <w:pPr>
        <w:spacing w:after="160" w:line="259" w:lineRule="auto"/>
        <w:rPr>
          <w:rFonts w:eastAsiaTheme="majorEastAsia" w:cstheme="minorHAnsi"/>
          <w:color w:val="1F4D78" w:themeColor="accent1" w:themeShade="7F"/>
        </w:rPr>
      </w:pPr>
      <w:r>
        <w:rPr>
          <w:rFonts w:cstheme="minorHAnsi"/>
        </w:rPr>
        <w:br w:type="page"/>
      </w:r>
    </w:p>
    <w:p w:rsidR="00891371" w:rsidRPr="00927E8F" w:rsidRDefault="00891371" w:rsidP="00891371">
      <w:pPr>
        <w:pStyle w:val="Heading3"/>
        <w:rPr>
          <w:rFonts w:cstheme="minorHAnsi"/>
          <w:sz w:val="22"/>
          <w:szCs w:val="22"/>
        </w:rPr>
      </w:pPr>
      <w:r w:rsidRPr="00927E8F">
        <w:rPr>
          <w:rFonts w:cstheme="minorHAnsi"/>
          <w:sz w:val="22"/>
          <w:szCs w:val="22"/>
        </w:rPr>
        <w:t xml:space="preserve">Findings </w:t>
      </w:r>
    </w:p>
    <w:p w:rsidR="00891371" w:rsidRDefault="001E3185" w:rsidP="001E3185">
      <w:pPr>
        <w:pStyle w:val="Heading4"/>
      </w:pPr>
      <w:r>
        <w:t xml:space="preserve">Table </w:t>
      </w:r>
      <w:r w:rsidR="002A34BA">
        <w:t>21</w:t>
      </w:r>
      <w:r>
        <w:t xml:space="preserve">. </w:t>
      </w:r>
      <w:r w:rsidR="00891371">
        <w:t>Grand themes by round are outlined in the below table.</w:t>
      </w:r>
    </w:p>
    <w:tbl>
      <w:tblPr>
        <w:tblStyle w:val="GridTable4-Accent5"/>
        <w:tblW w:w="9355" w:type="dxa"/>
        <w:tblLook w:val="04A0" w:firstRow="1" w:lastRow="0" w:firstColumn="1" w:lastColumn="0" w:noHBand="0" w:noVBand="1"/>
      </w:tblPr>
      <w:tblGrid>
        <w:gridCol w:w="2008"/>
        <w:gridCol w:w="1991"/>
        <w:gridCol w:w="1978"/>
        <w:gridCol w:w="1968"/>
        <w:gridCol w:w="1410"/>
      </w:tblGrid>
      <w:tr w:rsidR="00891371" w:rsidRPr="00FA46EF" w:rsidTr="00BF38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vAlign w:val="bottom"/>
          </w:tcPr>
          <w:p w:rsidR="00891371" w:rsidRPr="00BF38A9" w:rsidRDefault="00891371" w:rsidP="00BF38A9">
            <w:pPr>
              <w:jc w:val="center"/>
              <w:rPr>
                <w:rFonts w:cstheme="minorHAnsi"/>
                <w:b w:val="0"/>
                <w:bCs w:val="0"/>
              </w:rPr>
            </w:pPr>
            <w:bookmarkStart w:id="19" w:name="_Hlk38877226"/>
            <w:r w:rsidRPr="00BF38A9">
              <w:rPr>
                <w:rFonts w:cstheme="minorHAnsi"/>
              </w:rPr>
              <w:t>2013</w:t>
            </w:r>
          </w:p>
          <w:p w:rsidR="00891371" w:rsidRPr="00BF38A9" w:rsidRDefault="00891371" w:rsidP="00BF38A9">
            <w:pPr>
              <w:jc w:val="center"/>
              <w:rPr>
                <w:rFonts w:cstheme="minorHAnsi"/>
              </w:rPr>
            </w:pPr>
            <w:r w:rsidRPr="00BF38A9">
              <w:rPr>
                <w:rFonts w:cstheme="minorHAnsi"/>
              </w:rPr>
              <w:t>Grand Themes</w:t>
            </w:r>
          </w:p>
        </w:tc>
        <w:tc>
          <w:tcPr>
            <w:tcW w:w="2094" w:type="dxa"/>
            <w:vAlign w:val="bottom"/>
          </w:tcPr>
          <w:p w:rsidR="00891371" w:rsidRPr="00BF38A9" w:rsidRDefault="00891371" w:rsidP="00BF38A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BF38A9">
              <w:rPr>
                <w:rFonts w:cstheme="minorHAnsi"/>
              </w:rPr>
              <w:t>2014</w:t>
            </w:r>
          </w:p>
          <w:p w:rsidR="00891371" w:rsidRPr="00BF38A9" w:rsidRDefault="00891371" w:rsidP="00BF38A9">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BF38A9">
              <w:rPr>
                <w:rFonts w:cstheme="minorHAnsi"/>
              </w:rPr>
              <w:t>Grand Themes</w:t>
            </w:r>
          </w:p>
        </w:tc>
        <w:tc>
          <w:tcPr>
            <w:tcW w:w="2094" w:type="dxa"/>
            <w:vAlign w:val="bottom"/>
          </w:tcPr>
          <w:p w:rsidR="00891371" w:rsidRPr="00BF38A9" w:rsidRDefault="00891371" w:rsidP="00BF38A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BF38A9">
              <w:rPr>
                <w:rFonts w:cstheme="minorHAnsi"/>
              </w:rPr>
              <w:t>2015</w:t>
            </w:r>
          </w:p>
          <w:p w:rsidR="00891371" w:rsidRPr="00BF38A9" w:rsidRDefault="00891371" w:rsidP="00BF38A9">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BF38A9">
              <w:rPr>
                <w:rFonts w:cstheme="minorHAnsi"/>
              </w:rPr>
              <w:t>Grand Themes</w:t>
            </w:r>
          </w:p>
        </w:tc>
        <w:tc>
          <w:tcPr>
            <w:tcW w:w="2094" w:type="dxa"/>
            <w:vAlign w:val="bottom"/>
          </w:tcPr>
          <w:p w:rsidR="00891371" w:rsidRPr="00BF38A9" w:rsidRDefault="00891371" w:rsidP="00BF38A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BF38A9">
              <w:rPr>
                <w:rFonts w:cstheme="minorHAnsi"/>
              </w:rPr>
              <w:t>2016</w:t>
            </w:r>
          </w:p>
          <w:p w:rsidR="00891371" w:rsidRPr="00BF38A9" w:rsidRDefault="00891371" w:rsidP="00BF38A9">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BF38A9">
              <w:rPr>
                <w:rFonts w:cstheme="minorHAnsi"/>
              </w:rPr>
              <w:t>Grand Themes</w:t>
            </w:r>
          </w:p>
        </w:tc>
        <w:tc>
          <w:tcPr>
            <w:tcW w:w="979" w:type="dxa"/>
            <w:vAlign w:val="bottom"/>
          </w:tcPr>
          <w:p w:rsidR="00891371" w:rsidRPr="00BF38A9" w:rsidRDefault="00891371" w:rsidP="00BF38A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BF38A9">
              <w:rPr>
                <w:rFonts w:cstheme="minorHAnsi"/>
              </w:rPr>
              <w:t>2019</w:t>
            </w:r>
          </w:p>
          <w:p w:rsidR="00891371" w:rsidRPr="00BF38A9" w:rsidRDefault="00891371" w:rsidP="00BF38A9">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BF38A9">
              <w:rPr>
                <w:rFonts w:cstheme="minorHAnsi"/>
              </w:rPr>
              <w:t>Grand Themes</w:t>
            </w:r>
          </w:p>
        </w:tc>
      </w:tr>
      <w:tr w:rsidR="00891371" w:rsidRPr="00FA46EF"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rsidR="00891371" w:rsidRPr="00FA46EF" w:rsidRDefault="00891371" w:rsidP="00891371">
            <w:pPr>
              <w:pStyle w:val="NormalWeb"/>
              <w:spacing w:before="0" w:beforeAutospacing="0" w:after="0" w:afterAutospacing="0"/>
              <w:rPr>
                <w:rFonts w:asciiTheme="minorHAnsi" w:hAnsiTheme="minorHAnsi" w:cstheme="minorHAnsi"/>
                <w:b w:val="0"/>
                <w:sz w:val="22"/>
                <w:szCs w:val="22"/>
              </w:rPr>
            </w:pPr>
            <w:r w:rsidRPr="00FA46EF">
              <w:rPr>
                <w:rFonts w:asciiTheme="minorHAnsi" w:hAnsiTheme="minorHAnsi" w:cstheme="minorHAnsi"/>
                <w:b w:val="0"/>
                <w:kern w:val="24"/>
                <w:sz w:val="22"/>
                <w:szCs w:val="22"/>
              </w:rPr>
              <w:t>Administrative Challenges</w:t>
            </w:r>
          </w:p>
        </w:tc>
        <w:tc>
          <w:tcPr>
            <w:tcW w:w="2094" w:type="dxa"/>
          </w:tcPr>
          <w:p w:rsidR="00891371" w:rsidRPr="00FA46EF" w:rsidRDefault="00891371" w:rsidP="0089137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46EF">
              <w:rPr>
                <w:rFonts w:asciiTheme="minorHAnsi" w:hAnsiTheme="minorHAnsi" w:cstheme="minorHAnsi"/>
                <w:kern w:val="24"/>
                <w:sz w:val="22"/>
                <w:szCs w:val="22"/>
              </w:rPr>
              <w:t>Staffing</w:t>
            </w:r>
          </w:p>
        </w:tc>
        <w:tc>
          <w:tcPr>
            <w:tcW w:w="2094" w:type="dxa"/>
          </w:tcPr>
          <w:p w:rsidR="00891371" w:rsidRPr="00FA46EF" w:rsidRDefault="00891371" w:rsidP="0089137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46EF">
              <w:rPr>
                <w:rFonts w:asciiTheme="minorHAnsi" w:hAnsiTheme="minorHAnsi" w:cstheme="minorHAnsi"/>
                <w:color w:val="000000" w:themeColor="dark1"/>
                <w:kern w:val="24"/>
                <w:sz w:val="22"/>
                <w:szCs w:val="22"/>
              </w:rPr>
              <w:t>Role of Experience</w:t>
            </w:r>
          </w:p>
        </w:tc>
        <w:tc>
          <w:tcPr>
            <w:tcW w:w="2094" w:type="dxa"/>
          </w:tcPr>
          <w:p w:rsidR="00891371" w:rsidRPr="00FA46EF" w:rsidRDefault="00891371" w:rsidP="0089137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 w:val="22"/>
                <w:szCs w:val="22"/>
              </w:rPr>
            </w:pPr>
            <w:r w:rsidRPr="00FA46EF">
              <w:rPr>
                <w:rFonts w:asciiTheme="minorHAnsi" w:eastAsia="Calibri" w:hAnsiTheme="minorHAnsi" w:cstheme="minorHAnsi"/>
                <w:color w:val="000000" w:themeColor="text1"/>
                <w:kern w:val="24"/>
                <w:sz w:val="22"/>
                <w:szCs w:val="22"/>
              </w:rPr>
              <w:t>Significant Staffing Challenges</w:t>
            </w:r>
          </w:p>
        </w:tc>
        <w:tc>
          <w:tcPr>
            <w:tcW w:w="979" w:type="dxa"/>
          </w:tcPr>
          <w:p w:rsidR="00891371" w:rsidRPr="00FA46EF" w:rsidRDefault="00891371" w:rsidP="0089137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 w:val="22"/>
                <w:szCs w:val="22"/>
              </w:rPr>
            </w:pPr>
            <w:r w:rsidRPr="00FA46EF">
              <w:rPr>
                <w:rFonts w:asciiTheme="minorHAnsi" w:hAnsiTheme="minorHAnsi" w:cstheme="minorHAnsi"/>
                <w:sz w:val="22"/>
                <w:szCs w:val="22"/>
              </w:rPr>
              <w:t>Culture &amp; Climate Shift</w:t>
            </w:r>
          </w:p>
        </w:tc>
      </w:tr>
      <w:tr w:rsidR="00891371" w:rsidRPr="00FA46EF" w:rsidTr="00891371">
        <w:tc>
          <w:tcPr>
            <w:cnfStyle w:val="001000000000" w:firstRow="0" w:lastRow="0" w:firstColumn="1" w:lastColumn="0" w:oddVBand="0" w:evenVBand="0" w:oddHBand="0" w:evenHBand="0" w:firstRowFirstColumn="0" w:firstRowLastColumn="0" w:lastRowFirstColumn="0" w:lastRowLastColumn="0"/>
            <w:tcW w:w="2094" w:type="dxa"/>
          </w:tcPr>
          <w:p w:rsidR="00891371" w:rsidRPr="00FA46EF" w:rsidRDefault="00891371" w:rsidP="00891371">
            <w:pPr>
              <w:pStyle w:val="NormalWeb"/>
              <w:spacing w:before="0" w:beforeAutospacing="0" w:after="0" w:afterAutospacing="0"/>
              <w:rPr>
                <w:rFonts w:asciiTheme="minorHAnsi" w:hAnsiTheme="minorHAnsi" w:cstheme="minorHAnsi"/>
                <w:b w:val="0"/>
                <w:sz w:val="22"/>
                <w:szCs w:val="22"/>
              </w:rPr>
            </w:pPr>
            <w:r w:rsidRPr="00FA46EF">
              <w:rPr>
                <w:rFonts w:asciiTheme="minorHAnsi" w:hAnsiTheme="minorHAnsi" w:cstheme="minorHAnsi"/>
                <w:b w:val="0"/>
                <w:color w:val="000000" w:themeColor="dark1"/>
                <w:kern w:val="24"/>
                <w:sz w:val="22"/>
                <w:szCs w:val="22"/>
              </w:rPr>
              <w:t>Rural Challenges</w:t>
            </w:r>
          </w:p>
        </w:tc>
        <w:tc>
          <w:tcPr>
            <w:tcW w:w="2094" w:type="dxa"/>
          </w:tcPr>
          <w:p w:rsidR="00891371" w:rsidRPr="00FA46EF" w:rsidRDefault="00891371" w:rsidP="0089137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46EF">
              <w:rPr>
                <w:rFonts w:asciiTheme="minorHAnsi" w:hAnsiTheme="minorHAnsi" w:cstheme="minorHAnsi"/>
                <w:color w:val="000000" w:themeColor="dark1"/>
                <w:kern w:val="24"/>
                <w:sz w:val="22"/>
                <w:szCs w:val="22"/>
              </w:rPr>
              <w:t>Key Relationships</w:t>
            </w:r>
          </w:p>
        </w:tc>
        <w:tc>
          <w:tcPr>
            <w:tcW w:w="2094" w:type="dxa"/>
          </w:tcPr>
          <w:p w:rsidR="00891371" w:rsidRPr="00FA46EF" w:rsidRDefault="00891371" w:rsidP="0089137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46EF">
              <w:rPr>
                <w:rFonts w:asciiTheme="minorHAnsi" w:hAnsiTheme="minorHAnsi" w:cstheme="minorHAnsi"/>
                <w:color w:val="000000" w:themeColor="dark1"/>
                <w:kern w:val="24"/>
                <w:sz w:val="22"/>
                <w:szCs w:val="22"/>
              </w:rPr>
              <w:t>People as Foundation of Practice</w:t>
            </w:r>
          </w:p>
        </w:tc>
        <w:tc>
          <w:tcPr>
            <w:tcW w:w="2094" w:type="dxa"/>
          </w:tcPr>
          <w:p w:rsidR="00891371" w:rsidRPr="00FA46EF" w:rsidRDefault="00891371" w:rsidP="0089137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 w:val="22"/>
                <w:szCs w:val="22"/>
              </w:rPr>
            </w:pPr>
            <w:r w:rsidRPr="00FA46EF">
              <w:rPr>
                <w:rFonts w:asciiTheme="minorHAnsi" w:eastAsia="Calibri" w:hAnsiTheme="minorHAnsi" w:cstheme="minorHAnsi"/>
                <w:color w:val="000000" w:themeColor="dark1"/>
                <w:kern w:val="24"/>
                <w:sz w:val="22"/>
                <w:szCs w:val="22"/>
              </w:rPr>
              <w:t>Gap between Field &amp; Central Office</w:t>
            </w:r>
          </w:p>
        </w:tc>
        <w:tc>
          <w:tcPr>
            <w:tcW w:w="979" w:type="dxa"/>
          </w:tcPr>
          <w:p w:rsidR="00891371" w:rsidRPr="00FA46EF" w:rsidRDefault="00891371" w:rsidP="0089137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 w:val="22"/>
                <w:szCs w:val="22"/>
              </w:rPr>
            </w:pPr>
            <w:r w:rsidRPr="00FA46EF">
              <w:rPr>
                <w:rFonts w:asciiTheme="minorHAnsi" w:hAnsiTheme="minorHAnsi" w:cstheme="minorHAnsi"/>
                <w:sz w:val="22"/>
                <w:szCs w:val="22"/>
              </w:rPr>
              <w:t>Concrete Services Sustainability</w:t>
            </w:r>
          </w:p>
        </w:tc>
      </w:tr>
      <w:tr w:rsidR="00891371" w:rsidRPr="00FA46EF"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rsidR="00891371" w:rsidRPr="00FA46EF" w:rsidRDefault="00891371" w:rsidP="00891371">
            <w:pPr>
              <w:pStyle w:val="NormalWeb"/>
              <w:spacing w:before="0" w:beforeAutospacing="0" w:after="0" w:afterAutospacing="0"/>
              <w:rPr>
                <w:rFonts w:asciiTheme="minorHAnsi" w:hAnsiTheme="minorHAnsi" w:cstheme="minorHAnsi"/>
                <w:b w:val="0"/>
                <w:sz w:val="22"/>
                <w:szCs w:val="22"/>
              </w:rPr>
            </w:pPr>
            <w:r w:rsidRPr="00FA46EF">
              <w:rPr>
                <w:rFonts w:asciiTheme="minorHAnsi" w:hAnsiTheme="minorHAnsi" w:cstheme="minorHAnsi"/>
                <w:b w:val="0"/>
                <w:color w:val="000000" w:themeColor="dark1"/>
                <w:kern w:val="24"/>
                <w:sz w:val="22"/>
                <w:szCs w:val="22"/>
              </w:rPr>
              <w:t>Substance Abuse</w:t>
            </w:r>
          </w:p>
        </w:tc>
        <w:tc>
          <w:tcPr>
            <w:tcW w:w="2094" w:type="dxa"/>
          </w:tcPr>
          <w:p w:rsidR="00891371" w:rsidRPr="00FA46EF" w:rsidRDefault="00891371" w:rsidP="0089137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46EF">
              <w:rPr>
                <w:rFonts w:asciiTheme="minorHAnsi" w:hAnsiTheme="minorHAnsi" w:cstheme="minorHAnsi"/>
                <w:color w:val="000000" w:themeColor="dark1"/>
                <w:kern w:val="24"/>
                <w:sz w:val="22"/>
                <w:szCs w:val="22"/>
              </w:rPr>
              <w:t>Substance Abuse &amp; Treatment</w:t>
            </w:r>
          </w:p>
        </w:tc>
        <w:tc>
          <w:tcPr>
            <w:tcW w:w="2094" w:type="dxa"/>
          </w:tcPr>
          <w:p w:rsidR="00891371" w:rsidRPr="00FA46EF" w:rsidRDefault="00891371" w:rsidP="0089137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46EF">
              <w:rPr>
                <w:rFonts w:asciiTheme="minorHAnsi" w:hAnsiTheme="minorHAnsi" w:cstheme="minorHAnsi"/>
                <w:color w:val="000000" w:themeColor="dark1"/>
                <w:kern w:val="24"/>
                <w:sz w:val="22"/>
                <w:szCs w:val="22"/>
              </w:rPr>
              <w:t>Child Welfare Practice</w:t>
            </w:r>
          </w:p>
        </w:tc>
        <w:tc>
          <w:tcPr>
            <w:tcW w:w="2094" w:type="dxa"/>
          </w:tcPr>
          <w:p w:rsidR="00891371" w:rsidRPr="00FA46EF" w:rsidRDefault="00891371" w:rsidP="0089137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 w:val="22"/>
                <w:szCs w:val="22"/>
              </w:rPr>
            </w:pPr>
            <w:r w:rsidRPr="00FA46EF">
              <w:rPr>
                <w:rFonts w:asciiTheme="minorHAnsi" w:eastAsia="Calibri" w:hAnsiTheme="minorHAnsi" w:cstheme="minorHAnsi"/>
                <w:color w:val="000000" w:themeColor="dark1"/>
                <w:kern w:val="24"/>
                <w:sz w:val="22"/>
                <w:szCs w:val="22"/>
              </w:rPr>
              <w:t>Limited, Developing RM Mentorship</w:t>
            </w:r>
          </w:p>
        </w:tc>
        <w:tc>
          <w:tcPr>
            <w:tcW w:w="979" w:type="dxa"/>
          </w:tcPr>
          <w:p w:rsidR="00891371" w:rsidRPr="00FA46EF" w:rsidRDefault="00891371" w:rsidP="0089137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 w:val="22"/>
                <w:szCs w:val="22"/>
              </w:rPr>
            </w:pPr>
            <w:r w:rsidRPr="00FA46EF">
              <w:rPr>
                <w:rFonts w:asciiTheme="minorHAnsi" w:hAnsiTheme="minorHAnsi" w:cstheme="minorHAnsi"/>
                <w:sz w:val="22"/>
                <w:szCs w:val="22"/>
              </w:rPr>
              <w:t>Data Woes</w:t>
            </w:r>
          </w:p>
        </w:tc>
      </w:tr>
      <w:tr w:rsidR="00891371" w:rsidRPr="00FA46EF" w:rsidTr="00891371">
        <w:tc>
          <w:tcPr>
            <w:cnfStyle w:val="001000000000" w:firstRow="0" w:lastRow="0" w:firstColumn="1" w:lastColumn="0" w:oddVBand="0" w:evenVBand="0" w:oddHBand="0" w:evenHBand="0" w:firstRowFirstColumn="0" w:firstRowLastColumn="0" w:lastRowFirstColumn="0" w:lastRowLastColumn="0"/>
            <w:tcW w:w="2094" w:type="dxa"/>
          </w:tcPr>
          <w:p w:rsidR="00891371" w:rsidRPr="00FA46EF" w:rsidRDefault="00891371" w:rsidP="00891371">
            <w:pPr>
              <w:pStyle w:val="NormalWeb"/>
              <w:spacing w:before="0" w:beforeAutospacing="0" w:after="0" w:afterAutospacing="0"/>
              <w:rPr>
                <w:rFonts w:asciiTheme="minorHAnsi" w:hAnsiTheme="minorHAnsi" w:cstheme="minorHAnsi"/>
                <w:b w:val="0"/>
                <w:sz w:val="22"/>
                <w:szCs w:val="22"/>
              </w:rPr>
            </w:pPr>
            <w:r w:rsidRPr="00FA46EF">
              <w:rPr>
                <w:rFonts w:asciiTheme="minorHAnsi" w:hAnsiTheme="minorHAnsi" w:cstheme="minorHAnsi"/>
                <w:b w:val="0"/>
                <w:color w:val="000000" w:themeColor="dark1"/>
                <w:kern w:val="24"/>
                <w:sz w:val="22"/>
                <w:szCs w:val="22"/>
              </w:rPr>
              <w:t>Service Quality</w:t>
            </w:r>
          </w:p>
        </w:tc>
        <w:tc>
          <w:tcPr>
            <w:tcW w:w="2094" w:type="dxa"/>
          </w:tcPr>
          <w:p w:rsidR="00891371" w:rsidRPr="00FA46EF" w:rsidRDefault="00891371" w:rsidP="0089137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46EF">
              <w:rPr>
                <w:rFonts w:asciiTheme="minorHAnsi" w:hAnsiTheme="minorHAnsi" w:cstheme="minorHAnsi"/>
                <w:color w:val="000000" w:themeColor="dark1"/>
                <w:kern w:val="24"/>
                <w:sz w:val="22"/>
                <w:szCs w:val="22"/>
              </w:rPr>
              <w:t>Unmet Service Needs</w:t>
            </w:r>
          </w:p>
        </w:tc>
        <w:tc>
          <w:tcPr>
            <w:tcW w:w="2094" w:type="dxa"/>
          </w:tcPr>
          <w:p w:rsidR="00891371" w:rsidRPr="00FA46EF" w:rsidRDefault="00891371" w:rsidP="0089137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46EF">
              <w:rPr>
                <w:rFonts w:asciiTheme="minorHAnsi" w:hAnsiTheme="minorHAnsi" w:cstheme="minorHAnsi"/>
                <w:color w:val="000000" w:themeColor="dark1"/>
                <w:kern w:val="24"/>
                <w:sz w:val="22"/>
                <w:szCs w:val="22"/>
              </w:rPr>
              <w:t>Relationship between Central Office &amp; Field</w:t>
            </w:r>
          </w:p>
        </w:tc>
        <w:tc>
          <w:tcPr>
            <w:tcW w:w="2094" w:type="dxa"/>
          </w:tcPr>
          <w:p w:rsidR="00891371" w:rsidRPr="00FA46EF" w:rsidRDefault="00891371" w:rsidP="0089137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 w:val="22"/>
                <w:szCs w:val="22"/>
              </w:rPr>
            </w:pPr>
            <w:r w:rsidRPr="00FA46EF">
              <w:rPr>
                <w:rFonts w:asciiTheme="minorHAnsi" w:eastAsia="Calibri" w:hAnsiTheme="minorHAnsi" w:cstheme="minorHAnsi"/>
                <w:color w:val="000000" w:themeColor="dark1"/>
                <w:kern w:val="24"/>
                <w:sz w:val="22"/>
                <w:szCs w:val="22"/>
              </w:rPr>
              <w:t>Rooted in Mission during Change</w:t>
            </w:r>
          </w:p>
        </w:tc>
        <w:tc>
          <w:tcPr>
            <w:tcW w:w="979" w:type="dxa"/>
          </w:tcPr>
          <w:p w:rsidR="00891371" w:rsidRPr="00FA46EF" w:rsidRDefault="00891371" w:rsidP="0089137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 w:val="22"/>
                <w:szCs w:val="22"/>
              </w:rPr>
            </w:pPr>
            <w:r w:rsidRPr="00FA46EF">
              <w:rPr>
                <w:rFonts w:asciiTheme="minorHAnsi" w:hAnsiTheme="minorHAnsi" w:cstheme="minorHAnsi"/>
                <w:sz w:val="22"/>
                <w:szCs w:val="22"/>
              </w:rPr>
              <w:t>Transitioning from Waiver to FFPSA</w:t>
            </w:r>
          </w:p>
        </w:tc>
      </w:tr>
      <w:tr w:rsidR="00891371" w:rsidRPr="00FA46EF"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rsidR="00891371" w:rsidRPr="00FA46EF" w:rsidRDefault="00891371" w:rsidP="00891371">
            <w:pPr>
              <w:pStyle w:val="NormalWeb"/>
              <w:spacing w:before="0" w:beforeAutospacing="0" w:after="0" w:afterAutospacing="0"/>
              <w:rPr>
                <w:rFonts w:asciiTheme="minorHAnsi" w:hAnsiTheme="minorHAnsi" w:cstheme="minorHAnsi"/>
                <w:b w:val="0"/>
                <w:sz w:val="22"/>
                <w:szCs w:val="22"/>
              </w:rPr>
            </w:pPr>
            <w:r w:rsidRPr="00FA46EF">
              <w:rPr>
                <w:rFonts w:asciiTheme="minorHAnsi" w:hAnsiTheme="minorHAnsi" w:cstheme="minorHAnsi"/>
                <w:b w:val="0"/>
                <w:color w:val="000000" w:themeColor="dark1"/>
                <w:kern w:val="24"/>
                <w:sz w:val="22"/>
                <w:szCs w:val="22"/>
              </w:rPr>
              <w:t>Gaps between Fiscal &amp; Field</w:t>
            </w:r>
          </w:p>
        </w:tc>
        <w:tc>
          <w:tcPr>
            <w:tcW w:w="2094" w:type="dxa"/>
          </w:tcPr>
          <w:p w:rsidR="00891371" w:rsidRPr="00FA46EF" w:rsidRDefault="00891371" w:rsidP="0089137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46EF">
              <w:rPr>
                <w:rFonts w:asciiTheme="minorHAnsi" w:hAnsiTheme="minorHAnsi" w:cstheme="minorHAnsi"/>
                <w:color w:val="000000" w:themeColor="dark1"/>
                <w:kern w:val="24"/>
                <w:sz w:val="22"/>
                <w:szCs w:val="22"/>
              </w:rPr>
              <w:t>Rural &amp; Urban Differences</w:t>
            </w:r>
          </w:p>
        </w:tc>
        <w:tc>
          <w:tcPr>
            <w:tcW w:w="2094" w:type="dxa"/>
          </w:tcPr>
          <w:p w:rsidR="00891371" w:rsidRPr="00FA46EF" w:rsidRDefault="00891371" w:rsidP="0089137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46EF">
              <w:rPr>
                <w:rFonts w:asciiTheme="minorHAnsi" w:hAnsiTheme="minorHAnsi" w:cstheme="minorHAnsi"/>
                <w:sz w:val="22"/>
                <w:szCs w:val="22"/>
              </w:rPr>
              <w:t>Concrete Services</w:t>
            </w:r>
          </w:p>
        </w:tc>
        <w:tc>
          <w:tcPr>
            <w:tcW w:w="2094" w:type="dxa"/>
          </w:tcPr>
          <w:p w:rsidR="00891371" w:rsidRPr="00FA46EF" w:rsidRDefault="00891371" w:rsidP="0089137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46EF">
              <w:rPr>
                <w:rFonts w:asciiTheme="minorHAnsi" w:eastAsia="Calibri" w:hAnsiTheme="minorHAnsi" w:cstheme="minorHAnsi"/>
                <w:color w:val="000000" w:themeColor="dark1"/>
                <w:kern w:val="24"/>
                <w:sz w:val="22"/>
                <w:szCs w:val="22"/>
              </w:rPr>
              <w:t>Expanded Concrete Services</w:t>
            </w:r>
          </w:p>
        </w:tc>
        <w:tc>
          <w:tcPr>
            <w:tcW w:w="979" w:type="dxa"/>
          </w:tcPr>
          <w:p w:rsidR="00891371" w:rsidRPr="00FA46EF" w:rsidRDefault="00891371" w:rsidP="0089137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891371" w:rsidRPr="00FA46EF" w:rsidTr="00891371">
        <w:tc>
          <w:tcPr>
            <w:cnfStyle w:val="001000000000" w:firstRow="0" w:lastRow="0" w:firstColumn="1" w:lastColumn="0" w:oddVBand="0" w:evenVBand="0" w:oddHBand="0" w:evenHBand="0" w:firstRowFirstColumn="0" w:firstRowLastColumn="0" w:lastRowFirstColumn="0" w:lastRowLastColumn="0"/>
            <w:tcW w:w="2094" w:type="dxa"/>
          </w:tcPr>
          <w:p w:rsidR="00891371" w:rsidRPr="00FA46EF" w:rsidRDefault="00891371" w:rsidP="00891371">
            <w:pPr>
              <w:pStyle w:val="NormalWeb"/>
              <w:spacing w:before="0" w:beforeAutospacing="0" w:after="0" w:afterAutospacing="0"/>
              <w:rPr>
                <w:rFonts w:asciiTheme="minorHAnsi" w:hAnsiTheme="minorHAnsi" w:cstheme="minorHAnsi"/>
                <w:b w:val="0"/>
                <w:sz w:val="22"/>
                <w:szCs w:val="22"/>
              </w:rPr>
            </w:pPr>
            <w:r w:rsidRPr="00FA46EF">
              <w:rPr>
                <w:rFonts w:asciiTheme="minorHAnsi" w:hAnsiTheme="minorHAnsi" w:cstheme="minorHAnsi"/>
                <w:b w:val="0"/>
                <w:color w:val="000000" w:themeColor="dark1"/>
                <w:kern w:val="24"/>
                <w:sz w:val="22"/>
                <w:szCs w:val="22"/>
              </w:rPr>
              <w:t>Waiver Knowledge</w:t>
            </w:r>
          </w:p>
        </w:tc>
        <w:tc>
          <w:tcPr>
            <w:tcW w:w="2094" w:type="dxa"/>
          </w:tcPr>
          <w:p w:rsidR="00891371" w:rsidRPr="00FA46EF" w:rsidRDefault="00891371" w:rsidP="0089137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46EF">
              <w:rPr>
                <w:rFonts w:asciiTheme="minorHAnsi" w:hAnsiTheme="minorHAnsi" w:cstheme="minorHAnsi"/>
                <w:color w:val="000000" w:themeColor="dark1"/>
                <w:kern w:val="24"/>
                <w:sz w:val="22"/>
                <w:szCs w:val="22"/>
              </w:rPr>
              <w:t>Concrete Services</w:t>
            </w:r>
          </w:p>
        </w:tc>
        <w:tc>
          <w:tcPr>
            <w:tcW w:w="2094" w:type="dxa"/>
          </w:tcPr>
          <w:p w:rsidR="00891371" w:rsidRPr="00FA46EF" w:rsidRDefault="00891371" w:rsidP="00891371">
            <w:pPr>
              <w:cnfStyle w:val="000000000000" w:firstRow="0" w:lastRow="0" w:firstColumn="0" w:lastColumn="0" w:oddVBand="0" w:evenVBand="0" w:oddHBand="0" w:evenHBand="0" w:firstRowFirstColumn="0" w:firstRowLastColumn="0" w:lastRowFirstColumn="0" w:lastRowLastColumn="0"/>
              <w:rPr>
                <w:rFonts w:cstheme="minorHAnsi"/>
              </w:rPr>
            </w:pPr>
            <w:r w:rsidRPr="00FA46EF">
              <w:rPr>
                <w:rFonts w:cstheme="minorHAnsi"/>
              </w:rPr>
              <w:t>Connecting the Dots</w:t>
            </w:r>
          </w:p>
        </w:tc>
        <w:tc>
          <w:tcPr>
            <w:tcW w:w="2094" w:type="dxa"/>
          </w:tcPr>
          <w:p w:rsidR="00891371" w:rsidRPr="00FA46EF" w:rsidRDefault="00891371" w:rsidP="00891371">
            <w:pPr>
              <w:cnfStyle w:val="000000000000" w:firstRow="0" w:lastRow="0" w:firstColumn="0" w:lastColumn="0" w:oddVBand="0" w:evenVBand="0" w:oddHBand="0" w:evenHBand="0" w:firstRowFirstColumn="0" w:firstRowLastColumn="0" w:lastRowFirstColumn="0" w:lastRowLastColumn="0"/>
              <w:rPr>
                <w:rFonts w:cstheme="minorHAnsi"/>
              </w:rPr>
            </w:pPr>
            <w:r w:rsidRPr="00FA46EF">
              <w:rPr>
                <w:rFonts w:eastAsia="Calibri" w:cstheme="minorHAnsi"/>
                <w:color w:val="000000" w:themeColor="dark1"/>
                <w:kern w:val="24"/>
              </w:rPr>
              <w:t>Waiver Flexibility as Practice &amp; Prevention</w:t>
            </w:r>
          </w:p>
        </w:tc>
        <w:tc>
          <w:tcPr>
            <w:tcW w:w="979" w:type="dxa"/>
          </w:tcPr>
          <w:p w:rsidR="00891371" w:rsidRPr="00FA46EF" w:rsidRDefault="00891371" w:rsidP="00891371">
            <w:pPr>
              <w:cnfStyle w:val="000000000000" w:firstRow="0" w:lastRow="0" w:firstColumn="0" w:lastColumn="0" w:oddVBand="0" w:evenVBand="0" w:oddHBand="0" w:evenHBand="0" w:firstRowFirstColumn="0" w:firstRowLastColumn="0" w:lastRowFirstColumn="0" w:lastRowLastColumn="0"/>
              <w:rPr>
                <w:rFonts w:cstheme="minorHAnsi"/>
              </w:rPr>
            </w:pPr>
          </w:p>
        </w:tc>
      </w:tr>
      <w:tr w:rsidR="00891371" w:rsidRPr="00FA46EF" w:rsidTr="0089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rsidR="00891371" w:rsidRPr="00FA46EF" w:rsidRDefault="00891371" w:rsidP="00891371">
            <w:pPr>
              <w:pStyle w:val="NormalWeb"/>
              <w:spacing w:before="0" w:beforeAutospacing="0" w:after="0" w:afterAutospacing="0"/>
              <w:rPr>
                <w:rFonts w:asciiTheme="minorHAnsi" w:hAnsiTheme="minorHAnsi" w:cstheme="minorHAnsi"/>
                <w:b w:val="0"/>
                <w:sz w:val="22"/>
                <w:szCs w:val="22"/>
              </w:rPr>
            </w:pPr>
            <w:r w:rsidRPr="00FA46EF">
              <w:rPr>
                <w:rFonts w:asciiTheme="minorHAnsi" w:hAnsiTheme="minorHAnsi" w:cstheme="minorHAnsi"/>
                <w:b w:val="0"/>
                <w:color w:val="000000" w:themeColor="dark1"/>
                <w:kern w:val="24"/>
                <w:sz w:val="22"/>
                <w:szCs w:val="22"/>
              </w:rPr>
              <w:t>Waiver Unknown</w:t>
            </w:r>
          </w:p>
        </w:tc>
        <w:tc>
          <w:tcPr>
            <w:tcW w:w="2094" w:type="dxa"/>
          </w:tcPr>
          <w:p w:rsidR="00891371" w:rsidRPr="00FA46EF" w:rsidRDefault="00891371" w:rsidP="0089137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A46EF">
              <w:rPr>
                <w:rFonts w:asciiTheme="minorHAnsi" w:hAnsiTheme="minorHAnsi" w:cstheme="minorHAnsi"/>
                <w:color w:val="000000" w:themeColor="dark1"/>
                <w:kern w:val="24"/>
                <w:sz w:val="22"/>
                <w:szCs w:val="22"/>
              </w:rPr>
              <w:t>Waiver Knowledge</w:t>
            </w:r>
          </w:p>
        </w:tc>
        <w:tc>
          <w:tcPr>
            <w:tcW w:w="2094" w:type="dxa"/>
          </w:tcPr>
          <w:p w:rsidR="00891371" w:rsidRPr="00FA46EF" w:rsidRDefault="00891371" w:rsidP="00891371">
            <w:pPr>
              <w:cnfStyle w:val="000000100000" w:firstRow="0" w:lastRow="0" w:firstColumn="0" w:lastColumn="0" w:oddVBand="0" w:evenVBand="0" w:oddHBand="1" w:evenHBand="0" w:firstRowFirstColumn="0" w:firstRowLastColumn="0" w:lastRowFirstColumn="0" w:lastRowLastColumn="0"/>
              <w:rPr>
                <w:rFonts w:cstheme="minorHAnsi"/>
              </w:rPr>
            </w:pPr>
          </w:p>
        </w:tc>
        <w:tc>
          <w:tcPr>
            <w:tcW w:w="2094" w:type="dxa"/>
          </w:tcPr>
          <w:p w:rsidR="00891371" w:rsidRPr="00FA46EF" w:rsidRDefault="00891371" w:rsidP="00891371">
            <w:pPr>
              <w:cnfStyle w:val="000000100000" w:firstRow="0" w:lastRow="0" w:firstColumn="0" w:lastColumn="0" w:oddVBand="0" w:evenVBand="0" w:oddHBand="1" w:evenHBand="0" w:firstRowFirstColumn="0" w:firstRowLastColumn="0" w:lastRowFirstColumn="0" w:lastRowLastColumn="0"/>
              <w:rPr>
                <w:rFonts w:cstheme="minorHAnsi"/>
              </w:rPr>
            </w:pPr>
          </w:p>
        </w:tc>
        <w:tc>
          <w:tcPr>
            <w:tcW w:w="979" w:type="dxa"/>
          </w:tcPr>
          <w:p w:rsidR="00891371" w:rsidRPr="00FA46EF" w:rsidRDefault="00891371" w:rsidP="00891371">
            <w:pPr>
              <w:cnfStyle w:val="000000100000" w:firstRow="0" w:lastRow="0" w:firstColumn="0" w:lastColumn="0" w:oddVBand="0" w:evenVBand="0" w:oddHBand="1" w:evenHBand="0" w:firstRowFirstColumn="0" w:firstRowLastColumn="0" w:lastRowFirstColumn="0" w:lastRowLastColumn="0"/>
              <w:rPr>
                <w:rFonts w:cstheme="minorHAnsi"/>
              </w:rPr>
            </w:pPr>
          </w:p>
        </w:tc>
      </w:tr>
      <w:tr w:rsidR="00891371" w:rsidRPr="00543198" w:rsidTr="00891371">
        <w:tc>
          <w:tcPr>
            <w:cnfStyle w:val="001000000000" w:firstRow="0" w:lastRow="0" w:firstColumn="1" w:lastColumn="0" w:oddVBand="0" w:evenVBand="0" w:oddHBand="0" w:evenHBand="0" w:firstRowFirstColumn="0" w:firstRowLastColumn="0" w:lastRowFirstColumn="0" w:lastRowLastColumn="0"/>
            <w:tcW w:w="2094" w:type="dxa"/>
          </w:tcPr>
          <w:p w:rsidR="00891371" w:rsidRPr="00FA46EF" w:rsidRDefault="00891371" w:rsidP="00891371">
            <w:pPr>
              <w:rPr>
                <w:rFonts w:cstheme="minorHAnsi"/>
                <w:b w:val="0"/>
              </w:rPr>
            </w:pPr>
          </w:p>
        </w:tc>
        <w:tc>
          <w:tcPr>
            <w:tcW w:w="2094" w:type="dxa"/>
          </w:tcPr>
          <w:p w:rsidR="00891371" w:rsidRPr="00543198" w:rsidRDefault="00891371" w:rsidP="0089137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46EF">
              <w:rPr>
                <w:rFonts w:asciiTheme="minorHAnsi" w:hAnsiTheme="minorHAnsi" w:cstheme="minorHAnsi"/>
                <w:color w:val="000000" w:themeColor="dark1"/>
                <w:kern w:val="24"/>
                <w:sz w:val="22"/>
                <w:szCs w:val="22"/>
              </w:rPr>
              <w:t>Interests &amp; Requests</w:t>
            </w:r>
          </w:p>
        </w:tc>
        <w:tc>
          <w:tcPr>
            <w:tcW w:w="2094" w:type="dxa"/>
          </w:tcPr>
          <w:p w:rsidR="00891371" w:rsidRPr="00543198" w:rsidRDefault="00891371" w:rsidP="00891371">
            <w:pPr>
              <w:cnfStyle w:val="000000000000" w:firstRow="0" w:lastRow="0" w:firstColumn="0" w:lastColumn="0" w:oddVBand="0" w:evenVBand="0" w:oddHBand="0" w:evenHBand="0" w:firstRowFirstColumn="0" w:firstRowLastColumn="0" w:lastRowFirstColumn="0" w:lastRowLastColumn="0"/>
              <w:rPr>
                <w:rFonts w:cstheme="minorHAnsi"/>
              </w:rPr>
            </w:pPr>
          </w:p>
        </w:tc>
        <w:tc>
          <w:tcPr>
            <w:tcW w:w="2094" w:type="dxa"/>
          </w:tcPr>
          <w:p w:rsidR="00891371" w:rsidRPr="00543198" w:rsidRDefault="00891371" w:rsidP="00891371">
            <w:pPr>
              <w:cnfStyle w:val="000000000000" w:firstRow="0" w:lastRow="0" w:firstColumn="0" w:lastColumn="0" w:oddVBand="0" w:evenVBand="0" w:oddHBand="0" w:evenHBand="0" w:firstRowFirstColumn="0" w:firstRowLastColumn="0" w:lastRowFirstColumn="0" w:lastRowLastColumn="0"/>
              <w:rPr>
                <w:rFonts w:cstheme="minorHAnsi"/>
              </w:rPr>
            </w:pPr>
          </w:p>
        </w:tc>
        <w:tc>
          <w:tcPr>
            <w:tcW w:w="979" w:type="dxa"/>
          </w:tcPr>
          <w:p w:rsidR="00891371" w:rsidRPr="00543198" w:rsidRDefault="00891371" w:rsidP="00891371">
            <w:pPr>
              <w:cnfStyle w:val="000000000000" w:firstRow="0" w:lastRow="0" w:firstColumn="0" w:lastColumn="0" w:oddVBand="0" w:evenVBand="0" w:oddHBand="0" w:evenHBand="0" w:firstRowFirstColumn="0" w:firstRowLastColumn="0" w:lastRowFirstColumn="0" w:lastRowLastColumn="0"/>
              <w:rPr>
                <w:rFonts w:cstheme="minorHAnsi"/>
              </w:rPr>
            </w:pPr>
          </w:p>
        </w:tc>
      </w:tr>
      <w:bookmarkEnd w:id="19"/>
    </w:tbl>
    <w:p w:rsidR="00891371" w:rsidRDefault="00891371" w:rsidP="00837A26"/>
    <w:p w:rsidR="00891371" w:rsidRDefault="00891371" w:rsidP="00891371">
      <w:r>
        <w:t>The following are identified to be the common themes that transcend across rounds of data collection:</w:t>
      </w:r>
    </w:p>
    <w:p w:rsidR="00891371" w:rsidRPr="001E3185" w:rsidRDefault="00891371" w:rsidP="001E3185">
      <w:pPr>
        <w:pStyle w:val="ListParagraph"/>
        <w:numPr>
          <w:ilvl w:val="0"/>
          <w:numId w:val="48"/>
        </w:numPr>
        <w:rPr>
          <w:rFonts w:asciiTheme="minorHAnsi" w:hAnsiTheme="minorHAnsi"/>
          <w:sz w:val="22"/>
        </w:rPr>
      </w:pPr>
      <w:r w:rsidRPr="001E3185">
        <w:rPr>
          <w:rFonts w:asciiTheme="minorHAnsi" w:hAnsiTheme="minorHAnsi"/>
          <w:sz w:val="22"/>
        </w:rPr>
        <w:t>Varied understandings of the 2012 Waiver</w:t>
      </w:r>
    </w:p>
    <w:p w:rsidR="00891371" w:rsidRPr="001E3185" w:rsidRDefault="00891371" w:rsidP="001E3185">
      <w:pPr>
        <w:pStyle w:val="ListParagraph"/>
        <w:numPr>
          <w:ilvl w:val="0"/>
          <w:numId w:val="48"/>
        </w:numPr>
        <w:rPr>
          <w:rFonts w:asciiTheme="minorHAnsi" w:hAnsiTheme="minorHAnsi"/>
          <w:sz w:val="22"/>
        </w:rPr>
      </w:pPr>
      <w:r w:rsidRPr="001E3185">
        <w:rPr>
          <w:rFonts w:asciiTheme="minorHAnsi" w:hAnsiTheme="minorHAnsi"/>
          <w:sz w:val="22"/>
        </w:rPr>
        <w:t>Historic strains and disconnect between central administration and field operations</w:t>
      </w:r>
    </w:p>
    <w:p w:rsidR="00891371" w:rsidRPr="001E3185" w:rsidRDefault="00891371" w:rsidP="001E3185">
      <w:pPr>
        <w:pStyle w:val="ListParagraph"/>
        <w:numPr>
          <w:ilvl w:val="0"/>
          <w:numId w:val="48"/>
        </w:numPr>
        <w:rPr>
          <w:rFonts w:asciiTheme="minorHAnsi" w:hAnsiTheme="minorHAnsi"/>
          <w:sz w:val="22"/>
        </w:rPr>
      </w:pPr>
      <w:r w:rsidRPr="001E3185">
        <w:rPr>
          <w:rFonts w:asciiTheme="minorHAnsi" w:hAnsiTheme="minorHAnsi"/>
          <w:sz w:val="22"/>
        </w:rPr>
        <w:t>Unique regional strengths and challenges</w:t>
      </w:r>
    </w:p>
    <w:p w:rsidR="00891371" w:rsidRPr="001E3185" w:rsidRDefault="00891371" w:rsidP="001E3185">
      <w:pPr>
        <w:pStyle w:val="ListParagraph"/>
        <w:numPr>
          <w:ilvl w:val="0"/>
          <w:numId w:val="48"/>
        </w:numPr>
        <w:rPr>
          <w:rFonts w:asciiTheme="minorHAnsi" w:hAnsiTheme="minorHAnsi"/>
          <w:sz w:val="22"/>
        </w:rPr>
      </w:pPr>
      <w:r w:rsidRPr="001E3185">
        <w:rPr>
          <w:rFonts w:asciiTheme="minorHAnsi" w:hAnsiTheme="minorHAnsi"/>
          <w:sz w:val="22"/>
        </w:rPr>
        <w:t>Waiver as a funding mechanism to help meet the unique needs of families, expediting permanency</w:t>
      </w:r>
    </w:p>
    <w:p w:rsidR="00891371" w:rsidRPr="001E3185" w:rsidRDefault="00891371" w:rsidP="001E3185">
      <w:pPr>
        <w:pStyle w:val="ListParagraph"/>
        <w:numPr>
          <w:ilvl w:val="0"/>
          <w:numId w:val="48"/>
        </w:numPr>
        <w:rPr>
          <w:rFonts w:asciiTheme="minorHAnsi" w:eastAsiaTheme="majorEastAsia" w:hAnsiTheme="minorHAnsi" w:cstheme="majorBidi"/>
          <w:color w:val="1F4D78" w:themeColor="accent1" w:themeShade="7F"/>
          <w:sz w:val="22"/>
        </w:rPr>
      </w:pPr>
      <w:r w:rsidRPr="001E3185">
        <w:rPr>
          <w:rFonts w:asciiTheme="minorHAnsi" w:hAnsiTheme="minorHAnsi"/>
          <w:sz w:val="22"/>
        </w:rPr>
        <w:br w:type="page"/>
      </w:r>
    </w:p>
    <w:p w:rsidR="00891371" w:rsidRPr="00837A26" w:rsidRDefault="00891371" w:rsidP="00837A26">
      <w:pPr>
        <w:pStyle w:val="Heading3"/>
      </w:pPr>
      <w:r w:rsidRPr="00837A26">
        <w:t>Summary &amp; Conclusions</w:t>
      </w:r>
    </w:p>
    <w:p w:rsidR="00891371" w:rsidRDefault="00891371" w:rsidP="00891371">
      <w:pPr>
        <w:rPr>
          <w:rFonts w:cstheme="minorHAnsi"/>
        </w:rPr>
      </w:pPr>
      <w:r w:rsidRPr="00FA46EF">
        <w:rPr>
          <w:rFonts w:cstheme="minorHAnsi"/>
        </w:rPr>
        <w:t>The final product of case</w:t>
      </w:r>
      <w:r>
        <w:rPr>
          <w:rFonts w:cstheme="minorHAnsi"/>
        </w:rPr>
        <w:t xml:space="preserve"> </w:t>
      </w:r>
      <w:r w:rsidRPr="00FA46EF">
        <w:rPr>
          <w:rFonts w:cstheme="minorHAnsi"/>
        </w:rPr>
        <w:t>study research involves case assertions or interpretations that represent take-away messages or lessons learned from all cases within the bounded context</w:t>
      </w:r>
      <w:r w:rsidR="008741B0">
        <w:rPr>
          <w:rFonts w:cstheme="minorHAnsi"/>
        </w:rPr>
        <w:t xml:space="preserve"> (Table </w:t>
      </w:r>
      <w:r w:rsidR="00AB4FC0">
        <w:rPr>
          <w:rFonts w:cstheme="minorHAnsi"/>
        </w:rPr>
        <w:t>2</w:t>
      </w:r>
      <w:r w:rsidR="002A34BA">
        <w:rPr>
          <w:rFonts w:cstheme="minorHAnsi"/>
        </w:rPr>
        <w:t>2</w:t>
      </w:r>
      <w:r w:rsidR="008741B0">
        <w:rPr>
          <w:rFonts w:cstheme="minorHAnsi"/>
        </w:rPr>
        <w:t>)</w:t>
      </w:r>
      <w:r w:rsidRPr="00FA46EF">
        <w:rPr>
          <w:rFonts w:cstheme="minorHAnsi"/>
        </w:rPr>
        <w:t>.</w:t>
      </w:r>
    </w:p>
    <w:p w:rsidR="001E3185" w:rsidRPr="00FA46EF" w:rsidRDefault="001E3185" w:rsidP="00891371">
      <w:pPr>
        <w:rPr>
          <w:rFonts w:cstheme="minorHAnsi"/>
          <w:color w:val="000000" w:themeColor="text1"/>
        </w:rPr>
      </w:pPr>
    </w:p>
    <w:p w:rsidR="00891371" w:rsidRDefault="001E3185" w:rsidP="001E3185">
      <w:pPr>
        <w:pStyle w:val="Heading4"/>
      </w:pPr>
      <w:r>
        <w:t xml:space="preserve">Table </w:t>
      </w:r>
      <w:r w:rsidR="002A34BA">
        <w:t>22</w:t>
      </w:r>
      <w:r>
        <w:t xml:space="preserve">. </w:t>
      </w:r>
      <w:r w:rsidR="00891371">
        <w:t>Assertions by round are outline in the below table.</w:t>
      </w:r>
    </w:p>
    <w:tbl>
      <w:tblPr>
        <w:tblStyle w:val="GridTable4-Accent5"/>
        <w:tblW w:w="9900" w:type="dxa"/>
        <w:tblInd w:w="-5" w:type="dxa"/>
        <w:tblLook w:val="0420" w:firstRow="1" w:lastRow="0" w:firstColumn="0" w:lastColumn="0" w:noHBand="0" w:noVBand="1"/>
      </w:tblPr>
      <w:tblGrid>
        <w:gridCol w:w="1980"/>
        <w:gridCol w:w="1980"/>
        <w:gridCol w:w="1980"/>
        <w:gridCol w:w="1980"/>
        <w:gridCol w:w="1980"/>
      </w:tblGrid>
      <w:tr w:rsidR="00891371" w:rsidRPr="006B2BA8" w:rsidTr="00837A26">
        <w:trPr>
          <w:cnfStyle w:val="100000000000" w:firstRow="1" w:lastRow="0" w:firstColumn="0" w:lastColumn="0" w:oddVBand="0" w:evenVBand="0" w:oddHBand="0" w:evenHBand="0" w:firstRowFirstColumn="0" w:firstRowLastColumn="0" w:lastRowFirstColumn="0" w:lastRowLastColumn="0"/>
          <w:trHeight w:val="574"/>
        </w:trPr>
        <w:tc>
          <w:tcPr>
            <w:tcW w:w="1980" w:type="dxa"/>
            <w:hideMark/>
          </w:tcPr>
          <w:p w:rsidR="00891371" w:rsidRPr="00837A26" w:rsidRDefault="00891371" w:rsidP="00891371">
            <w:pPr>
              <w:jc w:val="center"/>
              <w:rPr>
                <w:rFonts w:cstheme="minorHAnsi"/>
              </w:rPr>
            </w:pPr>
            <w:r w:rsidRPr="00837A26">
              <w:rPr>
                <w:rFonts w:cstheme="minorHAnsi"/>
              </w:rPr>
              <w:t>2013</w:t>
            </w:r>
          </w:p>
        </w:tc>
        <w:tc>
          <w:tcPr>
            <w:tcW w:w="1980" w:type="dxa"/>
            <w:hideMark/>
          </w:tcPr>
          <w:p w:rsidR="00891371" w:rsidRPr="00837A26" w:rsidRDefault="00891371" w:rsidP="00891371">
            <w:pPr>
              <w:jc w:val="center"/>
              <w:rPr>
                <w:rFonts w:cstheme="minorHAnsi"/>
              </w:rPr>
            </w:pPr>
            <w:r w:rsidRPr="00837A26">
              <w:rPr>
                <w:rFonts w:cstheme="minorHAnsi"/>
              </w:rPr>
              <w:t>2014</w:t>
            </w:r>
          </w:p>
        </w:tc>
        <w:tc>
          <w:tcPr>
            <w:tcW w:w="1980" w:type="dxa"/>
          </w:tcPr>
          <w:p w:rsidR="00891371" w:rsidRPr="00837A26" w:rsidRDefault="00891371" w:rsidP="00891371">
            <w:pPr>
              <w:pStyle w:val="NormalWeb"/>
              <w:spacing w:before="0" w:beforeAutospacing="0" w:after="0" w:afterAutospacing="0"/>
              <w:jc w:val="center"/>
              <w:rPr>
                <w:rFonts w:asciiTheme="minorHAnsi" w:hAnsiTheme="minorHAnsi" w:cstheme="minorHAnsi"/>
                <w:sz w:val="22"/>
                <w:szCs w:val="22"/>
              </w:rPr>
            </w:pPr>
            <w:r w:rsidRPr="00837A26">
              <w:rPr>
                <w:rFonts w:asciiTheme="minorHAnsi" w:hAnsiTheme="minorHAnsi" w:cstheme="minorHAnsi"/>
                <w:bCs w:val="0"/>
                <w:kern w:val="24"/>
                <w:sz w:val="22"/>
                <w:szCs w:val="22"/>
              </w:rPr>
              <w:t>2015</w:t>
            </w:r>
          </w:p>
        </w:tc>
        <w:tc>
          <w:tcPr>
            <w:tcW w:w="1980" w:type="dxa"/>
          </w:tcPr>
          <w:p w:rsidR="00891371" w:rsidRPr="00837A26" w:rsidRDefault="00891371" w:rsidP="00891371">
            <w:pPr>
              <w:pStyle w:val="NormalWeb"/>
              <w:spacing w:before="0" w:beforeAutospacing="0" w:after="0" w:afterAutospacing="0"/>
              <w:jc w:val="center"/>
              <w:rPr>
                <w:rFonts w:asciiTheme="minorHAnsi" w:hAnsiTheme="minorHAnsi" w:cstheme="minorHAnsi"/>
                <w:sz w:val="22"/>
                <w:szCs w:val="22"/>
              </w:rPr>
            </w:pPr>
            <w:r w:rsidRPr="00837A26">
              <w:rPr>
                <w:rFonts w:asciiTheme="minorHAnsi" w:hAnsiTheme="minorHAnsi" w:cstheme="minorHAnsi"/>
                <w:bCs w:val="0"/>
                <w:kern w:val="24"/>
                <w:sz w:val="22"/>
                <w:szCs w:val="22"/>
              </w:rPr>
              <w:t>2016</w:t>
            </w:r>
          </w:p>
        </w:tc>
        <w:tc>
          <w:tcPr>
            <w:tcW w:w="1980" w:type="dxa"/>
          </w:tcPr>
          <w:p w:rsidR="00891371" w:rsidRPr="00837A26" w:rsidRDefault="00891371" w:rsidP="00891371">
            <w:pPr>
              <w:pStyle w:val="NormalWeb"/>
              <w:spacing w:before="0" w:beforeAutospacing="0" w:after="0" w:afterAutospacing="0"/>
              <w:jc w:val="center"/>
              <w:rPr>
                <w:rFonts w:asciiTheme="minorHAnsi" w:hAnsiTheme="minorHAnsi" w:cstheme="minorHAnsi"/>
                <w:kern w:val="24"/>
                <w:sz w:val="22"/>
                <w:szCs w:val="22"/>
              </w:rPr>
            </w:pPr>
            <w:r w:rsidRPr="00837A26">
              <w:rPr>
                <w:rFonts w:asciiTheme="minorHAnsi" w:hAnsiTheme="minorHAnsi" w:cstheme="minorHAnsi"/>
                <w:kern w:val="24"/>
                <w:sz w:val="22"/>
                <w:szCs w:val="22"/>
              </w:rPr>
              <w:t>2019</w:t>
            </w:r>
          </w:p>
        </w:tc>
      </w:tr>
      <w:tr w:rsidR="00891371" w:rsidRPr="006B2BA8" w:rsidTr="00837A26">
        <w:trPr>
          <w:cnfStyle w:val="000000100000" w:firstRow="0" w:lastRow="0" w:firstColumn="0" w:lastColumn="0" w:oddVBand="0" w:evenVBand="0" w:oddHBand="1" w:evenHBand="0" w:firstRowFirstColumn="0" w:firstRowLastColumn="0" w:lastRowFirstColumn="0" w:lastRowLastColumn="0"/>
          <w:trHeight w:val="859"/>
        </w:trPr>
        <w:tc>
          <w:tcPr>
            <w:tcW w:w="1980" w:type="dxa"/>
            <w:hideMark/>
          </w:tcPr>
          <w:p w:rsidR="00891371" w:rsidRPr="006B2BA8" w:rsidRDefault="00891371" w:rsidP="00891371">
            <w:pPr>
              <w:rPr>
                <w:rFonts w:cstheme="minorHAnsi"/>
              </w:rPr>
            </w:pPr>
            <w:r w:rsidRPr="006B2BA8">
              <w:rPr>
                <w:rFonts w:cstheme="minorHAnsi"/>
              </w:rPr>
              <w:t>Praise local staff &amp; report positive relationships with courts</w:t>
            </w:r>
          </w:p>
        </w:tc>
        <w:tc>
          <w:tcPr>
            <w:tcW w:w="1980" w:type="dxa"/>
            <w:hideMark/>
          </w:tcPr>
          <w:p w:rsidR="00891371" w:rsidRPr="006B2BA8" w:rsidRDefault="00891371" w:rsidP="00891371">
            <w:pPr>
              <w:rPr>
                <w:rFonts w:cstheme="minorHAnsi"/>
              </w:rPr>
            </w:pPr>
            <w:r w:rsidRPr="006B2BA8">
              <w:rPr>
                <w:rFonts w:cstheme="minorHAnsi"/>
              </w:rPr>
              <w:t>Turnover is particularly challenging; management is capable &amp; committed</w:t>
            </w:r>
          </w:p>
        </w:tc>
        <w:tc>
          <w:tcPr>
            <w:tcW w:w="1980" w:type="dxa"/>
          </w:tcPr>
          <w:p w:rsidR="00891371" w:rsidRPr="006B2BA8" w:rsidRDefault="00891371" w:rsidP="00891371">
            <w:pPr>
              <w:pStyle w:val="NormalWeb"/>
              <w:spacing w:before="0" w:beforeAutospacing="0" w:after="0" w:afterAutospacing="0"/>
              <w:rPr>
                <w:rFonts w:asciiTheme="minorHAnsi" w:hAnsiTheme="minorHAnsi" w:cstheme="minorHAnsi"/>
                <w:sz w:val="22"/>
                <w:szCs w:val="22"/>
              </w:rPr>
            </w:pPr>
            <w:r w:rsidRPr="006B2BA8">
              <w:rPr>
                <w:rFonts w:asciiTheme="minorHAnsi" w:hAnsiTheme="minorHAnsi" w:cstheme="minorHAnsi"/>
                <w:color w:val="000000" w:themeColor="dark1"/>
                <w:kern w:val="24"/>
                <w:sz w:val="22"/>
                <w:szCs w:val="22"/>
              </w:rPr>
              <w:t>Inexperience of new staff; strong management teams; dedication</w:t>
            </w:r>
          </w:p>
        </w:tc>
        <w:tc>
          <w:tcPr>
            <w:tcW w:w="1980" w:type="dxa"/>
          </w:tcPr>
          <w:p w:rsidR="00891371" w:rsidRPr="006B2BA8" w:rsidRDefault="00891371" w:rsidP="00891371">
            <w:pPr>
              <w:pStyle w:val="NormalWeb"/>
              <w:spacing w:before="0" w:beforeAutospacing="0" w:after="0" w:afterAutospacing="0"/>
              <w:rPr>
                <w:rFonts w:asciiTheme="minorHAnsi" w:hAnsiTheme="minorHAnsi" w:cstheme="minorHAnsi"/>
                <w:sz w:val="22"/>
                <w:szCs w:val="22"/>
              </w:rPr>
            </w:pPr>
            <w:r w:rsidRPr="006B2BA8">
              <w:rPr>
                <w:rFonts w:asciiTheme="minorHAnsi" w:eastAsia="Calibri" w:hAnsiTheme="minorHAnsi" w:cstheme="minorHAnsi"/>
                <w:color w:val="000000" w:themeColor="dark1"/>
                <w:kern w:val="24"/>
                <w:sz w:val="22"/>
                <w:szCs w:val="22"/>
              </w:rPr>
              <w:t>Staffing challenges stem from the “perfect storm” of host of policy, practice, &amp; personnel changes</w:t>
            </w:r>
          </w:p>
        </w:tc>
        <w:tc>
          <w:tcPr>
            <w:tcW w:w="1980" w:type="dxa"/>
          </w:tcPr>
          <w:p w:rsidR="00891371" w:rsidRPr="006B2BA8" w:rsidRDefault="00891371" w:rsidP="00891371">
            <w:pPr>
              <w:pStyle w:val="NormalWeb"/>
              <w:spacing w:before="0" w:beforeAutospacing="0" w:after="0" w:afterAutospacing="0"/>
              <w:rPr>
                <w:rFonts w:asciiTheme="minorHAnsi" w:eastAsia="Calibri" w:hAnsiTheme="minorHAnsi" w:cstheme="minorHAnsi"/>
                <w:color w:val="000000" w:themeColor="dark1"/>
                <w:kern w:val="24"/>
                <w:sz w:val="22"/>
                <w:szCs w:val="22"/>
              </w:rPr>
            </w:pPr>
            <w:r>
              <w:rPr>
                <w:rFonts w:asciiTheme="minorHAnsi" w:eastAsia="Calibri" w:hAnsiTheme="minorHAnsi" w:cstheme="minorHAnsi"/>
                <w:color w:val="000000" w:themeColor="dark1"/>
                <w:kern w:val="24"/>
                <w:sz w:val="22"/>
                <w:szCs w:val="22"/>
              </w:rPr>
              <w:t>Agency culture is more positive and inclusive compared to prior years</w:t>
            </w:r>
          </w:p>
        </w:tc>
      </w:tr>
      <w:tr w:rsidR="00891371" w:rsidRPr="006B2BA8" w:rsidTr="00837A26">
        <w:trPr>
          <w:trHeight w:val="430"/>
        </w:trPr>
        <w:tc>
          <w:tcPr>
            <w:tcW w:w="1980" w:type="dxa"/>
            <w:hideMark/>
          </w:tcPr>
          <w:p w:rsidR="00891371" w:rsidRPr="006B2BA8" w:rsidRDefault="00891371" w:rsidP="00891371">
            <w:pPr>
              <w:rPr>
                <w:rFonts w:cstheme="minorHAnsi"/>
              </w:rPr>
            </w:pPr>
            <w:r w:rsidRPr="006B2BA8">
              <w:rPr>
                <w:rFonts w:cstheme="minorHAnsi"/>
              </w:rPr>
              <w:t>Experience many administrative &amp; role-related challenges</w:t>
            </w:r>
          </w:p>
        </w:tc>
        <w:tc>
          <w:tcPr>
            <w:tcW w:w="1980" w:type="dxa"/>
            <w:hideMark/>
          </w:tcPr>
          <w:p w:rsidR="00891371" w:rsidRPr="006B2BA8" w:rsidRDefault="00891371" w:rsidP="00891371">
            <w:pPr>
              <w:rPr>
                <w:rFonts w:cstheme="minorHAnsi"/>
              </w:rPr>
            </w:pPr>
            <w:r w:rsidRPr="006B2BA8">
              <w:rPr>
                <w:rFonts w:cstheme="minorHAnsi"/>
              </w:rPr>
              <w:t>Courts &amp; provider relationships generally positive</w:t>
            </w:r>
          </w:p>
        </w:tc>
        <w:tc>
          <w:tcPr>
            <w:tcW w:w="1980" w:type="dxa"/>
          </w:tcPr>
          <w:p w:rsidR="00891371" w:rsidRPr="006B2BA8" w:rsidRDefault="00891371" w:rsidP="00891371">
            <w:pPr>
              <w:pStyle w:val="NormalWeb"/>
              <w:spacing w:before="0" w:beforeAutospacing="0" w:after="0" w:afterAutospacing="0"/>
              <w:rPr>
                <w:rFonts w:asciiTheme="minorHAnsi" w:hAnsiTheme="minorHAnsi" w:cstheme="minorHAnsi"/>
                <w:sz w:val="22"/>
                <w:szCs w:val="22"/>
              </w:rPr>
            </w:pPr>
            <w:r w:rsidRPr="006B2BA8">
              <w:rPr>
                <w:rFonts w:asciiTheme="minorHAnsi" w:hAnsiTheme="minorHAnsi" w:cstheme="minorHAnsi"/>
                <w:color w:val="000000" w:themeColor="dark1"/>
                <w:kern w:val="24"/>
                <w:sz w:val="22"/>
                <w:szCs w:val="22"/>
              </w:rPr>
              <w:t>Positive relationships with courts &amp; service providers</w:t>
            </w:r>
          </w:p>
        </w:tc>
        <w:tc>
          <w:tcPr>
            <w:tcW w:w="1980" w:type="dxa"/>
          </w:tcPr>
          <w:p w:rsidR="00891371" w:rsidRPr="006B2BA8" w:rsidRDefault="00891371" w:rsidP="00891371">
            <w:pPr>
              <w:pStyle w:val="NormalWeb"/>
              <w:spacing w:before="0" w:beforeAutospacing="0" w:after="0" w:afterAutospacing="0"/>
              <w:rPr>
                <w:rFonts w:asciiTheme="minorHAnsi" w:hAnsiTheme="minorHAnsi" w:cstheme="minorHAnsi"/>
                <w:sz w:val="22"/>
                <w:szCs w:val="22"/>
              </w:rPr>
            </w:pPr>
            <w:r w:rsidRPr="006B2BA8">
              <w:rPr>
                <w:rFonts w:asciiTheme="minorHAnsi" w:eastAsia="Calibri" w:hAnsiTheme="minorHAnsi" w:cstheme="minorHAnsi"/>
                <w:color w:val="000000" w:themeColor="dark1"/>
                <w:kern w:val="24"/>
                <w:sz w:val="22"/>
                <w:szCs w:val="22"/>
              </w:rPr>
              <w:t>Managers are attuned to staff discontent/desires for change; Providing data in interviews produces ideas for new data</w:t>
            </w:r>
          </w:p>
        </w:tc>
        <w:tc>
          <w:tcPr>
            <w:tcW w:w="1980" w:type="dxa"/>
          </w:tcPr>
          <w:p w:rsidR="00891371" w:rsidRPr="006B2BA8" w:rsidRDefault="00891371" w:rsidP="00891371">
            <w:pPr>
              <w:pStyle w:val="NormalWeb"/>
              <w:spacing w:before="0" w:beforeAutospacing="0" w:after="0" w:afterAutospacing="0"/>
              <w:rPr>
                <w:rFonts w:asciiTheme="minorHAnsi" w:eastAsia="Calibri" w:hAnsiTheme="minorHAnsi" w:cstheme="minorHAnsi"/>
                <w:color w:val="000000" w:themeColor="dark1"/>
                <w:kern w:val="24"/>
                <w:sz w:val="22"/>
                <w:szCs w:val="22"/>
              </w:rPr>
            </w:pPr>
            <w:r>
              <w:rPr>
                <w:rFonts w:asciiTheme="minorHAnsi" w:eastAsia="Calibri" w:hAnsiTheme="minorHAnsi" w:cstheme="minorHAnsi"/>
                <w:color w:val="000000" w:themeColor="dark1"/>
                <w:kern w:val="24"/>
                <w:sz w:val="22"/>
                <w:szCs w:val="22"/>
              </w:rPr>
              <w:t>The agency is actively pursuing positive change with regard to staffing, supervision, and staff development</w:t>
            </w:r>
          </w:p>
        </w:tc>
      </w:tr>
      <w:tr w:rsidR="00891371" w:rsidRPr="006B2BA8" w:rsidTr="00837A26">
        <w:trPr>
          <w:cnfStyle w:val="000000100000" w:firstRow="0" w:lastRow="0" w:firstColumn="0" w:lastColumn="0" w:oddVBand="0" w:evenVBand="0" w:oddHBand="1" w:evenHBand="0" w:firstRowFirstColumn="0" w:firstRowLastColumn="0" w:lastRowFirstColumn="0" w:lastRowLastColumn="0"/>
          <w:trHeight w:val="859"/>
        </w:trPr>
        <w:tc>
          <w:tcPr>
            <w:tcW w:w="1980" w:type="dxa"/>
            <w:hideMark/>
          </w:tcPr>
          <w:p w:rsidR="00891371" w:rsidRPr="006B2BA8" w:rsidRDefault="00891371" w:rsidP="00891371">
            <w:pPr>
              <w:rPr>
                <w:rFonts w:cstheme="minorHAnsi"/>
              </w:rPr>
            </w:pPr>
            <w:r w:rsidRPr="006B2BA8">
              <w:rPr>
                <w:rFonts w:cstheme="minorHAnsi"/>
              </w:rPr>
              <w:t>Regions are unique, but particular needs consistently go unmet</w:t>
            </w:r>
          </w:p>
        </w:tc>
        <w:tc>
          <w:tcPr>
            <w:tcW w:w="1980" w:type="dxa"/>
            <w:hideMark/>
          </w:tcPr>
          <w:p w:rsidR="00891371" w:rsidRPr="006B2BA8" w:rsidRDefault="00891371" w:rsidP="00891371">
            <w:pPr>
              <w:rPr>
                <w:rFonts w:cstheme="minorHAnsi"/>
              </w:rPr>
            </w:pPr>
            <w:r w:rsidRPr="006B2BA8">
              <w:rPr>
                <w:rFonts w:cstheme="minorHAnsi"/>
              </w:rPr>
              <w:t>Relationship between central administration &amp; field has improved, room for progress</w:t>
            </w:r>
          </w:p>
        </w:tc>
        <w:tc>
          <w:tcPr>
            <w:tcW w:w="1980" w:type="dxa"/>
          </w:tcPr>
          <w:p w:rsidR="00891371" w:rsidRPr="006B2BA8" w:rsidRDefault="00891371" w:rsidP="00891371">
            <w:pPr>
              <w:pStyle w:val="NormalWeb"/>
              <w:spacing w:before="0" w:beforeAutospacing="0" w:after="0" w:afterAutospacing="0"/>
              <w:rPr>
                <w:rFonts w:asciiTheme="minorHAnsi" w:hAnsiTheme="minorHAnsi" w:cstheme="minorHAnsi"/>
                <w:sz w:val="22"/>
                <w:szCs w:val="22"/>
              </w:rPr>
            </w:pPr>
            <w:r w:rsidRPr="006B2BA8">
              <w:rPr>
                <w:rFonts w:asciiTheme="minorHAnsi" w:hAnsiTheme="minorHAnsi" w:cstheme="minorHAnsi"/>
                <w:color w:val="000000" w:themeColor="dark1"/>
                <w:kern w:val="24"/>
                <w:sz w:val="22"/>
                <w:szCs w:val="22"/>
              </w:rPr>
              <w:t>Regions are diverse, substance abuse is a pervasive challenge; t</w:t>
            </w:r>
            <w:r>
              <w:rPr>
                <w:rFonts w:asciiTheme="minorHAnsi" w:hAnsiTheme="minorHAnsi" w:cstheme="minorHAnsi"/>
                <w:color w:val="000000" w:themeColor="dark1"/>
                <w:kern w:val="24"/>
                <w:sz w:val="22"/>
                <w:szCs w:val="22"/>
              </w:rPr>
              <w:t>reatment</w:t>
            </w:r>
            <w:r w:rsidRPr="006B2BA8">
              <w:rPr>
                <w:rFonts w:asciiTheme="minorHAnsi" w:hAnsiTheme="minorHAnsi" w:cstheme="minorHAnsi"/>
                <w:color w:val="000000" w:themeColor="dark1"/>
                <w:kern w:val="24"/>
                <w:sz w:val="22"/>
                <w:szCs w:val="22"/>
              </w:rPr>
              <w:t xml:space="preserve"> needs</w:t>
            </w:r>
          </w:p>
        </w:tc>
        <w:tc>
          <w:tcPr>
            <w:tcW w:w="1980" w:type="dxa"/>
          </w:tcPr>
          <w:p w:rsidR="00891371" w:rsidRPr="006B2BA8" w:rsidRDefault="00891371" w:rsidP="00891371">
            <w:pPr>
              <w:pStyle w:val="NormalWeb"/>
              <w:spacing w:before="0" w:beforeAutospacing="0" w:after="0" w:afterAutospacing="0"/>
              <w:rPr>
                <w:rFonts w:asciiTheme="minorHAnsi" w:hAnsiTheme="minorHAnsi" w:cstheme="minorHAnsi"/>
                <w:sz w:val="22"/>
                <w:szCs w:val="22"/>
              </w:rPr>
            </w:pPr>
            <w:r w:rsidRPr="006B2BA8">
              <w:rPr>
                <w:rFonts w:asciiTheme="minorHAnsi" w:eastAsia="Calibri" w:hAnsiTheme="minorHAnsi" w:cstheme="minorHAnsi"/>
                <w:color w:val="000000" w:themeColor="dark1"/>
                <w:kern w:val="24"/>
                <w:sz w:val="22"/>
                <w:szCs w:val="22"/>
              </w:rPr>
              <w:t>Policy changes with practice implications are perceived to take place without appropriate consideration</w:t>
            </w:r>
          </w:p>
        </w:tc>
        <w:tc>
          <w:tcPr>
            <w:tcW w:w="1980" w:type="dxa"/>
          </w:tcPr>
          <w:p w:rsidR="00891371" w:rsidRPr="006B2BA8" w:rsidRDefault="00891371" w:rsidP="00891371">
            <w:pPr>
              <w:pStyle w:val="NormalWeb"/>
              <w:spacing w:before="0" w:beforeAutospacing="0" w:after="0" w:afterAutospacing="0"/>
              <w:rPr>
                <w:rFonts w:asciiTheme="minorHAnsi" w:eastAsia="Calibri" w:hAnsiTheme="minorHAnsi" w:cstheme="minorHAnsi"/>
                <w:color w:val="000000" w:themeColor="dark1"/>
                <w:kern w:val="24"/>
                <w:sz w:val="22"/>
                <w:szCs w:val="22"/>
              </w:rPr>
            </w:pPr>
            <w:r>
              <w:rPr>
                <w:rFonts w:asciiTheme="minorHAnsi" w:eastAsia="Calibri" w:hAnsiTheme="minorHAnsi" w:cstheme="minorHAnsi"/>
                <w:color w:val="000000" w:themeColor="dark1"/>
                <w:kern w:val="24"/>
                <w:sz w:val="22"/>
                <w:szCs w:val="22"/>
              </w:rPr>
              <w:t>Participants see the value in data; however, systems are confusing and cumbersome making utilization difficult</w:t>
            </w:r>
          </w:p>
        </w:tc>
      </w:tr>
      <w:tr w:rsidR="00891371" w:rsidRPr="006B2BA8" w:rsidTr="00837A26">
        <w:trPr>
          <w:trHeight w:val="430"/>
        </w:trPr>
        <w:tc>
          <w:tcPr>
            <w:tcW w:w="1980" w:type="dxa"/>
            <w:hideMark/>
          </w:tcPr>
          <w:p w:rsidR="00891371" w:rsidRPr="006B2BA8" w:rsidRDefault="00891371" w:rsidP="00891371">
            <w:pPr>
              <w:rPr>
                <w:rFonts w:cstheme="minorHAnsi"/>
              </w:rPr>
            </w:pPr>
            <w:r w:rsidRPr="006B2BA8">
              <w:rPr>
                <w:rFonts w:cstheme="minorHAnsi"/>
              </w:rPr>
              <w:t>Rural areas experience unique challenges</w:t>
            </w:r>
          </w:p>
        </w:tc>
        <w:tc>
          <w:tcPr>
            <w:tcW w:w="1980" w:type="dxa"/>
            <w:hideMark/>
          </w:tcPr>
          <w:p w:rsidR="00891371" w:rsidRPr="006B2BA8" w:rsidRDefault="00891371" w:rsidP="00891371">
            <w:pPr>
              <w:rPr>
                <w:rFonts w:cstheme="minorHAnsi"/>
              </w:rPr>
            </w:pPr>
            <w:r w:rsidRPr="006B2BA8">
              <w:rPr>
                <w:rFonts w:cstheme="minorHAnsi"/>
              </w:rPr>
              <w:t>Particular needs consistently go unmet</w:t>
            </w:r>
          </w:p>
        </w:tc>
        <w:tc>
          <w:tcPr>
            <w:tcW w:w="1980" w:type="dxa"/>
          </w:tcPr>
          <w:p w:rsidR="00891371" w:rsidRPr="006B2BA8" w:rsidRDefault="00891371" w:rsidP="00891371">
            <w:pPr>
              <w:pStyle w:val="NormalWeb"/>
              <w:spacing w:before="0" w:beforeAutospacing="0" w:after="0" w:afterAutospacing="0"/>
              <w:rPr>
                <w:rFonts w:asciiTheme="minorHAnsi" w:hAnsiTheme="minorHAnsi" w:cstheme="minorHAnsi"/>
                <w:sz w:val="22"/>
                <w:szCs w:val="22"/>
              </w:rPr>
            </w:pPr>
            <w:r w:rsidRPr="006B2BA8">
              <w:rPr>
                <w:rFonts w:asciiTheme="minorHAnsi" w:hAnsiTheme="minorHAnsi" w:cstheme="minorHAnsi"/>
                <w:color w:val="000000" w:themeColor="dark1"/>
                <w:kern w:val="24"/>
                <w:sz w:val="22"/>
                <w:szCs w:val="22"/>
              </w:rPr>
              <w:t>Contracting &amp; service standards challenges</w:t>
            </w:r>
          </w:p>
        </w:tc>
        <w:tc>
          <w:tcPr>
            <w:tcW w:w="1980" w:type="dxa"/>
          </w:tcPr>
          <w:p w:rsidR="00891371" w:rsidRPr="006B2BA8" w:rsidRDefault="00891371" w:rsidP="00891371">
            <w:pPr>
              <w:pStyle w:val="NormalWeb"/>
              <w:spacing w:before="0" w:beforeAutospacing="0" w:after="0" w:afterAutospacing="0"/>
              <w:rPr>
                <w:rFonts w:asciiTheme="minorHAnsi" w:hAnsiTheme="minorHAnsi" w:cstheme="minorHAnsi"/>
                <w:sz w:val="22"/>
                <w:szCs w:val="22"/>
              </w:rPr>
            </w:pPr>
            <w:r w:rsidRPr="006B2BA8">
              <w:rPr>
                <w:rFonts w:asciiTheme="minorHAnsi" w:eastAsia="Calibri" w:hAnsiTheme="minorHAnsi" w:cstheme="minorHAnsi"/>
                <w:color w:val="000000" w:themeColor="dark1"/>
                <w:kern w:val="24"/>
                <w:sz w:val="22"/>
                <w:szCs w:val="22"/>
              </w:rPr>
              <w:t xml:space="preserve">Substance abuse treatment &amp; foster homes are significant needs </w:t>
            </w:r>
          </w:p>
        </w:tc>
        <w:tc>
          <w:tcPr>
            <w:tcW w:w="1980" w:type="dxa"/>
          </w:tcPr>
          <w:p w:rsidR="00891371" w:rsidRPr="006B2BA8" w:rsidRDefault="00891371" w:rsidP="00891371">
            <w:pPr>
              <w:pStyle w:val="NormalWeb"/>
              <w:spacing w:before="0" w:beforeAutospacing="0" w:after="0" w:afterAutospacing="0"/>
              <w:rPr>
                <w:rFonts w:asciiTheme="minorHAnsi" w:eastAsia="Calibri" w:hAnsiTheme="minorHAnsi" w:cstheme="minorHAnsi"/>
                <w:color w:val="000000" w:themeColor="dark1"/>
                <w:kern w:val="24"/>
                <w:sz w:val="22"/>
                <w:szCs w:val="22"/>
              </w:rPr>
            </w:pPr>
            <w:r>
              <w:rPr>
                <w:rFonts w:asciiTheme="minorHAnsi" w:eastAsia="Calibri" w:hAnsiTheme="minorHAnsi" w:cstheme="minorHAnsi"/>
                <w:color w:val="000000" w:themeColor="dark1"/>
                <w:kern w:val="24"/>
                <w:sz w:val="22"/>
                <w:szCs w:val="22"/>
              </w:rPr>
              <w:t>The Waiver remains contextualized via concrete services</w:t>
            </w:r>
          </w:p>
        </w:tc>
      </w:tr>
      <w:tr w:rsidR="00891371" w:rsidRPr="006B2BA8" w:rsidTr="00837A26">
        <w:trPr>
          <w:cnfStyle w:val="000000100000" w:firstRow="0" w:lastRow="0" w:firstColumn="0" w:lastColumn="0" w:oddVBand="0" w:evenVBand="0" w:oddHBand="1" w:evenHBand="0" w:firstRowFirstColumn="0" w:firstRowLastColumn="0" w:lastRowFirstColumn="0" w:lastRowLastColumn="0"/>
          <w:trHeight w:val="859"/>
        </w:trPr>
        <w:tc>
          <w:tcPr>
            <w:tcW w:w="1980" w:type="dxa"/>
            <w:hideMark/>
          </w:tcPr>
          <w:p w:rsidR="00891371" w:rsidRPr="006B2BA8" w:rsidRDefault="00891371" w:rsidP="00891371">
            <w:pPr>
              <w:rPr>
                <w:rFonts w:cstheme="minorHAnsi"/>
              </w:rPr>
            </w:pPr>
            <w:r w:rsidRPr="006B2BA8">
              <w:rPr>
                <w:rFonts w:cstheme="minorHAnsi"/>
              </w:rPr>
              <w:t>Significant gaps exist between central administration &amp; field staff</w:t>
            </w:r>
          </w:p>
        </w:tc>
        <w:tc>
          <w:tcPr>
            <w:tcW w:w="1980" w:type="dxa"/>
            <w:hideMark/>
          </w:tcPr>
          <w:p w:rsidR="00891371" w:rsidRPr="006B2BA8" w:rsidRDefault="00891371" w:rsidP="00891371">
            <w:pPr>
              <w:rPr>
                <w:rFonts w:cstheme="minorHAnsi"/>
              </w:rPr>
            </w:pPr>
            <w:r w:rsidRPr="006B2BA8">
              <w:rPr>
                <w:rFonts w:cstheme="minorHAnsi"/>
              </w:rPr>
              <w:t>Rural &amp; urban areas differ</w:t>
            </w:r>
          </w:p>
        </w:tc>
        <w:tc>
          <w:tcPr>
            <w:tcW w:w="1980" w:type="dxa"/>
          </w:tcPr>
          <w:p w:rsidR="00891371" w:rsidRPr="006B2BA8" w:rsidRDefault="00891371" w:rsidP="00891371">
            <w:pPr>
              <w:pStyle w:val="NormalWeb"/>
              <w:spacing w:before="0" w:beforeAutospacing="0" w:after="0" w:afterAutospacing="0"/>
              <w:rPr>
                <w:rFonts w:asciiTheme="minorHAnsi" w:hAnsiTheme="minorHAnsi" w:cstheme="minorHAnsi"/>
                <w:sz w:val="22"/>
                <w:szCs w:val="22"/>
              </w:rPr>
            </w:pPr>
            <w:r w:rsidRPr="006B2BA8">
              <w:rPr>
                <w:rFonts w:asciiTheme="minorHAnsi" w:hAnsiTheme="minorHAnsi" w:cstheme="minorHAnsi"/>
                <w:color w:val="000000" w:themeColor="dark1"/>
                <w:kern w:val="24"/>
                <w:sz w:val="22"/>
                <w:szCs w:val="22"/>
              </w:rPr>
              <w:t>Concrete services have expanded &amp; are necessary for positive outcomes</w:t>
            </w:r>
          </w:p>
        </w:tc>
        <w:tc>
          <w:tcPr>
            <w:tcW w:w="1980" w:type="dxa"/>
          </w:tcPr>
          <w:p w:rsidR="00891371" w:rsidRPr="006B2BA8" w:rsidRDefault="00891371" w:rsidP="00891371">
            <w:pPr>
              <w:pStyle w:val="NormalWeb"/>
              <w:spacing w:before="0" w:beforeAutospacing="0" w:after="0" w:afterAutospacing="0"/>
              <w:rPr>
                <w:rFonts w:asciiTheme="minorHAnsi" w:hAnsiTheme="minorHAnsi" w:cstheme="minorHAnsi"/>
                <w:sz w:val="22"/>
                <w:szCs w:val="22"/>
              </w:rPr>
            </w:pPr>
            <w:r w:rsidRPr="006B2BA8">
              <w:rPr>
                <w:rFonts w:asciiTheme="minorHAnsi" w:eastAsia="Calibri" w:hAnsiTheme="minorHAnsi" w:cstheme="minorHAnsi"/>
                <w:color w:val="000000" w:themeColor="dark1"/>
                <w:kern w:val="24"/>
                <w:sz w:val="22"/>
                <w:szCs w:val="22"/>
              </w:rPr>
              <w:t>Commitment to safety &amp; strengthening families grounds leadership &amp; practice, despite change/instability</w:t>
            </w:r>
          </w:p>
        </w:tc>
        <w:tc>
          <w:tcPr>
            <w:tcW w:w="1980" w:type="dxa"/>
          </w:tcPr>
          <w:p w:rsidR="00891371" w:rsidRPr="006B2BA8" w:rsidRDefault="00891371" w:rsidP="00891371">
            <w:pPr>
              <w:pStyle w:val="NormalWeb"/>
              <w:spacing w:before="0" w:beforeAutospacing="0" w:after="0" w:afterAutospacing="0"/>
              <w:rPr>
                <w:rFonts w:asciiTheme="minorHAnsi" w:eastAsia="Calibri" w:hAnsiTheme="minorHAnsi" w:cstheme="minorHAnsi"/>
                <w:color w:val="000000" w:themeColor="dark1"/>
                <w:kern w:val="24"/>
                <w:sz w:val="22"/>
                <w:szCs w:val="22"/>
              </w:rPr>
            </w:pPr>
            <w:r>
              <w:rPr>
                <w:rFonts w:asciiTheme="minorHAnsi" w:eastAsia="Calibri" w:hAnsiTheme="minorHAnsi" w:cstheme="minorHAnsi"/>
                <w:color w:val="000000" w:themeColor="dark1"/>
                <w:kern w:val="24"/>
                <w:sz w:val="22"/>
                <w:szCs w:val="22"/>
              </w:rPr>
              <w:t>Concrete services are still essential, but are reported to be used more responsibly and in sustainable ways</w:t>
            </w:r>
          </w:p>
        </w:tc>
      </w:tr>
      <w:tr w:rsidR="00891371" w:rsidRPr="006B2BA8" w:rsidTr="00837A26">
        <w:trPr>
          <w:trHeight w:val="859"/>
        </w:trPr>
        <w:tc>
          <w:tcPr>
            <w:tcW w:w="1980" w:type="dxa"/>
            <w:hideMark/>
          </w:tcPr>
          <w:p w:rsidR="00891371" w:rsidRPr="006B2BA8" w:rsidRDefault="00891371" w:rsidP="00891371">
            <w:pPr>
              <w:rPr>
                <w:rFonts w:cstheme="minorHAnsi"/>
              </w:rPr>
            </w:pPr>
            <w:r w:rsidRPr="006B2BA8">
              <w:rPr>
                <w:rFonts w:cstheme="minorHAnsi"/>
              </w:rPr>
              <w:t>Very limited understanding of Waiver</w:t>
            </w:r>
          </w:p>
        </w:tc>
        <w:tc>
          <w:tcPr>
            <w:tcW w:w="1980" w:type="dxa"/>
            <w:hideMark/>
          </w:tcPr>
          <w:p w:rsidR="00891371" w:rsidRPr="006B2BA8" w:rsidRDefault="00891371" w:rsidP="00891371">
            <w:pPr>
              <w:rPr>
                <w:rFonts w:cstheme="minorHAnsi"/>
              </w:rPr>
            </w:pPr>
            <w:r w:rsidRPr="006B2BA8">
              <w:rPr>
                <w:rFonts w:cstheme="minorHAnsi"/>
              </w:rPr>
              <w:t>Articulating Waiver is a challenge &amp; there is no new knowledge in general</w:t>
            </w:r>
          </w:p>
        </w:tc>
        <w:tc>
          <w:tcPr>
            <w:tcW w:w="1980" w:type="dxa"/>
          </w:tcPr>
          <w:p w:rsidR="00891371" w:rsidRPr="006B2BA8" w:rsidRDefault="00891371" w:rsidP="00891371">
            <w:pPr>
              <w:pStyle w:val="NormalWeb"/>
              <w:spacing w:before="0" w:beforeAutospacing="0" w:after="0" w:afterAutospacing="0"/>
              <w:rPr>
                <w:rFonts w:asciiTheme="minorHAnsi" w:hAnsiTheme="minorHAnsi" w:cstheme="minorHAnsi"/>
                <w:sz w:val="22"/>
                <w:szCs w:val="22"/>
              </w:rPr>
            </w:pPr>
            <w:r w:rsidRPr="006B2BA8">
              <w:rPr>
                <w:rFonts w:asciiTheme="minorHAnsi" w:hAnsiTheme="minorHAnsi" w:cstheme="minorHAnsi"/>
                <w:color w:val="000000" w:themeColor="dark1"/>
                <w:kern w:val="24"/>
                <w:sz w:val="22"/>
                <w:szCs w:val="22"/>
              </w:rPr>
              <w:t>Concrete services &amp; creativity linked to Waiver</w:t>
            </w:r>
          </w:p>
        </w:tc>
        <w:tc>
          <w:tcPr>
            <w:tcW w:w="1980" w:type="dxa"/>
          </w:tcPr>
          <w:p w:rsidR="00891371" w:rsidRPr="006B2BA8" w:rsidRDefault="00891371" w:rsidP="00891371">
            <w:pPr>
              <w:pStyle w:val="NormalWeb"/>
              <w:spacing w:before="0" w:beforeAutospacing="0" w:after="0" w:afterAutospacing="0"/>
              <w:rPr>
                <w:rFonts w:asciiTheme="minorHAnsi" w:hAnsiTheme="minorHAnsi" w:cstheme="minorHAnsi"/>
                <w:sz w:val="22"/>
                <w:szCs w:val="22"/>
              </w:rPr>
            </w:pPr>
            <w:r w:rsidRPr="006B2BA8">
              <w:rPr>
                <w:rFonts w:asciiTheme="minorHAnsi" w:eastAsia="Calibri" w:hAnsiTheme="minorHAnsi" w:cstheme="minorHAnsi"/>
                <w:color w:val="000000" w:themeColor="dark1"/>
                <w:kern w:val="24"/>
                <w:sz w:val="22"/>
                <w:szCs w:val="22"/>
              </w:rPr>
              <w:t>Waiver is inextricably connected to enhanced use of concrete services</w:t>
            </w:r>
          </w:p>
        </w:tc>
        <w:tc>
          <w:tcPr>
            <w:tcW w:w="1980" w:type="dxa"/>
          </w:tcPr>
          <w:p w:rsidR="00891371" w:rsidRPr="006B2BA8" w:rsidRDefault="00891371" w:rsidP="00891371">
            <w:pPr>
              <w:pStyle w:val="NormalWeb"/>
              <w:spacing w:before="0" w:beforeAutospacing="0" w:after="0" w:afterAutospacing="0"/>
              <w:rPr>
                <w:rFonts w:asciiTheme="minorHAnsi" w:eastAsia="Calibri" w:hAnsiTheme="minorHAnsi" w:cstheme="minorHAnsi"/>
                <w:color w:val="000000" w:themeColor="dark1"/>
                <w:kern w:val="24"/>
                <w:sz w:val="22"/>
                <w:szCs w:val="22"/>
              </w:rPr>
            </w:pPr>
            <w:r>
              <w:rPr>
                <w:rFonts w:asciiTheme="minorHAnsi" w:eastAsia="Calibri" w:hAnsiTheme="minorHAnsi" w:cstheme="minorHAnsi"/>
                <w:color w:val="000000" w:themeColor="dark1"/>
                <w:kern w:val="24"/>
                <w:sz w:val="22"/>
                <w:szCs w:val="22"/>
              </w:rPr>
              <w:t>The Waiver is viewed as a funding mechanism that benefits children and families</w:t>
            </w:r>
          </w:p>
        </w:tc>
      </w:tr>
      <w:tr w:rsidR="00891371" w:rsidRPr="006B2BA8" w:rsidTr="00837A26">
        <w:trPr>
          <w:cnfStyle w:val="000000100000" w:firstRow="0" w:lastRow="0" w:firstColumn="0" w:lastColumn="0" w:oddVBand="0" w:evenVBand="0" w:oddHBand="1" w:evenHBand="0" w:firstRowFirstColumn="0" w:firstRowLastColumn="0" w:lastRowFirstColumn="0" w:lastRowLastColumn="0"/>
          <w:trHeight w:val="430"/>
        </w:trPr>
        <w:tc>
          <w:tcPr>
            <w:tcW w:w="1980" w:type="dxa"/>
            <w:hideMark/>
          </w:tcPr>
          <w:p w:rsidR="00891371" w:rsidRPr="006B2BA8" w:rsidRDefault="00891371" w:rsidP="00891371">
            <w:pPr>
              <w:rPr>
                <w:rFonts w:cstheme="minorHAnsi"/>
              </w:rPr>
            </w:pPr>
            <w:r w:rsidRPr="006B2BA8">
              <w:rPr>
                <w:rFonts w:cstheme="minorHAnsi"/>
              </w:rPr>
              <w:t>Limited Waiver training &amp; communication</w:t>
            </w:r>
          </w:p>
        </w:tc>
        <w:tc>
          <w:tcPr>
            <w:tcW w:w="1980" w:type="dxa"/>
            <w:hideMark/>
          </w:tcPr>
          <w:p w:rsidR="00891371" w:rsidRPr="006B2BA8" w:rsidRDefault="00891371" w:rsidP="00891371">
            <w:pPr>
              <w:rPr>
                <w:rFonts w:cstheme="minorHAnsi"/>
              </w:rPr>
            </w:pPr>
            <w:r w:rsidRPr="006B2BA8">
              <w:rPr>
                <w:rFonts w:cstheme="minorHAnsi"/>
              </w:rPr>
              <w:t>Concrete services are helpful, but confusion exists</w:t>
            </w:r>
          </w:p>
        </w:tc>
        <w:tc>
          <w:tcPr>
            <w:tcW w:w="1980" w:type="dxa"/>
          </w:tcPr>
          <w:p w:rsidR="00891371" w:rsidRPr="006B2BA8" w:rsidRDefault="00891371" w:rsidP="00891371">
            <w:pPr>
              <w:pStyle w:val="NormalWeb"/>
              <w:spacing w:before="0" w:beforeAutospacing="0" w:after="0" w:afterAutospacing="0"/>
              <w:rPr>
                <w:rFonts w:asciiTheme="minorHAnsi" w:hAnsiTheme="minorHAnsi" w:cstheme="minorHAnsi"/>
                <w:sz w:val="22"/>
                <w:szCs w:val="22"/>
              </w:rPr>
            </w:pPr>
            <w:r w:rsidRPr="006B2BA8">
              <w:rPr>
                <w:rFonts w:asciiTheme="minorHAnsi" w:hAnsiTheme="minorHAnsi" w:cstheme="minorHAnsi"/>
                <w:color w:val="000000" w:themeColor="dark1"/>
                <w:kern w:val="24"/>
                <w:sz w:val="22"/>
                <w:szCs w:val="22"/>
              </w:rPr>
              <w:t>Evaluation data is source of Waiver knowledge &amp; understanding</w:t>
            </w:r>
          </w:p>
        </w:tc>
        <w:tc>
          <w:tcPr>
            <w:tcW w:w="1980" w:type="dxa"/>
          </w:tcPr>
          <w:p w:rsidR="00891371" w:rsidRPr="006B2BA8" w:rsidRDefault="00891371" w:rsidP="00891371">
            <w:pPr>
              <w:pStyle w:val="NormalWeb"/>
              <w:spacing w:before="0" w:beforeAutospacing="0" w:after="0" w:afterAutospacing="0"/>
              <w:rPr>
                <w:rFonts w:asciiTheme="minorHAnsi" w:hAnsiTheme="minorHAnsi" w:cstheme="minorHAnsi"/>
                <w:sz w:val="22"/>
                <w:szCs w:val="22"/>
              </w:rPr>
            </w:pPr>
            <w:r w:rsidRPr="006B2BA8">
              <w:rPr>
                <w:rFonts w:asciiTheme="minorHAnsi" w:eastAsia="Calibri" w:hAnsiTheme="minorHAnsi" w:cstheme="minorHAnsi"/>
                <w:color w:val="000000" w:themeColor="dark1"/>
                <w:kern w:val="24"/>
                <w:sz w:val="22"/>
                <w:szCs w:val="22"/>
              </w:rPr>
              <w:t>Conceptualizing practice without Waiver flexibility &amp; creativity is difficult</w:t>
            </w:r>
          </w:p>
        </w:tc>
        <w:tc>
          <w:tcPr>
            <w:tcW w:w="1980" w:type="dxa"/>
          </w:tcPr>
          <w:p w:rsidR="00891371" w:rsidRPr="006B2BA8" w:rsidRDefault="00891371" w:rsidP="00891371">
            <w:pPr>
              <w:pStyle w:val="NormalWeb"/>
              <w:spacing w:before="0" w:beforeAutospacing="0" w:after="0" w:afterAutospacing="0"/>
              <w:rPr>
                <w:rFonts w:asciiTheme="minorHAnsi" w:eastAsia="Calibri" w:hAnsiTheme="minorHAnsi" w:cstheme="minorHAnsi"/>
                <w:color w:val="000000" w:themeColor="dark1"/>
                <w:kern w:val="24"/>
                <w:sz w:val="22"/>
                <w:szCs w:val="22"/>
              </w:rPr>
            </w:pPr>
            <w:r>
              <w:rPr>
                <w:rFonts w:asciiTheme="minorHAnsi" w:eastAsia="Calibri" w:hAnsiTheme="minorHAnsi" w:cstheme="minorHAnsi"/>
                <w:color w:val="000000" w:themeColor="dark1"/>
                <w:kern w:val="24"/>
                <w:sz w:val="22"/>
                <w:szCs w:val="22"/>
              </w:rPr>
              <w:t>Knowledge and training related to FFPSA is varied; participants want additional info but are not greatly concerned about practice implications</w:t>
            </w:r>
          </w:p>
        </w:tc>
      </w:tr>
    </w:tbl>
    <w:p w:rsidR="00891371" w:rsidRDefault="00891371" w:rsidP="00891371"/>
    <w:p w:rsidR="00891371" w:rsidRDefault="00891371" w:rsidP="00891371">
      <w:r>
        <w:t>Assertions from the collective case, all five rounds of data, are as follows.</w:t>
      </w:r>
    </w:p>
    <w:p w:rsidR="00891371" w:rsidRPr="00837A26" w:rsidRDefault="00891371" w:rsidP="00837A26">
      <w:pPr>
        <w:pStyle w:val="Default"/>
        <w:numPr>
          <w:ilvl w:val="0"/>
          <w:numId w:val="49"/>
        </w:numPr>
        <w:rPr>
          <w:rFonts w:asciiTheme="minorHAnsi" w:hAnsiTheme="minorHAnsi" w:cstheme="minorHAnsi"/>
          <w:sz w:val="22"/>
          <w:szCs w:val="22"/>
        </w:rPr>
      </w:pPr>
      <w:r w:rsidRPr="00837A26">
        <w:rPr>
          <w:rFonts w:asciiTheme="minorHAnsi" w:hAnsiTheme="minorHAnsi" w:cstheme="minorHAnsi"/>
          <w:sz w:val="22"/>
          <w:szCs w:val="22"/>
        </w:rPr>
        <w:t>Qualitative data are rich and can supplement administrative and outcome data, especially when studying process</w:t>
      </w:r>
    </w:p>
    <w:p w:rsidR="00891371" w:rsidRPr="00837A26" w:rsidRDefault="00891371" w:rsidP="00837A26">
      <w:pPr>
        <w:pStyle w:val="ListParagraph"/>
        <w:numPr>
          <w:ilvl w:val="0"/>
          <w:numId w:val="49"/>
        </w:numPr>
        <w:spacing w:after="0"/>
        <w:rPr>
          <w:rFonts w:asciiTheme="minorHAnsi" w:hAnsiTheme="minorHAnsi"/>
          <w:sz w:val="22"/>
          <w:szCs w:val="22"/>
        </w:rPr>
      </w:pPr>
      <w:r w:rsidRPr="00837A26">
        <w:rPr>
          <w:rFonts w:asciiTheme="minorHAnsi" w:hAnsiTheme="minorHAnsi"/>
          <w:sz w:val="22"/>
          <w:szCs w:val="22"/>
        </w:rPr>
        <w:t xml:space="preserve">The rapport and trust between participants and the evaluation team became stronger each year of the Waiver demonstration </w:t>
      </w:r>
    </w:p>
    <w:p w:rsidR="00891371" w:rsidRPr="00837A26" w:rsidRDefault="00891371" w:rsidP="00837A26">
      <w:pPr>
        <w:pStyle w:val="ListParagraph"/>
        <w:numPr>
          <w:ilvl w:val="0"/>
          <w:numId w:val="49"/>
        </w:numPr>
        <w:rPr>
          <w:rFonts w:asciiTheme="minorHAnsi" w:hAnsiTheme="minorHAnsi"/>
          <w:sz w:val="22"/>
          <w:szCs w:val="22"/>
        </w:rPr>
      </w:pPr>
      <w:r w:rsidRPr="00837A26">
        <w:rPr>
          <w:rFonts w:asciiTheme="minorHAnsi" w:hAnsiTheme="minorHAnsi"/>
          <w:sz w:val="22"/>
          <w:szCs w:val="22"/>
        </w:rPr>
        <w:t>Regional Managers, the majority of whom came up through the agency ranks – starting as FCMs – have a wealth of experience and expertise</w:t>
      </w:r>
    </w:p>
    <w:p w:rsidR="00891371" w:rsidRPr="00837A26" w:rsidRDefault="00891371" w:rsidP="00837A26">
      <w:pPr>
        <w:pStyle w:val="ListParagraph"/>
        <w:numPr>
          <w:ilvl w:val="0"/>
          <w:numId w:val="49"/>
        </w:numPr>
        <w:rPr>
          <w:rFonts w:asciiTheme="minorHAnsi" w:hAnsiTheme="minorHAnsi"/>
          <w:sz w:val="22"/>
          <w:szCs w:val="22"/>
        </w:rPr>
      </w:pPr>
      <w:r w:rsidRPr="00837A26">
        <w:rPr>
          <w:rFonts w:asciiTheme="minorHAnsi" w:hAnsiTheme="minorHAnsi"/>
          <w:sz w:val="22"/>
          <w:szCs w:val="22"/>
        </w:rPr>
        <w:t>Regional Managers and Field Operations Administrators have a comprehensive understanding of their regions/areas in terms of staff, community, and practice</w:t>
      </w:r>
    </w:p>
    <w:p w:rsidR="00891371" w:rsidRPr="00837A26" w:rsidRDefault="00891371" w:rsidP="00837A26">
      <w:pPr>
        <w:pStyle w:val="ListParagraph"/>
        <w:numPr>
          <w:ilvl w:val="0"/>
          <w:numId w:val="49"/>
        </w:numPr>
        <w:rPr>
          <w:rFonts w:asciiTheme="minorHAnsi" w:hAnsiTheme="minorHAnsi"/>
          <w:sz w:val="22"/>
          <w:szCs w:val="22"/>
        </w:rPr>
      </w:pPr>
      <w:r w:rsidRPr="00837A26">
        <w:rPr>
          <w:rFonts w:asciiTheme="minorHAnsi" w:hAnsiTheme="minorHAnsi"/>
          <w:sz w:val="22"/>
          <w:szCs w:val="22"/>
        </w:rPr>
        <w:t>Regions of the state have diverse needs and strengths</w:t>
      </w:r>
    </w:p>
    <w:p w:rsidR="00891371" w:rsidRPr="00837A26" w:rsidRDefault="00891371" w:rsidP="00837A26">
      <w:pPr>
        <w:pStyle w:val="ListParagraph"/>
        <w:numPr>
          <w:ilvl w:val="0"/>
          <w:numId w:val="49"/>
        </w:numPr>
        <w:rPr>
          <w:rFonts w:asciiTheme="minorHAnsi" w:hAnsiTheme="minorHAnsi"/>
          <w:sz w:val="22"/>
          <w:szCs w:val="22"/>
        </w:rPr>
      </w:pPr>
      <w:r w:rsidRPr="00837A26">
        <w:rPr>
          <w:rFonts w:asciiTheme="minorHAnsi" w:hAnsiTheme="minorHAnsi"/>
          <w:sz w:val="22"/>
          <w:szCs w:val="22"/>
        </w:rPr>
        <w:t>Regional Managers value the leadership in their regions, stability and continuity are prized</w:t>
      </w:r>
    </w:p>
    <w:p w:rsidR="00891371" w:rsidRPr="00837A26" w:rsidRDefault="00891371" w:rsidP="00837A26">
      <w:pPr>
        <w:pStyle w:val="ListParagraph"/>
        <w:numPr>
          <w:ilvl w:val="0"/>
          <w:numId w:val="49"/>
        </w:numPr>
        <w:rPr>
          <w:rFonts w:asciiTheme="minorHAnsi" w:hAnsiTheme="minorHAnsi"/>
          <w:sz w:val="22"/>
          <w:szCs w:val="22"/>
        </w:rPr>
      </w:pPr>
      <w:r w:rsidRPr="00837A26">
        <w:rPr>
          <w:rFonts w:asciiTheme="minorHAnsi" w:hAnsiTheme="minorHAnsi"/>
          <w:sz w:val="22"/>
          <w:szCs w:val="22"/>
        </w:rPr>
        <w:t>Regional Managers and Field Operations Administrators would benefit from increased and/or enhanced opportunities for their own supervision or mentoring, collaboration with other RMs, and professional development</w:t>
      </w:r>
    </w:p>
    <w:p w:rsidR="00891371" w:rsidRPr="00837A26" w:rsidRDefault="00891371" w:rsidP="00837A26">
      <w:pPr>
        <w:pStyle w:val="ListParagraph"/>
        <w:numPr>
          <w:ilvl w:val="0"/>
          <w:numId w:val="49"/>
        </w:numPr>
        <w:rPr>
          <w:rFonts w:asciiTheme="minorHAnsi" w:hAnsiTheme="minorHAnsi"/>
          <w:sz w:val="22"/>
          <w:szCs w:val="22"/>
        </w:rPr>
      </w:pPr>
      <w:r w:rsidRPr="00837A26">
        <w:rPr>
          <w:rFonts w:asciiTheme="minorHAnsi" w:hAnsiTheme="minorHAnsi"/>
          <w:sz w:val="22"/>
          <w:szCs w:val="22"/>
        </w:rPr>
        <w:t>Data are valued, however changes in data management systems, the use of multiple, incompatible systems, and varied uses of data diminish the potential data have for informing practice</w:t>
      </w:r>
    </w:p>
    <w:p w:rsidR="00891371" w:rsidRPr="00837A26" w:rsidRDefault="00891371" w:rsidP="00837A26">
      <w:pPr>
        <w:pStyle w:val="ListParagraph"/>
        <w:numPr>
          <w:ilvl w:val="0"/>
          <w:numId w:val="49"/>
        </w:numPr>
        <w:rPr>
          <w:rFonts w:asciiTheme="minorHAnsi" w:hAnsiTheme="minorHAnsi"/>
          <w:sz w:val="22"/>
          <w:szCs w:val="22"/>
        </w:rPr>
      </w:pPr>
      <w:r w:rsidRPr="00837A26">
        <w:rPr>
          <w:rFonts w:asciiTheme="minorHAnsi" w:hAnsiTheme="minorHAnsi"/>
          <w:sz w:val="22"/>
          <w:szCs w:val="22"/>
        </w:rPr>
        <w:t>The relationship between central administration and field operations, including perceived understanding and support from the top down, improved with each round of data collection – the healthiest reports of climate and culture coming in 2019, following administration and leadership changes</w:t>
      </w:r>
    </w:p>
    <w:p w:rsidR="00891371" w:rsidRPr="00837A26" w:rsidRDefault="00891371" w:rsidP="00837A26">
      <w:pPr>
        <w:pStyle w:val="ListParagraph"/>
        <w:numPr>
          <w:ilvl w:val="0"/>
          <w:numId w:val="49"/>
        </w:numPr>
        <w:rPr>
          <w:rFonts w:asciiTheme="minorHAnsi" w:hAnsiTheme="minorHAnsi"/>
          <w:sz w:val="22"/>
          <w:szCs w:val="22"/>
        </w:rPr>
      </w:pPr>
      <w:r w:rsidRPr="00837A26">
        <w:rPr>
          <w:rFonts w:asciiTheme="minorHAnsi" w:hAnsiTheme="minorHAnsi"/>
          <w:sz w:val="22"/>
          <w:szCs w:val="22"/>
        </w:rPr>
        <w:t>Regional Managers initially struggled to conceptualize and contextualize the 2012; however, by the middle of data collection, participants overwhelmingly connected the Waiver with the ability to use concrete services to meet unique child and family needs</w:t>
      </w:r>
    </w:p>
    <w:p w:rsidR="00891371" w:rsidRPr="00837A26" w:rsidRDefault="00891371" w:rsidP="00837A26">
      <w:pPr>
        <w:pStyle w:val="ListParagraph"/>
        <w:numPr>
          <w:ilvl w:val="0"/>
          <w:numId w:val="49"/>
        </w:numPr>
        <w:rPr>
          <w:rFonts w:asciiTheme="minorHAnsi" w:hAnsiTheme="minorHAnsi"/>
          <w:sz w:val="22"/>
          <w:szCs w:val="22"/>
        </w:rPr>
      </w:pPr>
      <w:r w:rsidRPr="00837A26">
        <w:rPr>
          <w:rFonts w:asciiTheme="minorHAnsi" w:hAnsiTheme="minorHAnsi"/>
          <w:sz w:val="22"/>
          <w:szCs w:val="22"/>
        </w:rPr>
        <w:t xml:space="preserve">Concrete service use is essential to meeting distinct safety and well-being needs of children, youth, and families, and expedites permanency </w:t>
      </w:r>
    </w:p>
    <w:p w:rsidR="00891371" w:rsidRDefault="00891371" w:rsidP="00837A26">
      <w:pPr>
        <w:pStyle w:val="ListParagraph"/>
        <w:numPr>
          <w:ilvl w:val="0"/>
          <w:numId w:val="49"/>
        </w:numPr>
      </w:pPr>
      <w:r w:rsidRPr="00837A26">
        <w:rPr>
          <w:rFonts w:asciiTheme="minorHAnsi" w:hAnsiTheme="minorHAnsi"/>
          <w:sz w:val="22"/>
          <w:szCs w:val="22"/>
        </w:rPr>
        <w:t>While many Regional Managers continue to struggle to articulate the precise structure and function of the 2012 Waiver, Managers and Field Operations Administrators agree that the Waiver has been beneficial for countless children and families across the state</w:t>
      </w:r>
    </w:p>
    <w:p w:rsidR="00891371" w:rsidRPr="00C35869" w:rsidRDefault="00891371" w:rsidP="00891371">
      <w:pPr>
        <w:pStyle w:val="Default"/>
        <w:rPr>
          <w:rFonts w:asciiTheme="minorHAnsi" w:hAnsiTheme="minorHAnsi" w:cstheme="minorHAnsi"/>
          <w:sz w:val="22"/>
          <w:szCs w:val="22"/>
        </w:rPr>
      </w:pPr>
      <w:r w:rsidRPr="00C35869">
        <w:rPr>
          <w:rFonts w:asciiTheme="minorHAnsi" w:hAnsiTheme="minorHAnsi" w:cstheme="minorHAnsi"/>
          <w:sz w:val="22"/>
          <w:szCs w:val="22"/>
        </w:rPr>
        <w:t>As a result of this study, the evaluators advocate for targeting middle managers, such as RMs and ADDs, as valuable data sources for studying process</w:t>
      </w:r>
      <w:r>
        <w:rPr>
          <w:rFonts w:asciiTheme="minorHAnsi" w:hAnsiTheme="minorHAnsi" w:cstheme="minorHAnsi"/>
          <w:sz w:val="22"/>
          <w:szCs w:val="22"/>
        </w:rPr>
        <w:t xml:space="preserve">.  Evaluators also recommend using </w:t>
      </w:r>
      <w:r w:rsidRPr="00C35869">
        <w:rPr>
          <w:rFonts w:asciiTheme="minorHAnsi" w:hAnsiTheme="minorHAnsi" w:cstheme="minorHAnsi"/>
          <w:sz w:val="22"/>
          <w:szCs w:val="22"/>
        </w:rPr>
        <w:t>qualitative methods to assist with contextualizing child welfare implementation data.  Regional Managers and Field Operations Administrators hold an abundance of knowledge about the regions and areas they manage and the staff they supervise.  These mid-level managers and administrators serve as a bridge between central administrati</w:t>
      </w:r>
      <w:r>
        <w:rPr>
          <w:rFonts w:asciiTheme="minorHAnsi" w:hAnsiTheme="minorHAnsi" w:cstheme="minorHAnsi"/>
          <w:sz w:val="22"/>
          <w:szCs w:val="22"/>
        </w:rPr>
        <w:t>on</w:t>
      </w:r>
      <w:r w:rsidRPr="00C35869">
        <w:rPr>
          <w:rFonts w:asciiTheme="minorHAnsi" w:hAnsiTheme="minorHAnsi" w:cstheme="minorHAnsi"/>
          <w:sz w:val="22"/>
          <w:szCs w:val="22"/>
        </w:rPr>
        <w:t xml:space="preserve"> and field staff and share unique perspectives of both.  Regional Managers and ADDs are essential components of the feedback loop for state-level child welfare policy and practice implementation in Indiana.  Acknowledging </w:t>
      </w:r>
      <w:r>
        <w:rPr>
          <w:rFonts w:asciiTheme="minorHAnsi" w:hAnsiTheme="minorHAnsi" w:cstheme="minorHAnsi"/>
          <w:sz w:val="22"/>
          <w:szCs w:val="22"/>
        </w:rPr>
        <w:t xml:space="preserve">RM and ADD </w:t>
      </w:r>
      <w:r w:rsidRPr="00C35869">
        <w:rPr>
          <w:rFonts w:asciiTheme="minorHAnsi" w:hAnsiTheme="minorHAnsi" w:cstheme="minorHAnsi"/>
          <w:sz w:val="22"/>
          <w:szCs w:val="22"/>
        </w:rPr>
        <w:t xml:space="preserve">perceptions and experiences has the potential to support change efforts and </w:t>
      </w:r>
      <w:r>
        <w:rPr>
          <w:rFonts w:asciiTheme="minorHAnsi" w:hAnsiTheme="minorHAnsi" w:cstheme="minorHAnsi"/>
          <w:sz w:val="22"/>
          <w:szCs w:val="22"/>
        </w:rPr>
        <w:t xml:space="preserve">may </w:t>
      </w:r>
      <w:r w:rsidRPr="00C35869">
        <w:rPr>
          <w:rFonts w:asciiTheme="minorHAnsi" w:hAnsiTheme="minorHAnsi" w:cstheme="minorHAnsi"/>
          <w:sz w:val="22"/>
          <w:szCs w:val="22"/>
        </w:rPr>
        <w:t xml:space="preserve">ultimately result in </w:t>
      </w:r>
      <w:r>
        <w:rPr>
          <w:rFonts w:asciiTheme="minorHAnsi" w:hAnsiTheme="minorHAnsi" w:cstheme="minorHAnsi"/>
          <w:sz w:val="22"/>
          <w:szCs w:val="22"/>
        </w:rPr>
        <w:t xml:space="preserve">more </w:t>
      </w:r>
      <w:r w:rsidRPr="00C35869">
        <w:rPr>
          <w:rFonts w:asciiTheme="minorHAnsi" w:hAnsiTheme="minorHAnsi" w:cstheme="minorHAnsi"/>
          <w:sz w:val="22"/>
          <w:szCs w:val="22"/>
        </w:rPr>
        <w:t xml:space="preserve">positive outcomes for children and families across the state.  </w:t>
      </w:r>
    </w:p>
    <w:p w:rsidR="00891371" w:rsidRPr="007E0D31" w:rsidRDefault="00891371" w:rsidP="00891371"/>
    <w:p w:rsidR="00891371" w:rsidRDefault="00891371">
      <w:pPr>
        <w:spacing w:after="160" w:line="259" w:lineRule="auto"/>
        <w:rPr>
          <w:rFonts w:asciiTheme="majorHAnsi" w:eastAsiaTheme="majorEastAsia" w:hAnsiTheme="majorHAnsi" w:cstheme="majorBidi"/>
          <w:color w:val="2E74B5" w:themeColor="accent1" w:themeShade="BF"/>
          <w:sz w:val="26"/>
          <w:szCs w:val="26"/>
        </w:rPr>
      </w:pPr>
      <w:r>
        <w:br w:type="page"/>
      </w:r>
    </w:p>
    <w:p w:rsidR="002D42B2" w:rsidRPr="00440792" w:rsidRDefault="000138D1" w:rsidP="002D42B2">
      <w:pPr>
        <w:pStyle w:val="Heading2"/>
      </w:pPr>
      <w:bookmarkStart w:id="20" w:name="_Toc43887883"/>
      <w:r w:rsidRPr="00440792">
        <w:t>Family Case Manager (</w:t>
      </w:r>
      <w:r w:rsidR="002D42B2" w:rsidRPr="00440792">
        <w:t>FCM</w:t>
      </w:r>
      <w:r w:rsidRPr="00440792">
        <w:t>)</w:t>
      </w:r>
      <w:r w:rsidR="002D42B2" w:rsidRPr="00440792">
        <w:t xml:space="preserve"> </w:t>
      </w:r>
      <w:r w:rsidR="002C412D" w:rsidRPr="00440792">
        <w:t>Survey</w:t>
      </w:r>
      <w:bookmarkEnd w:id="20"/>
    </w:p>
    <w:p w:rsidR="000138D1" w:rsidRPr="00440792" w:rsidRDefault="00975821" w:rsidP="00CF6B04">
      <w:pPr>
        <w:pStyle w:val="Heading3"/>
        <w:spacing w:line="276" w:lineRule="auto"/>
      </w:pPr>
      <w:r>
        <w:t xml:space="preserve">FCM Survey: </w:t>
      </w:r>
      <w:r w:rsidR="000138D1" w:rsidRPr="00440792">
        <w:t>Methods</w:t>
      </w:r>
    </w:p>
    <w:p w:rsidR="000138D1" w:rsidRPr="00440792" w:rsidRDefault="000138D1" w:rsidP="00064B95">
      <w:pPr>
        <w:rPr>
          <w:szCs w:val="24"/>
        </w:rPr>
      </w:pPr>
      <w:r w:rsidRPr="00440792">
        <w:rPr>
          <w:szCs w:val="24"/>
        </w:rPr>
        <w:t xml:space="preserve">As part of the Process </w:t>
      </w:r>
      <w:r w:rsidR="00F078D3" w:rsidRPr="00440792">
        <w:rPr>
          <w:szCs w:val="24"/>
        </w:rPr>
        <w:t>Study</w:t>
      </w:r>
      <w:r w:rsidRPr="00440792">
        <w:rPr>
          <w:szCs w:val="24"/>
        </w:rPr>
        <w:t xml:space="preserve"> component of the evaluation, FCMs were surveyed to explore the types of services available to achieve the goals of the </w:t>
      </w:r>
      <w:r w:rsidR="00A5038C">
        <w:rPr>
          <w:szCs w:val="24"/>
        </w:rPr>
        <w:t>Waiver</w:t>
      </w:r>
      <w:r w:rsidRPr="00440792">
        <w:rPr>
          <w:szCs w:val="24"/>
        </w:rPr>
        <w:t xml:space="preserve">. Beginning in 2012, plans were made to administer this survey (with amendments as appropriate) annually throughout the demonstration period to determine if perceptions of the array of services change following the </w:t>
      </w:r>
      <w:r w:rsidR="00A5038C">
        <w:rPr>
          <w:szCs w:val="24"/>
        </w:rPr>
        <w:t>Waiver</w:t>
      </w:r>
      <w:r w:rsidRPr="00440792">
        <w:rPr>
          <w:szCs w:val="24"/>
        </w:rPr>
        <w:t xml:space="preserve">’s implementation as well as whether or not new services are created, existing services are expanded, or a combination of both.  </w:t>
      </w:r>
    </w:p>
    <w:p w:rsidR="00064B95" w:rsidRDefault="00064B95" w:rsidP="00064B95">
      <w:pPr>
        <w:rPr>
          <w:szCs w:val="24"/>
        </w:rPr>
      </w:pPr>
    </w:p>
    <w:p w:rsidR="000138D1" w:rsidRPr="00440792" w:rsidRDefault="000138D1" w:rsidP="00064B95">
      <w:pPr>
        <w:rPr>
          <w:szCs w:val="24"/>
        </w:rPr>
      </w:pPr>
      <w:r w:rsidRPr="00440792">
        <w:rPr>
          <w:szCs w:val="24"/>
        </w:rPr>
        <w:t xml:space="preserve">A pilot of the survey was conducted with 20 FCMs who were enrolled in a child welfare scholars program at the IU School of Social Work, as well as several DCS executives.  Input and recommendations were incorporated into the questionnaire where applicable.  To capture baseline information within a year of implementing the </w:t>
      </w:r>
      <w:r w:rsidR="00A5038C">
        <w:rPr>
          <w:szCs w:val="24"/>
        </w:rPr>
        <w:t>Waiver</w:t>
      </w:r>
      <w:r w:rsidRPr="00440792">
        <w:rPr>
          <w:szCs w:val="24"/>
        </w:rPr>
        <w:t xml:space="preserve">, the first FCM survey was distributed via email to all FCMs in April 2013.  The electronic survey used the Qualtrics web-based survey tool.  </w:t>
      </w:r>
    </w:p>
    <w:p w:rsidR="00064B95" w:rsidRDefault="00064B95" w:rsidP="00064B95">
      <w:pPr>
        <w:rPr>
          <w:szCs w:val="24"/>
        </w:rPr>
      </w:pPr>
    </w:p>
    <w:p w:rsidR="000138D1" w:rsidRPr="00440792" w:rsidRDefault="000138D1" w:rsidP="00064B95">
      <w:pPr>
        <w:rPr>
          <w:szCs w:val="24"/>
        </w:rPr>
      </w:pPr>
      <w:r w:rsidRPr="00440792">
        <w:rPr>
          <w:szCs w:val="24"/>
        </w:rPr>
        <w:t xml:space="preserve">After Round 1 in 2013, additional sections were added to the survey based upon how the </w:t>
      </w:r>
      <w:r w:rsidR="00A5038C">
        <w:rPr>
          <w:szCs w:val="24"/>
        </w:rPr>
        <w:t>Waiver</w:t>
      </w:r>
      <w:r w:rsidRPr="00440792">
        <w:rPr>
          <w:szCs w:val="24"/>
        </w:rPr>
        <w:t xml:space="preserve"> was being utilized by DCS.  Round 2 was administered in April 2014 and also aimed at capturing FCMs’ views on various practices and services for children and families.</w:t>
      </w:r>
    </w:p>
    <w:p w:rsidR="00064B95" w:rsidRDefault="00064B95" w:rsidP="00064B95">
      <w:pPr>
        <w:rPr>
          <w:szCs w:val="24"/>
        </w:rPr>
      </w:pPr>
    </w:p>
    <w:p w:rsidR="000138D1" w:rsidRPr="00440792" w:rsidRDefault="000138D1" w:rsidP="00064B95">
      <w:pPr>
        <w:rPr>
          <w:szCs w:val="24"/>
        </w:rPr>
      </w:pPr>
      <w:r w:rsidRPr="00440792">
        <w:rPr>
          <w:szCs w:val="24"/>
        </w:rPr>
        <w:t xml:space="preserve">With a more directed effort, the Round 3 FCM survey in 2015 went through significant edits and additions with the joint work of the Evaluation Team and DCS and was administered in May 2015.  DCS included staff from the field, evaluation, services, and fiscal areas to formulate new questions.  Sections were added to investigate teaming, older youth, crisis services, supervision, and placement challenges. </w:t>
      </w:r>
    </w:p>
    <w:p w:rsidR="00064B95" w:rsidRDefault="00064B95" w:rsidP="00064B95">
      <w:pPr>
        <w:rPr>
          <w:szCs w:val="24"/>
        </w:rPr>
      </w:pPr>
    </w:p>
    <w:p w:rsidR="000138D1" w:rsidRPr="00440792" w:rsidRDefault="000138D1" w:rsidP="00064B95">
      <w:pPr>
        <w:rPr>
          <w:szCs w:val="24"/>
        </w:rPr>
      </w:pPr>
      <w:r w:rsidRPr="00440792">
        <w:rPr>
          <w:szCs w:val="24"/>
        </w:rPr>
        <w:t>In Round 4, the Evaluation team again worked with DCS Executive staff to amend questions and create additions that provided more information about the most recently closed cases as well as questions to better investigate placement and workload challenges.  Data collection occurred in June 2016.</w:t>
      </w:r>
    </w:p>
    <w:p w:rsidR="00064B95" w:rsidRDefault="00064B95" w:rsidP="00064B95">
      <w:pPr>
        <w:rPr>
          <w:szCs w:val="24"/>
        </w:rPr>
      </w:pPr>
    </w:p>
    <w:p w:rsidR="00D429F4" w:rsidRDefault="00D429F4" w:rsidP="00064B95">
      <w:pPr>
        <w:rPr>
          <w:szCs w:val="24"/>
        </w:rPr>
      </w:pPr>
      <w:r w:rsidRPr="00440792">
        <w:rPr>
          <w:szCs w:val="24"/>
        </w:rPr>
        <w:t>Data for Round 5 of the FCM survey began in July 2017.</w:t>
      </w:r>
      <w:r>
        <w:rPr>
          <w:szCs w:val="24"/>
        </w:rPr>
        <w:t xml:space="preserve">  This year included additional questions around placements and the workforce.</w:t>
      </w:r>
    </w:p>
    <w:p w:rsidR="007D4E53" w:rsidRDefault="007D4E53" w:rsidP="007D4E53">
      <w:pPr>
        <w:rPr>
          <w:szCs w:val="24"/>
        </w:rPr>
      </w:pPr>
    </w:p>
    <w:p w:rsidR="00D429F4" w:rsidRDefault="00D429F4" w:rsidP="007D4E53">
      <w:pPr>
        <w:rPr>
          <w:szCs w:val="24"/>
        </w:rPr>
      </w:pPr>
      <w:r>
        <w:rPr>
          <w:szCs w:val="24"/>
        </w:rPr>
        <w:t>Data for Round 6 began collection in Nov 2018 and integrated new questions around worker’s stress, intention to stay with the organization, and supervision, and knowledge of the new federal Families First legislation.</w:t>
      </w:r>
    </w:p>
    <w:p w:rsidR="00064B95" w:rsidRPr="00440792" w:rsidRDefault="00064B95" w:rsidP="00D429F4">
      <w:pPr>
        <w:ind w:firstLine="720"/>
        <w:rPr>
          <w:szCs w:val="24"/>
        </w:rPr>
      </w:pPr>
    </w:p>
    <w:p w:rsidR="000F5868" w:rsidRPr="000F5868" w:rsidRDefault="000F5868" w:rsidP="000F5868">
      <w:pPr>
        <w:rPr>
          <w:b/>
          <w:color w:val="1F4E79"/>
          <w:szCs w:val="24"/>
        </w:rPr>
      </w:pPr>
      <w:r w:rsidRPr="000F5868">
        <w:rPr>
          <w:b/>
          <w:color w:val="1F4E79"/>
          <w:szCs w:val="24"/>
        </w:rPr>
        <w:t>Respondents</w:t>
      </w:r>
    </w:p>
    <w:p w:rsidR="000138D1" w:rsidRDefault="005C0038" w:rsidP="000F5868">
      <w:pPr>
        <w:rPr>
          <w:szCs w:val="24"/>
        </w:rPr>
      </w:pPr>
      <w:r w:rsidRPr="00440792">
        <w:rPr>
          <w:szCs w:val="24"/>
        </w:rPr>
        <w:t>D</w:t>
      </w:r>
      <w:r w:rsidR="000138D1" w:rsidRPr="00440792">
        <w:rPr>
          <w:szCs w:val="24"/>
        </w:rPr>
        <w:t xml:space="preserve">emographic characteristics of those who completed the questionnaire are provided in </w:t>
      </w:r>
      <w:r w:rsidR="00284DBF" w:rsidRPr="00440792">
        <w:rPr>
          <w:szCs w:val="24"/>
        </w:rPr>
        <w:t>Table</w:t>
      </w:r>
      <w:r w:rsidR="008741B0">
        <w:rPr>
          <w:szCs w:val="24"/>
        </w:rPr>
        <w:t xml:space="preserve"> 2</w:t>
      </w:r>
      <w:r w:rsidR="002A34BA">
        <w:rPr>
          <w:szCs w:val="24"/>
        </w:rPr>
        <w:t>3</w:t>
      </w:r>
      <w:r w:rsidR="008741B0">
        <w:rPr>
          <w:szCs w:val="24"/>
        </w:rPr>
        <w:t>.</w:t>
      </w:r>
      <w:r w:rsidR="008741B0" w:rsidRPr="00440792">
        <w:rPr>
          <w:szCs w:val="24"/>
        </w:rPr>
        <w:t xml:space="preserve"> </w:t>
      </w:r>
    </w:p>
    <w:p w:rsidR="00064B95" w:rsidRPr="00440792" w:rsidRDefault="00064B95" w:rsidP="000F5868">
      <w:pPr>
        <w:rPr>
          <w:szCs w:val="24"/>
        </w:rPr>
      </w:pPr>
    </w:p>
    <w:p w:rsidR="000138D1" w:rsidRPr="00440792" w:rsidRDefault="000138D1" w:rsidP="000138D1">
      <w:pPr>
        <w:rPr>
          <w:b/>
          <w:szCs w:val="24"/>
          <w:u w:val="single"/>
        </w:rPr>
      </w:pPr>
      <w:r w:rsidRPr="00440792">
        <w:rPr>
          <w:b/>
          <w:szCs w:val="24"/>
          <w:u w:val="single"/>
        </w:rPr>
        <w:t>Round 1</w:t>
      </w:r>
    </w:p>
    <w:p w:rsidR="000138D1" w:rsidRPr="00440792" w:rsidRDefault="000138D1" w:rsidP="000F5868">
      <w:pPr>
        <w:rPr>
          <w:szCs w:val="24"/>
        </w:rPr>
      </w:pPr>
      <w:r w:rsidRPr="00440792">
        <w:rPr>
          <w:szCs w:val="24"/>
        </w:rPr>
        <w:t xml:space="preserve">In 2013, 1287 surveys were distributed.  Of the 968 survey questionnaires received, </w:t>
      </w:r>
      <w:r w:rsidRPr="0067442D">
        <w:rPr>
          <w:szCs w:val="24"/>
        </w:rPr>
        <w:t>889 were completed</w:t>
      </w:r>
      <w:r w:rsidRPr="00440792">
        <w:rPr>
          <w:szCs w:val="24"/>
        </w:rPr>
        <w:t xml:space="preserve"> and usable for analysis purposes.  The FCMs ranged in age from 22 to 69 years, with a mean of 34.9 years.  The majority of respondents identified as being White, and the remainder identified themselves as either Black or Other.  Also, FCMs had a mean of nearly eight years of experience working in social services and a mean of about 4.5 years working for DCS, or as an FCM. </w:t>
      </w:r>
    </w:p>
    <w:p w:rsidR="000F5868" w:rsidRDefault="000F5868" w:rsidP="000138D1">
      <w:pPr>
        <w:rPr>
          <w:b/>
          <w:szCs w:val="24"/>
          <w:u w:val="single"/>
        </w:rPr>
      </w:pPr>
    </w:p>
    <w:p w:rsidR="00064B95" w:rsidRDefault="00064B95" w:rsidP="000138D1">
      <w:pPr>
        <w:rPr>
          <w:b/>
          <w:szCs w:val="24"/>
          <w:u w:val="single"/>
        </w:rPr>
      </w:pPr>
    </w:p>
    <w:p w:rsidR="00064B95" w:rsidRDefault="00064B95" w:rsidP="000138D1">
      <w:pPr>
        <w:rPr>
          <w:b/>
          <w:szCs w:val="24"/>
          <w:u w:val="single"/>
        </w:rPr>
      </w:pPr>
    </w:p>
    <w:p w:rsidR="000138D1" w:rsidRPr="00440792" w:rsidRDefault="000138D1" w:rsidP="000138D1">
      <w:pPr>
        <w:rPr>
          <w:b/>
          <w:szCs w:val="24"/>
          <w:u w:val="single"/>
        </w:rPr>
      </w:pPr>
      <w:r w:rsidRPr="00440792">
        <w:rPr>
          <w:b/>
          <w:szCs w:val="24"/>
          <w:u w:val="single"/>
        </w:rPr>
        <w:t>Round 2</w:t>
      </w:r>
    </w:p>
    <w:p w:rsidR="000138D1" w:rsidRPr="00440792" w:rsidRDefault="000138D1" w:rsidP="000F5868">
      <w:pPr>
        <w:rPr>
          <w:szCs w:val="24"/>
        </w:rPr>
      </w:pPr>
      <w:r w:rsidRPr="00440792">
        <w:rPr>
          <w:szCs w:val="24"/>
        </w:rPr>
        <w:t xml:space="preserve">In 2014, 58% of the </w:t>
      </w:r>
      <w:r w:rsidR="0067442D">
        <w:rPr>
          <w:szCs w:val="24"/>
        </w:rPr>
        <w:t>1460</w:t>
      </w:r>
      <w:r w:rsidRPr="00440792">
        <w:rPr>
          <w:szCs w:val="24"/>
        </w:rPr>
        <w:t xml:space="preserve"> surveys distributed were completed.  After omitting surveys of FCMs who did not carry an active caseload, </w:t>
      </w:r>
      <w:r w:rsidR="008D2183">
        <w:rPr>
          <w:szCs w:val="24"/>
        </w:rPr>
        <w:t>788 (</w:t>
      </w:r>
      <w:r w:rsidRPr="00440792">
        <w:rPr>
          <w:szCs w:val="24"/>
        </w:rPr>
        <w:t>54%</w:t>
      </w:r>
      <w:r w:rsidR="008D2183">
        <w:rPr>
          <w:szCs w:val="24"/>
        </w:rPr>
        <w:t>)</w:t>
      </w:r>
      <w:r w:rsidRPr="00440792">
        <w:rPr>
          <w:szCs w:val="24"/>
        </w:rPr>
        <w:t xml:space="preserve"> of all distributed surveys were used for analysis.  FCMs were similar to the previous year ranging in age from 22 to 69 years, with a mean of 35.1 years.  The majority identified as White and the remaining FCMs identified themselves as either Black or Other.  The mean length of FCM experience was 4.3 years, slightly lower than the mean for the prior iteration of the survey.</w:t>
      </w:r>
    </w:p>
    <w:p w:rsidR="000F5868" w:rsidRDefault="000F5868" w:rsidP="000138D1">
      <w:pPr>
        <w:rPr>
          <w:b/>
          <w:szCs w:val="24"/>
          <w:u w:val="single"/>
        </w:rPr>
      </w:pPr>
    </w:p>
    <w:p w:rsidR="000138D1" w:rsidRPr="00440792" w:rsidRDefault="000138D1" w:rsidP="000138D1">
      <w:pPr>
        <w:rPr>
          <w:b/>
          <w:szCs w:val="24"/>
          <w:u w:val="single"/>
        </w:rPr>
      </w:pPr>
      <w:r w:rsidRPr="00440792">
        <w:rPr>
          <w:b/>
          <w:szCs w:val="24"/>
          <w:u w:val="single"/>
        </w:rPr>
        <w:t>Round 3</w:t>
      </w:r>
    </w:p>
    <w:p w:rsidR="000138D1" w:rsidRPr="00440792" w:rsidRDefault="000138D1" w:rsidP="000F5868">
      <w:pPr>
        <w:rPr>
          <w:szCs w:val="24"/>
        </w:rPr>
      </w:pPr>
      <w:r w:rsidRPr="00440792">
        <w:rPr>
          <w:szCs w:val="24"/>
        </w:rPr>
        <w:t xml:space="preserve">In 2015, 1300 (85%) of the 1535 surveys distributed were completed. Surveys completed by FCMs without an active caseload were omitted and the remaining </w:t>
      </w:r>
      <w:r w:rsidRPr="008D2183">
        <w:rPr>
          <w:szCs w:val="24"/>
        </w:rPr>
        <w:t>1238 (95%)</w:t>
      </w:r>
      <w:r w:rsidRPr="00440792">
        <w:rPr>
          <w:szCs w:val="24"/>
        </w:rPr>
        <w:t xml:space="preserve"> of the surveys were used for analysis. Similar to the demographics in previous Rounds, FCMs ranged in age from 22 to 70 years, with a mean age of 34.39 years. Respondents’ reported races were similar to previous Rounds, in that the majority identified as White, followed by Black and Other. In this Round, FCMs had the lowest average of years worked in the position 4 years, while the previous two years were 4.4 and 4.3 years, respectively. </w:t>
      </w:r>
    </w:p>
    <w:p w:rsidR="000F5868" w:rsidRDefault="000F5868" w:rsidP="000138D1">
      <w:pPr>
        <w:rPr>
          <w:b/>
          <w:szCs w:val="24"/>
          <w:u w:val="single"/>
        </w:rPr>
      </w:pPr>
    </w:p>
    <w:p w:rsidR="000138D1" w:rsidRPr="00440792" w:rsidRDefault="000138D1" w:rsidP="000138D1">
      <w:pPr>
        <w:rPr>
          <w:b/>
          <w:szCs w:val="24"/>
          <w:u w:val="single"/>
        </w:rPr>
      </w:pPr>
      <w:r w:rsidRPr="00440792">
        <w:rPr>
          <w:b/>
          <w:szCs w:val="24"/>
          <w:u w:val="single"/>
        </w:rPr>
        <w:t>Round 4</w:t>
      </w:r>
    </w:p>
    <w:p w:rsidR="000138D1" w:rsidRPr="00440792" w:rsidRDefault="000138D1" w:rsidP="000F5868">
      <w:pPr>
        <w:rPr>
          <w:szCs w:val="24"/>
        </w:rPr>
      </w:pPr>
      <w:r w:rsidRPr="00440792">
        <w:rPr>
          <w:szCs w:val="24"/>
        </w:rPr>
        <w:t xml:space="preserve">In 2016, 1909 surveys were distributed, 1511 people started the survey (79%), and 1461 people finished the survey (76.5%).  Of the 1461 people who completed the survey, </w:t>
      </w:r>
      <w:r w:rsidRPr="008D2183">
        <w:rPr>
          <w:szCs w:val="24"/>
        </w:rPr>
        <w:t>1351 (92%) were FCMs</w:t>
      </w:r>
      <w:r w:rsidRPr="00440792">
        <w:rPr>
          <w:szCs w:val="24"/>
        </w:rPr>
        <w:t xml:space="preserve"> with active caseloads and used for analysis. Similar to previous years, respondents were primarily White (78%) and Female (83%), with a mean age of 34.9 years.  In Round 4, respondents worked an average of 3 years in the position, which was lower than all other rounds.</w:t>
      </w:r>
    </w:p>
    <w:p w:rsidR="000138D1" w:rsidRPr="00440792" w:rsidRDefault="000138D1" w:rsidP="000138D1">
      <w:pPr>
        <w:rPr>
          <w:szCs w:val="24"/>
        </w:rPr>
      </w:pPr>
    </w:p>
    <w:p w:rsidR="000138D1" w:rsidRPr="00440792" w:rsidRDefault="000138D1" w:rsidP="000138D1">
      <w:pPr>
        <w:rPr>
          <w:b/>
          <w:szCs w:val="24"/>
          <w:u w:val="single"/>
        </w:rPr>
      </w:pPr>
      <w:r w:rsidRPr="00440792">
        <w:rPr>
          <w:b/>
          <w:szCs w:val="24"/>
          <w:u w:val="single"/>
        </w:rPr>
        <w:t>Round 5</w:t>
      </w:r>
    </w:p>
    <w:p w:rsidR="00D429F4" w:rsidRDefault="000138D1" w:rsidP="00D429F4">
      <w:pPr>
        <w:rPr>
          <w:noProof/>
        </w:rPr>
      </w:pPr>
      <w:r w:rsidRPr="00440792">
        <w:rPr>
          <w:szCs w:val="24"/>
        </w:rPr>
        <w:t xml:space="preserve">In 2017, 2,176 surveys were distributed, 1643 people started the survey (76%), and 1,570 people (with two hearing about the survey through anonymous link) finished the survey (74%).  Of the 1,570 people who completed the survey, </w:t>
      </w:r>
      <w:r w:rsidRPr="008D2183">
        <w:rPr>
          <w:szCs w:val="24"/>
        </w:rPr>
        <w:t>1499 (95.5%)</w:t>
      </w:r>
      <w:r w:rsidRPr="00440792">
        <w:rPr>
          <w:szCs w:val="24"/>
        </w:rPr>
        <w:t xml:space="preserve"> were FCMs with active caseloads and used for analysis. Similar to previous years, respondents were primarily White (77%) and Female (85%), with a mean age of 34.9 years.  In Round 5, respondents worked an average of 3 years in the position, which was lower than all other rounds, and slightly lower than round 4.  FCMs had less than 3 years in their position, for the first time in all the years since surveying began.  </w:t>
      </w:r>
      <w:r w:rsidRPr="00440792">
        <w:rPr>
          <w:noProof/>
        </w:rPr>
        <w:t>This could be a consequence of the increased numbers of new case managers; there are more this year than ever before. This is a result of DCS increasing hiring to offset the gaps created by implementng a lower case to case worker ratio.</w:t>
      </w:r>
      <w:r w:rsidR="006665E0" w:rsidRPr="00440792">
        <w:rPr>
          <w:noProof/>
        </w:rPr>
        <w:t xml:space="preserve">  </w:t>
      </w:r>
    </w:p>
    <w:p w:rsidR="00064B95" w:rsidRDefault="00064B95" w:rsidP="00D429F4">
      <w:pPr>
        <w:rPr>
          <w:b/>
          <w:szCs w:val="24"/>
          <w:u w:val="single"/>
        </w:rPr>
      </w:pPr>
    </w:p>
    <w:p w:rsidR="00D429F4" w:rsidRPr="00440792" w:rsidRDefault="00D429F4" w:rsidP="00D429F4">
      <w:pPr>
        <w:rPr>
          <w:b/>
          <w:szCs w:val="24"/>
          <w:u w:val="single"/>
        </w:rPr>
      </w:pPr>
      <w:r w:rsidRPr="00440792">
        <w:rPr>
          <w:b/>
          <w:szCs w:val="24"/>
          <w:u w:val="single"/>
        </w:rPr>
        <w:t xml:space="preserve">Round </w:t>
      </w:r>
      <w:r>
        <w:rPr>
          <w:b/>
          <w:szCs w:val="24"/>
          <w:u w:val="single"/>
        </w:rPr>
        <w:t>6</w:t>
      </w:r>
    </w:p>
    <w:p w:rsidR="00D429F4" w:rsidRDefault="00D429F4" w:rsidP="00D429F4">
      <w:pPr>
        <w:ind w:firstLine="360"/>
        <w:rPr>
          <w:szCs w:val="24"/>
        </w:rPr>
      </w:pPr>
      <w:r w:rsidRPr="00440792">
        <w:rPr>
          <w:szCs w:val="24"/>
        </w:rPr>
        <w:t>In 201</w:t>
      </w:r>
      <w:r>
        <w:rPr>
          <w:szCs w:val="24"/>
        </w:rPr>
        <w:t>8</w:t>
      </w:r>
      <w:r w:rsidRPr="00440792">
        <w:rPr>
          <w:szCs w:val="24"/>
        </w:rPr>
        <w:t>, 2,</w:t>
      </w:r>
      <w:r>
        <w:rPr>
          <w:szCs w:val="24"/>
        </w:rPr>
        <w:t>310</w:t>
      </w:r>
      <w:r w:rsidRPr="00440792">
        <w:rPr>
          <w:szCs w:val="24"/>
        </w:rPr>
        <w:t xml:space="preserve"> surveys were distributed, </w:t>
      </w:r>
      <w:r>
        <w:rPr>
          <w:szCs w:val="24"/>
        </w:rPr>
        <w:t>1550</w:t>
      </w:r>
      <w:r w:rsidRPr="00440792">
        <w:rPr>
          <w:szCs w:val="24"/>
        </w:rPr>
        <w:t xml:space="preserve"> people started the survey (</w:t>
      </w:r>
      <w:r>
        <w:rPr>
          <w:szCs w:val="24"/>
        </w:rPr>
        <w:t>67</w:t>
      </w:r>
      <w:r w:rsidRPr="00440792">
        <w:rPr>
          <w:szCs w:val="24"/>
        </w:rPr>
        <w:t xml:space="preserve">%), </w:t>
      </w:r>
      <w:r>
        <w:rPr>
          <w:szCs w:val="24"/>
        </w:rPr>
        <w:t>1346 were FCMs</w:t>
      </w:r>
      <w:r w:rsidR="008D2183">
        <w:rPr>
          <w:szCs w:val="24"/>
        </w:rPr>
        <w:t xml:space="preserve"> used in the analyses</w:t>
      </w:r>
      <w:r>
        <w:rPr>
          <w:szCs w:val="24"/>
        </w:rPr>
        <w:t xml:space="preserve">, </w:t>
      </w:r>
      <w:r>
        <w:t xml:space="preserve">210 were </w:t>
      </w:r>
      <w:r w:rsidRPr="00831353">
        <w:rPr>
          <w:b/>
          <w:i/>
        </w:rPr>
        <w:t>not</w:t>
      </w:r>
      <w:r>
        <w:t xml:space="preserve"> FCMs with an active caseload</w:t>
      </w:r>
      <w:r>
        <w:rPr>
          <w:szCs w:val="24"/>
        </w:rPr>
        <w:t>, and 1093</w:t>
      </w:r>
      <w:r w:rsidRPr="00440792">
        <w:rPr>
          <w:szCs w:val="24"/>
        </w:rPr>
        <w:t xml:space="preserve"> people </w:t>
      </w:r>
      <w:r>
        <w:rPr>
          <w:szCs w:val="24"/>
        </w:rPr>
        <w:t xml:space="preserve">finished the survey (74%).  FCMs were primarily white (81%) and Female (85%), with a mean age of 34.9 years.  </w:t>
      </w:r>
    </w:p>
    <w:p w:rsidR="00D429F4" w:rsidRDefault="00D429F4" w:rsidP="000F5868">
      <w:pPr>
        <w:rPr>
          <w:noProof/>
        </w:rPr>
      </w:pPr>
    </w:p>
    <w:p w:rsidR="00D429F4" w:rsidRDefault="00D429F4">
      <w:pPr>
        <w:spacing w:after="160" w:line="259" w:lineRule="auto"/>
        <w:rPr>
          <w:noProof/>
        </w:rPr>
      </w:pPr>
      <w:r>
        <w:rPr>
          <w:noProof/>
        </w:rPr>
        <w:br w:type="page"/>
      </w:r>
    </w:p>
    <w:p w:rsidR="000138D1" w:rsidRPr="00440792" w:rsidRDefault="00284DBF" w:rsidP="001575CE">
      <w:pPr>
        <w:pStyle w:val="Heading4"/>
      </w:pPr>
      <w:r w:rsidRPr="00440792">
        <w:t>Table</w:t>
      </w:r>
      <w:r w:rsidR="000138D1" w:rsidRPr="00440792">
        <w:t xml:space="preserve"> </w:t>
      </w:r>
      <w:r w:rsidR="00AF33B8">
        <w:t>2</w:t>
      </w:r>
      <w:r w:rsidR="002A34BA">
        <w:t>3</w:t>
      </w:r>
      <w:r w:rsidR="000138D1" w:rsidRPr="00440792">
        <w:t>.  Family Case Manager Demographic Characteristics</w:t>
      </w:r>
    </w:p>
    <w:tbl>
      <w:tblPr>
        <w:tblStyle w:val="MediumShading1-Accent112"/>
        <w:tblpPr w:leftFromText="180" w:rightFromText="180" w:vertAnchor="text" w:horzAnchor="margin" w:tblpY="57"/>
        <w:tblW w:w="10610" w:type="dxa"/>
        <w:tblBorders>
          <w:top w:val="single" w:sz="4" w:space="0" w:color="7BA0CD"/>
          <w:left w:val="single" w:sz="4" w:space="0" w:color="7BA0CD"/>
          <w:bottom w:val="single" w:sz="4" w:space="0" w:color="7BA0CD"/>
          <w:right w:val="single" w:sz="4" w:space="0" w:color="7BA0CD"/>
          <w:insideH w:val="single" w:sz="4" w:space="0" w:color="7BA0CD"/>
          <w:insideV w:val="single" w:sz="4" w:space="0" w:color="7BA0CD"/>
        </w:tblBorders>
        <w:tblLayout w:type="fixed"/>
        <w:tblLook w:val="04A0" w:firstRow="1" w:lastRow="0" w:firstColumn="1" w:lastColumn="0" w:noHBand="0" w:noVBand="1"/>
      </w:tblPr>
      <w:tblGrid>
        <w:gridCol w:w="1515"/>
        <w:gridCol w:w="1516"/>
        <w:gridCol w:w="1516"/>
        <w:gridCol w:w="1515"/>
        <w:gridCol w:w="1516"/>
        <w:gridCol w:w="1516"/>
        <w:gridCol w:w="1516"/>
      </w:tblGrid>
      <w:tr w:rsidR="00D429F4" w:rsidRPr="00D429F4" w:rsidTr="00D42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5" w:type="dxa"/>
            <w:shd w:val="clear" w:color="auto" w:fill="808080"/>
          </w:tcPr>
          <w:p w:rsidR="00D429F4" w:rsidRPr="00D429F4" w:rsidRDefault="00D429F4" w:rsidP="00D429F4">
            <w:pPr>
              <w:tabs>
                <w:tab w:val="left" w:pos="1485"/>
              </w:tabs>
              <w:spacing w:before="120" w:after="120"/>
              <w:rPr>
                <w:rFonts w:ascii="Calibri" w:hAnsi="Calibri" w:cs="Times New Roman"/>
                <w:sz w:val="20"/>
              </w:rPr>
            </w:pPr>
          </w:p>
        </w:tc>
        <w:tc>
          <w:tcPr>
            <w:tcW w:w="1516" w:type="dxa"/>
            <w:vAlign w:val="bottom"/>
          </w:tcPr>
          <w:p w:rsidR="00D429F4" w:rsidRPr="00D429F4" w:rsidRDefault="00D429F4" w:rsidP="00D429F4">
            <w:pPr>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sz w:val="20"/>
              </w:rPr>
            </w:pPr>
            <w:r w:rsidRPr="00D429F4">
              <w:rPr>
                <w:rFonts w:ascii="Calibri" w:hAnsi="Calibri" w:cs="Times New Roman"/>
                <w:sz w:val="20"/>
              </w:rPr>
              <w:t xml:space="preserve">2013 </w:t>
            </w:r>
          </w:p>
          <w:p w:rsidR="00D429F4" w:rsidRPr="00D429F4" w:rsidRDefault="00D429F4" w:rsidP="00D429F4">
            <w:pPr>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sz w:val="20"/>
              </w:rPr>
            </w:pPr>
            <w:r w:rsidRPr="00D429F4">
              <w:rPr>
                <w:rFonts w:ascii="Calibri" w:hAnsi="Calibri" w:cs="Times New Roman"/>
                <w:sz w:val="20"/>
              </w:rPr>
              <w:t>Mean(SD) or %</w:t>
            </w:r>
          </w:p>
        </w:tc>
        <w:tc>
          <w:tcPr>
            <w:tcW w:w="1516" w:type="dxa"/>
            <w:shd w:val="clear" w:color="auto" w:fill="C0504D"/>
            <w:vAlign w:val="bottom"/>
          </w:tcPr>
          <w:p w:rsidR="00D429F4" w:rsidRPr="00D429F4" w:rsidRDefault="00D429F4" w:rsidP="00D429F4">
            <w:pPr>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sz w:val="20"/>
              </w:rPr>
            </w:pPr>
            <w:r w:rsidRPr="00D429F4">
              <w:rPr>
                <w:rFonts w:ascii="Calibri" w:hAnsi="Calibri" w:cs="Times New Roman"/>
                <w:sz w:val="20"/>
              </w:rPr>
              <w:t xml:space="preserve">2014 </w:t>
            </w:r>
          </w:p>
          <w:p w:rsidR="00D429F4" w:rsidRPr="00D429F4" w:rsidRDefault="00D429F4" w:rsidP="00D429F4">
            <w:pPr>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sz w:val="20"/>
              </w:rPr>
            </w:pPr>
            <w:r w:rsidRPr="00D429F4">
              <w:rPr>
                <w:rFonts w:ascii="Calibri" w:hAnsi="Calibri" w:cs="Times New Roman"/>
                <w:sz w:val="20"/>
              </w:rPr>
              <w:t>Mean(SD) or %</w:t>
            </w:r>
          </w:p>
        </w:tc>
        <w:tc>
          <w:tcPr>
            <w:tcW w:w="1515" w:type="dxa"/>
            <w:shd w:val="clear" w:color="auto" w:fill="9BBB59"/>
            <w:vAlign w:val="bottom"/>
          </w:tcPr>
          <w:p w:rsidR="00D429F4" w:rsidRPr="00D429F4" w:rsidRDefault="00D429F4" w:rsidP="00D429F4">
            <w:pPr>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sz w:val="20"/>
              </w:rPr>
            </w:pPr>
            <w:r w:rsidRPr="00D429F4">
              <w:rPr>
                <w:rFonts w:ascii="Calibri" w:hAnsi="Calibri" w:cs="Times New Roman"/>
                <w:sz w:val="20"/>
              </w:rPr>
              <w:t>2015</w:t>
            </w:r>
          </w:p>
          <w:p w:rsidR="00D429F4" w:rsidRPr="00D429F4" w:rsidRDefault="00D429F4" w:rsidP="00D429F4">
            <w:pPr>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sz w:val="20"/>
              </w:rPr>
            </w:pPr>
            <w:r w:rsidRPr="00D429F4">
              <w:rPr>
                <w:rFonts w:ascii="Calibri" w:hAnsi="Calibri" w:cs="Times New Roman"/>
                <w:sz w:val="20"/>
              </w:rPr>
              <w:t xml:space="preserve"> Mean(SD) or %</w:t>
            </w:r>
          </w:p>
        </w:tc>
        <w:tc>
          <w:tcPr>
            <w:tcW w:w="1516" w:type="dxa"/>
            <w:shd w:val="clear" w:color="auto" w:fill="8064A2"/>
            <w:vAlign w:val="bottom"/>
          </w:tcPr>
          <w:p w:rsidR="00D429F4" w:rsidRPr="00D429F4" w:rsidRDefault="00D429F4" w:rsidP="00D429F4">
            <w:pPr>
              <w:ind w:left="-73" w:right="-8"/>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sz w:val="20"/>
              </w:rPr>
            </w:pPr>
            <w:r w:rsidRPr="00D429F4">
              <w:rPr>
                <w:rFonts w:ascii="Calibri" w:hAnsi="Calibri" w:cs="Times New Roman"/>
                <w:sz w:val="20"/>
              </w:rPr>
              <w:t xml:space="preserve">2016 </w:t>
            </w:r>
          </w:p>
          <w:p w:rsidR="00D429F4" w:rsidRPr="00D429F4" w:rsidRDefault="00D429F4" w:rsidP="00D429F4">
            <w:pPr>
              <w:ind w:left="-73" w:right="-8"/>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sz w:val="20"/>
              </w:rPr>
            </w:pPr>
            <w:r w:rsidRPr="00D429F4">
              <w:rPr>
                <w:rFonts w:ascii="Calibri" w:hAnsi="Calibri" w:cs="Times New Roman"/>
                <w:sz w:val="20"/>
              </w:rPr>
              <w:t>Mean(SD) or %</w:t>
            </w:r>
          </w:p>
        </w:tc>
        <w:tc>
          <w:tcPr>
            <w:tcW w:w="1516" w:type="dxa"/>
            <w:shd w:val="clear" w:color="auto" w:fill="F79646"/>
            <w:vAlign w:val="bottom"/>
          </w:tcPr>
          <w:p w:rsidR="00D429F4" w:rsidRPr="00D429F4" w:rsidRDefault="00D429F4" w:rsidP="00D429F4">
            <w:pPr>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sz w:val="20"/>
              </w:rPr>
            </w:pPr>
            <w:r w:rsidRPr="00D429F4">
              <w:rPr>
                <w:rFonts w:ascii="Calibri" w:hAnsi="Calibri" w:cs="Times New Roman"/>
                <w:sz w:val="20"/>
              </w:rPr>
              <w:t xml:space="preserve">2017 </w:t>
            </w:r>
          </w:p>
          <w:p w:rsidR="00D429F4" w:rsidRPr="00D429F4" w:rsidRDefault="00D429F4" w:rsidP="00D429F4">
            <w:pPr>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sz w:val="20"/>
              </w:rPr>
            </w:pPr>
            <w:r w:rsidRPr="00D429F4">
              <w:rPr>
                <w:rFonts w:ascii="Calibri" w:hAnsi="Calibri" w:cs="Times New Roman"/>
                <w:sz w:val="20"/>
              </w:rPr>
              <w:t>Mean (SD) or %</w:t>
            </w:r>
          </w:p>
        </w:tc>
        <w:tc>
          <w:tcPr>
            <w:tcW w:w="1516" w:type="dxa"/>
            <w:shd w:val="clear" w:color="auto" w:fill="4BACC6"/>
            <w:vAlign w:val="bottom"/>
          </w:tcPr>
          <w:p w:rsidR="00D429F4" w:rsidRPr="00D429F4" w:rsidRDefault="00D429F4" w:rsidP="00D429F4">
            <w:pPr>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sz w:val="20"/>
              </w:rPr>
            </w:pPr>
            <w:r w:rsidRPr="00D429F4">
              <w:rPr>
                <w:rFonts w:ascii="Calibri" w:hAnsi="Calibri" w:cs="Times New Roman"/>
                <w:sz w:val="20"/>
              </w:rPr>
              <w:t xml:space="preserve">2018 </w:t>
            </w:r>
          </w:p>
          <w:p w:rsidR="00D429F4" w:rsidRPr="00D429F4" w:rsidRDefault="00D429F4" w:rsidP="00D429F4">
            <w:pPr>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sz w:val="20"/>
              </w:rPr>
            </w:pPr>
            <w:r w:rsidRPr="00D429F4">
              <w:rPr>
                <w:rFonts w:ascii="Calibri" w:hAnsi="Calibri" w:cs="Times New Roman"/>
                <w:sz w:val="20"/>
              </w:rPr>
              <w:t>Mean (SD) or %</w:t>
            </w:r>
          </w:p>
        </w:tc>
      </w:tr>
      <w:tr w:rsidR="00D429F4" w:rsidRPr="00D429F4" w:rsidTr="00D42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5" w:type="dxa"/>
            <w:shd w:val="clear" w:color="auto" w:fill="auto"/>
          </w:tcPr>
          <w:p w:rsidR="00D429F4" w:rsidRPr="00D429F4" w:rsidRDefault="00D429F4" w:rsidP="00D429F4">
            <w:pPr>
              <w:tabs>
                <w:tab w:val="left" w:pos="1485"/>
              </w:tabs>
              <w:spacing w:before="120"/>
              <w:rPr>
                <w:rFonts w:ascii="Calibri" w:hAnsi="Calibri" w:cs="Times New Roman"/>
                <w:b w:val="0"/>
                <w:sz w:val="20"/>
              </w:rPr>
            </w:pPr>
            <w:r w:rsidRPr="00D429F4">
              <w:rPr>
                <w:rFonts w:ascii="Calibri" w:hAnsi="Calibri" w:cs="Times New Roman"/>
                <w:b w:val="0"/>
                <w:sz w:val="20"/>
              </w:rPr>
              <w:t>Age (years)</w:t>
            </w:r>
          </w:p>
        </w:tc>
        <w:tc>
          <w:tcPr>
            <w:tcW w:w="1516" w:type="dxa"/>
            <w:shd w:val="clear" w:color="auto" w:fill="auto"/>
            <w:vAlign w:val="bottom"/>
          </w:tcPr>
          <w:p w:rsidR="00D429F4" w:rsidRPr="00D429F4" w:rsidRDefault="00D429F4" w:rsidP="00D429F4">
            <w:pPr>
              <w:spacing w:before="120"/>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34.9 (10.0)</w:t>
            </w:r>
          </w:p>
        </w:tc>
        <w:tc>
          <w:tcPr>
            <w:tcW w:w="1516" w:type="dxa"/>
            <w:shd w:val="clear" w:color="auto" w:fill="auto"/>
            <w:vAlign w:val="bottom"/>
          </w:tcPr>
          <w:p w:rsidR="00D429F4" w:rsidRPr="00D429F4" w:rsidRDefault="00D429F4" w:rsidP="00D429F4">
            <w:pPr>
              <w:spacing w:before="120"/>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rPr>
            </w:pPr>
            <w:r w:rsidRPr="00D429F4">
              <w:rPr>
                <w:rFonts w:ascii="Calibri" w:hAnsi="Calibri" w:cs="Times New Roman"/>
                <w:color w:val="000000"/>
                <w:sz w:val="20"/>
              </w:rPr>
              <w:t>35.1 (10.0)</w:t>
            </w:r>
          </w:p>
        </w:tc>
        <w:tc>
          <w:tcPr>
            <w:tcW w:w="1515" w:type="dxa"/>
            <w:shd w:val="clear" w:color="auto" w:fill="auto"/>
            <w:vAlign w:val="bottom"/>
          </w:tcPr>
          <w:p w:rsidR="00D429F4" w:rsidRPr="00D429F4" w:rsidRDefault="00D429F4" w:rsidP="00D429F4">
            <w:pPr>
              <w:spacing w:before="120"/>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34.4 (9.4)</w:t>
            </w:r>
          </w:p>
        </w:tc>
        <w:tc>
          <w:tcPr>
            <w:tcW w:w="1516" w:type="dxa"/>
            <w:shd w:val="clear" w:color="auto" w:fill="auto"/>
            <w:vAlign w:val="bottom"/>
          </w:tcPr>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34.6 (9.3)</w:t>
            </w:r>
          </w:p>
        </w:tc>
        <w:tc>
          <w:tcPr>
            <w:tcW w:w="1516" w:type="dxa"/>
            <w:shd w:val="clear" w:color="auto" w:fill="auto"/>
            <w:vAlign w:val="bottom"/>
          </w:tcPr>
          <w:p w:rsidR="00D429F4" w:rsidRPr="00D429F4" w:rsidRDefault="00D429F4" w:rsidP="00D429F4">
            <w:pPr>
              <w:spacing w:before="120"/>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34.7 (9.8)</w:t>
            </w:r>
          </w:p>
        </w:tc>
        <w:tc>
          <w:tcPr>
            <w:tcW w:w="1516" w:type="dxa"/>
            <w:shd w:val="clear" w:color="auto" w:fill="auto"/>
            <w:vAlign w:val="bottom"/>
          </w:tcPr>
          <w:p w:rsidR="00D429F4" w:rsidRPr="00D429F4" w:rsidRDefault="00D429F4" w:rsidP="00D429F4">
            <w:pPr>
              <w:spacing w:before="120"/>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34.9 (10.1)</w:t>
            </w:r>
          </w:p>
        </w:tc>
      </w:tr>
      <w:tr w:rsidR="00D429F4" w:rsidRPr="00D429F4" w:rsidTr="00D429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5" w:type="dxa"/>
            <w:shd w:val="clear" w:color="auto" w:fill="F2F2F2"/>
          </w:tcPr>
          <w:p w:rsidR="00D429F4" w:rsidRPr="00D429F4" w:rsidRDefault="00D429F4" w:rsidP="00D429F4">
            <w:pPr>
              <w:rPr>
                <w:rFonts w:ascii="Calibri" w:hAnsi="Calibri" w:cs="Times New Roman"/>
                <w:b w:val="0"/>
                <w:sz w:val="20"/>
              </w:rPr>
            </w:pPr>
            <w:r>
              <w:rPr>
                <w:rFonts w:ascii="Calibri" w:hAnsi="Calibri" w:cs="Times New Roman"/>
                <w:b w:val="0"/>
                <w:sz w:val="20"/>
              </w:rPr>
              <w:t>Gender:        Female</w:t>
            </w:r>
            <w:r w:rsidRPr="00D429F4">
              <w:rPr>
                <w:rFonts w:ascii="Calibri" w:hAnsi="Calibri" w:cs="Times New Roman"/>
                <w:b w:val="0"/>
                <w:sz w:val="20"/>
              </w:rPr>
              <w:t xml:space="preserve">                Male                       Other  </w:t>
            </w:r>
          </w:p>
        </w:tc>
        <w:tc>
          <w:tcPr>
            <w:tcW w:w="1516" w:type="dxa"/>
            <w:shd w:val="clear" w:color="auto" w:fill="B8CCE4"/>
            <w:vAlign w:val="bottom"/>
          </w:tcPr>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83.4%</w:t>
            </w:r>
          </w:p>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16.1%</w:t>
            </w:r>
          </w:p>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N/A</w:t>
            </w:r>
          </w:p>
        </w:tc>
        <w:tc>
          <w:tcPr>
            <w:tcW w:w="1516" w:type="dxa"/>
            <w:shd w:val="clear" w:color="auto" w:fill="E6B8B7"/>
            <w:vAlign w:val="bottom"/>
          </w:tcPr>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color w:val="000000"/>
                <w:sz w:val="20"/>
              </w:rPr>
            </w:pPr>
            <w:r w:rsidRPr="00D429F4">
              <w:rPr>
                <w:rFonts w:ascii="Calibri" w:hAnsi="Calibri" w:cs="Times New Roman"/>
                <w:color w:val="000000"/>
                <w:sz w:val="20"/>
              </w:rPr>
              <w:t>85.9%</w:t>
            </w:r>
          </w:p>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color w:val="000000"/>
                <w:sz w:val="20"/>
              </w:rPr>
            </w:pPr>
            <w:r w:rsidRPr="00D429F4">
              <w:rPr>
                <w:rFonts w:ascii="Calibri" w:hAnsi="Calibri" w:cs="Times New Roman"/>
                <w:color w:val="000000"/>
                <w:sz w:val="20"/>
              </w:rPr>
              <w:t>14.1%</w:t>
            </w:r>
          </w:p>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color w:val="000000"/>
                <w:sz w:val="20"/>
              </w:rPr>
            </w:pPr>
            <w:r w:rsidRPr="00D429F4">
              <w:rPr>
                <w:rFonts w:ascii="Calibri" w:hAnsi="Calibri" w:cs="Times New Roman"/>
                <w:color w:val="000000"/>
                <w:sz w:val="20"/>
              </w:rPr>
              <w:t>N/A</w:t>
            </w:r>
          </w:p>
        </w:tc>
        <w:tc>
          <w:tcPr>
            <w:tcW w:w="1515" w:type="dxa"/>
            <w:shd w:val="clear" w:color="auto" w:fill="D8E4BC"/>
            <w:vAlign w:val="bottom"/>
          </w:tcPr>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84.9%</w:t>
            </w:r>
          </w:p>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p>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N/A</w:t>
            </w:r>
          </w:p>
        </w:tc>
        <w:tc>
          <w:tcPr>
            <w:tcW w:w="1516" w:type="dxa"/>
            <w:shd w:val="clear" w:color="auto" w:fill="CCC0DA"/>
            <w:vAlign w:val="bottom"/>
          </w:tcPr>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83.3%</w:t>
            </w:r>
          </w:p>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16.2%</w:t>
            </w:r>
          </w:p>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N/A</w:t>
            </w:r>
          </w:p>
        </w:tc>
        <w:tc>
          <w:tcPr>
            <w:tcW w:w="1516" w:type="dxa"/>
            <w:shd w:val="clear" w:color="auto" w:fill="F8CBAD"/>
            <w:vAlign w:val="bottom"/>
          </w:tcPr>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84.5%</w:t>
            </w:r>
          </w:p>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15%</w:t>
            </w:r>
          </w:p>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0.5%</w:t>
            </w:r>
          </w:p>
        </w:tc>
        <w:tc>
          <w:tcPr>
            <w:tcW w:w="1516" w:type="dxa"/>
            <w:shd w:val="clear" w:color="auto" w:fill="DBEEF4"/>
            <w:vAlign w:val="bottom"/>
          </w:tcPr>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84.6%</w:t>
            </w:r>
          </w:p>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14.4%</w:t>
            </w:r>
          </w:p>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1.0%</w:t>
            </w:r>
          </w:p>
        </w:tc>
      </w:tr>
      <w:tr w:rsidR="00D429F4" w:rsidRPr="00D429F4" w:rsidTr="00D429F4">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1515" w:type="dxa"/>
            <w:shd w:val="clear" w:color="auto" w:fill="auto"/>
          </w:tcPr>
          <w:p w:rsidR="00D429F4" w:rsidRPr="00D429F4" w:rsidRDefault="00D429F4" w:rsidP="00D429F4">
            <w:pPr>
              <w:rPr>
                <w:rFonts w:ascii="Calibri" w:hAnsi="Calibri" w:cs="Times New Roman"/>
                <w:b w:val="0"/>
                <w:sz w:val="20"/>
              </w:rPr>
            </w:pPr>
            <w:r w:rsidRPr="00D429F4">
              <w:rPr>
                <w:rFonts w:ascii="Calibri" w:hAnsi="Calibri" w:cs="Times New Roman"/>
                <w:b w:val="0"/>
                <w:sz w:val="20"/>
              </w:rPr>
              <w:t>Race:                  White</w:t>
            </w:r>
            <w:r>
              <w:rPr>
                <w:rFonts w:ascii="Calibri" w:hAnsi="Calibri" w:cs="Times New Roman"/>
                <w:b w:val="0"/>
                <w:sz w:val="20"/>
              </w:rPr>
              <w:t xml:space="preserve">                     Black</w:t>
            </w:r>
            <w:r w:rsidRPr="00D429F4">
              <w:rPr>
                <w:rFonts w:ascii="Calibri" w:hAnsi="Calibri" w:cs="Times New Roman"/>
                <w:b w:val="0"/>
                <w:sz w:val="20"/>
              </w:rPr>
              <w:t xml:space="preserve">                 Other</w:t>
            </w:r>
          </w:p>
        </w:tc>
        <w:tc>
          <w:tcPr>
            <w:tcW w:w="1516" w:type="dxa"/>
            <w:shd w:val="clear" w:color="auto" w:fill="auto"/>
            <w:vAlign w:val="bottom"/>
          </w:tcPr>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76.9%</w:t>
            </w:r>
          </w:p>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18.4%</w:t>
            </w:r>
          </w:p>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4.7%</w:t>
            </w:r>
          </w:p>
        </w:tc>
        <w:tc>
          <w:tcPr>
            <w:tcW w:w="1516" w:type="dxa"/>
            <w:shd w:val="clear" w:color="auto" w:fill="auto"/>
            <w:vAlign w:val="bottom"/>
          </w:tcPr>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rPr>
            </w:pPr>
            <w:r w:rsidRPr="00D429F4">
              <w:rPr>
                <w:rFonts w:ascii="Calibri" w:hAnsi="Calibri" w:cs="Times New Roman"/>
                <w:color w:val="000000"/>
                <w:sz w:val="20"/>
              </w:rPr>
              <w:t>75.2%</w:t>
            </w:r>
          </w:p>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rPr>
            </w:pPr>
            <w:r w:rsidRPr="00D429F4">
              <w:rPr>
                <w:rFonts w:ascii="Calibri" w:hAnsi="Calibri" w:cs="Times New Roman"/>
                <w:color w:val="000000"/>
                <w:sz w:val="20"/>
              </w:rPr>
              <w:t>19.9%</w:t>
            </w:r>
          </w:p>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rPr>
            </w:pPr>
            <w:r w:rsidRPr="00D429F4">
              <w:rPr>
                <w:rFonts w:ascii="Calibri" w:hAnsi="Calibri" w:cs="Times New Roman"/>
                <w:color w:val="000000"/>
                <w:sz w:val="20"/>
              </w:rPr>
              <w:t>4.9%</w:t>
            </w:r>
          </w:p>
        </w:tc>
        <w:tc>
          <w:tcPr>
            <w:tcW w:w="1515" w:type="dxa"/>
            <w:shd w:val="clear" w:color="auto" w:fill="auto"/>
            <w:vAlign w:val="bottom"/>
          </w:tcPr>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78.4%</w:t>
            </w:r>
          </w:p>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17.7%</w:t>
            </w:r>
          </w:p>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3.9%</w:t>
            </w:r>
          </w:p>
        </w:tc>
        <w:tc>
          <w:tcPr>
            <w:tcW w:w="1516" w:type="dxa"/>
            <w:shd w:val="clear" w:color="auto" w:fill="auto"/>
            <w:vAlign w:val="bottom"/>
          </w:tcPr>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77.6%</w:t>
            </w:r>
          </w:p>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17.2%</w:t>
            </w:r>
          </w:p>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5.2%</w:t>
            </w:r>
          </w:p>
        </w:tc>
        <w:tc>
          <w:tcPr>
            <w:tcW w:w="1516" w:type="dxa"/>
            <w:shd w:val="clear" w:color="auto" w:fill="auto"/>
            <w:vAlign w:val="bottom"/>
          </w:tcPr>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76.8%</w:t>
            </w:r>
          </w:p>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17.9%</w:t>
            </w:r>
          </w:p>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5.3%</w:t>
            </w:r>
          </w:p>
        </w:tc>
        <w:tc>
          <w:tcPr>
            <w:tcW w:w="1516" w:type="dxa"/>
            <w:shd w:val="clear" w:color="auto" w:fill="auto"/>
            <w:vAlign w:val="bottom"/>
          </w:tcPr>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80.7%</w:t>
            </w:r>
          </w:p>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10.8%</w:t>
            </w:r>
          </w:p>
          <w:p w:rsidR="00D429F4" w:rsidRPr="00D429F4" w:rsidRDefault="00D429F4" w:rsidP="00D429F4">
            <w:pPr>
              <w:jc w:val="center"/>
              <w:cnfStyle w:val="000000100000" w:firstRow="0" w:lastRow="0" w:firstColumn="0" w:lastColumn="0" w:oddVBand="0" w:evenVBand="0" w:oddHBand="1" w:evenHBand="0" w:firstRowFirstColumn="0" w:firstRowLastColumn="0" w:lastRowFirstColumn="0" w:lastRowLastColumn="0"/>
              <w:rPr>
                <w:rFonts w:ascii="Calibri" w:hAnsi="Calibri" w:cs="Times New Roman"/>
                <w:sz w:val="20"/>
              </w:rPr>
            </w:pPr>
            <w:r w:rsidRPr="00D429F4">
              <w:rPr>
                <w:rFonts w:ascii="Calibri" w:hAnsi="Calibri" w:cs="Times New Roman"/>
                <w:sz w:val="20"/>
              </w:rPr>
              <w:t>8.5%</w:t>
            </w:r>
          </w:p>
        </w:tc>
      </w:tr>
      <w:tr w:rsidR="00D429F4" w:rsidRPr="00D429F4" w:rsidTr="00D429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5" w:type="dxa"/>
            <w:shd w:val="clear" w:color="auto" w:fill="F2F2F2"/>
          </w:tcPr>
          <w:p w:rsidR="00D429F4" w:rsidRPr="00D429F4" w:rsidRDefault="00D429F4" w:rsidP="00D429F4">
            <w:pPr>
              <w:rPr>
                <w:rFonts w:ascii="Calibri" w:hAnsi="Calibri" w:cs="Times New Roman"/>
                <w:b w:val="0"/>
              </w:rPr>
            </w:pPr>
            <w:r w:rsidRPr="00D429F4">
              <w:rPr>
                <w:rFonts w:ascii="Calibri" w:hAnsi="Calibri" w:cs="Times New Roman"/>
                <w:b w:val="0"/>
                <w:sz w:val="20"/>
              </w:rPr>
              <w:t>No. of yrs worked for DCS</w:t>
            </w:r>
          </w:p>
        </w:tc>
        <w:tc>
          <w:tcPr>
            <w:tcW w:w="1516" w:type="dxa"/>
            <w:shd w:val="clear" w:color="auto" w:fill="B8CCE4"/>
            <w:vAlign w:val="bottom"/>
          </w:tcPr>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4.6 (5.0)</w:t>
            </w:r>
          </w:p>
        </w:tc>
        <w:tc>
          <w:tcPr>
            <w:tcW w:w="1516" w:type="dxa"/>
            <w:shd w:val="clear" w:color="auto" w:fill="E6B8B7"/>
            <w:vAlign w:val="bottom"/>
          </w:tcPr>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4.4 (5.5)</w:t>
            </w:r>
          </w:p>
        </w:tc>
        <w:tc>
          <w:tcPr>
            <w:tcW w:w="1515" w:type="dxa"/>
            <w:shd w:val="clear" w:color="auto" w:fill="D8E4BC"/>
            <w:vAlign w:val="bottom"/>
          </w:tcPr>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4.2 (4.7)</w:t>
            </w:r>
          </w:p>
        </w:tc>
        <w:tc>
          <w:tcPr>
            <w:tcW w:w="1516" w:type="dxa"/>
            <w:shd w:val="clear" w:color="auto" w:fill="CCC0DA"/>
            <w:vAlign w:val="bottom"/>
          </w:tcPr>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3.6 (4.5)</w:t>
            </w:r>
          </w:p>
        </w:tc>
        <w:tc>
          <w:tcPr>
            <w:tcW w:w="1516" w:type="dxa"/>
            <w:shd w:val="clear" w:color="auto" w:fill="F8CBAD"/>
            <w:vAlign w:val="bottom"/>
          </w:tcPr>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3.4 (4.5)</w:t>
            </w:r>
          </w:p>
        </w:tc>
        <w:tc>
          <w:tcPr>
            <w:tcW w:w="1516" w:type="dxa"/>
            <w:shd w:val="clear" w:color="auto" w:fill="DBEEF4"/>
            <w:vAlign w:val="bottom"/>
          </w:tcPr>
          <w:p w:rsidR="00D429F4" w:rsidRPr="00D429F4" w:rsidRDefault="00D429F4" w:rsidP="00D429F4">
            <w:pPr>
              <w:jc w:val="center"/>
              <w:cnfStyle w:val="000000010000" w:firstRow="0" w:lastRow="0" w:firstColumn="0" w:lastColumn="0" w:oddVBand="0" w:evenVBand="0" w:oddHBand="0" w:evenHBand="1" w:firstRowFirstColumn="0" w:firstRowLastColumn="0" w:lastRowFirstColumn="0" w:lastRowLastColumn="0"/>
              <w:rPr>
                <w:rFonts w:ascii="Calibri" w:hAnsi="Calibri" w:cs="Times New Roman"/>
                <w:sz w:val="20"/>
              </w:rPr>
            </w:pPr>
            <w:r w:rsidRPr="00D429F4">
              <w:rPr>
                <w:rFonts w:ascii="Calibri" w:hAnsi="Calibri" w:cs="Times New Roman"/>
                <w:sz w:val="20"/>
              </w:rPr>
              <w:t>3.3 (4.2)</w:t>
            </w:r>
          </w:p>
        </w:tc>
      </w:tr>
    </w:tbl>
    <w:p w:rsidR="006665E0" w:rsidRPr="00440792" w:rsidRDefault="006665E0" w:rsidP="006665E0">
      <w:pPr>
        <w:rPr>
          <w:szCs w:val="24"/>
        </w:rPr>
      </w:pPr>
    </w:p>
    <w:p w:rsidR="00F75E7C" w:rsidRDefault="00F75E7C" w:rsidP="002663C4">
      <w:pPr>
        <w:sectPr w:rsidR="00F75E7C" w:rsidSect="00251F8D">
          <w:headerReference w:type="default" r:id="rId41"/>
          <w:pgSz w:w="12240" w:h="15840"/>
          <w:pgMar w:top="1440" w:right="1440" w:bottom="1440" w:left="1440" w:header="720" w:footer="720" w:gutter="0"/>
          <w:cols w:space="720"/>
          <w:docGrid w:linePitch="360"/>
        </w:sectPr>
      </w:pPr>
    </w:p>
    <w:p w:rsidR="00975821" w:rsidRDefault="00975821" w:rsidP="00975821">
      <w:pPr>
        <w:pStyle w:val="Heading3"/>
      </w:pPr>
      <w:r>
        <w:t>FCM Survey: Most Recently Opened and Most Recently Closed Cases</w:t>
      </w:r>
    </w:p>
    <w:p w:rsidR="00F75E7C" w:rsidRDefault="00F75E7C" w:rsidP="00F75E7C">
      <w:r w:rsidRPr="00440792">
        <w:t xml:space="preserve">Starting in 2013, FCMs have been asked to rate their most recently opened case and most recently closed case in the domains of safety, permanency, and well-being.  </w:t>
      </w:r>
      <w:r>
        <w:t xml:space="preserve">Demographics of the cases are provided in Tables </w:t>
      </w:r>
      <w:r w:rsidR="008741B0">
        <w:t>2</w:t>
      </w:r>
      <w:r w:rsidR="002A34BA">
        <w:t>4</w:t>
      </w:r>
      <w:r>
        <w:t xml:space="preserve"> and </w:t>
      </w:r>
      <w:r w:rsidR="008741B0">
        <w:t>2</w:t>
      </w:r>
      <w:r w:rsidR="002A34BA">
        <w:t>5</w:t>
      </w:r>
      <w:r>
        <w:t xml:space="preserve">. </w:t>
      </w:r>
      <w:r w:rsidRPr="00440792">
        <w:t xml:space="preserve">The hypotheses were that since </w:t>
      </w:r>
      <w:r>
        <w:t>Waiver</w:t>
      </w:r>
      <w:r w:rsidRPr="00440792">
        <w:t xml:space="preserve"> implementation, 1. FCMs most recently closed cases will improve in the domains of safety, permanency, and well-being over time and 2. FCMs most recently opened cases will remain the same or decline in the domains of safe</w:t>
      </w:r>
      <w:r w:rsidR="008741B0">
        <w:t>ty, permanency, and well-being.</w:t>
      </w:r>
      <w:r w:rsidRPr="00440792">
        <w:t xml:space="preserve"> </w:t>
      </w:r>
      <w:r>
        <w:t xml:space="preserve">Figures </w:t>
      </w:r>
      <w:r w:rsidR="008741B0">
        <w:t>22</w:t>
      </w:r>
      <w:r>
        <w:t xml:space="preserve"> and </w:t>
      </w:r>
      <w:r w:rsidR="008741B0">
        <w:t>23</w:t>
      </w:r>
      <w:r>
        <w:t xml:space="preserve"> present</w:t>
      </w:r>
      <w:r w:rsidRPr="00440792">
        <w:t xml:space="preserve"> mean scores for the FCMs’ most recently opened and most recently closed cases </w:t>
      </w:r>
      <w:r>
        <w:t xml:space="preserve">over the five iterations of the survey </w:t>
      </w:r>
      <w:r w:rsidRPr="00440792">
        <w:t xml:space="preserve">(Range 1-5). </w:t>
      </w:r>
    </w:p>
    <w:p w:rsidR="00F75E7C" w:rsidRDefault="00F75E7C" w:rsidP="00F75E7C">
      <w:pPr>
        <w:ind w:firstLine="720"/>
      </w:pPr>
      <w:r w:rsidRPr="00440792">
        <w:t xml:space="preserve"> </w:t>
      </w:r>
    </w:p>
    <w:p w:rsidR="00F75E7C" w:rsidRDefault="00F75E7C" w:rsidP="00F75E7C">
      <w:pPr>
        <w:pStyle w:val="Heading4"/>
      </w:pPr>
      <w:r w:rsidRPr="00440792">
        <w:t xml:space="preserve">Table </w:t>
      </w:r>
      <w:r w:rsidR="008741B0">
        <w:t>2</w:t>
      </w:r>
      <w:r w:rsidR="002A34BA">
        <w:t>4</w:t>
      </w:r>
      <w:r w:rsidRPr="00440792">
        <w:t>. Demographic Information about the Most Recently Opened Cases</w:t>
      </w:r>
    </w:p>
    <w:tbl>
      <w:tblPr>
        <w:tblStyle w:val="MediumShading1-Accent11"/>
        <w:tblW w:w="110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5" w:type="dxa"/>
          <w:right w:w="115" w:type="dxa"/>
        </w:tblCellMar>
        <w:tblLook w:val="04A0" w:firstRow="1" w:lastRow="0" w:firstColumn="1" w:lastColumn="0" w:noHBand="0" w:noVBand="1"/>
      </w:tblPr>
      <w:tblGrid>
        <w:gridCol w:w="4400"/>
        <w:gridCol w:w="1116"/>
        <w:gridCol w:w="1116"/>
        <w:gridCol w:w="1116"/>
        <w:gridCol w:w="1116"/>
        <w:gridCol w:w="1116"/>
        <w:gridCol w:w="1116"/>
      </w:tblGrid>
      <w:tr w:rsidR="00F75E7C" w:rsidRPr="00440792" w:rsidTr="00CE1AF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400" w:type="dxa"/>
            <w:tcBorders>
              <w:top w:val="none" w:sz="0" w:space="0" w:color="auto"/>
              <w:left w:val="none" w:sz="0" w:space="0" w:color="auto"/>
              <w:bottom w:val="none" w:sz="0" w:space="0" w:color="auto"/>
              <w:right w:val="none" w:sz="0" w:space="0" w:color="auto"/>
            </w:tcBorders>
            <w:noWrap/>
            <w:vAlign w:val="bottom"/>
          </w:tcPr>
          <w:p w:rsidR="00F75E7C" w:rsidRPr="00440792" w:rsidRDefault="00F75E7C" w:rsidP="00CE1AFB">
            <w:pPr>
              <w:contextualSpacing/>
              <w:jc w:val="center"/>
              <w:rPr>
                <w:rFonts w:eastAsia="Times New Roman"/>
                <w:bCs w:val="0"/>
                <w:lang w:eastAsia="ko-KR"/>
              </w:rPr>
            </w:pPr>
          </w:p>
        </w:tc>
        <w:tc>
          <w:tcPr>
            <w:tcW w:w="6696" w:type="dxa"/>
            <w:gridSpan w:val="6"/>
            <w:tcBorders>
              <w:top w:val="none" w:sz="0" w:space="0" w:color="auto"/>
              <w:left w:val="none" w:sz="0" w:space="0" w:color="auto"/>
              <w:bottom w:val="none" w:sz="0" w:space="0" w:color="auto"/>
              <w:right w:val="none" w:sz="0" w:space="0" w:color="auto"/>
            </w:tcBorders>
            <w:noWrap/>
            <w:vAlign w:val="bottom"/>
          </w:tcPr>
          <w:p w:rsidR="00F75E7C" w:rsidRPr="00440792" w:rsidRDefault="00F75E7C" w:rsidP="00CE1AFB">
            <w:pPr>
              <w:contextualSpacing/>
              <w:jc w:val="center"/>
              <w:cnfStyle w:val="100000000000" w:firstRow="1" w:lastRow="0" w:firstColumn="0" w:lastColumn="0" w:oddVBand="0" w:evenVBand="0" w:oddHBand="0" w:evenHBand="0" w:firstRowFirstColumn="0" w:firstRowLastColumn="0" w:lastRowFirstColumn="0" w:lastRowLastColumn="0"/>
              <w:rPr>
                <w:rFonts w:eastAsia="Times New Roman"/>
                <w:lang w:eastAsia="ko-KR"/>
              </w:rPr>
            </w:pPr>
            <w:r w:rsidRPr="00440792">
              <w:rPr>
                <w:rFonts w:eastAsia="Times New Roman"/>
                <w:lang w:eastAsia="ko-KR"/>
              </w:rPr>
              <w:t>Percent or Mean (SD)</w:t>
            </w:r>
          </w:p>
        </w:tc>
      </w:tr>
      <w:tr w:rsidR="00F75E7C" w:rsidRPr="00440792" w:rsidTr="00D429F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shd w:val="clear" w:color="auto" w:fill="5B9BD5" w:themeFill="accent1"/>
            <w:noWrap/>
            <w:vAlign w:val="bottom"/>
            <w:hideMark/>
          </w:tcPr>
          <w:p w:rsidR="00F75E7C" w:rsidRPr="00440792" w:rsidRDefault="00F75E7C" w:rsidP="00CE1AFB">
            <w:pPr>
              <w:contextualSpacing/>
              <w:jc w:val="center"/>
              <w:rPr>
                <w:rFonts w:eastAsia="Times New Roman"/>
                <w:bCs w:val="0"/>
                <w:color w:val="FFFFFF" w:themeColor="background1"/>
                <w:lang w:eastAsia="ko-KR"/>
              </w:rPr>
            </w:pPr>
          </w:p>
        </w:tc>
        <w:tc>
          <w:tcPr>
            <w:tcW w:w="1116" w:type="dxa"/>
            <w:tcBorders>
              <w:left w:val="none" w:sz="0" w:space="0" w:color="auto"/>
              <w:right w:val="none" w:sz="0" w:space="0" w:color="auto"/>
            </w:tcBorders>
            <w:shd w:val="clear" w:color="auto" w:fill="4F81BD"/>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ko-KR"/>
              </w:rPr>
            </w:pPr>
            <w:r w:rsidRPr="00440792">
              <w:rPr>
                <w:rFonts w:eastAsia="Times New Roman"/>
                <w:b/>
                <w:bCs/>
                <w:color w:val="FFFFFF" w:themeColor="background1"/>
                <w:lang w:eastAsia="ko-KR"/>
              </w:rPr>
              <w:t>2013</w:t>
            </w:r>
          </w:p>
        </w:tc>
        <w:tc>
          <w:tcPr>
            <w:tcW w:w="1116" w:type="dxa"/>
            <w:tcBorders>
              <w:left w:val="none" w:sz="0" w:space="0" w:color="auto"/>
              <w:right w:val="none" w:sz="0" w:space="0" w:color="auto"/>
            </w:tcBorders>
            <w:shd w:val="clear" w:color="auto" w:fill="C0504D"/>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ko-KR"/>
              </w:rPr>
            </w:pPr>
            <w:r w:rsidRPr="00440792">
              <w:rPr>
                <w:rFonts w:eastAsia="Times New Roman"/>
                <w:b/>
                <w:bCs/>
                <w:color w:val="FFFFFF" w:themeColor="background1"/>
                <w:lang w:eastAsia="ko-KR"/>
              </w:rPr>
              <w:t>2014</w:t>
            </w:r>
          </w:p>
        </w:tc>
        <w:tc>
          <w:tcPr>
            <w:tcW w:w="1116" w:type="dxa"/>
            <w:tcBorders>
              <w:left w:val="none" w:sz="0" w:space="0" w:color="auto"/>
              <w:right w:val="none" w:sz="0" w:space="0" w:color="auto"/>
            </w:tcBorders>
            <w:shd w:val="clear" w:color="auto" w:fill="9BBB59"/>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ko-KR"/>
              </w:rPr>
            </w:pPr>
            <w:r w:rsidRPr="00440792">
              <w:rPr>
                <w:rFonts w:eastAsia="Times New Roman"/>
                <w:b/>
                <w:bCs/>
                <w:color w:val="FFFFFF" w:themeColor="background1"/>
                <w:lang w:eastAsia="ko-KR"/>
              </w:rPr>
              <w:t>2015</w:t>
            </w:r>
          </w:p>
        </w:tc>
        <w:tc>
          <w:tcPr>
            <w:tcW w:w="1116" w:type="dxa"/>
            <w:tcBorders>
              <w:left w:val="none" w:sz="0" w:space="0" w:color="auto"/>
              <w:right w:val="none" w:sz="0" w:space="0" w:color="auto"/>
            </w:tcBorders>
            <w:shd w:val="clear" w:color="auto" w:fill="8064A2"/>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ko-KR"/>
              </w:rPr>
            </w:pPr>
            <w:r w:rsidRPr="00440792">
              <w:rPr>
                <w:rFonts w:eastAsia="Times New Roman"/>
                <w:b/>
                <w:bCs/>
                <w:color w:val="FFFFFF" w:themeColor="background1"/>
                <w:lang w:eastAsia="ko-KR"/>
              </w:rPr>
              <w:t>2016</w:t>
            </w:r>
          </w:p>
        </w:tc>
        <w:tc>
          <w:tcPr>
            <w:tcW w:w="1116" w:type="dxa"/>
            <w:tcBorders>
              <w:left w:val="none" w:sz="0" w:space="0" w:color="auto"/>
              <w:right w:val="none" w:sz="0" w:space="0" w:color="auto"/>
            </w:tcBorders>
            <w:shd w:val="clear" w:color="auto" w:fill="F79646"/>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ko-KR"/>
              </w:rPr>
            </w:pPr>
            <w:r w:rsidRPr="00440792">
              <w:rPr>
                <w:rFonts w:eastAsia="Times New Roman"/>
                <w:b/>
                <w:bCs/>
                <w:color w:val="FFFFFF" w:themeColor="background1"/>
                <w:lang w:eastAsia="ko-KR"/>
              </w:rPr>
              <w:t>2017</w:t>
            </w:r>
          </w:p>
        </w:tc>
        <w:tc>
          <w:tcPr>
            <w:tcW w:w="1116" w:type="dxa"/>
            <w:tcBorders>
              <w:left w:val="none" w:sz="0" w:space="0" w:color="auto"/>
            </w:tcBorders>
            <w:shd w:val="clear" w:color="auto" w:fill="4BACC6"/>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ko-KR"/>
              </w:rPr>
            </w:pPr>
            <w:r>
              <w:rPr>
                <w:rFonts w:eastAsia="Times New Roman"/>
                <w:b/>
                <w:bCs/>
                <w:color w:val="FFFFFF" w:themeColor="background1"/>
                <w:lang w:eastAsia="ko-KR"/>
              </w:rPr>
              <w:t>2018</w:t>
            </w: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contextualSpacing/>
              <w:rPr>
                <w:rFonts w:eastAsia="Times New Roman"/>
                <w:b w:val="0"/>
                <w:bCs w:val="0"/>
                <w:i/>
                <w:lang w:eastAsia="ko-KR"/>
              </w:rPr>
            </w:pPr>
            <w:r w:rsidRPr="00125C9F">
              <w:rPr>
                <w:rFonts w:eastAsia="Times New Roman"/>
                <w:b w:val="0"/>
                <w:i/>
                <w:lang w:eastAsia="ko-KR"/>
              </w:rPr>
              <w:t>Gender</w:t>
            </w:r>
          </w:p>
        </w:tc>
        <w:tc>
          <w:tcPr>
            <w:tcW w:w="1116" w:type="dxa"/>
            <w:tcBorders>
              <w:left w:val="none" w:sz="0" w:space="0" w:color="auto"/>
              <w:right w:val="none" w:sz="0" w:space="0" w:color="auto"/>
            </w:tcBorders>
            <w:noWrap/>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b/>
                <w:bCs/>
                <w:lang w:eastAsia="ko-KR"/>
              </w:rPr>
            </w:pPr>
          </w:p>
        </w:tc>
        <w:tc>
          <w:tcPr>
            <w:tcW w:w="1116" w:type="dxa"/>
            <w:tcBorders>
              <w:left w:val="none" w:sz="0" w:space="0" w:color="auto"/>
              <w:right w:val="none" w:sz="0" w:space="0" w:color="auto"/>
            </w:tcBorders>
            <w:noWrap/>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b/>
                <w:bCs/>
                <w:lang w:eastAsia="ko-KR"/>
              </w:rPr>
            </w:pP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b/>
                <w:bCs/>
                <w:lang w:eastAsia="ko-KR"/>
              </w:rPr>
            </w:pP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b/>
                <w:bCs/>
                <w:lang w:eastAsia="ko-KR"/>
              </w:rPr>
            </w:pP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b/>
                <w:bCs/>
                <w:lang w:eastAsia="ko-KR"/>
              </w:rPr>
            </w:pPr>
          </w:p>
        </w:tc>
        <w:tc>
          <w:tcPr>
            <w:tcW w:w="1116" w:type="dxa"/>
            <w:tcBorders>
              <w:lef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b/>
                <w:bCs/>
                <w:lang w:eastAsia="ko-KR"/>
              </w:rPr>
            </w:pPr>
          </w:p>
        </w:tc>
      </w:tr>
      <w:tr w:rsidR="00F75E7C" w:rsidRPr="00440792" w:rsidTr="00D429F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Female</w:t>
            </w:r>
          </w:p>
        </w:tc>
        <w:tc>
          <w:tcPr>
            <w:tcW w:w="1116" w:type="dxa"/>
            <w:tcBorders>
              <w:left w:val="none" w:sz="0" w:space="0" w:color="auto"/>
              <w:right w:val="none" w:sz="0" w:space="0" w:color="auto"/>
            </w:tcBorders>
            <w:shd w:val="clear" w:color="auto" w:fill="B8CCE4"/>
            <w:noWrap/>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52.4</w:t>
            </w:r>
          </w:p>
        </w:tc>
        <w:tc>
          <w:tcPr>
            <w:tcW w:w="1116" w:type="dxa"/>
            <w:tcBorders>
              <w:left w:val="none" w:sz="0" w:space="0" w:color="auto"/>
              <w:right w:val="none" w:sz="0" w:space="0" w:color="auto"/>
            </w:tcBorders>
            <w:shd w:val="clear" w:color="auto" w:fill="E6B8B7"/>
            <w:noWrap/>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50.9</w:t>
            </w:r>
          </w:p>
        </w:tc>
        <w:tc>
          <w:tcPr>
            <w:tcW w:w="1116" w:type="dxa"/>
            <w:tcBorders>
              <w:left w:val="none" w:sz="0" w:space="0" w:color="auto"/>
              <w:right w:val="none" w:sz="0" w:space="0" w:color="auto"/>
            </w:tcBorders>
            <w:shd w:val="clear" w:color="auto" w:fill="D8E4BC"/>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50.0</w:t>
            </w:r>
          </w:p>
        </w:tc>
        <w:tc>
          <w:tcPr>
            <w:tcW w:w="1116" w:type="dxa"/>
            <w:tcBorders>
              <w:left w:val="none" w:sz="0" w:space="0" w:color="auto"/>
              <w:right w:val="none" w:sz="0" w:space="0" w:color="auto"/>
            </w:tcBorders>
            <w:shd w:val="clear" w:color="auto" w:fill="CCC0DA"/>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48.7</w:t>
            </w:r>
          </w:p>
        </w:tc>
        <w:tc>
          <w:tcPr>
            <w:tcW w:w="1116" w:type="dxa"/>
            <w:tcBorders>
              <w:left w:val="none" w:sz="0" w:space="0" w:color="auto"/>
              <w:right w:val="none" w:sz="0" w:space="0" w:color="auto"/>
            </w:tcBorders>
            <w:shd w:val="clear" w:color="auto" w:fill="F8CBAD"/>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50.9</w:t>
            </w:r>
          </w:p>
        </w:tc>
        <w:tc>
          <w:tcPr>
            <w:tcW w:w="1116" w:type="dxa"/>
            <w:tcBorders>
              <w:left w:val="none" w:sz="0" w:space="0" w:color="auto"/>
            </w:tcBorders>
            <w:shd w:val="clear" w:color="auto" w:fill="B9DFE9"/>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Pr>
                <w:rFonts w:eastAsia="Times New Roman" w:cs="Arial"/>
                <w:lang w:eastAsia="ko-KR"/>
              </w:rPr>
              <w:t>51.0</w:t>
            </w: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Male</w:t>
            </w:r>
          </w:p>
        </w:tc>
        <w:tc>
          <w:tcPr>
            <w:tcW w:w="1116" w:type="dxa"/>
            <w:tcBorders>
              <w:left w:val="none" w:sz="0" w:space="0" w:color="auto"/>
              <w:right w:val="none" w:sz="0" w:space="0" w:color="auto"/>
            </w:tcBorders>
            <w:noWrap/>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47.5</w:t>
            </w:r>
          </w:p>
        </w:tc>
        <w:tc>
          <w:tcPr>
            <w:tcW w:w="1116" w:type="dxa"/>
            <w:tcBorders>
              <w:left w:val="none" w:sz="0" w:space="0" w:color="auto"/>
              <w:right w:val="none" w:sz="0" w:space="0" w:color="auto"/>
            </w:tcBorders>
            <w:noWrap/>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48.8</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49.3</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51.0</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48.9</w:t>
            </w:r>
          </w:p>
        </w:tc>
        <w:tc>
          <w:tcPr>
            <w:tcW w:w="1116" w:type="dxa"/>
            <w:tcBorders>
              <w:lef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Pr>
                <w:rFonts w:eastAsia="Times New Roman" w:cs="Arial"/>
                <w:lang w:eastAsia="ko-KR"/>
              </w:rPr>
              <w:t>49.0</w:t>
            </w:r>
          </w:p>
        </w:tc>
      </w:tr>
      <w:tr w:rsidR="00F75E7C" w:rsidRPr="00440792" w:rsidTr="00D429F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Other</w:t>
            </w:r>
            <w:r>
              <w:rPr>
                <w:rFonts w:eastAsia="Times New Roman"/>
                <w:b w:val="0"/>
                <w:lang w:eastAsia="ko-KR"/>
              </w:rPr>
              <w:t xml:space="preserve"> (non-binary)</w:t>
            </w:r>
          </w:p>
        </w:tc>
        <w:tc>
          <w:tcPr>
            <w:tcW w:w="1116" w:type="dxa"/>
            <w:tcBorders>
              <w:left w:val="none" w:sz="0" w:space="0" w:color="auto"/>
              <w:right w:val="none" w:sz="0" w:space="0" w:color="auto"/>
            </w:tcBorders>
            <w:shd w:val="clear" w:color="auto" w:fill="B8CCE4"/>
            <w:noWrap/>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0.1</w:t>
            </w:r>
          </w:p>
        </w:tc>
        <w:tc>
          <w:tcPr>
            <w:tcW w:w="1116" w:type="dxa"/>
            <w:tcBorders>
              <w:left w:val="none" w:sz="0" w:space="0" w:color="auto"/>
              <w:right w:val="none" w:sz="0" w:space="0" w:color="auto"/>
            </w:tcBorders>
            <w:shd w:val="clear" w:color="auto" w:fill="E6B8B7"/>
            <w:noWrap/>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0.2</w:t>
            </w:r>
          </w:p>
        </w:tc>
        <w:tc>
          <w:tcPr>
            <w:tcW w:w="1116" w:type="dxa"/>
            <w:tcBorders>
              <w:left w:val="none" w:sz="0" w:space="0" w:color="auto"/>
              <w:right w:val="none" w:sz="0" w:space="0" w:color="auto"/>
            </w:tcBorders>
            <w:shd w:val="clear" w:color="auto" w:fill="D8E4BC"/>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0.7</w:t>
            </w:r>
          </w:p>
        </w:tc>
        <w:tc>
          <w:tcPr>
            <w:tcW w:w="1116" w:type="dxa"/>
            <w:tcBorders>
              <w:left w:val="none" w:sz="0" w:space="0" w:color="auto"/>
              <w:right w:val="none" w:sz="0" w:space="0" w:color="auto"/>
            </w:tcBorders>
            <w:shd w:val="clear" w:color="auto" w:fill="CCC0DA"/>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0.3</w:t>
            </w:r>
          </w:p>
        </w:tc>
        <w:tc>
          <w:tcPr>
            <w:tcW w:w="1116" w:type="dxa"/>
            <w:tcBorders>
              <w:left w:val="none" w:sz="0" w:space="0" w:color="auto"/>
              <w:right w:val="none" w:sz="0" w:space="0" w:color="auto"/>
            </w:tcBorders>
            <w:shd w:val="clear" w:color="auto" w:fill="F8CBAD"/>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0.2</w:t>
            </w:r>
          </w:p>
        </w:tc>
        <w:tc>
          <w:tcPr>
            <w:tcW w:w="1116" w:type="dxa"/>
            <w:tcBorders>
              <w:left w:val="none" w:sz="0" w:space="0" w:color="auto"/>
            </w:tcBorders>
            <w:shd w:val="clear" w:color="auto" w:fill="B9DFE9"/>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Pr>
                <w:rFonts w:eastAsia="Times New Roman" w:cs="Arial"/>
                <w:lang w:eastAsia="ko-KR"/>
              </w:rPr>
              <w:t>.1</w:t>
            </w: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contextualSpacing/>
              <w:rPr>
                <w:rFonts w:eastAsia="Times New Roman"/>
                <w:b w:val="0"/>
                <w:bCs w:val="0"/>
                <w:i/>
                <w:lang w:eastAsia="ko-KR"/>
              </w:rPr>
            </w:pPr>
            <w:r w:rsidRPr="00125C9F">
              <w:rPr>
                <w:rFonts w:eastAsia="Times New Roman"/>
                <w:b w:val="0"/>
                <w:i/>
                <w:lang w:eastAsia="ko-KR"/>
              </w:rPr>
              <w:t>Age</w:t>
            </w:r>
          </w:p>
        </w:tc>
        <w:tc>
          <w:tcPr>
            <w:tcW w:w="1116" w:type="dxa"/>
            <w:tcBorders>
              <w:left w:val="none" w:sz="0" w:space="0" w:color="auto"/>
              <w:right w:val="none" w:sz="0" w:space="0" w:color="auto"/>
            </w:tcBorders>
            <w:noWrap/>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cs="Arial"/>
                <w:lang w:eastAsia="ko-KR"/>
              </w:rPr>
              <w:t>5.9 (5.4)</w:t>
            </w:r>
          </w:p>
        </w:tc>
        <w:tc>
          <w:tcPr>
            <w:tcW w:w="1116" w:type="dxa"/>
            <w:tcBorders>
              <w:left w:val="none" w:sz="0" w:space="0" w:color="auto"/>
              <w:right w:val="none" w:sz="0" w:space="0" w:color="auto"/>
            </w:tcBorders>
            <w:noWrap/>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5.9 (5.4)</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3.8 (4.9)</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5.7 (5.5)</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6.5 (5.4)</w:t>
            </w:r>
          </w:p>
        </w:tc>
        <w:tc>
          <w:tcPr>
            <w:tcW w:w="1116" w:type="dxa"/>
            <w:tcBorders>
              <w:lef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Pr>
                <w:rFonts w:eastAsia="Times New Roman" w:cs="Arial"/>
                <w:lang w:eastAsia="ko-KR"/>
              </w:rPr>
              <w:t>6.5 (5.4)</w:t>
            </w:r>
          </w:p>
        </w:tc>
      </w:tr>
      <w:tr w:rsidR="00F75E7C" w:rsidRPr="00440792" w:rsidTr="00D429F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contextualSpacing/>
              <w:rPr>
                <w:rFonts w:eastAsia="Times New Roman"/>
                <w:b w:val="0"/>
                <w:bCs w:val="0"/>
                <w:i/>
                <w:lang w:eastAsia="ko-KR"/>
              </w:rPr>
            </w:pPr>
            <w:r w:rsidRPr="00125C9F">
              <w:rPr>
                <w:rFonts w:eastAsia="Times New Roman"/>
                <w:b w:val="0"/>
                <w:i/>
                <w:lang w:eastAsia="ko-KR"/>
              </w:rPr>
              <w:t>Race</w:t>
            </w:r>
          </w:p>
        </w:tc>
        <w:tc>
          <w:tcPr>
            <w:tcW w:w="1116" w:type="dxa"/>
            <w:tcBorders>
              <w:left w:val="none" w:sz="0" w:space="0" w:color="auto"/>
              <w:right w:val="none" w:sz="0" w:space="0" w:color="auto"/>
            </w:tcBorders>
            <w:shd w:val="clear" w:color="auto" w:fill="B8CCE4"/>
            <w:noWrap/>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E6B8B7"/>
            <w:noWrap/>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D8E4BC"/>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CCC0DA"/>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F8CBAD"/>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tcBorders>
            <w:shd w:val="clear" w:color="auto" w:fill="B9DFE9"/>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White</w:t>
            </w:r>
          </w:p>
        </w:tc>
        <w:tc>
          <w:tcPr>
            <w:tcW w:w="1116" w:type="dxa"/>
            <w:tcBorders>
              <w:left w:val="none" w:sz="0" w:space="0" w:color="auto"/>
              <w:right w:val="none" w:sz="0" w:space="0" w:color="auto"/>
            </w:tcBorders>
            <w:noWrap/>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73.8</w:t>
            </w:r>
          </w:p>
        </w:tc>
        <w:tc>
          <w:tcPr>
            <w:tcW w:w="1116" w:type="dxa"/>
            <w:tcBorders>
              <w:left w:val="none" w:sz="0" w:space="0" w:color="auto"/>
              <w:right w:val="none" w:sz="0" w:space="0" w:color="auto"/>
            </w:tcBorders>
            <w:noWrap/>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72.9</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70.5</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72.1</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73.9</w:t>
            </w:r>
          </w:p>
        </w:tc>
        <w:tc>
          <w:tcPr>
            <w:tcW w:w="1116" w:type="dxa"/>
            <w:tcBorders>
              <w:lef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Pr>
                <w:rFonts w:eastAsia="Times New Roman"/>
                <w:lang w:eastAsia="ko-KR"/>
              </w:rPr>
              <w:t>75.0</w:t>
            </w:r>
          </w:p>
        </w:tc>
      </w:tr>
      <w:tr w:rsidR="00F75E7C" w:rsidRPr="00440792" w:rsidTr="00D429F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Black or African American</w:t>
            </w:r>
          </w:p>
        </w:tc>
        <w:tc>
          <w:tcPr>
            <w:tcW w:w="1116" w:type="dxa"/>
            <w:tcBorders>
              <w:left w:val="none" w:sz="0" w:space="0" w:color="auto"/>
              <w:right w:val="none" w:sz="0" w:space="0" w:color="auto"/>
            </w:tcBorders>
            <w:shd w:val="clear" w:color="auto" w:fill="B8CCE4"/>
            <w:noWrap/>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17.5</w:t>
            </w:r>
          </w:p>
        </w:tc>
        <w:tc>
          <w:tcPr>
            <w:tcW w:w="1116" w:type="dxa"/>
            <w:tcBorders>
              <w:left w:val="none" w:sz="0" w:space="0" w:color="auto"/>
              <w:right w:val="none" w:sz="0" w:space="0" w:color="auto"/>
            </w:tcBorders>
            <w:shd w:val="clear" w:color="auto" w:fill="E6B8B7"/>
            <w:noWrap/>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18.5</w:t>
            </w:r>
          </w:p>
        </w:tc>
        <w:tc>
          <w:tcPr>
            <w:tcW w:w="1116" w:type="dxa"/>
            <w:tcBorders>
              <w:left w:val="none" w:sz="0" w:space="0" w:color="auto"/>
              <w:right w:val="none" w:sz="0" w:space="0" w:color="auto"/>
            </w:tcBorders>
            <w:shd w:val="clear" w:color="auto" w:fill="D8E4BC"/>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18.6</w:t>
            </w:r>
          </w:p>
        </w:tc>
        <w:tc>
          <w:tcPr>
            <w:tcW w:w="1116" w:type="dxa"/>
            <w:tcBorders>
              <w:left w:val="none" w:sz="0" w:space="0" w:color="auto"/>
              <w:right w:val="none" w:sz="0" w:space="0" w:color="auto"/>
            </w:tcBorders>
            <w:shd w:val="clear" w:color="auto" w:fill="CCC0DA"/>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16.7</w:t>
            </w:r>
          </w:p>
        </w:tc>
        <w:tc>
          <w:tcPr>
            <w:tcW w:w="1116" w:type="dxa"/>
            <w:tcBorders>
              <w:left w:val="none" w:sz="0" w:space="0" w:color="auto"/>
              <w:right w:val="none" w:sz="0" w:space="0" w:color="auto"/>
            </w:tcBorders>
            <w:shd w:val="clear" w:color="auto" w:fill="F8CBAD"/>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14.9</w:t>
            </w:r>
          </w:p>
        </w:tc>
        <w:tc>
          <w:tcPr>
            <w:tcW w:w="1116" w:type="dxa"/>
            <w:tcBorders>
              <w:left w:val="none" w:sz="0" w:space="0" w:color="auto"/>
            </w:tcBorders>
            <w:shd w:val="clear" w:color="auto" w:fill="B9DFE9"/>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Pr>
                <w:rFonts w:eastAsia="Times New Roman"/>
                <w:lang w:eastAsia="ko-KR"/>
              </w:rPr>
              <w:t>15.9</w:t>
            </w: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American Indian/Alaska Native/Native Hawaiian or Other Pacific Islander</w:t>
            </w:r>
          </w:p>
        </w:tc>
        <w:tc>
          <w:tcPr>
            <w:tcW w:w="1116" w:type="dxa"/>
            <w:tcBorders>
              <w:left w:val="none" w:sz="0" w:space="0" w:color="auto"/>
              <w:right w:val="none" w:sz="0" w:space="0" w:color="auto"/>
            </w:tcBorders>
            <w:noWrap/>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0.4</w:t>
            </w:r>
          </w:p>
        </w:tc>
        <w:tc>
          <w:tcPr>
            <w:tcW w:w="1116" w:type="dxa"/>
            <w:tcBorders>
              <w:left w:val="none" w:sz="0" w:space="0" w:color="auto"/>
              <w:right w:val="none" w:sz="0" w:space="0" w:color="auto"/>
            </w:tcBorders>
            <w:noWrap/>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0.1</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0.2</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0.5</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0.4</w:t>
            </w:r>
          </w:p>
        </w:tc>
        <w:tc>
          <w:tcPr>
            <w:tcW w:w="1116" w:type="dxa"/>
            <w:tcBorders>
              <w:lef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Pr>
                <w:rFonts w:eastAsia="Times New Roman"/>
                <w:lang w:eastAsia="ko-KR"/>
              </w:rPr>
              <w:t>0.2</w:t>
            </w:r>
          </w:p>
        </w:tc>
      </w:tr>
      <w:tr w:rsidR="00F75E7C" w:rsidRPr="00440792" w:rsidTr="00D429F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More than One Race</w:t>
            </w:r>
          </w:p>
        </w:tc>
        <w:tc>
          <w:tcPr>
            <w:tcW w:w="1116" w:type="dxa"/>
            <w:tcBorders>
              <w:left w:val="none" w:sz="0" w:space="0" w:color="auto"/>
              <w:right w:val="none" w:sz="0" w:space="0" w:color="auto"/>
            </w:tcBorders>
            <w:shd w:val="clear" w:color="auto" w:fill="B8CCE4"/>
            <w:noWrap/>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6.9</w:t>
            </w:r>
          </w:p>
        </w:tc>
        <w:tc>
          <w:tcPr>
            <w:tcW w:w="1116" w:type="dxa"/>
            <w:tcBorders>
              <w:left w:val="none" w:sz="0" w:space="0" w:color="auto"/>
              <w:right w:val="none" w:sz="0" w:space="0" w:color="auto"/>
            </w:tcBorders>
            <w:shd w:val="clear" w:color="auto" w:fill="E6B8B7"/>
            <w:noWrap/>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6.6</w:t>
            </w:r>
          </w:p>
        </w:tc>
        <w:tc>
          <w:tcPr>
            <w:tcW w:w="1116" w:type="dxa"/>
            <w:tcBorders>
              <w:left w:val="none" w:sz="0" w:space="0" w:color="auto"/>
              <w:right w:val="none" w:sz="0" w:space="0" w:color="auto"/>
            </w:tcBorders>
            <w:shd w:val="clear" w:color="auto" w:fill="D8E4BC"/>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8.8</w:t>
            </w:r>
          </w:p>
        </w:tc>
        <w:tc>
          <w:tcPr>
            <w:tcW w:w="1116" w:type="dxa"/>
            <w:tcBorders>
              <w:left w:val="none" w:sz="0" w:space="0" w:color="auto"/>
              <w:right w:val="none" w:sz="0" w:space="0" w:color="auto"/>
            </w:tcBorders>
            <w:shd w:val="clear" w:color="auto" w:fill="CCC0DA"/>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8.8</w:t>
            </w:r>
          </w:p>
        </w:tc>
        <w:tc>
          <w:tcPr>
            <w:tcW w:w="1116" w:type="dxa"/>
            <w:tcBorders>
              <w:left w:val="none" w:sz="0" w:space="0" w:color="auto"/>
              <w:right w:val="none" w:sz="0" w:space="0" w:color="auto"/>
            </w:tcBorders>
            <w:shd w:val="clear" w:color="auto" w:fill="F8CBAD"/>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8.9</w:t>
            </w:r>
          </w:p>
        </w:tc>
        <w:tc>
          <w:tcPr>
            <w:tcW w:w="1116" w:type="dxa"/>
            <w:tcBorders>
              <w:left w:val="none" w:sz="0" w:space="0" w:color="auto"/>
            </w:tcBorders>
            <w:shd w:val="clear" w:color="auto" w:fill="B9DFE9"/>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Pr>
                <w:rFonts w:eastAsia="Times New Roman"/>
                <w:lang w:eastAsia="ko-KR"/>
              </w:rPr>
              <w:t>7.9</w:t>
            </w: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 xml:space="preserve">Other </w:t>
            </w:r>
          </w:p>
        </w:tc>
        <w:tc>
          <w:tcPr>
            <w:tcW w:w="1116" w:type="dxa"/>
            <w:tcBorders>
              <w:left w:val="none" w:sz="0" w:space="0" w:color="auto"/>
              <w:right w:val="none" w:sz="0" w:space="0" w:color="auto"/>
            </w:tcBorders>
            <w:noWrap/>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1.4</w:t>
            </w:r>
          </w:p>
        </w:tc>
        <w:tc>
          <w:tcPr>
            <w:tcW w:w="1116" w:type="dxa"/>
            <w:tcBorders>
              <w:left w:val="none" w:sz="0" w:space="0" w:color="auto"/>
              <w:right w:val="none" w:sz="0" w:space="0" w:color="auto"/>
            </w:tcBorders>
            <w:noWrap/>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1.8</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2.0</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1.9</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1.9</w:t>
            </w:r>
          </w:p>
        </w:tc>
        <w:tc>
          <w:tcPr>
            <w:tcW w:w="1116" w:type="dxa"/>
            <w:tcBorders>
              <w:lef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Pr>
                <w:rFonts w:eastAsia="Times New Roman"/>
                <w:lang w:eastAsia="ko-KR"/>
              </w:rPr>
              <w:t>1.0</w:t>
            </w:r>
          </w:p>
        </w:tc>
      </w:tr>
      <w:tr w:rsidR="00F75E7C" w:rsidRPr="00440792" w:rsidTr="00D429F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contextualSpacing/>
              <w:rPr>
                <w:rFonts w:eastAsia="Times New Roman"/>
                <w:b w:val="0"/>
                <w:bCs w:val="0"/>
                <w:i/>
                <w:lang w:eastAsia="ko-KR"/>
              </w:rPr>
            </w:pPr>
            <w:r w:rsidRPr="00125C9F">
              <w:rPr>
                <w:rFonts w:eastAsia="Times New Roman"/>
                <w:b w:val="0"/>
                <w:i/>
                <w:lang w:eastAsia="ko-KR"/>
              </w:rPr>
              <w:t>Ethnicity</w:t>
            </w:r>
          </w:p>
        </w:tc>
        <w:tc>
          <w:tcPr>
            <w:tcW w:w="1116" w:type="dxa"/>
            <w:tcBorders>
              <w:left w:val="none" w:sz="0" w:space="0" w:color="auto"/>
              <w:right w:val="none" w:sz="0" w:space="0" w:color="auto"/>
            </w:tcBorders>
            <w:shd w:val="clear" w:color="auto" w:fill="B8CCE4"/>
            <w:noWrap/>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E6B8B7"/>
            <w:noWrap/>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D8E4BC"/>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CCC0DA"/>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F8CBAD"/>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tcBorders>
            <w:shd w:val="clear" w:color="auto" w:fill="B9DFE9"/>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Hispanic</w:t>
            </w:r>
          </w:p>
        </w:tc>
        <w:tc>
          <w:tcPr>
            <w:tcW w:w="1116" w:type="dxa"/>
            <w:tcBorders>
              <w:left w:val="none" w:sz="0" w:space="0" w:color="auto"/>
              <w:right w:val="none" w:sz="0" w:space="0" w:color="auto"/>
            </w:tcBorders>
            <w:noWrap/>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8.5</w:t>
            </w:r>
          </w:p>
        </w:tc>
        <w:tc>
          <w:tcPr>
            <w:tcW w:w="1116" w:type="dxa"/>
            <w:tcBorders>
              <w:left w:val="none" w:sz="0" w:space="0" w:color="auto"/>
              <w:right w:val="none" w:sz="0" w:space="0" w:color="auto"/>
            </w:tcBorders>
            <w:noWrap/>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6.9</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5.7</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6.3</w:t>
            </w:r>
          </w:p>
        </w:tc>
        <w:tc>
          <w:tcPr>
            <w:tcW w:w="1116" w:type="dxa"/>
            <w:tcBorders>
              <w:left w:val="none" w:sz="0" w:space="0" w:color="auto"/>
              <w:righ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6.4</w:t>
            </w:r>
          </w:p>
        </w:tc>
        <w:tc>
          <w:tcPr>
            <w:tcW w:w="1116" w:type="dxa"/>
            <w:tcBorders>
              <w:left w:val="none" w:sz="0" w:space="0" w:color="auto"/>
            </w:tcBorders>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Pr>
                <w:rFonts w:eastAsia="Times New Roman" w:cs="Arial"/>
                <w:lang w:eastAsia="ko-KR"/>
              </w:rPr>
              <w:t>5.6</w:t>
            </w:r>
          </w:p>
        </w:tc>
      </w:tr>
      <w:tr w:rsidR="00F75E7C" w:rsidRPr="00440792" w:rsidTr="00D429F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contextualSpacing/>
              <w:rPr>
                <w:rFonts w:eastAsia="Times New Roman"/>
                <w:b w:val="0"/>
                <w:i/>
                <w:lang w:eastAsia="ko-KR"/>
              </w:rPr>
            </w:pPr>
            <w:r w:rsidRPr="00125C9F">
              <w:rPr>
                <w:rFonts w:eastAsia="Times New Roman"/>
                <w:b w:val="0"/>
                <w:i/>
                <w:lang w:eastAsia="ko-KR"/>
              </w:rPr>
              <w:t>International Cultural Affairs Referral (yes)</w:t>
            </w:r>
          </w:p>
        </w:tc>
        <w:tc>
          <w:tcPr>
            <w:tcW w:w="1116" w:type="dxa"/>
            <w:tcBorders>
              <w:left w:val="none" w:sz="0" w:space="0" w:color="auto"/>
              <w:right w:val="none" w:sz="0" w:space="0" w:color="auto"/>
            </w:tcBorders>
            <w:shd w:val="clear" w:color="auto" w:fill="B8CCE4"/>
            <w:noWrap/>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w:t>
            </w:r>
          </w:p>
        </w:tc>
        <w:tc>
          <w:tcPr>
            <w:tcW w:w="1116" w:type="dxa"/>
            <w:tcBorders>
              <w:left w:val="none" w:sz="0" w:space="0" w:color="auto"/>
              <w:right w:val="none" w:sz="0" w:space="0" w:color="auto"/>
            </w:tcBorders>
            <w:shd w:val="clear" w:color="auto" w:fill="E6B8B7"/>
            <w:noWrap/>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w:t>
            </w:r>
          </w:p>
        </w:tc>
        <w:tc>
          <w:tcPr>
            <w:tcW w:w="1116" w:type="dxa"/>
            <w:tcBorders>
              <w:left w:val="none" w:sz="0" w:space="0" w:color="auto"/>
              <w:right w:val="none" w:sz="0" w:space="0" w:color="auto"/>
            </w:tcBorders>
            <w:shd w:val="clear" w:color="auto" w:fill="D8E4BC"/>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w:t>
            </w:r>
          </w:p>
        </w:tc>
        <w:tc>
          <w:tcPr>
            <w:tcW w:w="1116" w:type="dxa"/>
            <w:tcBorders>
              <w:left w:val="none" w:sz="0" w:space="0" w:color="auto"/>
              <w:right w:val="none" w:sz="0" w:space="0" w:color="auto"/>
            </w:tcBorders>
            <w:shd w:val="clear" w:color="auto" w:fill="CCC0DA"/>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11.1</w:t>
            </w:r>
          </w:p>
        </w:tc>
        <w:tc>
          <w:tcPr>
            <w:tcW w:w="1116" w:type="dxa"/>
            <w:tcBorders>
              <w:left w:val="none" w:sz="0" w:space="0" w:color="auto"/>
              <w:right w:val="none" w:sz="0" w:space="0" w:color="auto"/>
            </w:tcBorders>
            <w:shd w:val="clear" w:color="auto" w:fill="F8CBAD"/>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42.9</w:t>
            </w:r>
          </w:p>
        </w:tc>
        <w:tc>
          <w:tcPr>
            <w:tcW w:w="1116" w:type="dxa"/>
            <w:tcBorders>
              <w:left w:val="none" w:sz="0" w:space="0" w:color="auto"/>
            </w:tcBorders>
            <w:shd w:val="clear" w:color="auto" w:fill="B9DFE9"/>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shd w:val="clear" w:color="auto" w:fill="FFFFFF" w:themeFill="background1"/>
            <w:noWrap/>
          </w:tcPr>
          <w:p w:rsidR="00F75E7C" w:rsidRPr="00440792" w:rsidRDefault="00F75E7C" w:rsidP="00CE1AFB">
            <w:pPr>
              <w:shd w:val="clear" w:color="auto" w:fill="FFFFFF" w:themeFill="background1"/>
              <w:contextualSpacing/>
              <w:rPr>
                <w:rFonts w:eastAsia="Times New Roman"/>
                <w:b w:val="0"/>
                <w:lang w:eastAsia="ko-KR"/>
              </w:rPr>
            </w:pPr>
          </w:p>
        </w:tc>
        <w:tc>
          <w:tcPr>
            <w:tcW w:w="1116" w:type="dxa"/>
            <w:tcBorders>
              <w:left w:val="none" w:sz="0" w:space="0" w:color="auto"/>
              <w:right w:val="none" w:sz="0" w:space="0" w:color="auto"/>
            </w:tcBorders>
            <w:shd w:val="clear" w:color="auto" w:fill="FFFFFF" w:themeFill="background1"/>
            <w:noWrap/>
          </w:tcPr>
          <w:p w:rsidR="00F75E7C" w:rsidRPr="00440792" w:rsidRDefault="00F75E7C" w:rsidP="00CE1AFB">
            <w:pPr>
              <w:shd w:val="clear" w:color="auto" w:fill="FFFFFF" w:themeFill="background1"/>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FFFFFF" w:themeFill="background1"/>
            <w:noWrap/>
          </w:tcPr>
          <w:p w:rsidR="00F75E7C" w:rsidRPr="00440792" w:rsidRDefault="00F75E7C" w:rsidP="00CE1AFB">
            <w:pPr>
              <w:shd w:val="clear" w:color="auto" w:fill="FFFFFF" w:themeFill="background1"/>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FFFFFF" w:themeFill="background1"/>
          </w:tcPr>
          <w:p w:rsidR="00F75E7C" w:rsidRPr="00440792" w:rsidRDefault="00F75E7C" w:rsidP="00CE1AFB">
            <w:pPr>
              <w:shd w:val="clear" w:color="auto" w:fill="FFFFFF" w:themeFill="background1"/>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FFFFFF" w:themeFill="background1"/>
          </w:tcPr>
          <w:p w:rsidR="00F75E7C" w:rsidRPr="00440792" w:rsidRDefault="00F75E7C" w:rsidP="00CE1AFB">
            <w:pPr>
              <w:shd w:val="clear" w:color="auto" w:fill="FFFFFF" w:themeFill="background1"/>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FFFFFF" w:themeFill="background1"/>
          </w:tcPr>
          <w:p w:rsidR="00F75E7C" w:rsidRPr="00440792" w:rsidRDefault="00F75E7C" w:rsidP="00CE1AFB">
            <w:pPr>
              <w:shd w:val="clear" w:color="auto" w:fill="FFFFFF" w:themeFill="background1"/>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p>
        </w:tc>
        <w:tc>
          <w:tcPr>
            <w:tcW w:w="1116" w:type="dxa"/>
            <w:tcBorders>
              <w:left w:val="none" w:sz="0" w:space="0" w:color="auto"/>
            </w:tcBorders>
            <w:shd w:val="clear" w:color="auto" w:fill="FFFFFF" w:themeFill="background1"/>
          </w:tcPr>
          <w:p w:rsidR="00F75E7C" w:rsidRPr="00440792" w:rsidRDefault="00F75E7C" w:rsidP="00CE1AFB">
            <w:pPr>
              <w:shd w:val="clear" w:color="auto" w:fill="FFFFFF" w:themeFill="background1"/>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p>
        </w:tc>
      </w:tr>
    </w:tbl>
    <w:p w:rsidR="00F75E7C" w:rsidRDefault="00F75E7C" w:rsidP="00F75E7C"/>
    <w:p w:rsidR="00F75E7C" w:rsidRDefault="00F75E7C" w:rsidP="00F75E7C"/>
    <w:p w:rsidR="00F75E7C" w:rsidRDefault="00F75E7C" w:rsidP="00F75E7C"/>
    <w:p w:rsidR="00F75E7C" w:rsidRDefault="00F75E7C" w:rsidP="00F75E7C"/>
    <w:p w:rsidR="00F75E7C" w:rsidRPr="00125C9F" w:rsidRDefault="00F75E7C" w:rsidP="00F75E7C"/>
    <w:p w:rsidR="00F75E7C" w:rsidRDefault="00F75E7C" w:rsidP="00F75E7C">
      <w:pPr>
        <w:pStyle w:val="Heading4"/>
      </w:pPr>
      <w:r>
        <w:t xml:space="preserve">Table </w:t>
      </w:r>
      <w:r w:rsidR="00AF33B8">
        <w:t>2</w:t>
      </w:r>
      <w:r w:rsidR="002A34BA">
        <w:t>5</w:t>
      </w:r>
      <w:r>
        <w:t>.</w:t>
      </w:r>
      <w:r w:rsidRPr="00125C9F">
        <w:t xml:space="preserve"> </w:t>
      </w:r>
      <w:r w:rsidRPr="00440792">
        <w:t xml:space="preserve">Demographic Information about the Most Recently </w:t>
      </w:r>
      <w:r>
        <w:t xml:space="preserve">Closed </w:t>
      </w:r>
      <w:r w:rsidRPr="00440792">
        <w:t>Cases</w:t>
      </w:r>
    </w:p>
    <w:tbl>
      <w:tblPr>
        <w:tblStyle w:val="MediumShading1-Accent11"/>
        <w:tblpPr w:leftFromText="180" w:rightFromText="180" w:vertAnchor="text" w:horzAnchor="margin" w:tblpY="27"/>
        <w:tblW w:w="110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400"/>
        <w:gridCol w:w="1116"/>
        <w:gridCol w:w="1116"/>
        <w:gridCol w:w="1116"/>
        <w:gridCol w:w="1116"/>
        <w:gridCol w:w="1116"/>
        <w:gridCol w:w="1116"/>
      </w:tblGrid>
      <w:tr w:rsidR="00F75E7C" w:rsidRPr="00440792" w:rsidTr="00CE1AF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400" w:type="dxa"/>
            <w:tcBorders>
              <w:top w:val="none" w:sz="0" w:space="0" w:color="auto"/>
              <w:left w:val="none" w:sz="0" w:space="0" w:color="auto"/>
              <w:bottom w:val="none" w:sz="0" w:space="0" w:color="auto"/>
              <w:right w:val="none" w:sz="0" w:space="0" w:color="auto"/>
            </w:tcBorders>
            <w:noWrap/>
            <w:vAlign w:val="bottom"/>
          </w:tcPr>
          <w:p w:rsidR="00F75E7C" w:rsidRPr="00440792" w:rsidRDefault="00F75E7C" w:rsidP="00CE1AFB">
            <w:pPr>
              <w:contextualSpacing/>
              <w:jc w:val="center"/>
              <w:rPr>
                <w:rFonts w:eastAsia="Times New Roman"/>
                <w:bCs w:val="0"/>
                <w:lang w:eastAsia="ko-KR"/>
              </w:rPr>
            </w:pPr>
          </w:p>
        </w:tc>
        <w:tc>
          <w:tcPr>
            <w:tcW w:w="5580" w:type="dxa"/>
            <w:gridSpan w:val="5"/>
            <w:tcBorders>
              <w:top w:val="none" w:sz="0" w:space="0" w:color="auto"/>
              <w:left w:val="none" w:sz="0" w:space="0" w:color="auto"/>
              <w:bottom w:val="none" w:sz="0" w:space="0" w:color="auto"/>
              <w:right w:val="none" w:sz="0" w:space="0" w:color="auto"/>
            </w:tcBorders>
            <w:noWrap/>
            <w:vAlign w:val="bottom"/>
          </w:tcPr>
          <w:p w:rsidR="00F75E7C" w:rsidRPr="00440792" w:rsidRDefault="00F75E7C" w:rsidP="00CE1AFB">
            <w:pPr>
              <w:contextualSpacing/>
              <w:jc w:val="center"/>
              <w:cnfStyle w:val="100000000000" w:firstRow="1" w:lastRow="0" w:firstColumn="0" w:lastColumn="0" w:oddVBand="0" w:evenVBand="0" w:oddHBand="0" w:evenHBand="0" w:firstRowFirstColumn="0" w:firstRowLastColumn="0" w:lastRowFirstColumn="0" w:lastRowLastColumn="0"/>
              <w:rPr>
                <w:rFonts w:eastAsia="Times New Roman"/>
                <w:bCs w:val="0"/>
                <w:lang w:eastAsia="ko-KR"/>
              </w:rPr>
            </w:pPr>
            <w:r w:rsidRPr="00440792">
              <w:rPr>
                <w:rFonts w:eastAsia="Times New Roman"/>
                <w:lang w:eastAsia="ko-KR"/>
              </w:rPr>
              <w:t>Percent or Mean (SD)</w:t>
            </w:r>
          </w:p>
        </w:tc>
        <w:tc>
          <w:tcPr>
            <w:tcW w:w="1116" w:type="dxa"/>
            <w:tcBorders>
              <w:top w:val="none" w:sz="0" w:space="0" w:color="auto"/>
              <w:left w:val="none" w:sz="0" w:space="0" w:color="auto"/>
              <w:bottom w:val="none" w:sz="0" w:space="0" w:color="auto"/>
              <w:right w:val="none" w:sz="0" w:space="0" w:color="auto"/>
            </w:tcBorders>
          </w:tcPr>
          <w:p w:rsidR="00F75E7C" w:rsidRPr="00440792" w:rsidRDefault="00F75E7C" w:rsidP="00CE1AFB">
            <w:pPr>
              <w:contextualSpacing/>
              <w:jc w:val="center"/>
              <w:cnfStyle w:val="100000000000" w:firstRow="1" w:lastRow="0" w:firstColumn="0" w:lastColumn="0" w:oddVBand="0" w:evenVBand="0" w:oddHBand="0" w:evenHBand="0" w:firstRowFirstColumn="0" w:firstRowLastColumn="0" w:lastRowFirstColumn="0" w:lastRowLastColumn="0"/>
              <w:rPr>
                <w:rFonts w:eastAsia="Times New Roman"/>
                <w:lang w:eastAsia="ko-KR"/>
              </w:rPr>
            </w:pPr>
          </w:p>
        </w:tc>
      </w:tr>
      <w:tr w:rsidR="00F75E7C" w:rsidRPr="00440792" w:rsidTr="00CE1AF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shd w:val="clear" w:color="auto" w:fill="5B9BD5" w:themeFill="accent1"/>
            <w:noWrap/>
            <w:vAlign w:val="bottom"/>
            <w:hideMark/>
          </w:tcPr>
          <w:p w:rsidR="00F75E7C" w:rsidRPr="00440792" w:rsidRDefault="00F75E7C" w:rsidP="00CE1AFB">
            <w:pPr>
              <w:contextualSpacing/>
              <w:jc w:val="center"/>
              <w:rPr>
                <w:rFonts w:eastAsia="Times New Roman"/>
                <w:bCs w:val="0"/>
                <w:color w:val="FFFFFF" w:themeColor="background1"/>
                <w:lang w:eastAsia="ko-KR"/>
              </w:rPr>
            </w:pPr>
          </w:p>
        </w:tc>
        <w:tc>
          <w:tcPr>
            <w:tcW w:w="1116" w:type="dxa"/>
            <w:tcBorders>
              <w:left w:val="none" w:sz="0" w:space="0" w:color="auto"/>
              <w:right w:val="none" w:sz="0" w:space="0" w:color="auto"/>
            </w:tcBorders>
            <w:shd w:val="clear" w:color="auto" w:fill="4F81BD"/>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ko-KR"/>
              </w:rPr>
            </w:pPr>
            <w:r w:rsidRPr="00440792">
              <w:rPr>
                <w:rFonts w:eastAsia="Times New Roman"/>
                <w:b/>
                <w:bCs/>
                <w:color w:val="FFFFFF" w:themeColor="background1"/>
                <w:lang w:eastAsia="ko-KR"/>
              </w:rPr>
              <w:t>2013</w:t>
            </w:r>
          </w:p>
        </w:tc>
        <w:tc>
          <w:tcPr>
            <w:tcW w:w="1116" w:type="dxa"/>
            <w:tcBorders>
              <w:left w:val="none" w:sz="0" w:space="0" w:color="auto"/>
              <w:right w:val="none" w:sz="0" w:space="0" w:color="auto"/>
            </w:tcBorders>
            <w:shd w:val="clear" w:color="auto" w:fill="C0504D"/>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ko-KR"/>
              </w:rPr>
            </w:pPr>
            <w:r w:rsidRPr="00440792">
              <w:rPr>
                <w:rFonts w:eastAsia="Times New Roman"/>
                <w:b/>
                <w:bCs/>
                <w:color w:val="FFFFFF" w:themeColor="background1"/>
                <w:lang w:eastAsia="ko-KR"/>
              </w:rPr>
              <w:t>2014</w:t>
            </w:r>
          </w:p>
        </w:tc>
        <w:tc>
          <w:tcPr>
            <w:tcW w:w="1116" w:type="dxa"/>
            <w:tcBorders>
              <w:left w:val="none" w:sz="0" w:space="0" w:color="auto"/>
              <w:right w:val="none" w:sz="0" w:space="0" w:color="auto"/>
            </w:tcBorders>
            <w:shd w:val="clear" w:color="auto" w:fill="9BBB59"/>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ko-KR"/>
              </w:rPr>
            </w:pPr>
            <w:r w:rsidRPr="00440792">
              <w:rPr>
                <w:rFonts w:eastAsia="Times New Roman"/>
                <w:b/>
                <w:bCs/>
                <w:color w:val="FFFFFF" w:themeColor="background1"/>
                <w:lang w:eastAsia="ko-KR"/>
              </w:rPr>
              <w:t>2015</w:t>
            </w:r>
          </w:p>
        </w:tc>
        <w:tc>
          <w:tcPr>
            <w:tcW w:w="1116" w:type="dxa"/>
            <w:tcBorders>
              <w:left w:val="none" w:sz="0" w:space="0" w:color="auto"/>
              <w:right w:val="none" w:sz="0" w:space="0" w:color="auto"/>
            </w:tcBorders>
            <w:shd w:val="clear" w:color="auto" w:fill="8064A2"/>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ko-KR"/>
              </w:rPr>
            </w:pPr>
            <w:r w:rsidRPr="00440792">
              <w:rPr>
                <w:rFonts w:eastAsia="Times New Roman"/>
                <w:b/>
                <w:bCs/>
                <w:color w:val="FFFFFF" w:themeColor="background1"/>
                <w:lang w:eastAsia="ko-KR"/>
              </w:rPr>
              <w:t>2016</w:t>
            </w:r>
          </w:p>
        </w:tc>
        <w:tc>
          <w:tcPr>
            <w:tcW w:w="1116" w:type="dxa"/>
            <w:tcBorders>
              <w:left w:val="none" w:sz="0" w:space="0" w:color="auto"/>
              <w:right w:val="none" w:sz="0" w:space="0" w:color="auto"/>
            </w:tcBorders>
            <w:shd w:val="clear" w:color="auto" w:fill="F79646"/>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ko-KR"/>
              </w:rPr>
            </w:pPr>
            <w:r w:rsidRPr="00440792">
              <w:rPr>
                <w:rFonts w:eastAsia="Times New Roman"/>
                <w:b/>
                <w:bCs/>
                <w:color w:val="FFFFFF" w:themeColor="background1"/>
                <w:lang w:eastAsia="ko-KR"/>
              </w:rPr>
              <w:t>2017</w:t>
            </w:r>
          </w:p>
        </w:tc>
        <w:tc>
          <w:tcPr>
            <w:tcW w:w="1116" w:type="dxa"/>
            <w:tcBorders>
              <w:left w:val="none" w:sz="0" w:space="0" w:color="auto"/>
            </w:tcBorders>
            <w:shd w:val="clear" w:color="auto" w:fill="4BACC6"/>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eastAsia="ko-KR"/>
              </w:rPr>
            </w:pPr>
            <w:r>
              <w:rPr>
                <w:rFonts w:eastAsia="Times New Roman"/>
                <w:b/>
                <w:bCs/>
                <w:color w:val="FFFFFF" w:themeColor="background1"/>
                <w:lang w:eastAsia="ko-KR"/>
              </w:rPr>
              <w:t>2018</w:t>
            </w: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contextualSpacing/>
              <w:rPr>
                <w:rFonts w:eastAsia="Times New Roman"/>
                <w:b w:val="0"/>
                <w:bCs w:val="0"/>
                <w:i/>
                <w:lang w:eastAsia="ko-KR"/>
              </w:rPr>
            </w:pPr>
            <w:r w:rsidRPr="00125C9F">
              <w:rPr>
                <w:rFonts w:eastAsia="Times New Roman"/>
                <w:b w:val="0"/>
                <w:i/>
                <w:lang w:eastAsia="ko-KR"/>
              </w:rPr>
              <w:t>Gender</w:t>
            </w: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b/>
                <w:bCs/>
                <w:lang w:eastAsia="ko-KR"/>
              </w:rPr>
            </w:pP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b/>
                <w:bCs/>
                <w:lang w:eastAsia="ko-KR"/>
              </w:rPr>
            </w:pP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b/>
                <w:bCs/>
                <w:lang w:eastAsia="ko-KR"/>
              </w:rPr>
            </w:pP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b/>
                <w:bCs/>
                <w:lang w:eastAsia="ko-KR"/>
              </w:rPr>
            </w:pP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b/>
                <w:bCs/>
                <w:lang w:eastAsia="ko-KR"/>
              </w:rPr>
            </w:pPr>
          </w:p>
        </w:tc>
        <w:tc>
          <w:tcPr>
            <w:tcW w:w="1116" w:type="dxa"/>
            <w:tcBorders>
              <w:lef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b/>
                <w:bCs/>
                <w:lang w:eastAsia="ko-KR"/>
              </w:rPr>
            </w:pPr>
          </w:p>
        </w:tc>
      </w:tr>
      <w:tr w:rsidR="00F75E7C" w:rsidRPr="00440792" w:rsidTr="00CE1AF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Female</w:t>
            </w:r>
          </w:p>
        </w:tc>
        <w:tc>
          <w:tcPr>
            <w:tcW w:w="1116" w:type="dxa"/>
            <w:tcBorders>
              <w:left w:val="none" w:sz="0" w:space="0" w:color="auto"/>
              <w:right w:val="none" w:sz="0" w:space="0" w:color="auto"/>
            </w:tcBorders>
            <w:shd w:val="clear" w:color="auto" w:fill="B8CCE4"/>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49.8</w:t>
            </w:r>
          </w:p>
        </w:tc>
        <w:tc>
          <w:tcPr>
            <w:tcW w:w="1116" w:type="dxa"/>
            <w:tcBorders>
              <w:left w:val="none" w:sz="0" w:space="0" w:color="auto"/>
              <w:right w:val="none" w:sz="0" w:space="0" w:color="auto"/>
            </w:tcBorders>
            <w:shd w:val="clear" w:color="auto" w:fill="E6B8B7"/>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53.2</w:t>
            </w:r>
          </w:p>
        </w:tc>
        <w:tc>
          <w:tcPr>
            <w:tcW w:w="1116" w:type="dxa"/>
            <w:tcBorders>
              <w:left w:val="none" w:sz="0" w:space="0" w:color="auto"/>
              <w:right w:val="none" w:sz="0" w:space="0" w:color="auto"/>
            </w:tcBorders>
            <w:shd w:val="clear" w:color="auto" w:fill="D8E4BC"/>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51.5</w:t>
            </w:r>
          </w:p>
        </w:tc>
        <w:tc>
          <w:tcPr>
            <w:tcW w:w="1116" w:type="dxa"/>
            <w:tcBorders>
              <w:left w:val="none" w:sz="0" w:space="0" w:color="auto"/>
              <w:right w:val="none" w:sz="0" w:space="0" w:color="auto"/>
            </w:tcBorders>
            <w:shd w:val="clear" w:color="auto" w:fill="CCC0DA"/>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49.3</w:t>
            </w:r>
          </w:p>
        </w:tc>
        <w:tc>
          <w:tcPr>
            <w:tcW w:w="1116" w:type="dxa"/>
            <w:tcBorders>
              <w:left w:val="none" w:sz="0" w:space="0" w:color="auto"/>
              <w:right w:val="none" w:sz="0" w:space="0" w:color="auto"/>
            </w:tcBorders>
            <w:shd w:val="clear" w:color="auto" w:fill="F8CBAD"/>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50.8</w:t>
            </w:r>
          </w:p>
        </w:tc>
        <w:tc>
          <w:tcPr>
            <w:tcW w:w="1116" w:type="dxa"/>
            <w:tcBorders>
              <w:left w:val="none" w:sz="0" w:space="0" w:color="auto"/>
            </w:tcBorders>
            <w:shd w:val="clear" w:color="auto" w:fill="DBEEF4"/>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Pr>
                <w:rFonts w:eastAsia="Times New Roman" w:cs="Arial"/>
                <w:lang w:eastAsia="ko-KR"/>
              </w:rPr>
              <w:t>28.0</w:t>
            </w: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Male</w:t>
            </w: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49.0</w:t>
            </w: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46.8</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48.3</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50.4</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49.0</w:t>
            </w:r>
          </w:p>
        </w:tc>
        <w:tc>
          <w:tcPr>
            <w:tcW w:w="1116" w:type="dxa"/>
            <w:tcBorders>
              <w:lef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Pr>
                <w:rFonts w:eastAsia="Times New Roman" w:cs="Arial"/>
                <w:lang w:eastAsia="ko-KR"/>
              </w:rPr>
              <w:t>26.5</w:t>
            </w:r>
          </w:p>
        </w:tc>
      </w:tr>
      <w:tr w:rsidR="00F75E7C" w:rsidRPr="00440792" w:rsidTr="00CE1AF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 xml:space="preserve">Other </w:t>
            </w:r>
          </w:p>
        </w:tc>
        <w:tc>
          <w:tcPr>
            <w:tcW w:w="1116" w:type="dxa"/>
            <w:tcBorders>
              <w:left w:val="none" w:sz="0" w:space="0" w:color="auto"/>
              <w:right w:val="none" w:sz="0" w:space="0" w:color="auto"/>
            </w:tcBorders>
            <w:shd w:val="clear" w:color="auto" w:fill="B8CCE4"/>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0.0</w:t>
            </w:r>
          </w:p>
        </w:tc>
        <w:tc>
          <w:tcPr>
            <w:tcW w:w="1116" w:type="dxa"/>
            <w:tcBorders>
              <w:left w:val="none" w:sz="0" w:space="0" w:color="auto"/>
              <w:right w:val="none" w:sz="0" w:space="0" w:color="auto"/>
            </w:tcBorders>
            <w:shd w:val="clear" w:color="auto" w:fill="E6B8B7"/>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0.0</w:t>
            </w:r>
          </w:p>
        </w:tc>
        <w:tc>
          <w:tcPr>
            <w:tcW w:w="1116" w:type="dxa"/>
            <w:tcBorders>
              <w:left w:val="none" w:sz="0" w:space="0" w:color="auto"/>
              <w:right w:val="none" w:sz="0" w:space="0" w:color="auto"/>
            </w:tcBorders>
            <w:shd w:val="clear" w:color="auto" w:fill="D8E4BC"/>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0.0</w:t>
            </w:r>
          </w:p>
        </w:tc>
        <w:tc>
          <w:tcPr>
            <w:tcW w:w="1116" w:type="dxa"/>
            <w:tcBorders>
              <w:left w:val="none" w:sz="0" w:space="0" w:color="auto"/>
              <w:right w:val="none" w:sz="0" w:space="0" w:color="auto"/>
            </w:tcBorders>
            <w:shd w:val="clear" w:color="auto" w:fill="CCC0DA"/>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0.2</w:t>
            </w:r>
          </w:p>
        </w:tc>
        <w:tc>
          <w:tcPr>
            <w:tcW w:w="1116" w:type="dxa"/>
            <w:tcBorders>
              <w:left w:val="none" w:sz="0" w:space="0" w:color="auto"/>
              <w:right w:val="none" w:sz="0" w:space="0" w:color="auto"/>
            </w:tcBorders>
            <w:shd w:val="clear" w:color="auto" w:fill="F8CBAD"/>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0.2</w:t>
            </w:r>
          </w:p>
        </w:tc>
        <w:tc>
          <w:tcPr>
            <w:tcW w:w="1116" w:type="dxa"/>
            <w:tcBorders>
              <w:left w:val="none" w:sz="0" w:space="0" w:color="auto"/>
            </w:tcBorders>
            <w:shd w:val="clear" w:color="auto" w:fill="DBEEF4"/>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Pr>
                <w:rFonts w:eastAsia="Times New Roman" w:cs="Arial"/>
                <w:lang w:eastAsia="ko-KR"/>
              </w:rPr>
              <w:t>0.0</w:t>
            </w: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contextualSpacing/>
              <w:rPr>
                <w:rFonts w:eastAsia="Times New Roman"/>
                <w:b w:val="0"/>
                <w:bCs w:val="0"/>
                <w:i/>
                <w:lang w:eastAsia="ko-KR"/>
              </w:rPr>
            </w:pPr>
            <w:r w:rsidRPr="00125C9F">
              <w:rPr>
                <w:rFonts w:eastAsia="Times New Roman"/>
                <w:b w:val="0"/>
                <w:i/>
                <w:lang w:eastAsia="ko-KR"/>
              </w:rPr>
              <w:t>Age</w:t>
            </w: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7.5 (6.3)</w:t>
            </w: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9.7 (5.9)</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6.4 (5.6)</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7.3 (6.7)</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8.4 (5.5)</w:t>
            </w:r>
          </w:p>
        </w:tc>
        <w:tc>
          <w:tcPr>
            <w:tcW w:w="1116" w:type="dxa"/>
            <w:tcBorders>
              <w:lef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Pr>
                <w:rFonts w:eastAsia="Times New Roman" w:cs="Arial"/>
                <w:lang w:eastAsia="ko-KR"/>
              </w:rPr>
              <w:t>7.5 (5.7)</w:t>
            </w:r>
          </w:p>
        </w:tc>
      </w:tr>
      <w:tr w:rsidR="00F75E7C" w:rsidRPr="00440792" w:rsidTr="00CE1AF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contextualSpacing/>
              <w:rPr>
                <w:rFonts w:eastAsia="Times New Roman"/>
                <w:b w:val="0"/>
                <w:bCs w:val="0"/>
                <w:i/>
                <w:lang w:eastAsia="ko-KR"/>
              </w:rPr>
            </w:pPr>
            <w:r w:rsidRPr="00125C9F">
              <w:rPr>
                <w:rFonts w:eastAsia="Times New Roman"/>
                <w:b w:val="0"/>
                <w:i/>
                <w:lang w:eastAsia="ko-KR"/>
              </w:rPr>
              <w:t>Race</w:t>
            </w:r>
          </w:p>
        </w:tc>
        <w:tc>
          <w:tcPr>
            <w:tcW w:w="1116" w:type="dxa"/>
            <w:tcBorders>
              <w:left w:val="none" w:sz="0" w:space="0" w:color="auto"/>
              <w:right w:val="none" w:sz="0" w:space="0" w:color="auto"/>
            </w:tcBorders>
            <w:shd w:val="clear" w:color="auto" w:fill="B8CCE4"/>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E6B8B7"/>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D8E4BC"/>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CCC0DA"/>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F8CBAD"/>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tcBorders>
            <w:shd w:val="clear" w:color="auto" w:fill="DBEEF4"/>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White</w:t>
            </w: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74.2</w:t>
            </w: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73.9</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71.7</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73.7</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72.7</w:t>
            </w:r>
          </w:p>
        </w:tc>
        <w:tc>
          <w:tcPr>
            <w:tcW w:w="1116" w:type="dxa"/>
            <w:tcBorders>
              <w:lef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Pr>
                <w:rFonts w:eastAsia="Times New Roman"/>
                <w:lang w:eastAsia="ko-KR"/>
              </w:rPr>
              <w:t>74.7</w:t>
            </w:r>
          </w:p>
        </w:tc>
      </w:tr>
      <w:tr w:rsidR="00F75E7C" w:rsidRPr="00440792" w:rsidTr="00CE1AF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Black or African American</w:t>
            </w:r>
          </w:p>
        </w:tc>
        <w:tc>
          <w:tcPr>
            <w:tcW w:w="1116" w:type="dxa"/>
            <w:tcBorders>
              <w:left w:val="none" w:sz="0" w:space="0" w:color="auto"/>
              <w:right w:val="none" w:sz="0" w:space="0" w:color="auto"/>
            </w:tcBorders>
            <w:shd w:val="clear" w:color="auto" w:fill="B8CCE4"/>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16.6</w:t>
            </w:r>
          </w:p>
        </w:tc>
        <w:tc>
          <w:tcPr>
            <w:tcW w:w="1116" w:type="dxa"/>
            <w:tcBorders>
              <w:left w:val="none" w:sz="0" w:space="0" w:color="auto"/>
              <w:right w:val="none" w:sz="0" w:space="0" w:color="auto"/>
            </w:tcBorders>
            <w:shd w:val="clear" w:color="auto" w:fill="E6B8B7"/>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18.4</w:t>
            </w:r>
          </w:p>
        </w:tc>
        <w:tc>
          <w:tcPr>
            <w:tcW w:w="1116" w:type="dxa"/>
            <w:tcBorders>
              <w:left w:val="none" w:sz="0" w:space="0" w:color="auto"/>
              <w:right w:val="none" w:sz="0" w:space="0" w:color="auto"/>
            </w:tcBorders>
            <w:shd w:val="clear" w:color="auto" w:fill="D8E4BC"/>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17.0</w:t>
            </w:r>
          </w:p>
        </w:tc>
        <w:tc>
          <w:tcPr>
            <w:tcW w:w="1116" w:type="dxa"/>
            <w:tcBorders>
              <w:left w:val="none" w:sz="0" w:space="0" w:color="auto"/>
              <w:right w:val="none" w:sz="0" w:space="0" w:color="auto"/>
            </w:tcBorders>
            <w:shd w:val="clear" w:color="auto" w:fill="CCC0DA"/>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16.5</w:t>
            </w:r>
          </w:p>
        </w:tc>
        <w:tc>
          <w:tcPr>
            <w:tcW w:w="1116" w:type="dxa"/>
            <w:tcBorders>
              <w:left w:val="none" w:sz="0" w:space="0" w:color="auto"/>
              <w:right w:val="none" w:sz="0" w:space="0" w:color="auto"/>
            </w:tcBorders>
            <w:shd w:val="clear" w:color="auto" w:fill="F8CBAD"/>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17.8</w:t>
            </w:r>
          </w:p>
        </w:tc>
        <w:tc>
          <w:tcPr>
            <w:tcW w:w="1116" w:type="dxa"/>
            <w:tcBorders>
              <w:left w:val="none" w:sz="0" w:space="0" w:color="auto"/>
            </w:tcBorders>
            <w:shd w:val="clear" w:color="auto" w:fill="DBEEF4"/>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Pr>
                <w:rFonts w:eastAsia="Times New Roman"/>
                <w:lang w:eastAsia="ko-KR"/>
              </w:rPr>
              <w:t>16.1</w:t>
            </w: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American Indian/Alaska Native/Native Hawaiian or Other Pacific Islander</w:t>
            </w: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0.3</w:t>
            </w: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0.1</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0.1</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0.6</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0.6</w:t>
            </w:r>
          </w:p>
        </w:tc>
        <w:tc>
          <w:tcPr>
            <w:tcW w:w="1116" w:type="dxa"/>
            <w:tcBorders>
              <w:lef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Pr>
                <w:rFonts w:eastAsia="Times New Roman"/>
                <w:lang w:eastAsia="ko-KR"/>
              </w:rPr>
              <w:t>.2</w:t>
            </w:r>
          </w:p>
        </w:tc>
      </w:tr>
      <w:tr w:rsidR="00F75E7C" w:rsidRPr="00440792" w:rsidTr="00CE1AF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More than One Race</w:t>
            </w:r>
          </w:p>
        </w:tc>
        <w:tc>
          <w:tcPr>
            <w:tcW w:w="1116" w:type="dxa"/>
            <w:tcBorders>
              <w:left w:val="none" w:sz="0" w:space="0" w:color="auto"/>
              <w:right w:val="none" w:sz="0" w:space="0" w:color="auto"/>
            </w:tcBorders>
            <w:shd w:val="clear" w:color="auto" w:fill="B8CCE4"/>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7.1</w:t>
            </w:r>
          </w:p>
        </w:tc>
        <w:tc>
          <w:tcPr>
            <w:tcW w:w="1116" w:type="dxa"/>
            <w:tcBorders>
              <w:left w:val="none" w:sz="0" w:space="0" w:color="auto"/>
              <w:right w:val="none" w:sz="0" w:space="0" w:color="auto"/>
            </w:tcBorders>
            <w:shd w:val="clear" w:color="auto" w:fill="E6B8B7"/>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6.0</w:t>
            </w:r>
          </w:p>
        </w:tc>
        <w:tc>
          <w:tcPr>
            <w:tcW w:w="1116" w:type="dxa"/>
            <w:tcBorders>
              <w:left w:val="none" w:sz="0" w:space="0" w:color="auto"/>
              <w:right w:val="none" w:sz="0" w:space="0" w:color="auto"/>
            </w:tcBorders>
            <w:shd w:val="clear" w:color="auto" w:fill="D8E4BC"/>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8.9</w:t>
            </w:r>
          </w:p>
        </w:tc>
        <w:tc>
          <w:tcPr>
            <w:tcW w:w="1116" w:type="dxa"/>
            <w:tcBorders>
              <w:left w:val="none" w:sz="0" w:space="0" w:color="auto"/>
              <w:right w:val="none" w:sz="0" w:space="0" w:color="auto"/>
            </w:tcBorders>
            <w:shd w:val="clear" w:color="auto" w:fill="CCC0DA"/>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8.2</w:t>
            </w:r>
          </w:p>
        </w:tc>
        <w:tc>
          <w:tcPr>
            <w:tcW w:w="1116" w:type="dxa"/>
            <w:tcBorders>
              <w:left w:val="none" w:sz="0" w:space="0" w:color="auto"/>
              <w:right w:val="none" w:sz="0" w:space="0" w:color="auto"/>
            </w:tcBorders>
            <w:shd w:val="clear" w:color="auto" w:fill="F8CBAD"/>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sidRPr="00440792">
              <w:rPr>
                <w:rFonts w:eastAsia="Times New Roman"/>
                <w:lang w:eastAsia="ko-KR"/>
              </w:rPr>
              <w:t>7.6</w:t>
            </w:r>
          </w:p>
        </w:tc>
        <w:tc>
          <w:tcPr>
            <w:tcW w:w="1116" w:type="dxa"/>
            <w:tcBorders>
              <w:left w:val="none" w:sz="0" w:space="0" w:color="auto"/>
            </w:tcBorders>
            <w:shd w:val="clear" w:color="auto" w:fill="DBEEF4"/>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lang w:eastAsia="ko-KR"/>
              </w:rPr>
            </w:pPr>
            <w:r>
              <w:rPr>
                <w:rFonts w:eastAsia="Times New Roman"/>
                <w:lang w:eastAsia="ko-KR"/>
              </w:rPr>
              <w:t>7.7</w:t>
            </w: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 xml:space="preserve">Other </w:t>
            </w: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1.8</w:t>
            </w: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1.6</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1.8</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1.0</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lang w:eastAsia="ko-KR"/>
              </w:rPr>
              <w:t>1.3</w:t>
            </w:r>
          </w:p>
        </w:tc>
        <w:tc>
          <w:tcPr>
            <w:tcW w:w="1116" w:type="dxa"/>
            <w:tcBorders>
              <w:lef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Pr>
                <w:rFonts w:eastAsia="Times New Roman"/>
                <w:lang w:eastAsia="ko-KR"/>
              </w:rPr>
              <w:t>1.1</w:t>
            </w:r>
          </w:p>
        </w:tc>
      </w:tr>
      <w:tr w:rsidR="00F75E7C" w:rsidRPr="00440792" w:rsidTr="00CE1AF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contextualSpacing/>
              <w:rPr>
                <w:rFonts w:eastAsia="Times New Roman"/>
                <w:b w:val="0"/>
                <w:bCs w:val="0"/>
                <w:i/>
                <w:lang w:eastAsia="ko-KR"/>
              </w:rPr>
            </w:pPr>
            <w:r w:rsidRPr="00125C9F">
              <w:rPr>
                <w:rFonts w:eastAsia="Times New Roman"/>
                <w:b w:val="0"/>
                <w:i/>
                <w:lang w:eastAsia="ko-KR"/>
              </w:rPr>
              <w:t>Ethnicity</w:t>
            </w:r>
          </w:p>
        </w:tc>
        <w:tc>
          <w:tcPr>
            <w:tcW w:w="1116" w:type="dxa"/>
            <w:tcBorders>
              <w:left w:val="none" w:sz="0" w:space="0" w:color="auto"/>
              <w:right w:val="none" w:sz="0" w:space="0" w:color="auto"/>
            </w:tcBorders>
            <w:shd w:val="clear" w:color="auto" w:fill="B8CCE4"/>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E6B8B7"/>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D8E4BC"/>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CCC0DA"/>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F8CBAD"/>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tcBorders>
            <w:shd w:val="clear" w:color="auto" w:fill="DBEEF4"/>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left="697"/>
              <w:contextualSpacing/>
              <w:rPr>
                <w:rFonts w:eastAsia="Times New Roman"/>
                <w:b w:val="0"/>
                <w:lang w:eastAsia="ko-KR"/>
              </w:rPr>
            </w:pPr>
            <w:r w:rsidRPr="00125C9F">
              <w:rPr>
                <w:rFonts w:eastAsia="Times New Roman"/>
                <w:b w:val="0"/>
                <w:lang w:eastAsia="ko-KR"/>
              </w:rPr>
              <w:t>Hispanic</w:t>
            </w: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6.8</w:t>
            </w: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5.4</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9.4</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6.2</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sidRPr="00440792">
              <w:rPr>
                <w:rFonts w:eastAsia="Times New Roman" w:cs="Arial"/>
                <w:lang w:eastAsia="ko-KR"/>
              </w:rPr>
              <w:t>7.0</w:t>
            </w:r>
          </w:p>
        </w:tc>
        <w:tc>
          <w:tcPr>
            <w:tcW w:w="1116" w:type="dxa"/>
            <w:tcBorders>
              <w:lef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Pr>
                <w:rFonts w:eastAsia="Times New Roman" w:cs="Arial"/>
                <w:lang w:eastAsia="ko-KR"/>
              </w:rPr>
              <w:t>6.3</w:t>
            </w:r>
          </w:p>
        </w:tc>
      </w:tr>
      <w:tr w:rsidR="00F75E7C" w:rsidRPr="00440792" w:rsidTr="00CE1AF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contextualSpacing/>
              <w:rPr>
                <w:rFonts w:eastAsia="Times New Roman"/>
                <w:b w:val="0"/>
                <w:lang w:eastAsia="ko-KR"/>
              </w:rPr>
            </w:pPr>
            <w:r w:rsidRPr="00125C9F">
              <w:rPr>
                <w:rFonts w:eastAsia="Times New Roman"/>
                <w:b w:val="0"/>
                <w:i/>
                <w:lang w:eastAsia="ko-KR"/>
              </w:rPr>
              <w:t>US Citizen</w:t>
            </w:r>
          </w:p>
        </w:tc>
        <w:tc>
          <w:tcPr>
            <w:tcW w:w="1116" w:type="dxa"/>
            <w:tcBorders>
              <w:left w:val="none" w:sz="0" w:space="0" w:color="auto"/>
              <w:right w:val="none" w:sz="0" w:space="0" w:color="auto"/>
            </w:tcBorders>
            <w:shd w:val="clear" w:color="auto" w:fill="B8CCE4"/>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E6B8B7"/>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D8E4BC"/>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CCC0DA"/>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right w:val="none" w:sz="0" w:space="0" w:color="auto"/>
            </w:tcBorders>
            <w:shd w:val="clear" w:color="auto" w:fill="F8CBAD"/>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c>
          <w:tcPr>
            <w:tcW w:w="1116" w:type="dxa"/>
            <w:tcBorders>
              <w:left w:val="none" w:sz="0" w:space="0" w:color="auto"/>
            </w:tcBorders>
            <w:shd w:val="clear" w:color="auto" w:fill="DBEEF4"/>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ind w:firstLine="693"/>
              <w:contextualSpacing/>
              <w:rPr>
                <w:rFonts w:eastAsia="Times New Roman"/>
                <w:b w:val="0"/>
                <w:bCs w:val="0"/>
                <w:i/>
                <w:lang w:eastAsia="ko-KR"/>
              </w:rPr>
            </w:pPr>
            <w:r w:rsidRPr="00125C9F">
              <w:rPr>
                <w:rFonts w:eastAsia="Times New Roman"/>
                <w:b w:val="0"/>
                <w:lang w:eastAsia="ko-KR"/>
              </w:rPr>
              <w:t>Yes</w:t>
            </w: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cs="Arial"/>
                <w:lang w:eastAsia="ko-KR"/>
              </w:rPr>
              <w:t>N/A</w:t>
            </w:r>
          </w:p>
        </w:tc>
        <w:tc>
          <w:tcPr>
            <w:tcW w:w="1116" w:type="dxa"/>
            <w:tcBorders>
              <w:left w:val="none" w:sz="0" w:space="0" w:color="auto"/>
              <w:right w:val="none" w:sz="0" w:space="0" w:color="auto"/>
            </w:tcBorders>
            <w:noWrap/>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cs="Arial"/>
                <w:lang w:eastAsia="ko-KR"/>
              </w:rPr>
              <w:t>N/A</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cs="Arial"/>
                <w:lang w:eastAsia="ko-KR"/>
              </w:rPr>
              <w:t>N/A</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cs="Arial"/>
                <w:lang w:eastAsia="ko-KR"/>
              </w:rPr>
              <w:t>99.2</w:t>
            </w:r>
          </w:p>
        </w:tc>
        <w:tc>
          <w:tcPr>
            <w:tcW w:w="1116" w:type="dxa"/>
            <w:tcBorders>
              <w:left w:val="none" w:sz="0" w:space="0" w:color="auto"/>
              <w:righ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lang w:eastAsia="ko-KR"/>
              </w:rPr>
            </w:pPr>
            <w:r w:rsidRPr="00440792">
              <w:rPr>
                <w:rFonts w:eastAsia="Times New Roman" w:cs="Arial"/>
                <w:lang w:eastAsia="ko-KR"/>
              </w:rPr>
              <w:t>99.8</w:t>
            </w:r>
          </w:p>
        </w:tc>
        <w:tc>
          <w:tcPr>
            <w:tcW w:w="1116" w:type="dxa"/>
            <w:tcBorders>
              <w:left w:val="none" w:sz="0" w:space="0" w:color="auto"/>
            </w:tcBorders>
            <w:vAlign w:val="bottom"/>
          </w:tcPr>
          <w:p w:rsidR="00F75E7C" w:rsidRPr="00440792" w:rsidRDefault="00F75E7C" w:rsidP="00CE1AFB">
            <w:pPr>
              <w:contextualSpacing/>
              <w:jc w:val="center"/>
              <w:cnfStyle w:val="000000010000" w:firstRow="0" w:lastRow="0" w:firstColumn="0" w:lastColumn="0" w:oddVBand="0" w:evenVBand="0" w:oddHBand="0" w:evenHBand="1" w:firstRowFirstColumn="0" w:firstRowLastColumn="0" w:lastRowFirstColumn="0" w:lastRowLastColumn="0"/>
              <w:rPr>
                <w:rFonts w:eastAsia="Times New Roman" w:cs="Arial"/>
                <w:lang w:eastAsia="ko-KR"/>
              </w:rPr>
            </w:pPr>
            <w:r>
              <w:rPr>
                <w:rFonts w:eastAsia="Times New Roman" w:cs="Arial"/>
                <w:lang w:eastAsia="ko-KR"/>
              </w:rPr>
              <w:t>99.8</w:t>
            </w:r>
          </w:p>
        </w:tc>
      </w:tr>
      <w:tr w:rsidR="00F75E7C" w:rsidRPr="00440792" w:rsidTr="00CE1AF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contextualSpacing/>
              <w:rPr>
                <w:rFonts w:eastAsia="Times New Roman"/>
                <w:b w:val="0"/>
                <w:lang w:eastAsia="ko-KR"/>
              </w:rPr>
            </w:pPr>
            <w:r w:rsidRPr="00125C9F">
              <w:rPr>
                <w:rFonts w:eastAsia="Times New Roman"/>
                <w:b w:val="0"/>
                <w:i/>
                <w:lang w:eastAsia="ko-KR"/>
              </w:rPr>
              <w:t>Number of FCMs that served the case</w:t>
            </w:r>
          </w:p>
        </w:tc>
        <w:tc>
          <w:tcPr>
            <w:tcW w:w="1116" w:type="dxa"/>
            <w:tcBorders>
              <w:left w:val="none" w:sz="0" w:space="0" w:color="auto"/>
              <w:right w:val="none" w:sz="0" w:space="0" w:color="auto"/>
            </w:tcBorders>
            <w:shd w:val="clear" w:color="auto" w:fill="B8CCE4"/>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0.8 (1.1)</w:t>
            </w:r>
          </w:p>
        </w:tc>
        <w:tc>
          <w:tcPr>
            <w:tcW w:w="1116" w:type="dxa"/>
            <w:tcBorders>
              <w:left w:val="none" w:sz="0" w:space="0" w:color="auto"/>
              <w:right w:val="none" w:sz="0" w:space="0" w:color="auto"/>
            </w:tcBorders>
            <w:shd w:val="clear" w:color="auto" w:fill="E6B8B7"/>
            <w:noWrap/>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0.9 (1.1)</w:t>
            </w:r>
          </w:p>
        </w:tc>
        <w:tc>
          <w:tcPr>
            <w:tcW w:w="1116" w:type="dxa"/>
            <w:tcBorders>
              <w:left w:val="none" w:sz="0" w:space="0" w:color="auto"/>
              <w:right w:val="none" w:sz="0" w:space="0" w:color="auto"/>
            </w:tcBorders>
            <w:shd w:val="clear" w:color="auto" w:fill="D8E4BC"/>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1.1 (0.3)</w:t>
            </w:r>
          </w:p>
        </w:tc>
        <w:tc>
          <w:tcPr>
            <w:tcW w:w="1116" w:type="dxa"/>
            <w:tcBorders>
              <w:left w:val="none" w:sz="0" w:space="0" w:color="auto"/>
              <w:right w:val="none" w:sz="0" w:space="0" w:color="auto"/>
            </w:tcBorders>
            <w:shd w:val="clear" w:color="auto" w:fill="CCC0DA"/>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1.2 (4.0)</w:t>
            </w:r>
          </w:p>
        </w:tc>
        <w:tc>
          <w:tcPr>
            <w:tcW w:w="1116" w:type="dxa"/>
            <w:tcBorders>
              <w:left w:val="none" w:sz="0" w:space="0" w:color="auto"/>
              <w:right w:val="none" w:sz="0" w:space="0" w:color="auto"/>
            </w:tcBorders>
            <w:shd w:val="clear" w:color="auto" w:fill="F8CBAD"/>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sidRPr="00440792">
              <w:rPr>
                <w:rFonts w:eastAsia="Times New Roman" w:cs="Arial"/>
                <w:lang w:eastAsia="ko-KR"/>
              </w:rPr>
              <w:t>1.1 (0.2)</w:t>
            </w:r>
          </w:p>
        </w:tc>
        <w:tc>
          <w:tcPr>
            <w:tcW w:w="1116" w:type="dxa"/>
            <w:tcBorders>
              <w:left w:val="none" w:sz="0" w:space="0" w:color="auto"/>
            </w:tcBorders>
            <w:shd w:val="clear" w:color="auto" w:fill="DBEEF4"/>
            <w:vAlign w:val="bottom"/>
          </w:tcPr>
          <w:p w:rsidR="00F75E7C" w:rsidRPr="00440792" w:rsidRDefault="00F75E7C" w:rsidP="00CE1AFB">
            <w:pPr>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ko-KR"/>
              </w:rPr>
            </w:pPr>
            <w:r>
              <w:rPr>
                <w:rFonts w:eastAsia="Times New Roman" w:cs="Arial"/>
                <w:lang w:eastAsia="ko-KR"/>
              </w:rPr>
              <w:t>1.1 (.2)</w:t>
            </w:r>
          </w:p>
        </w:tc>
      </w:tr>
      <w:tr w:rsidR="00F75E7C" w:rsidRPr="00440792" w:rsidTr="00CE1AFB">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noWrap/>
            <w:hideMark/>
          </w:tcPr>
          <w:p w:rsidR="00F75E7C" w:rsidRPr="00125C9F" w:rsidRDefault="00F75E7C" w:rsidP="00CE1AFB">
            <w:pPr>
              <w:rPr>
                <w:b w:val="0"/>
              </w:rPr>
            </w:pPr>
            <w:r w:rsidRPr="00125C9F">
              <w:rPr>
                <w:b w:val="0"/>
              </w:rPr>
              <w:t>Difficulty of the case (1=not challenging- 10=very challenging</w:t>
            </w:r>
          </w:p>
        </w:tc>
        <w:tc>
          <w:tcPr>
            <w:tcW w:w="1116" w:type="dxa"/>
            <w:tcBorders>
              <w:left w:val="none" w:sz="0" w:space="0" w:color="auto"/>
              <w:right w:val="none" w:sz="0" w:space="0" w:color="auto"/>
            </w:tcBorders>
            <w:noWrap/>
          </w:tcPr>
          <w:p w:rsidR="00F75E7C" w:rsidRPr="00255D3F" w:rsidRDefault="00F75E7C" w:rsidP="00CE1AFB">
            <w:pPr>
              <w:cnfStyle w:val="000000010000" w:firstRow="0" w:lastRow="0" w:firstColumn="0" w:lastColumn="0" w:oddVBand="0" w:evenVBand="0" w:oddHBand="0" w:evenHBand="1" w:firstRowFirstColumn="0" w:firstRowLastColumn="0" w:lastRowFirstColumn="0" w:lastRowLastColumn="0"/>
            </w:pPr>
            <w:r w:rsidRPr="00255D3F">
              <w:t>-</w:t>
            </w:r>
          </w:p>
        </w:tc>
        <w:tc>
          <w:tcPr>
            <w:tcW w:w="1116" w:type="dxa"/>
            <w:tcBorders>
              <w:left w:val="none" w:sz="0" w:space="0" w:color="auto"/>
              <w:right w:val="none" w:sz="0" w:space="0" w:color="auto"/>
            </w:tcBorders>
            <w:noWrap/>
          </w:tcPr>
          <w:p w:rsidR="00F75E7C" w:rsidRPr="00255D3F" w:rsidRDefault="00F75E7C" w:rsidP="00CE1AFB">
            <w:pPr>
              <w:cnfStyle w:val="000000010000" w:firstRow="0" w:lastRow="0" w:firstColumn="0" w:lastColumn="0" w:oddVBand="0" w:evenVBand="0" w:oddHBand="0" w:evenHBand="1" w:firstRowFirstColumn="0" w:firstRowLastColumn="0" w:lastRowFirstColumn="0" w:lastRowLastColumn="0"/>
            </w:pPr>
            <w:r w:rsidRPr="00255D3F">
              <w:t>-</w:t>
            </w:r>
          </w:p>
        </w:tc>
        <w:tc>
          <w:tcPr>
            <w:tcW w:w="1116" w:type="dxa"/>
            <w:tcBorders>
              <w:left w:val="none" w:sz="0" w:space="0" w:color="auto"/>
              <w:right w:val="none" w:sz="0" w:space="0" w:color="auto"/>
            </w:tcBorders>
          </w:tcPr>
          <w:p w:rsidR="00F75E7C" w:rsidRPr="00255D3F" w:rsidRDefault="00F75E7C" w:rsidP="00CE1AFB">
            <w:pPr>
              <w:cnfStyle w:val="000000010000" w:firstRow="0" w:lastRow="0" w:firstColumn="0" w:lastColumn="0" w:oddVBand="0" w:evenVBand="0" w:oddHBand="0" w:evenHBand="1" w:firstRowFirstColumn="0" w:firstRowLastColumn="0" w:lastRowFirstColumn="0" w:lastRowLastColumn="0"/>
            </w:pPr>
            <w:r w:rsidRPr="00255D3F">
              <w:t>-</w:t>
            </w:r>
          </w:p>
        </w:tc>
        <w:tc>
          <w:tcPr>
            <w:tcW w:w="1116" w:type="dxa"/>
            <w:tcBorders>
              <w:left w:val="none" w:sz="0" w:space="0" w:color="auto"/>
              <w:right w:val="none" w:sz="0" w:space="0" w:color="auto"/>
            </w:tcBorders>
          </w:tcPr>
          <w:p w:rsidR="00F75E7C" w:rsidRPr="00255D3F" w:rsidRDefault="00F75E7C" w:rsidP="00CE1AFB">
            <w:pPr>
              <w:cnfStyle w:val="000000010000" w:firstRow="0" w:lastRow="0" w:firstColumn="0" w:lastColumn="0" w:oddVBand="0" w:evenVBand="0" w:oddHBand="0" w:evenHBand="1" w:firstRowFirstColumn="0" w:firstRowLastColumn="0" w:lastRowFirstColumn="0" w:lastRowLastColumn="0"/>
            </w:pPr>
            <w:r w:rsidRPr="00255D3F">
              <w:t>-</w:t>
            </w:r>
          </w:p>
        </w:tc>
        <w:tc>
          <w:tcPr>
            <w:tcW w:w="1116" w:type="dxa"/>
            <w:tcBorders>
              <w:left w:val="none" w:sz="0" w:space="0" w:color="auto"/>
              <w:right w:val="none" w:sz="0" w:space="0" w:color="auto"/>
            </w:tcBorders>
          </w:tcPr>
          <w:p w:rsidR="00F75E7C" w:rsidRPr="00255D3F" w:rsidRDefault="00F75E7C" w:rsidP="00CE1AFB">
            <w:pPr>
              <w:cnfStyle w:val="000000010000" w:firstRow="0" w:lastRow="0" w:firstColumn="0" w:lastColumn="0" w:oddVBand="0" w:evenVBand="0" w:oddHBand="0" w:evenHBand="1" w:firstRowFirstColumn="0" w:firstRowLastColumn="0" w:lastRowFirstColumn="0" w:lastRowLastColumn="0"/>
            </w:pPr>
            <w:r w:rsidRPr="00255D3F">
              <w:t>-</w:t>
            </w:r>
          </w:p>
        </w:tc>
        <w:tc>
          <w:tcPr>
            <w:tcW w:w="1116" w:type="dxa"/>
            <w:tcBorders>
              <w:left w:val="none" w:sz="0" w:space="0" w:color="auto"/>
            </w:tcBorders>
          </w:tcPr>
          <w:p w:rsidR="00F75E7C" w:rsidRDefault="00F75E7C" w:rsidP="00CE1AFB">
            <w:pPr>
              <w:cnfStyle w:val="000000010000" w:firstRow="0" w:lastRow="0" w:firstColumn="0" w:lastColumn="0" w:oddVBand="0" w:evenVBand="0" w:oddHBand="0" w:evenHBand="1" w:firstRowFirstColumn="0" w:firstRowLastColumn="0" w:lastRowFirstColumn="0" w:lastRowLastColumn="0"/>
            </w:pPr>
            <w:r w:rsidRPr="00255D3F">
              <w:t>4.2 (2.6)</w:t>
            </w:r>
          </w:p>
        </w:tc>
      </w:tr>
    </w:tbl>
    <w:p w:rsidR="00F75E7C" w:rsidRPr="00125C9F" w:rsidRDefault="00F75E7C" w:rsidP="00F75E7C"/>
    <w:p w:rsidR="00F75E7C" w:rsidRDefault="00F75E7C" w:rsidP="00F75E7C">
      <w:pPr>
        <w:spacing w:after="200" w:line="276" w:lineRule="auto"/>
      </w:pPr>
    </w:p>
    <w:p w:rsidR="00F75E7C" w:rsidRDefault="00F75E7C" w:rsidP="00F75E7C">
      <w:pPr>
        <w:pStyle w:val="Heading4"/>
      </w:pPr>
      <w:r w:rsidRPr="00440792">
        <w:t xml:space="preserve">Figure </w:t>
      </w:r>
      <w:r w:rsidR="008741B0">
        <w:t>22</w:t>
      </w:r>
      <w:r w:rsidRPr="00440792">
        <w:t>.  Safety, Permanency, and Well-being (Range 1-</w:t>
      </w:r>
      <w:r>
        <w:t>5</w:t>
      </w:r>
      <w:r w:rsidRPr="00440792">
        <w:t>)</w:t>
      </w:r>
      <w:r>
        <w:rPr>
          <w:noProof/>
        </w:rPr>
        <w:drawing>
          <wp:inline distT="0" distB="0" distL="0" distR="0" wp14:anchorId="2CDDB772" wp14:editId="50D36B60">
            <wp:extent cx="8201025" cy="4191000"/>
            <wp:effectExtent l="0" t="0" r="9525"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F75E7C" w:rsidRDefault="00F75E7C" w:rsidP="00F75E7C">
      <w:pPr>
        <w:pStyle w:val="Heading4"/>
      </w:pPr>
      <w:r w:rsidRPr="00440792">
        <w:t xml:space="preserve">Figure </w:t>
      </w:r>
      <w:r w:rsidR="008741B0">
        <w:t>23.</w:t>
      </w:r>
      <w:r w:rsidRPr="00E65F8B">
        <w:t xml:space="preserve"> Well-being domains (Range 1-6)</w:t>
      </w:r>
      <w:r>
        <w:rPr>
          <w:noProof/>
        </w:rPr>
        <w:drawing>
          <wp:inline distT="0" distB="0" distL="0" distR="0" wp14:anchorId="59CB2F58" wp14:editId="62E42B44">
            <wp:extent cx="8134350" cy="4274289"/>
            <wp:effectExtent l="0" t="0" r="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Pr>
          <w:noProof/>
        </w:rPr>
        <w:drawing>
          <wp:inline distT="0" distB="0" distL="0" distR="0" wp14:anchorId="665CC9E9" wp14:editId="10BAD34D">
            <wp:extent cx="8153400" cy="3962400"/>
            <wp:effectExtent l="0" t="0" r="0"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AF570A" w:rsidRDefault="00AF570A" w:rsidP="00F75E7C"/>
    <w:p w:rsidR="00AF570A" w:rsidRDefault="00AF570A" w:rsidP="00F75E7C"/>
    <w:p w:rsidR="00AF570A" w:rsidRDefault="00AF570A" w:rsidP="00F75E7C"/>
    <w:p w:rsidR="00AF570A" w:rsidRDefault="00AF570A" w:rsidP="00F75E7C"/>
    <w:p w:rsidR="00AF570A" w:rsidRDefault="00AF570A" w:rsidP="00F75E7C"/>
    <w:p w:rsidR="00AF570A" w:rsidRDefault="00AF570A" w:rsidP="00F75E7C"/>
    <w:p w:rsidR="00AF570A" w:rsidRDefault="00AF570A" w:rsidP="00F75E7C"/>
    <w:p w:rsidR="00AF570A" w:rsidRDefault="00AF570A" w:rsidP="00F75E7C"/>
    <w:p w:rsidR="00F75E7C" w:rsidRDefault="00F75E7C" w:rsidP="00F75E7C">
      <w:r>
        <w:t>FCMs perceptions of their last closed case were similar to the previous year, but continue to be higher in all domains than the earlier iterations of 2013 through 2015.  Closed cases continued to be rated higher than opened cases, but had the smallest gains in developmental status and learning status.  And although permanency had a slight decline in case close ratings, the increase from open to close widened slightly.</w:t>
      </w:r>
    </w:p>
    <w:p w:rsidR="00F75E7C" w:rsidRDefault="00F75E7C" w:rsidP="00F75E7C"/>
    <w:p w:rsidR="00E30EF2" w:rsidRDefault="00E30EF2" w:rsidP="00F75E7C">
      <w:r>
        <w:t xml:space="preserve">The status of the closed cases over the rounds is displayed in Table </w:t>
      </w:r>
      <w:r w:rsidR="00AF33B8">
        <w:t>2</w:t>
      </w:r>
      <w:r w:rsidR="002A34BA">
        <w:t>6</w:t>
      </w:r>
      <w:r>
        <w:t>.  Reunification remained the most common case closure type throughout the demonstration and extension, but the proportion declined slightly by 2018 with a slight increase in adoptions.</w:t>
      </w:r>
    </w:p>
    <w:p w:rsidR="006239E8" w:rsidRPr="00F75E7C" w:rsidRDefault="00E30EF2" w:rsidP="00F75E7C">
      <w:r>
        <w:t xml:space="preserve"> </w:t>
      </w:r>
    </w:p>
    <w:p w:rsidR="00F75E7C" w:rsidRPr="00577282" w:rsidRDefault="00F75E7C" w:rsidP="00F75E7C">
      <w:pPr>
        <w:pStyle w:val="Heading4"/>
      </w:pPr>
      <w:r>
        <w:t xml:space="preserve">Table </w:t>
      </w:r>
      <w:r w:rsidR="002A34BA">
        <w:t>26</w:t>
      </w:r>
      <w:r>
        <w:t xml:space="preserve">. </w:t>
      </w:r>
      <w:r w:rsidRPr="0049667F">
        <w:t>Status of the Most recently Closed case</w:t>
      </w:r>
    </w:p>
    <w:tbl>
      <w:tblPr>
        <w:tblStyle w:val="GridTable4-Accent111"/>
        <w:tblW w:w="9535" w:type="dxa"/>
        <w:tblLook w:val="0420" w:firstRow="1" w:lastRow="0" w:firstColumn="0" w:lastColumn="0" w:noHBand="0" w:noVBand="1"/>
      </w:tblPr>
      <w:tblGrid>
        <w:gridCol w:w="2564"/>
        <w:gridCol w:w="1161"/>
        <w:gridCol w:w="1162"/>
        <w:gridCol w:w="1162"/>
        <w:gridCol w:w="1162"/>
        <w:gridCol w:w="1162"/>
        <w:gridCol w:w="1162"/>
      </w:tblGrid>
      <w:tr w:rsidR="00D429F4" w:rsidRPr="00440792" w:rsidTr="00D345D8">
        <w:trPr>
          <w:cnfStyle w:val="100000000000" w:firstRow="1" w:lastRow="0" w:firstColumn="0" w:lastColumn="0" w:oddVBand="0" w:evenVBand="0" w:oddHBand="0" w:evenHBand="0" w:firstRowFirstColumn="0" w:firstRowLastColumn="0" w:lastRowFirstColumn="0" w:lastRowLastColumn="0"/>
          <w:trHeight w:val="70"/>
        </w:trPr>
        <w:tc>
          <w:tcPr>
            <w:tcW w:w="2564" w:type="dxa"/>
            <w:hideMark/>
          </w:tcPr>
          <w:p w:rsidR="00D429F4" w:rsidRPr="00440792" w:rsidRDefault="00D429F4" w:rsidP="00CE1AFB">
            <w:pPr>
              <w:spacing w:after="160" w:line="259" w:lineRule="auto"/>
            </w:pPr>
            <w:r w:rsidRPr="00440792">
              <w:t> </w:t>
            </w:r>
          </w:p>
        </w:tc>
        <w:tc>
          <w:tcPr>
            <w:tcW w:w="6971" w:type="dxa"/>
            <w:gridSpan w:val="6"/>
            <w:vAlign w:val="bottom"/>
          </w:tcPr>
          <w:p w:rsidR="00D429F4" w:rsidRPr="00440792" w:rsidRDefault="00D429F4" w:rsidP="00CE1AFB">
            <w:pPr>
              <w:jc w:val="center"/>
            </w:pPr>
            <w:r w:rsidRPr="00440792">
              <w:t>Percent</w:t>
            </w:r>
          </w:p>
        </w:tc>
      </w:tr>
      <w:tr w:rsidR="00F75E7C" w:rsidRPr="00440792" w:rsidTr="00CE1AFB">
        <w:trPr>
          <w:cnfStyle w:val="000000100000" w:firstRow="0" w:lastRow="0" w:firstColumn="0" w:lastColumn="0" w:oddVBand="0" w:evenVBand="0" w:oddHBand="1" w:evenHBand="0" w:firstRowFirstColumn="0" w:firstRowLastColumn="0" w:lastRowFirstColumn="0" w:lastRowLastColumn="0"/>
          <w:trHeight w:val="367"/>
        </w:trPr>
        <w:tc>
          <w:tcPr>
            <w:tcW w:w="2564" w:type="dxa"/>
          </w:tcPr>
          <w:p w:rsidR="00F75E7C" w:rsidRPr="00440792" w:rsidRDefault="00F75E7C" w:rsidP="00CE1AFB">
            <w:pPr>
              <w:rPr>
                <w:b/>
              </w:rPr>
            </w:pPr>
          </w:p>
        </w:tc>
        <w:tc>
          <w:tcPr>
            <w:tcW w:w="1161" w:type="dxa"/>
            <w:shd w:val="clear" w:color="auto" w:fill="4F81BD"/>
            <w:vAlign w:val="bottom"/>
          </w:tcPr>
          <w:p w:rsidR="00F75E7C" w:rsidRPr="00440792" w:rsidRDefault="00F75E7C" w:rsidP="00CE1AFB">
            <w:pPr>
              <w:jc w:val="center"/>
              <w:rPr>
                <w:b/>
                <w:color w:val="FFFFFF" w:themeColor="background1"/>
              </w:rPr>
            </w:pPr>
            <w:r w:rsidRPr="00440792">
              <w:rPr>
                <w:b/>
                <w:color w:val="FFFFFF" w:themeColor="background1"/>
              </w:rPr>
              <w:t>2013</w:t>
            </w:r>
          </w:p>
        </w:tc>
        <w:tc>
          <w:tcPr>
            <w:tcW w:w="1162" w:type="dxa"/>
            <w:shd w:val="clear" w:color="auto" w:fill="C0504D"/>
            <w:vAlign w:val="bottom"/>
          </w:tcPr>
          <w:p w:rsidR="00F75E7C" w:rsidRPr="00440792" w:rsidRDefault="00F75E7C" w:rsidP="00CE1AFB">
            <w:pPr>
              <w:jc w:val="center"/>
              <w:rPr>
                <w:b/>
                <w:color w:val="FFFFFF" w:themeColor="background1"/>
              </w:rPr>
            </w:pPr>
            <w:r w:rsidRPr="00440792">
              <w:rPr>
                <w:b/>
                <w:color w:val="FFFFFF" w:themeColor="background1"/>
              </w:rPr>
              <w:t>2014</w:t>
            </w:r>
          </w:p>
        </w:tc>
        <w:tc>
          <w:tcPr>
            <w:tcW w:w="1162" w:type="dxa"/>
            <w:shd w:val="clear" w:color="auto" w:fill="9BBB59"/>
            <w:vAlign w:val="bottom"/>
          </w:tcPr>
          <w:p w:rsidR="00F75E7C" w:rsidRPr="00440792" w:rsidRDefault="00F75E7C" w:rsidP="00CE1AFB">
            <w:pPr>
              <w:jc w:val="center"/>
              <w:rPr>
                <w:b/>
                <w:color w:val="FFFFFF" w:themeColor="background1"/>
              </w:rPr>
            </w:pPr>
            <w:r w:rsidRPr="00440792">
              <w:rPr>
                <w:b/>
                <w:color w:val="FFFFFF" w:themeColor="background1"/>
              </w:rPr>
              <w:t>2015</w:t>
            </w:r>
          </w:p>
        </w:tc>
        <w:tc>
          <w:tcPr>
            <w:tcW w:w="1162" w:type="dxa"/>
            <w:shd w:val="clear" w:color="auto" w:fill="8064A2"/>
            <w:vAlign w:val="bottom"/>
          </w:tcPr>
          <w:p w:rsidR="00F75E7C" w:rsidRPr="00440792" w:rsidRDefault="00F75E7C" w:rsidP="00CE1AFB">
            <w:pPr>
              <w:jc w:val="center"/>
              <w:rPr>
                <w:b/>
                <w:color w:val="FFFFFF" w:themeColor="background1"/>
              </w:rPr>
            </w:pPr>
            <w:r w:rsidRPr="00440792">
              <w:rPr>
                <w:b/>
                <w:color w:val="FFFFFF" w:themeColor="background1"/>
              </w:rPr>
              <w:t>2016</w:t>
            </w:r>
          </w:p>
        </w:tc>
        <w:tc>
          <w:tcPr>
            <w:tcW w:w="1162" w:type="dxa"/>
            <w:shd w:val="clear" w:color="auto" w:fill="F79646"/>
            <w:vAlign w:val="bottom"/>
          </w:tcPr>
          <w:p w:rsidR="00F75E7C" w:rsidRPr="00440792" w:rsidRDefault="00F75E7C" w:rsidP="00CE1AFB">
            <w:pPr>
              <w:jc w:val="center"/>
              <w:rPr>
                <w:b/>
                <w:color w:val="FFFFFF" w:themeColor="background1"/>
              </w:rPr>
            </w:pPr>
            <w:r w:rsidRPr="00440792">
              <w:rPr>
                <w:b/>
                <w:color w:val="FFFFFF" w:themeColor="background1"/>
              </w:rPr>
              <w:t>2017</w:t>
            </w:r>
          </w:p>
        </w:tc>
        <w:tc>
          <w:tcPr>
            <w:tcW w:w="1162" w:type="dxa"/>
            <w:shd w:val="clear" w:color="auto" w:fill="4BACC6"/>
            <w:vAlign w:val="bottom"/>
          </w:tcPr>
          <w:p w:rsidR="00F75E7C" w:rsidRPr="00440792" w:rsidRDefault="00F75E7C" w:rsidP="00CE1AFB">
            <w:pPr>
              <w:jc w:val="center"/>
              <w:rPr>
                <w:b/>
                <w:color w:val="FFFFFF" w:themeColor="background1"/>
              </w:rPr>
            </w:pPr>
            <w:r>
              <w:rPr>
                <w:b/>
                <w:color w:val="FFFFFF" w:themeColor="background1"/>
              </w:rPr>
              <w:t>2018</w:t>
            </w:r>
          </w:p>
        </w:tc>
      </w:tr>
      <w:tr w:rsidR="00F75E7C" w:rsidRPr="00440792" w:rsidTr="00CE1AFB">
        <w:trPr>
          <w:trHeight w:val="60"/>
        </w:trPr>
        <w:tc>
          <w:tcPr>
            <w:tcW w:w="2564" w:type="dxa"/>
            <w:vAlign w:val="bottom"/>
            <w:hideMark/>
          </w:tcPr>
          <w:p w:rsidR="00F75E7C" w:rsidRPr="0049667F" w:rsidRDefault="00F75E7C" w:rsidP="00CE1AFB">
            <w:r w:rsidRPr="0049667F">
              <w:t>Reunification</w:t>
            </w:r>
          </w:p>
        </w:tc>
        <w:tc>
          <w:tcPr>
            <w:tcW w:w="1161" w:type="dxa"/>
            <w:vAlign w:val="bottom"/>
          </w:tcPr>
          <w:p w:rsidR="00F75E7C" w:rsidRPr="00440792" w:rsidRDefault="00F75E7C" w:rsidP="00CE1AFB">
            <w:pPr>
              <w:jc w:val="center"/>
            </w:pPr>
            <w:r w:rsidRPr="00440792">
              <w:t>70.6</w:t>
            </w:r>
          </w:p>
        </w:tc>
        <w:tc>
          <w:tcPr>
            <w:tcW w:w="1162" w:type="dxa"/>
            <w:vAlign w:val="bottom"/>
          </w:tcPr>
          <w:p w:rsidR="00F75E7C" w:rsidRPr="00440792" w:rsidRDefault="00F75E7C" w:rsidP="00CE1AFB">
            <w:pPr>
              <w:jc w:val="center"/>
            </w:pPr>
            <w:r w:rsidRPr="00440792">
              <w:t>55.9</w:t>
            </w:r>
          </w:p>
        </w:tc>
        <w:tc>
          <w:tcPr>
            <w:tcW w:w="1162" w:type="dxa"/>
            <w:vAlign w:val="bottom"/>
          </w:tcPr>
          <w:p w:rsidR="00F75E7C" w:rsidRPr="00440792" w:rsidRDefault="00F75E7C" w:rsidP="00CE1AFB">
            <w:pPr>
              <w:jc w:val="center"/>
            </w:pPr>
            <w:r w:rsidRPr="00440792">
              <w:t>70.1</w:t>
            </w:r>
          </w:p>
        </w:tc>
        <w:tc>
          <w:tcPr>
            <w:tcW w:w="1162" w:type="dxa"/>
            <w:vAlign w:val="bottom"/>
          </w:tcPr>
          <w:p w:rsidR="00F75E7C" w:rsidRPr="00440792" w:rsidRDefault="00F75E7C" w:rsidP="00CE1AFB">
            <w:pPr>
              <w:jc w:val="center"/>
            </w:pPr>
            <w:r w:rsidRPr="00440792">
              <w:t>64.5</w:t>
            </w:r>
          </w:p>
        </w:tc>
        <w:tc>
          <w:tcPr>
            <w:tcW w:w="1162" w:type="dxa"/>
            <w:vAlign w:val="bottom"/>
          </w:tcPr>
          <w:p w:rsidR="00F75E7C" w:rsidRPr="00440792" w:rsidRDefault="00F75E7C" w:rsidP="00CE1AFB">
            <w:pPr>
              <w:jc w:val="center"/>
            </w:pPr>
            <w:r w:rsidRPr="00440792">
              <w:t>67.1</w:t>
            </w:r>
          </w:p>
        </w:tc>
        <w:tc>
          <w:tcPr>
            <w:tcW w:w="1162" w:type="dxa"/>
            <w:vAlign w:val="bottom"/>
          </w:tcPr>
          <w:p w:rsidR="00F75E7C" w:rsidRPr="00440792" w:rsidRDefault="00F75E7C" w:rsidP="00CE1AFB">
            <w:pPr>
              <w:jc w:val="center"/>
            </w:pPr>
            <w:r>
              <w:t>63.5</w:t>
            </w:r>
          </w:p>
        </w:tc>
      </w:tr>
      <w:tr w:rsidR="00F75E7C" w:rsidRPr="00440792" w:rsidTr="00CE1AFB">
        <w:trPr>
          <w:cnfStyle w:val="000000100000" w:firstRow="0" w:lastRow="0" w:firstColumn="0" w:lastColumn="0" w:oddVBand="0" w:evenVBand="0" w:oddHBand="1" w:evenHBand="0" w:firstRowFirstColumn="0" w:firstRowLastColumn="0" w:lastRowFirstColumn="0" w:lastRowLastColumn="0"/>
          <w:trHeight w:val="60"/>
        </w:trPr>
        <w:tc>
          <w:tcPr>
            <w:tcW w:w="2564" w:type="dxa"/>
            <w:vAlign w:val="bottom"/>
            <w:hideMark/>
          </w:tcPr>
          <w:p w:rsidR="00F75E7C" w:rsidRPr="0049667F" w:rsidRDefault="00F75E7C" w:rsidP="00CE1AFB">
            <w:r w:rsidRPr="0049667F">
              <w:t>Adoption</w:t>
            </w:r>
          </w:p>
        </w:tc>
        <w:tc>
          <w:tcPr>
            <w:tcW w:w="1161" w:type="dxa"/>
            <w:shd w:val="clear" w:color="auto" w:fill="B8CCE4"/>
            <w:vAlign w:val="bottom"/>
          </w:tcPr>
          <w:p w:rsidR="00F75E7C" w:rsidRPr="00440792" w:rsidRDefault="00F75E7C" w:rsidP="00CE1AFB">
            <w:pPr>
              <w:jc w:val="center"/>
            </w:pPr>
            <w:r w:rsidRPr="00440792">
              <w:t>10.4</w:t>
            </w:r>
          </w:p>
        </w:tc>
        <w:tc>
          <w:tcPr>
            <w:tcW w:w="1162" w:type="dxa"/>
            <w:shd w:val="clear" w:color="auto" w:fill="E6B8B7"/>
            <w:vAlign w:val="bottom"/>
          </w:tcPr>
          <w:p w:rsidR="00F75E7C" w:rsidRPr="00440792" w:rsidRDefault="00F75E7C" w:rsidP="00CE1AFB">
            <w:pPr>
              <w:jc w:val="center"/>
            </w:pPr>
            <w:r w:rsidRPr="00440792">
              <w:t>8.2</w:t>
            </w:r>
          </w:p>
        </w:tc>
        <w:tc>
          <w:tcPr>
            <w:tcW w:w="1162" w:type="dxa"/>
            <w:shd w:val="clear" w:color="auto" w:fill="D8E4BC"/>
            <w:vAlign w:val="bottom"/>
          </w:tcPr>
          <w:p w:rsidR="00F75E7C" w:rsidRPr="00440792" w:rsidRDefault="00F75E7C" w:rsidP="00CE1AFB">
            <w:pPr>
              <w:jc w:val="center"/>
            </w:pPr>
            <w:r w:rsidRPr="00440792">
              <w:t>8.4</w:t>
            </w:r>
          </w:p>
        </w:tc>
        <w:tc>
          <w:tcPr>
            <w:tcW w:w="1162" w:type="dxa"/>
            <w:shd w:val="clear" w:color="auto" w:fill="CCC0DA"/>
            <w:vAlign w:val="bottom"/>
          </w:tcPr>
          <w:p w:rsidR="00F75E7C" w:rsidRPr="00440792" w:rsidRDefault="00F75E7C" w:rsidP="00CE1AFB">
            <w:pPr>
              <w:jc w:val="center"/>
            </w:pPr>
            <w:r w:rsidRPr="00440792">
              <w:t>6.0</w:t>
            </w:r>
          </w:p>
        </w:tc>
        <w:tc>
          <w:tcPr>
            <w:tcW w:w="1162" w:type="dxa"/>
            <w:shd w:val="clear" w:color="auto" w:fill="F8CBAD"/>
            <w:vAlign w:val="bottom"/>
          </w:tcPr>
          <w:p w:rsidR="00F75E7C" w:rsidRPr="00440792" w:rsidRDefault="00F75E7C" w:rsidP="00CE1AFB">
            <w:pPr>
              <w:jc w:val="center"/>
            </w:pPr>
            <w:r w:rsidRPr="00440792">
              <w:t>7.8</w:t>
            </w:r>
          </w:p>
        </w:tc>
        <w:tc>
          <w:tcPr>
            <w:tcW w:w="1162" w:type="dxa"/>
            <w:shd w:val="clear" w:color="auto" w:fill="DBEEF4"/>
            <w:vAlign w:val="bottom"/>
          </w:tcPr>
          <w:p w:rsidR="00F75E7C" w:rsidRPr="00440792" w:rsidRDefault="00F75E7C" w:rsidP="00CE1AFB">
            <w:pPr>
              <w:jc w:val="center"/>
            </w:pPr>
            <w:r>
              <w:t>11.6</w:t>
            </w:r>
          </w:p>
        </w:tc>
      </w:tr>
      <w:tr w:rsidR="00F75E7C" w:rsidRPr="00440792" w:rsidTr="00CE1AFB">
        <w:trPr>
          <w:trHeight w:val="60"/>
        </w:trPr>
        <w:tc>
          <w:tcPr>
            <w:tcW w:w="2564" w:type="dxa"/>
            <w:vAlign w:val="bottom"/>
            <w:hideMark/>
          </w:tcPr>
          <w:p w:rsidR="00F75E7C" w:rsidRPr="0049667F" w:rsidRDefault="00F75E7C" w:rsidP="00CE1AFB">
            <w:r w:rsidRPr="0049667F">
              <w:t>Guardianship</w:t>
            </w:r>
          </w:p>
        </w:tc>
        <w:tc>
          <w:tcPr>
            <w:tcW w:w="1161" w:type="dxa"/>
            <w:vAlign w:val="bottom"/>
          </w:tcPr>
          <w:p w:rsidR="00F75E7C" w:rsidRPr="00440792" w:rsidRDefault="00F75E7C" w:rsidP="00CE1AFB">
            <w:pPr>
              <w:jc w:val="center"/>
            </w:pPr>
            <w:r w:rsidRPr="00440792">
              <w:t>4.6</w:t>
            </w:r>
          </w:p>
        </w:tc>
        <w:tc>
          <w:tcPr>
            <w:tcW w:w="1162" w:type="dxa"/>
            <w:vAlign w:val="bottom"/>
          </w:tcPr>
          <w:p w:rsidR="00F75E7C" w:rsidRPr="00440792" w:rsidRDefault="00F75E7C" w:rsidP="00CE1AFB">
            <w:pPr>
              <w:jc w:val="center"/>
            </w:pPr>
            <w:r w:rsidRPr="00440792">
              <w:t>3.6</w:t>
            </w:r>
          </w:p>
        </w:tc>
        <w:tc>
          <w:tcPr>
            <w:tcW w:w="1162" w:type="dxa"/>
            <w:vAlign w:val="bottom"/>
          </w:tcPr>
          <w:p w:rsidR="00F75E7C" w:rsidRPr="00440792" w:rsidRDefault="00F75E7C" w:rsidP="00CE1AFB">
            <w:pPr>
              <w:jc w:val="center"/>
            </w:pPr>
            <w:r w:rsidRPr="00440792">
              <w:t>4.9</w:t>
            </w:r>
          </w:p>
        </w:tc>
        <w:tc>
          <w:tcPr>
            <w:tcW w:w="1162" w:type="dxa"/>
            <w:vAlign w:val="bottom"/>
          </w:tcPr>
          <w:p w:rsidR="00F75E7C" w:rsidRPr="00440792" w:rsidRDefault="00F75E7C" w:rsidP="00CE1AFB">
            <w:pPr>
              <w:jc w:val="center"/>
            </w:pPr>
            <w:r w:rsidRPr="00440792">
              <w:t>7.3</w:t>
            </w:r>
          </w:p>
        </w:tc>
        <w:tc>
          <w:tcPr>
            <w:tcW w:w="1162" w:type="dxa"/>
            <w:vAlign w:val="bottom"/>
          </w:tcPr>
          <w:p w:rsidR="00F75E7C" w:rsidRPr="00440792" w:rsidRDefault="00F75E7C" w:rsidP="00CE1AFB">
            <w:pPr>
              <w:jc w:val="center"/>
            </w:pPr>
            <w:r w:rsidRPr="00440792">
              <w:t>6.2</w:t>
            </w:r>
          </w:p>
        </w:tc>
        <w:tc>
          <w:tcPr>
            <w:tcW w:w="1162" w:type="dxa"/>
            <w:vAlign w:val="bottom"/>
          </w:tcPr>
          <w:p w:rsidR="00F75E7C" w:rsidRPr="00440792" w:rsidRDefault="00F75E7C" w:rsidP="00CE1AFB">
            <w:pPr>
              <w:jc w:val="center"/>
            </w:pPr>
            <w:r>
              <w:t>5.8</w:t>
            </w:r>
          </w:p>
        </w:tc>
      </w:tr>
      <w:tr w:rsidR="00F75E7C" w:rsidRPr="00440792" w:rsidTr="00CE1AFB">
        <w:trPr>
          <w:cnfStyle w:val="000000100000" w:firstRow="0" w:lastRow="0" w:firstColumn="0" w:lastColumn="0" w:oddVBand="0" w:evenVBand="0" w:oddHBand="1" w:evenHBand="0" w:firstRowFirstColumn="0" w:firstRowLastColumn="0" w:lastRowFirstColumn="0" w:lastRowLastColumn="0"/>
          <w:trHeight w:val="60"/>
        </w:trPr>
        <w:tc>
          <w:tcPr>
            <w:tcW w:w="2564" w:type="dxa"/>
            <w:vAlign w:val="bottom"/>
            <w:hideMark/>
          </w:tcPr>
          <w:p w:rsidR="00F75E7C" w:rsidRPr="0049667F" w:rsidRDefault="00F75E7C" w:rsidP="00CE1AFB">
            <w:r w:rsidRPr="0049667F">
              <w:t>APPLA</w:t>
            </w:r>
          </w:p>
        </w:tc>
        <w:tc>
          <w:tcPr>
            <w:tcW w:w="1161" w:type="dxa"/>
            <w:shd w:val="clear" w:color="auto" w:fill="B8CCE4"/>
            <w:vAlign w:val="bottom"/>
          </w:tcPr>
          <w:p w:rsidR="00F75E7C" w:rsidRPr="00440792" w:rsidRDefault="00F75E7C" w:rsidP="00CE1AFB">
            <w:pPr>
              <w:jc w:val="center"/>
            </w:pPr>
            <w:r w:rsidRPr="00440792">
              <w:t>3.9</w:t>
            </w:r>
          </w:p>
        </w:tc>
        <w:tc>
          <w:tcPr>
            <w:tcW w:w="1162" w:type="dxa"/>
            <w:shd w:val="clear" w:color="auto" w:fill="E6B8B7"/>
            <w:vAlign w:val="bottom"/>
          </w:tcPr>
          <w:p w:rsidR="00F75E7C" w:rsidRPr="00440792" w:rsidRDefault="00F75E7C" w:rsidP="00CE1AFB">
            <w:pPr>
              <w:jc w:val="center"/>
            </w:pPr>
            <w:r w:rsidRPr="00440792">
              <w:t>3.1</w:t>
            </w:r>
          </w:p>
        </w:tc>
        <w:tc>
          <w:tcPr>
            <w:tcW w:w="1162" w:type="dxa"/>
            <w:shd w:val="clear" w:color="auto" w:fill="D8E4BC"/>
            <w:vAlign w:val="bottom"/>
          </w:tcPr>
          <w:p w:rsidR="00F75E7C" w:rsidRPr="00440792" w:rsidRDefault="00F75E7C" w:rsidP="00CE1AFB">
            <w:pPr>
              <w:jc w:val="center"/>
            </w:pPr>
            <w:r w:rsidRPr="00440792">
              <w:t>2.9</w:t>
            </w:r>
          </w:p>
        </w:tc>
        <w:tc>
          <w:tcPr>
            <w:tcW w:w="1162" w:type="dxa"/>
            <w:shd w:val="clear" w:color="auto" w:fill="CCC0DA"/>
            <w:vAlign w:val="bottom"/>
          </w:tcPr>
          <w:p w:rsidR="00F75E7C" w:rsidRPr="00440792" w:rsidRDefault="00F75E7C" w:rsidP="00CE1AFB">
            <w:pPr>
              <w:jc w:val="center"/>
            </w:pPr>
            <w:r w:rsidRPr="00440792">
              <w:t>2.8</w:t>
            </w:r>
          </w:p>
        </w:tc>
        <w:tc>
          <w:tcPr>
            <w:tcW w:w="1162" w:type="dxa"/>
            <w:shd w:val="clear" w:color="auto" w:fill="F8CBAD"/>
            <w:vAlign w:val="bottom"/>
          </w:tcPr>
          <w:p w:rsidR="00F75E7C" w:rsidRPr="00440792" w:rsidRDefault="00F75E7C" w:rsidP="00CE1AFB">
            <w:pPr>
              <w:jc w:val="center"/>
            </w:pPr>
            <w:r w:rsidRPr="00440792">
              <w:t>2.5</w:t>
            </w:r>
          </w:p>
        </w:tc>
        <w:tc>
          <w:tcPr>
            <w:tcW w:w="1162" w:type="dxa"/>
            <w:shd w:val="clear" w:color="auto" w:fill="DBEEF4"/>
            <w:vAlign w:val="bottom"/>
          </w:tcPr>
          <w:p w:rsidR="00F75E7C" w:rsidRPr="00440792" w:rsidRDefault="00F75E7C" w:rsidP="00CE1AFB">
            <w:pPr>
              <w:jc w:val="center"/>
            </w:pPr>
            <w:r>
              <w:t>4.5</w:t>
            </w:r>
          </w:p>
        </w:tc>
      </w:tr>
      <w:tr w:rsidR="00F75E7C" w:rsidRPr="00440792" w:rsidTr="00CE1AFB">
        <w:trPr>
          <w:trHeight w:val="97"/>
        </w:trPr>
        <w:tc>
          <w:tcPr>
            <w:tcW w:w="2564" w:type="dxa"/>
            <w:vAlign w:val="bottom"/>
            <w:hideMark/>
          </w:tcPr>
          <w:p w:rsidR="00F75E7C" w:rsidRPr="0049667F" w:rsidRDefault="00F75E7C" w:rsidP="00CE1AFB">
            <w:r w:rsidRPr="0049667F">
              <w:t>Fit and Willing Relative</w:t>
            </w:r>
          </w:p>
        </w:tc>
        <w:tc>
          <w:tcPr>
            <w:tcW w:w="1161" w:type="dxa"/>
            <w:vAlign w:val="bottom"/>
          </w:tcPr>
          <w:p w:rsidR="00F75E7C" w:rsidRPr="00440792" w:rsidRDefault="00F75E7C" w:rsidP="00CE1AFB">
            <w:pPr>
              <w:jc w:val="center"/>
            </w:pPr>
            <w:r w:rsidRPr="00440792">
              <w:t>2.4</w:t>
            </w:r>
          </w:p>
        </w:tc>
        <w:tc>
          <w:tcPr>
            <w:tcW w:w="1162" w:type="dxa"/>
            <w:vAlign w:val="bottom"/>
          </w:tcPr>
          <w:p w:rsidR="00F75E7C" w:rsidRPr="00440792" w:rsidRDefault="00F75E7C" w:rsidP="00CE1AFB">
            <w:pPr>
              <w:jc w:val="center"/>
            </w:pPr>
            <w:r w:rsidRPr="00440792">
              <w:t>1.9</w:t>
            </w:r>
          </w:p>
        </w:tc>
        <w:tc>
          <w:tcPr>
            <w:tcW w:w="1162" w:type="dxa"/>
            <w:vAlign w:val="bottom"/>
          </w:tcPr>
          <w:p w:rsidR="00F75E7C" w:rsidRPr="00440792" w:rsidRDefault="00F75E7C" w:rsidP="00CE1AFB">
            <w:pPr>
              <w:jc w:val="center"/>
            </w:pPr>
            <w:r w:rsidRPr="00440792">
              <w:t>2.5</w:t>
            </w:r>
          </w:p>
        </w:tc>
        <w:tc>
          <w:tcPr>
            <w:tcW w:w="1162" w:type="dxa"/>
            <w:vAlign w:val="bottom"/>
          </w:tcPr>
          <w:p w:rsidR="00F75E7C" w:rsidRPr="00440792" w:rsidRDefault="00F75E7C" w:rsidP="00CE1AFB">
            <w:pPr>
              <w:jc w:val="center"/>
            </w:pPr>
            <w:r w:rsidRPr="00440792">
              <w:t>2.1</w:t>
            </w:r>
          </w:p>
        </w:tc>
        <w:tc>
          <w:tcPr>
            <w:tcW w:w="1162" w:type="dxa"/>
            <w:vAlign w:val="bottom"/>
          </w:tcPr>
          <w:p w:rsidR="00F75E7C" w:rsidRPr="00440792" w:rsidRDefault="00F75E7C" w:rsidP="00CE1AFB">
            <w:pPr>
              <w:jc w:val="center"/>
            </w:pPr>
            <w:r w:rsidRPr="00440792">
              <w:t>1.2</w:t>
            </w:r>
          </w:p>
        </w:tc>
        <w:tc>
          <w:tcPr>
            <w:tcW w:w="1162" w:type="dxa"/>
            <w:vAlign w:val="bottom"/>
          </w:tcPr>
          <w:p w:rsidR="00F75E7C" w:rsidRPr="00440792" w:rsidRDefault="00F75E7C" w:rsidP="00CE1AFB">
            <w:pPr>
              <w:jc w:val="center"/>
            </w:pPr>
            <w:r>
              <w:t>1.7</w:t>
            </w:r>
          </w:p>
        </w:tc>
      </w:tr>
      <w:tr w:rsidR="00F75E7C" w:rsidRPr="00440792" w:rsidTr="00CE1AFB">
        <w:trPr>
          <w:cnfStyle w:val="000000100000" w:firstRow="0" w:lastRow="0" w:firstColumn="0" w:lastColumn="0" w:oddVBand="0" w:evenVBand="0" w:oddHBand="1" w:evenHBand="0" w:firstRowFirstColumn="0" w:firstRowLastColumn="0" w:lastRowFirstColumn="0" w:lastRowLastColumn="0"/>
          <w:trHeight w:val="60"/>
        </w:trPr>
        <w:tc>
          <w:tcPr>
            <w:tcW w:w="2564" w:type="dxa"/>
            <w:vAlign w:val="bottom"/>
            <w:hideMark/>
          </w:tcPr>
          <w:p w:rsidR="00F75E7C" w:rsidRPr="0049667F" w:rsidRDefault="00F75E7C" w:rsidP="00CE1AFB">
            <w:r w:rsidRPr="0049667F">
              <w:t>Runaway</w:t>
            </w:r>
          </w:p>
        </w:tc>
        <w:tc>
          <w:tcPr>
            <w:tcW w:w="1161" w:type="dxa"/>
            <w:shd w:val="clear" w:color="auto" w:fill="B8CCE4"/>
            <w:vAlign w:val="bottom"/>
          </w:tcPr>
          <w:p w:rsidR="00F75E7C" w:rsidRPr="00440792" w:rsidRDefault="00F75E7C" w:rsidP="00CE1AFB">
            <w:pPr>
              <w:jc w:val="center"/>
            </w:pPr>
            <w:r w:rsidRPr="00440792">
              <w:t>0.8</w:t>
            </w:r>
          </w:p>
        </w:tc>
        <w:tc>
          <w:tcPr>
            <w:tcW w:w="1162" w:type="dxa"/>
            <w:shd w:val="clear" w:color="auto" w:fill="E6B8B7"/>
            <w:vAlign w:val="bottom"/>
          </w:tcPr>
          <w:p w:rsidR="00F75E7C" w:rsidRPr="00440792" w:rsidRDefault="00F75E7C" w:rsidP="00CE1AFB">
            <w:pPr>
              <w:jc w:val="center"/>
            </w:pPr>
            <w:r w:rsidRPr="00440792">
              <w:t>0.7</w:t>
            </w:r>
          </w:p>
        </w:tc>
        <w:tc>
          <w:tcPr>
            <w:tcW w:w="1162" w:type="dxa"/>
            <w:shd w:val="clear" w:color="auto" w:fill="D8E4BC"/>
            <w:vAlign w:val="bottom"/>
          </w:tcPr>
          <w:p w:rsidR="00F75E7C" w:rsidRPr="00440792" w:rsidRDefault="00F75E7C" w:rsidP="00CE1AFB">
            <w:pPr>
              <w:jc w:val="center"/>
            </w:pPr>
            <w:r w:rsidRPr="00440792">
              <w:t>0.7</w:t>
            </w:r>
          </w:p>
        </w:tc>
        <w:tc>
          <w:tcPr>
            <w:tcW w:w="1162" w:type="dxa"/>
            <w:shd w:val="clear" w:color="auto" w:fill="CCC0DA"/>
            <w:vAlign w:val="bottom"/>
          </w:tcPr>
          <w:p w:rsidR="00F75E7C" w:rsidRPr="00440792" w:rsidRDefault="00F75E7C" w:rsidP="00CE1AFB">
            <w:pPr>
              <w:jc w:val="center"/>
            </w:pPr>
            <w:r w:rsidRPr="00440792">
              <w:t>0.9</w:t>
            </w:r>
          </w:p>
        </w:tc>
        <w:tc>
          <w:tcPr>
            <w:tcW w:w="1162" w:type="dxa"/>
            <w:shd w:val="clear" w:color="auto" w:fill="F8CBAD"/>
            <w:vAlign w:val="bottom"/>
          </w:tcPr>
          <w:p w:rsidR="00F75E7C" w:rsidRPr="00440792" w:rsidRDefault="00F75E7C" w:rsidP="00CE1AFB">
            <w:pPr>
              <w:jc w:val="center"/>
            </w:pPr>
            <w:r w:rsidRPr="00440792">
              <w:t>0.4</w:t>
            </w:r>
          </w:p>
        </w:tc>
        <w:tc>
          <w:tcPr>
            <w:tcW w:w="1162" w:type="dxa"/>
            <w:shd w:val="clear" w:color="auto" w:fill="DBEEF4"/>
            <w:vAlign w:val="bottom"/>
          </w:tcPr>
          <w:p w:rsidR="00F75E7C" w:rsidRPr="00440792" w:rsidRDefault="00F75E7C" w:rsidP="00CE1AFB">
            <w:pPr>
              <w:jc w:val="center"/>
            </w:pPr>
            <w:r>
              <w:t>0.2</w:t>
            </w:r>
          </w:p>
        </w:tc>
      </w:tr>
      <w:tr w:rsidR="00F75E7C" w:rsidRPr="00440792" w:rsidTr="00CE1AFB">
        <w:trPr>
          <w:trHeight w:val="60"/>
        </w:trPr>
        <w:tc>
          <w:tcPr>
            <w:tcW w:w="2564" w:type="dxa"/>
            <w:vAlign w:val="bottom"/>
            <w:hideMark/>
          </w:tcPr>
          <w:p w:rsidR="00F75E7C" w:rsidRPr="0049667F" w:rsidRDefault="00F75E7C" w:rsidP="00CE1AFB">
            <w:r w:rsidRPr="0049667F">
              <w:t>Aging Out w/o Permanency</w:t>
            </w:r>
          </w:p>
        </w:tc>
        <w:tc>
          <w:tcPr>
            <w:tcW w:w="1161" w:type="dxa"/>
            <w:vAlign w:val="bottom"/>
          </w:tcPr>
          <w:p w:rsidR="00F75E7C" w:rsidRPr="00440792" w:rsidRDefault="00F75E7C" w:rsidP="00CE1AFB">
            <w:pPr>
              <w:jc w:val="center"/>
            </w:pPr>
            <w:r w:rsidRPr="00440792">
              <w:t>0.3</w:t>
            </w:r>
          </w:p>
        </w:tc>
        <w:tc>
          <w:tcPr>
            <w:tcW w:w="1162" w:type="dxa"/>
            <w:vAlign w:val="bottom"/>
          </w:tcPr>
          <w:p w:rsidR="00F75E7C" w:rsidRPr="00440792" w:rsidRDefault="00F75E7C" w:rsidP="00CE1AFB">
            <w:pPr>
              <w:jc w:val="center"/>
            </w:pPr>
            <w:r w:rsidRPr="00440792">
              <w:t>0.2</w:t>
            </w:r>
          </w:p>
        </w:tc>
        <w:tc>
          <w:tcPr>
            <w:tcW w:w="1162" w:type="dxa"/>
            <w:vAlign w:val="bottom"/>
          </w:tcPr>
          <w:p w:rsidR="00F75E7C" w:rsidRPr="00440792" w:rsidRDefault="00F75E7C" w:rsidP="00CE1AFB">
            <w:pPr>
              <w:jc w:val="center"/>
            </w:pPr>
            <w:r w:rsidRPr="00440792">
              <w:t>0.5</w:t>
            </w:r>
          </w:p>
        </w:tc>
        <w:tc>
          <w:tcPr>
            <w:tcW w:w="1162" w:type="dxa"/>
            <w:vAlign w:val="bottom"/>
          </w:tcPr>
          <w:p w:rsidR="00F75E7C" w:rsidRPr="00440792" w:rsidRDefault="00F75E7C" w:rsidP="00CE1AFB">
            <w:pPr>
              <w:jc w:val="center"/>
            </w:pPr>
            <w:r w:rsidRPr="00440792">
              <w:t>0.8</w:t>
            </w:r>
          </w:p>
        </w:tc>
        <w:tc>
          <w:tcPr>
            <w:tcW w:w="1162" w:type="dxa"/>
            <w:vAlign w:val="bottom"/>
          </w:tcPr>
          <w:p w:rsidR="00F75E7C" w:rsidRPr="00440792" w:rsidRDefault="00F75E7C" w:rsidP="00CE1AFB">
            <w:pPr>
              <w:jc w:val="center"/>
            </w:pPr>
            <w:r w:rsidRPr="00440792">
              <w:t>0.8</w:t>
            </w:r>
          </w:p>
        </w:tc>
        <w:tc>
          <w:tcPr>
            <w:tcW w:w="1162" w:type="dxa"/>
            <w:vAlign w:val="bottom"/>
          </w:tcPr>
          <w:p w:rsidR="00F75E7C" w:rsidRPr="00440792" w:rsidRDefault="00F75E7C" w:rsidP="00CE1AFB">
            <w:pPr>
              <w:jc w:val="center"/>
            </w:pPr>
            <w:r>
              <w:t>0.2</w:t>
            </w:r>
          </w:p>
        </w:tc>
      </w:tr>
      <w:tr w:rsidR="00F75E7C" w:rsidRPr="00440792" w:rsidTr="00CE1AFB">
        <w:trPr>
          <w:cnfStyle w:val="000000100000" w:firstRow="0" w:lastRow="0" w:firstColumn="0" w:lastColumn="0" w:oddVBand="0" w:evenVBand="0" w:oddHBand="1" w:evenHBand="0" w:firstRowFirstColumn="0" w:firstRowLastColumn="0" w:lastRowFirstColumn="0" w:lastRowLastColumn="0"/>
          <w:trHeight w:val="60"/>
        </w:trPr>
        <w:tc>
          <w:tcPr>
            <w:tcW w:w="2564" w:type="dxa"/>
            <w:vAlign w:val="bottom"/>
            <w:hideMark/>
          </w:tcPr>
          <w:p w:rsidR="00F75E7C" w:rsidRPr="0049667F" w:rsidRDefault="00F75E7C" w:rsidP="00CE1AFB">
            <w:r w:rsidRPr="0049667F">
              <w:t>Closure by Court</w:t>
            </w:r>
          </w:p>
        </w:tc>
        <w:tc>
          <w:tcPr>
            <w:tcW w:w="1161" w:type="dxa"/>
            <w:shd w:val="clear" w:color="auto" w:fill="B8CCE4"/>
            <w:vAlign w:val="bottom"/>
          </w:tcPr>
          <w:p w:rsidR="00F75E7C" w:rsidRPr="00440792" w:rsidRDefault="00F75E7C" w:rsidP="00CE1AFB">
            <w:pPr>
              <w:jc w:val="center"/>
            </w:pPr>
            <w:r w:rsidRPr="00440792">
              <w:t>6.8</w:t>
            </w:r>
          </w:p>
        </w:tc>
        <w:tc>
          <w:tcPr>
            <w:tcW w:w="1162" w:type="dxa"/>
            <w:shd w:val="clear" w:color="auto" w:fill="E6B8B7"/>
            <w:vAlign w:val="bottom"/>
          </w:tcPr>
          <w:p w:rsidR="00F75E7C" w:rsidRPr="00440792" w:rsidRDefault="00F75E7C" w:rsidP="00CE1AFB">
            <w:pPr>
              <w:jc w:val="center"/>
            </w:pPr>
            <w:r w:rsidRPr="00440792">
              <w:t>5.4</w:t>
            </w:r>
          </w:p>
        </w:tc>
        <w:tc>
          <w:tcPr>
            <w:tcW w:w="1162" w:type="dxa"/>
            <w:shd w:val="clear" w:color="auto" w:fill="D8E4BC"/>
            <w:vAlign w:val="bottom"/>
          </w:tcPr>
          <w:p w:rsidR="00F75E7C" w:rsidRPr="00440792" w:rsidRDefault="00F75E7C" w:rsidP="00CE1AFB">
            <w:pPr>
              <w:jc w:val="center"/>
            </w:pPr>
            <w:r w:rsidRPr="00440792">
              <w:t>8.4</w:t>
            </w:r>
          </w:p>
        </w:tc>
        <w:tc>
          <w:tcPr>
            <w:tcW w:w="1162" w:type="dxa"/>
            <w:shd w:val="clear" w:color="auto" w:fill="CCC0DA"/>
            <w:vAlign w:val="bottom"/>
          </w:tcPr>
          <w:p w:rsidR="00F75E7C" w:rsidRPr="00440792" w:rsidRDefault="00F75E7C" w:rsidP="00CE1AFB">
            <w:pPr>
              <w:jc w:val="center"/>
            </w:pPr>
            <w:r w:rsidRPr="00440792">
              <w:t>-</w:t>
            </w:r>
          </w:p>
        </w:tc>
        <w:tc>
          <w:tcPr>
            <w:tcW w:w="1162" w:type="dxa"/>
            <w:shd w:val="clear" w:color="auto" w:fill="F8CBAD"/>
            <w:vAlign w:val="bottom"/>
          </w:tcPr>
          <w:p w:rsidR="00F75E7C" w:rsidRPr="00440792" w:rsidRDefault="00F75E7C" w:rsidP="00CE1AFB">
            <w:pPr>
              <w:jc w:val="center"/>
            </w:pPr>
            <w:r w:rsidRPr="00440792">
              <w:t>-</w:t>
            </w:r>
          </w:p>
        </w:tc>
        <w:tc>
          <w:tcPr>
            <w:tcW w:w="1162" w:type="dxa"/>
            <w:shd w:val="clear" w:color="auto" w:fill="DBEEF4"/>
            <w:vAlign w:val="bottom"/>
          </w:tcPr>
          <w:p w:rsidR="00F75E7C" w:rsidRPr="00440792" w:rsidRDefault="00F75E7C" w:rsidP="00CE1AFB">
            <w:pPr>
              <w:jc w:val="center"/>
            </w:pPr>
            <w:r>
              <w:t>-</w:t>
            </w:r>
          </w:p>
        </w:tc>
      </w:tr>
      <w:tr w:rsidR="00F75E7C" w:rsidRPr="00440792" w:rsidTr="00CE1AFB">
        <w:trPr>
          <w:trHeight w:val="60"/>
        </w:trPr>
        <w:tc>
          <w:tcPr>
            <w:tcW w:w="2564" w:type="dxa"/>
            <w:vAlign w:val="bottom"/>
          </w:tcPr>
          <w:p w:rsidR="00F75E7C" w:rsidRPr="0049667F" w:rsidRDefault="00F75E7C" w:rsidP="00CE1AFB">
            <w:r w:rsidRPr="0049667F">
              <w:t>Closed Assessment</w:t>
            </w:r>
          </w:p>
        </w:tc>
        <w:tc>
          <w:tcPr>
            <w:tcW w:w="1161" w:type="dxa"/>
            <w:vAlign w:val="bottom"/>
          </w:tcPr>
          <w:p w:rsidR="00F75E7C" w:rsidRPr="00440792" w:rsidRDefault="00F75E7C" w:rsidP="00CE1AFB">
            <w:pPr>
              <w:jc w:val="center"/>
            </w:pPr>
            <w:r w:rsidRPr="00440792">
              <w:t>-</w:t>
            </w:r>
          </w:p>
        </w:tc>
        <w:tc>
          <w:tcPr>
            <w:tcW w:w="1162" w:type="dxa"/>
            <w:vAlign w:val="bottom"/>
          </w:tcPr>
          <w:p w:rsidR="00F75E7C" w:rsidRPr="00440792" w:rsidRDefault="00F75E7C" w:rsidP="00CE1AFB">
            <w:pPr>
              <w:jc w:val="center"/>
            </w:pPr>
            <w:r w:rsidRPr="00440792">
              <w:t>-</w:t>
            </w:r>
          </w:p>
        </w:tc>
        <w:tc>
          <w:tcPr>
            <w:tcW w:w="1162" w:type="dxa"/>
            <w:vAlign w:val="bottom"/>
          </w:tcPr>
          <w:p w:rsidR="00F75E7C" w:rsidRPr="00440792" w:rsidRDefault="00F75E7C" w:rsidP="00CE1AFB">
            <w:pPr>
              <w:jc w:val="center"/>
            </w:pPr>
            <w:r w:rsidRPr="00440792">
              <w:t>-</w:t>
            </w:r>
          </w:p>
        </w:tc>
        <w:tc>
          <w:tcPr>
            <w:tcW w:w="1162" w:type="dxa"/>
            <w:vAlign w:val="bottom"/>
          </w:tcPr>
          <w:p w:rsidR="00F75E7C" w:rsidRPr="00440792" w:rsidRDefault="00F75E7C" w:rsidP="00CE1AFB">
            <w:pPr>
              <w:jc w:val="center"/>
            </w:pPr>
            <w:r w:rsidRPr="00440792">
              <w:t>-</w:t>
            </w:r>
          </w:p>
        </w:tc>
        <w:tc>
          <w:tcPr>
            <w:tcW w:w="1162" w:type="dxa"/>
            <w:vAlign w:val="bottom"/>
          </w:tcPr>
          <w:p w:rsidR="00F75E7C" w:rsidRPr="00440792" w:rsidRDefault="00F75E7C" w:rsidP="00CE1AFB">
            <w:pPr>
              <w:jc w:val="center"/>
            </w:pPr>
            <w:r w:rsidRPr="00440792">
              <w:t>5.3</w:t>
            </w:r>
          </w:p>
        </w:tc>
        <w:tc>
          <w:tcPr>
            <w:tcW w:w="1162" w:type="dxa"/>
            <w:vAlign w:val="bottom"/>
          </w:tcPr>
          <w:p w:rsidR="00F75E7C" w:rsidRPr="00440792" w:rsidRDefault="00F75E7C" w:rsidP="00CE1AFB">
            <w:pPr>
              <w:jc w:val="center"/>
            </w:pPr>
            <w:r>
              <w:t>4.3</w:t>
            </w:r>
          </w:p>
        </w:tc>
      </w:tr>
      <w:tr w:rsidR="00F75E7C" w:rsidRPr="00440792" w:rsidTr="00CE1AFB">
        <w:trPr>
          <w:cnfStyle w:val="000000100000" w:firstRow="0" w:lastRow="0" w:firstColumn="0" w:lastColumn="0" w:oddVBand="0" w:evenVBand="0" w:oddHBand="1" w:evenHBand="0" w:firstRowFirstColumn="0" w:firstRowLastColumn="0" w:lastRowFirstColumn="0" w:lastRowLastColumn="0"/>
          <w:trHeight w:val="60"/>
        </w:trPr>
        <w:tc>
          <w:tcPr>
            <w:tcW w:w="2564" w:type="dxa"/>
            <w:vAlign w:val="bottom"/>
          </w:tcPr>
          <w:p w:rsidR="00F75E7C" w:rsidRPr="0049667F" w:rsidRDefault="00F75E7C" w:rsidP="00CE1AFB">
            <w:r w:rsidRPr="0049667F">
              <w:t>Other</w:t>
            </w:r>
          </w:p>
        </w:tc>
        <w:tc>
          <w:tcPr>
            <w:tcW w:w="1161" w:type="dxa"/>
            <w:shd w:val="clear" w:color="auto" w:fill="B8CCE4"/>
            <w:vAlign w:val="bottom"/>
          </w:tcPr>
          <w:p w:rsidR="00F75E7C" w:rsidRPr="00440792" w:rsidRDefault="00F75E7C" w:rsidP="00CE1AFB">
            <w:pPr>
              <w:jc w:val="center"/>
            </w:pPr>
            <w:r w:rsidRPr="00440792">
              <w:t>-</w:t>
            </w:r>
          </w:p>
        </w:tc>
        <w:tc>
          <w:tcPr>
            <w:tcW w:w="1162" w:type="dxa"/>
            <w:shd w:val="clear" w:color="auto" w:fill="E6B8B7"/>
            <w:vAlign w:val="bottom"/>
          </w:tcPr>
          <w:p w:rsidR="00F75E7C" w:rsidRPr="00440792" w:rsidRDefault="00F75E7C" w:rsidP="00CE1AFB">
            <w:pPr>
              <w:jc w:val="center"/>
            </w:pPr>
            <w:r w:rsidRPr="00440792">
              <w:t>20.8</w:t>
            </w:r>
          </w:p>
        </w:tc>
        <w:tc>
          <w:tcPr>
            <w:tcW w:w="1162" w:type="dxa"/>
            <w:shd w:val="clear" w:color="auto" w:fill="D8E4BC"/>
            <w:vAlign w:val="bottom"/>
          </w:tcPr>
          <w:p w:rsidR="00F75E7C" w:rsidRPr="00440792" w:rsidRDefault="00F75E7C" w:rsidP="00CE1AFB">
            <w:pPr>
              <w:jc w:val="center"/>
            </w:pPr>
            <w:r w:rsidRPr="00440792">
              <w:t>10.0</w:t>
            </w:r>
          </w:p>
        </w:tc>
        <w:tc>
          <w:tcPr>
            <w:tcW w:w="1162" w:type="dxa"/>
            <w:shd w:val="clear" w:color="auto" w:fill="CCC0DA"/>
            <w:vAlign w:val="bottom"/>
          </w:tcPr>
          <w:p w:rsidR="00F75E7C" w:rsidRPr="00440792" w:rsidRDefault="00F75E7C" w:rsidP="00CE1AFB">
            <w:pPr>
              <w:jc w:val="center"/>
            </w:pPr>
            <w:r w:rsidRPr="00440792">
              <w:t>15.6</w:t>
            </w:r>
          </w:p>
        </w:tc>
        <w:tc>
          <w:tcPr>
            <w:tcW w:w="1162" w:type="dxa"/>
            <w:shd w:val="clear" w:color="auto" w:fill="F8CBAD"/>
            <w:vAlign w:val="bottom"/>
          </w:tcPr>
          <w:p w:rsidR="00F75E7C" w:rsidRPr="00440792" w:rsidRDefault="00F75E7C" w:rsidP="00CE1AFB">
            <w:pPr>
              <w:jc w:val="center"/>
            </w:pPr>
            <w:r w:rsidRPr="00440792">
              <w:t>8.7</w:t>
            </w:r>
          </w:p>
        </w:tc>
        <w:tc>
          <w:tcPr>
            <w:tcW w:w="1162" w:type="dxa"/>
            <w:shd w:val="clear" w:color="auto" w:fill="DBEEF4"/>
            <w:vAlign w:val="bottom"/>
          </w:tcPr>
          <w:p w:rsidR="00F75E7C" w:rsidRPr="00440792" w:rsidRDefault="00F75E7C" w:rsidP="00CE1AFB">
            <w:pPr>
              <w:jc w:val="center"/>
            </w:pPr>
            <w:r>
              <w:t>-</w:t>
            </w:r>
          </w:p>
        </w:tc>
      </w:tr>
    </w:tbl>
    <w:p w:rsidR="00F75E7C" w:rsidRDefault="00F75E7C" w:rsidP="00F75E7C"/>
    <w:p w:rsidR="00F75E7C" w:rsidRDefault="00F75E7C" w:rsidP="00F75E7C">
      <w:pPr>
        <w:spacing w:after="200" w:line="276" w:lineRule="auto"/>
      </w:pPr>
      <w:r>
        <w:br w:type="page"/>
      </w:r>
    </w:p>
    <w:p w:rsidR="00F75E7C" w:rsidRPr="00975821" w:rsidRDefault="00975821" w:rsidP="00975821">
      <w:pPr>
        <w:pStyle w:val="Heading3"/>
        <w:rPr>
          <w:rStyle w:val="Heading3Char"/>
        </w:rPr>
      </w:pPr>
      <w:r>
        <w:t xml:space="preserve">FCM Survey: </w:t>
      </w:r>
      <w:r w:rsidR="00F75E7C" w:rsidRPr="00975821">
        <w:rPr>
          <w:rStyle w:val="Heading3Char"/>
        </w:rPr>
        <w:t>Family First Prevention Services Act Awareness</w:t>
      </w:r>
    </w:p>
    <w:p w:rsidR="00F75E7C" w:rsidRPr="002C03E8" w:rsidRDefault="00F75E7C" w:rsidP="00F75E7C">
      <w:r>
        <w:t>FCMs were asked to rate how much they know about the Family First Prevention Services Act (FFPSA) to assess awareness of the new legislation on a 5 point scale from ‘Not at all’ to ‘A great deal.’  Overall, FCMs were somewhat aware, but close to 20% were completely unaware of the FFPSA.</w:t>
      </w:r>
    </w:p>
    <w:p w:rsidR="00F75E7C" w:rsidRPr="002C03E8" w:rsidRDefault="00F75E7C" w:rsidP="00F75E7C">
      <w:pPr>
        <w:pStyle w:val="Heading4"/>
        <w:rPr>
          <w:rStyle w:val="Heading3Char"/>
        </w:rPr>
      </w:pPr>
      <w:r w:rsidRPr="002C03E8">
        <w:rPr>
          <w:rStyle w:val="Heading3Char"/>
        </w:rPr>
        <w:t>Figure</w:t>
      </w:r>
      <w:r>
        <w:rPr>
          <w:rStyle w:val="Heading3Char"/>
        </w:rPr>
        <w:t xml:space="preserve"> </w:t>
      </w:r>
      <w:r w:rsidR="00F21E57">
        <w:rPr>
          <w:rStyle w:val="Heading3Char"/>
        </w:rPr>
        <w:t>24</w:t>
      </w:r>
      <w:r>
        <w:rPr>
          <w:rStyle w:val="Heading3Char"/>
        </w:rPr>
        <w:t>. Knowledge of FF</w:t>
      </w:r>
      <w:r w:rsidR="007A2044">
        <w:rPr>
          <w:rStyle w:val="Heading3Char"/>
        </w:rPr>
        <w:t>PS</w:t>
      </w:r>
      <w:r>
        <w:rPr>
          <w:rStyle w:val="Heading3Char"/>
        </w:rPr>
        <w:t>A</w:t>
      </w:r>
    </w:p>
    <w:p w:rsidR="00F75E7C" w:rsidRPr="00577282" w:rsidRDefault="00F75E7C" w:rsidP="00F75E7C">
      <w:pPr>
        <w:sectPr w:rsidR="00F75E7C" w:rsidRPr="00577282" w:rsidSect="00F75E7C">
          <w:pgSz w:w="15840" w:h="12240" w:orient="landscape"/>
          <w:pgMar w:top="1350" w:right="720" w:bottom="1440" w:left="1440" w:header="288" w:footer="720" w:gutter="0"/>
          <w:cols w:space="720"/>
          <w:docGrid w:linePitch="360"/>
        </w:sectPr>
      </w:pPr>
      <w:r>
        <w:rPr>
          <w:noProof/>
        </w:rPr>
        <w:drawing>
          <wp:inline distT="0" distB="0" distL="0" distR="0" wp14:anchorId="6A48FAC6" wp14:editId="0CC97AEA">
            <wp:extent cx="7110133" cy="4380380"/>
            <wp:effectExtent l="0" t="0" r="14605" b="127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75821" w:rsidRPr="007D4199" w:rsidRDefault="00975821" w:rsidP="00975821">
      <w:pPr>
        <w:pStyle w:val="Heading3"/>
      </w:pPr>
      <w:r>
        <w:t xml:space="preserve">FCM Survey: </w:t>
      </w:r>
      <w:r w:rsidRPr="007D4199">
        <w:t>Perceptions of the Service Array</w:t>
      </w:r>
    </w:p>
    <w:p w:rsidR="00975821" w:rsidRPr="00440792" w:rsidRDefault="00975821" w:rsidP="00975821">
      <w:pPr>
        <w:autoSpaceDE w:val="0"/>
        <w:autoSpaceDN w:val="0"/>
        <w:adjustRightInd w:val="0"/>
      </w:pPr>
      <w:r w:rsidRPr="00440792">
        <w:t>The questionnaire listed a comprehensive array of services and, for each, FCMs were asked to rate: a) the need for that service; b) availability of that service when needed; c) utilization of that service when available; and d) effectiveness of that service when utilized. Questions focusing on services used by families were developed using components of the health services utilization model.</w:t>
      </w:r>
      <w:r w:rsidRPr="00440792">
        <w:rPr>
          <w:rStyle w:val="FootnoteReference"/>
        </w:rPr>
        <w:footnoteReference w:id="7"/>
      </w:r>
      <w:r w:rsidRPr="00440792">
        <w:t xml:space="preserve"> Service need, availability, utilization, and effectiveness were each rated on five-point scales with high scores indicating greater need, availability, and so on.</w:t>
      </w:r>
    </w:p>
    <w:p w:rsidR="00AF570A" w:rsidRDefault="00AF570A" w:rsidP="00975821">
      <w:pPr>
        <w:autoSpaceDE w:val="0"/>
        <w:autoSpaceDN w:val="0"/>
        <w:adjustRightInd w:val="0"/>
      </w:pPr>
    </w:p>
    <w:p w:rsidR="00975821" w:rsidRDefault="00975821" w:rsidP="00975821">
      <w:pPr>
        <w:autoSpaceDE w:val="0"/>
        <w:autoSpaceDN w:val="0"/>
        <w:adjustRightInd w:val="0"/>
      </w:pPr>
      <w:r w:rsidRPr="00440792">
        <w:t xml:space="preserve">In 2015, </w:t>
      </w:r>
      <w:r>
        <w:t>Waiver</w:t>
      </w:r>
      <w:r w:rsidRPr="00440792">
        <w:t xml:space="preserve"> supported services were added to the list of services for FCMs to rate. These included comprehensive home-based services, trauma focused cognitive behavioral therapy, family centered treatment, child parent psychotherapy, children’s mental health initiative, and motivational interviewing.</w:t>
      </w:r>
    </w:p>
    <w:p w:rsidR="00AF570A" w:rsidRDefault="00AF570A" w:rsidP="00975821"/>
    <w:p w:rsidR="00975821" w:rsidRDefault="00975821" w:rsidP="00975821">
      <w:r w:rsidRPr="00440792">
        <w:t xml:space="preserve">Mean responses of questions </w:t>
      </w:r>
      <w:r>
        <w:t xml:space="preserve">over time </w:t>
      </w:r>
      <w:r w:rsidRPr="00440792">
        <w:t xml:space="preserve">relating to service arrays are displayed in </w:t>
      </w:r>
      <w:r w:rsidRPr="00C2511F">
        <w:t>Figures 2</w:t>
      </w:r>
      <w:r w:rsidR="0061775C">
        <w:t>5</w:t>
      </w:r>
      <w:r>
        <w:t>-</w:t>
      </w:r>
      <w:r w:rsidR="0061775C">
        <w:t>28</w:t>
      </w:r>
      <w:r w:rsidRPr="00C2511F">
        <w:t>.</w:t>
      </w:r>
      <w:r w:rsidRPr="007D4199">
        <w:t xml:space="preserve">   </w:t>
      </w:r>
      <w:r>
        <w:t xml:space="preserve"> Highlighting the figures, the need for substance abuse services grew over the Waiver period. Substance abuse services, mental health services, and basic needs had consistently the highest need over the waiver period (Figure 2</w:t>
      </w:r>
      <w:r w:rsidR="00F21E57">
        <w:t>5</w:t>
      </w:r>
      <w:r>
        <w:t xml:space="preserve">).  The availability of services grew substantially for trauma-focused CBT.  The availability for Global funds (concrete services) hit its peak in 2017 with a sharp decline in 2018 (Figure </w:t>
      </w:r>
      <w:r w:rsidR="00F21E57">
        <w:t>2</w:t>
      </w:r>
      <w:r w:rsidR="0061775C">
        <w:t>6</w:t>
      </w:r>
      <w:r>
        <w:t>).</w:t>
      </w:r>
    </w:p>
    <w:p w:rsidR="00AF570A" w:rsidRDefault="00AF570A" w:rsidP="00975821">
      <w:pPr>
        <w:rPr>
          <w:szCs w:val="24"/>
        </w:rPr>
      </w:pPr>
    </w:p>
    <w:p w:rsidR="00975821" w:rsidRDefault="00975821" w:rsidP="00975821">
      <w:pPr>
        <w:rPr>
          <w:szCs w:val="24"/>
        </w:rPr>
        <w:sectPr w:rsidR="00975821" w:rsidSect="00CE1AFB">
          <w:pgSz w:w="12240" w:h="15840"/>
          <w:pgMar w:top="720" w:right="1440" w:bottom="1440" w:left="1440" w:header="288" w:footer="720" w:gutter="0"/>
          <w:cols w:space="720"/>
          <w:docGrid w:linePitch="360"/>
        </w:sectPr>
      </w:pPr>
      <w:r>
        <w:rPr>
          <w:szCs w:val="24"/>
        </w:rPr>
        <w:t>Substance abuse had the highest utilization over the six years, followed by the other highest need categories of mental health and basic needs.  Comprehensive home-based services also reached its peak in 2018 at the 3</w:t>
      </w:r>
      <w:r w:rsidRPr="007D4199">
        <w:rPr>
          <w:szCs w:val="24"/>
          <w:vertAlign w:val="superscript"/>
        </w:rPr>
        <w:t>rd</w:t>
      </w:r>
      <w:r>
        <w:rPr>
          <w:szCs w:val="24"/>
        </w:rPr>
        <w:t xml:space="preserve"> most utilized service from the list (Figure </w:t>
      </w:r>
      <w:r w:rsidR="0061775C">
        <w:rPr>
          <w:szCs w:val="24"/>
        </w:rPr>
        <w:t>27</w:t>
      </w:r>
      <w:r>
        <w:rPr>
          <w:szCs w:val="24"/>
        </w:rPr>
        <w:t xml:space="preserve">).  The effectiveness of services differed from the need, availability, and utilization of services. Motivational interviewing was rated the most effective service from 2016-2018.  It appears that evidence-based programs (EBPs) were not perceived as the most needed, but are the most effective services when they are utilized. Global funds and basic needs were the only two non-EBPs that were as effective as the EBPs (Figure </w:t>
      </w:r>
      <w:r w:rsidR="0061775C">
        <w:rPr>
          <w:szCs w:val="24"/>
        </w:rPr>
        <w:t>28</w:t>
      </w:r>
      <w:r>
        <w:rPr>
          <w:szCs w:val="24"/>
        </w:rPr>
        <w:t>).</w:t>
      </w:r>
    </w:p>
    <w:p w:rsidR="00975821" w:rsidRDefault="00975821" w:rsidP="00975821">
      <w:pPr>
        <w:pStyle w:val="Heading4"/>
      </w:pPr>
      <w:r>
        <w:t>Figure 2</w:t>
      </w:r>
      <w:r w:rsidR="0061775C">
        <w:t>5</w:t>
      </w:r>
      <w:r>
        <w:t>. Need over time</w:t>
      </w:r>
    </w:p>
    <w:p w:rsidR="00975821" w:rsidRDefault="00975821" w:rsidP="00975821">
      <w:pPr>
        <w:ind w:left="-720" w:hanging="540"/>
        <w:rPr>
          <w:rFonts w:eastAsiaTheme="majorEastAsia" w:cstheme="majorBidi"/>
          <w:i/>
          <w:iCs/>
          <w:color w:val="2E74B5" w:themeColor="accent1" w:themeShade="BF"/>
        </w:rPr>
      </w:pPr>
      <w:bookmarkStart w:id="21" w:name="_Hlk31013458"/>
      <w:r>
        <w:rPr>
          <w:noProof/>
        </w:rPr>
        <w:drawing>
          <wp:inline distT="0" distB="0" distL="0" distR="0" wp14:anchorId="287D1596" wp14:editId="61B1E645">
            <wp:extent cx="9473609" cy="5252484"/>
            <wp:effectExtent l="0" t="0" r="13335" b="5715"/>
            <wp:docPr id="91" name="Chart 91">
              <a:extLst xmlns:a="http://schemas.openxmlformats.org/drawingml/2006/main">
                <a:ext uri="{FF2B5EF4-FFF2-40B4-BE49-F238E27FC236}">
                  <a16:creationId xmlns:a16="http://schemas.microsoft.com/office/drawing/2014/main" id="{4F93B65B-DCDE-4EC2-99A8-60CC6D2731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975821" w:rsidRDefault="00975821" w:rsidP="00975821">
      <w:pPr>
        <w:pStyle w:val="Heading4"/>
      </w:pPr>
      <w:r>
        <w:t xml:space="preserve">Figure </w:t>
      </w:r>
      <w:r w:rsidR="0061775C">
        <w:t>26</w:t>
      </w:r>
      <w:r>
        <w:t>. Availability over time</w:t>
      </w:r>
    </w:p>
    <w:p w:rsidR="00975821" w:rsidRDefault="00975821" w:rsidP="00975821">
      <w:pPr>
        <w:ind w:left="-720" w:hanging="540"/>
        <w:rPr>
          <w:rFonts w:eastAsiaTheme="majorEastAsia" w:cstheme="majorBidi"/>
          <w:i/>
          <w:iCs/>
          <w:color w:val="2E74B5" w:themeColor="accent1" w:themeShade="BF"/>
        </w:rPr>
      </w:pPr>
      <w:r>
        <w:rPr>
          <w:noProof/>
        </w:rPr>
        <w:drawing>
          <wp:inline distT="0" distB="0" distL="0" distR="0" wp14:anchorId="00DBC98D" wp14:editId="0ACFC998">
            <wp:extent cx="9760585" cy="5295014"/>
            <wp:effectExtent l="0" t="0" r="12065" b="1270"/>
            <wp:docPr id="28" name="Chart 28">
              <a:extLst xmlns:a="http://schemas.openxmlformats.org/drawingml/2006/main">
                <a:ext uri="{FF2B5EF4-FFF2-40B4-BE49-F238E27FC236}">
                  <a16:creationId xmlns:a16="http://schemas.microsoft.com/office/drawing/2014/main" id="{313F982C-3A55-42CD-AF64-4536188A04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75821" w:rsidRDefault="00975821" w:rsidP="00975821">
      <w:pPr>
        <w:pStyle w:val="Heading4"/>
      </w:pPr>
      <w:r>
        <w:t xml:space="preserve">Figure </w:t>
      </w:r>
      <w:r w:rsidR="0061775C">
        <w:t>27</w:t>
      </w:r>
      <w:r>
        <w:t>. Utilization over time</w:t>
      </w:r>
    </w:p>
    <w:p w:rsidR="00975821" w:rsidRDefault="00975821" w:rsidP="00975821">
      <w:pPr>
        <w:ind w:left="-720" w:hanging="540"/>
        <w:rPr>
          <w:rFonts w:eastAsiaTheme="majorEastAsia" w:cstheme="majorBidi"/>
          <w:i/>
          <w:iCs/>
          <w:color w:val="2E74B5" w:themeColor="accent1" w:themeShade="BF"/>
        </w:rPr>
      </w:pPr>
      <w:r>
        <w:rPr>
          <w:noProof/>
        </w:rPr>
        <w:drawing>
          <wp:inline distT="0" distB="0" distL="0" distR="0" wp14:anchorId="60757581" wp14:editId="1529BE6E">
            <wp:extent cx="9772650" cy="5146159"/>
            <wp:effectExtent l="0" t="0" r="0" b="16510"/>
            <wp:docPr id="29" name="Chart 29">
              <a:extLst xmlns:a="http://schemas.openxmlformats.org/drawingml/2006/main">
                <a:ext uri="{FF2B5EF4-FFF2-40B4-BE49-F238E27FC236}">
                  <a16:creationId xmlns:a16="http://schemas.microsoft.com/office/drawing/2014/main" id="{26370EAE-F7AD-4A2A-AB13-6DC300DDF3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975821" w:rsidRDefault="00975821" w:rsidP="00975821">
      <w:pPr>
        <w:pStyle w:val="Heading4"/>
      </w:pPr>
      <w:r>
        <w:t xml:space="preserve">Figure </w:t>
      </w:r>
      <w:r w:rsidR="0061775C">
        <w:t>28</w:t>
      </w:r>
      <w:r>
        <w:t>. Effectiveness over time</w:t>
      </w:r>
    </w:p>
    <w:bookmarkEnd w:id="21"/>
    <w:p w:rsidR="00975821" w:rsidRDefault="00975821" w:rsidP="00975821">
      <w:pPr>
        <w:ind w:left="-720" w:hanging="540"/>
        <w:rPr>
          <w:rFonts w:eastAsiaTheme="majorEastAsia" w:cstheme="majorBidi"/>
          <w:i/>
          <w:iCs/>
          <w:color w:val="2E74B5" w:themeColor="accent1" w:themeShade="BF"/>
        </w:rPr>
        <w:sectPr w:rsidR="00975821" w:rsidSect="00CE1AFB">
          <w:pgSz w:w="15840" w:h="12240" w:orient="landscape"/>
          <w:pgMar w:top="1260" w:right="720" w:bottom="1260" w:left="1440" w:header="288" w:footer="720" w:gutter="0"/>
          <w:cols w:space="720"/>
          <w:docGrid w:linePitch="360"/>
        </w:sectPr>
      </w:pPr>
      <w:r>
        <w:rPr>
          <w:noProof/>
        </w:rPr>
        <w:drawing>
          <wp:inline distT="0" distB="0" distL="0" distR="0" wp14:anchorId="7D7B349C" wp14:editId="7A9E3CC7">
            <wp:extent cx="9548037" cy="5241852"/>
            <wp:effectExtent l="0" t="0" r="15240" b="16510"/>
            <wp:docPr id="30" name="Chart 30">
              <a:extLst xmlns:a="http://schemas.openxmlformats.org/drawingml/2006/main">
                <a:ext uri="{FF2B5EF4-FFF2-40B4-BE49-F238E27FC236}">
                  <a16:creationId xmlns:a16="http://schemas.microsoft.com/office/drawing/2014/main" id="{CA159D35-302B-4D7B-8D5F-FDFCD28ED1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975821" w:rsidRDefault="00975821" w:rsidP="00975821">
      <w:pPr>
        <w:pStyle w:val="Heading3"/>
      </w:pPr>
      <w:r>
        <w:t xml:space="preserve">FCM Survey: Concrete Services </w:t>
      </w:r>
    </w:p>
    <w:p w:rsidR="00975821" w:rsidRDefault="00975821" w:rsidP="00975821">
      <w:pPr>
        <w:rPr>
          <w:noProof/>
        </w:rPr>
      </w:pPr>
      <w:r>
        <w:t xml:space="preserve">The FCMs were asked to provide information about their last closed case in regards to the services that particular case utilized and then rate the service on how well it met the needs for that particular family.  These questions were asked in 2016, 2017, and 2018.  The utilization of concrete services for the FCMs last closed case increased from 2016 (190 cases, 20.9%) to 2017 (282 cases, 28.1%) and decreased slightly in 2018 (241 cases, 27.9%) compared to </w:t>
      </w:r>
      <w:r w:rsidRPr="00FF7299">
        <w:t>2017.</w:t>
      </w:r>
      <w:r w:rsidRPr="00FF7299">
        <w:rPr>
          <w:noProof/>
        </w:rPr>
        <w:t xml:space="preserve"> (Figure </w:t>
      </w:r>
      <w:r w:rsidR="0061775C">
        <w:rPr>
          <w:noProof/>
        </w:rPr>
        <w:t>29</w:t>
      </w:r>
      <w:r w:rsidRPr="00FF7299">
        <w:rPr>
          <w:noProof/>
        </w:rPr>
        <w:t>)</w:t>
      </w:r>
    </w:p>
    <w:p w:rsidR="00975821" w:rsidRDefault="00975821" w:rsidP="00975821">
      <w:pPr>
        <w:rPr>
          <w:noProof/>
        </w:rPr>
      </w:pPr>
    </w:p>
    <w:p w:rsidR="00975821" w:rsidRDefault="00975821" w:rsidP="00975821">
      <w:pPr>
        <w:pStyle w:val="Heading4"/>
      </w:pPr>
      <w:r>
        <w:t xml:space="preserve">Figure </w:t>
      </w:r>
      <w:r w:rsidR="0061775C">
        <w:t>29</w:t>
      </w:r>
      <w:r>
        <w:t>. Concrete service utilization in FCMs most recently closed cases</w:t>
      </w:r>
      <w:r>
        <w:rPr>
          <w:noProof/>
        </w:rPr>
        <w:drawing>
          <wp:inline distT="0" distB="0" distL="0" distR="0" wp14:anchorId="238EA517" wp14:editId="32603481">
            <wp:extent cx="4591050" cy="2524125"/>
            <wp:effectExtent l="0" t="0" r="0" b="9525"/>
            <wp:docPr id="92" name="Chart 92">
              <a:extLst xmlns:a="http://schemas.openxmlformats.org/drawingml/2006/main">
                <a:ext uri="{FF2B5EF4-FFF2-40B4-BE49-F238E27FC236}">
                  <a16:creationId xmlns:a16="http://schemas.microsoft.com/office/drawing/2014/main" id="{F03671C5-5423-43FE-8338-4CECBD94B5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975821" w:rsidRDefault="00975821" w:rsidP="00975821"/>
    <w:p w:rsidR="00975821" w:rsidRDefault="00975821" w:rsidP="00975821">
      <w:r>
        <w:t xml:space="preserve">FCMs then rated how well concrete services met the needs of the family on a scale: 1 (not at all), </w:t>
      </w:r>
    </w:p>
    <w:p w:rsidR="00975821" w:rsidRDefault="00975821" w:rsidP="00975821">
      <w:r>
        <w:t xml:space="preserve">2 (somewhat), or 3 (completely).  In all three years that FCMs rated concrete services, they rated them as completely meeting the needs of the family in over 80% of cases each year with the highest rating in 2017 (87.9%).  These data are </w:t>
      </w:r>
      <w:r w:rsidRPr="00C053C8">
        <w:t xml:space="preserve">shown in Figure </w:t>
      </w:r>
      <w:r w:rsidR="0061775C">
        <w:t>30</w:t>
      </w:r>
      <w:r w:rsidRPr="00C053C8">
        <w:t>.</w:t>
      </w:r>
    </w:p>
    <w:p w:rsidR="0061775C" w:rsidRDefault="0061775C" w:rsidP="00975821"/>
    <w:p w:rsidR="00975821" w:rsidRDefault="00975821" w:rsidP="00975821">
      <w:pPr>
        <w:pStyle w:val="Heading4"/>
      </w:pPr>
      <w:r>
        <w:t xml:space="preserve">Figure </w:t>
      </w:r>
      <w:r w:rsidR="0061775C">
        <w:t>30</w:t>
      </w:r>
      <w:r>
        <w:t>. How well concrete services met the needs of the family</w:t>
      </w:r>
    </w:p>
    <w:p w:rsidR="00975821" w:rsidRDefault="00975821" w:rsidP="00975821">
      <w:r>
        <w:rPr>
          <w:noProof/>
        </w:rPr>
        <w:drawing>
          <wp:inline distT="0" distB="0" distL="0" distR="0" wp14:anchorId="2FCB07D7" wp14:editId="1AF887D1">
            <wp:extent cx="4338084" cy="2286000"/>
            <wp:effectExtent l="0" t="0" r="5715" b="0"/>
            <wp:docPr id="93" name="Chart 93">
              <a:extLst xmlns:a="http://schemas.openxmlformats.org/drawingml/2006/main">
                <a:ext uri="{FF2B5EF4-FFF2-40B4-BE49-F238E27FC236}">
                  <a16:creationId xmlns:a16="http://schemas.microsoft.com/office/drawing/2014/main" id="{1C8C0019-2DBC-4FE9-A4A6-AF5458A18F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br w:type="page"/>
      </w:r>
    </w:p>
    <w:p w:rsidR="004F1ABF" w:rsidRDefault="004F1ABF" w:rsidP="004F1ABF">
      <w:pPr>
        <w:pStyle w:val="Heading3"/>
      </w:pPr>
      <w:r>
        <w:t xml:space="preserve">FCM Survey: </w:t>
      </w:r>
      <w:r w:rsidRPr="001A5B50">
        <w:t xml:space="preserve">Determinants of intent to stay </w:t>
      </w:r>
      <w:r>
        <w:t>in Child Welfare</w:t>
      </w:r>
    </w:p>
    <w:p w:rsidR="004F1ABF" w:rsidRDefault="004F1ABF" w:rsidP="00400B35">
      <w:r>
        <w:t>The FCMs were asked three questions about their intention to stay within child welfare:</w:t>
      </w:r>
    </w:p>
    <w:p w:rsidR="004F1ABF" w:rsidRPr="00400B35" w:rsidRDefault="004F1ABF" w:rsidP="0032600F">
      <w:pPr>
        <w:pStyle w:val="ListParagraph"/>
        <w:numPr>
          <w:ilvl w:val="0"/>
          <w:numId w:val="32"/>
        </w:numPr>
        <w:spacing w:after="0" w:line="240" w:lineRule="auto"/>
        <w:rPr>
          <w:rFonts w:asciiTheme="minorHAnsi" w:hAnsiTheme="minorHAnsi"/>
          <w:sz w:val="22"/>
        </w:rPr>
      </w:pPr>
      <w:r w:rsidRPr="00400B35">
        <w:rPr>
          <w:rFonts w:asciiTheme="minorHAnsi" w:hAnsiTheme="minorHAnsi"/>
          <w:sz w:val="22"/>
        </w:rPr>
        <w:t xml:space="preserve">I intend to remain in child welfare as my long-term professional career.  </w:t>
      </w:r>
    </w:p>
    <w:p w:rsidR="004F1ABF" w:rsidRPr="00400B35" w:rsidRDefault="004F1ABF" w:rsidP="0032600F">
      <w:pPr>
        <w:pStyle w:val="ListParagraph"/>
        <w:numPr>
          <w:ilvl w:val="0"/>
          <w:numId w:val="32"/>
        </w:numPr>
        <w:spacing w:after="0" w:line="240" w:lineRule="auto"/>
        <w:rPr>
          <w:rFonts w:asciiTheme="minorHAnsi" w:hAnsiTheme="minorHAnsi"/>
          <w:sz w:val="22"/>
        </w:rPr>
      </w:pPr>
      <w:r w:rsidRPr="00400B35">
        <w:rPr>
          <w:rFonts w:asciiTheme="minorHAnsi" w:hAnsiTheme="minorHAnsi"/>
          <w:sz w:val="22"/>
        </w:rPr>
        <w:t xml:space="preserve">I will remain in child welfare even though I might be offered a position outside of child welfare with a higher salary </w:t>
      </w:r>
    </w:p>
    <w:p w:rsidR="004F1ABF" w:rsidRPr="00400B35" w:rsidRDefault="004F1ABF" w:rsidP="0032600F">
      <w:pPr>
        <w:pStyle w:val="ListParagraph"/>
        <w:numPr>
          <w:ilvl w:val="0"/>
          <w:numId w:val="32"/>
        </w:numPr>
        <w:spacing w:after="0" w:line="240" w:lineRule="auto"/>
        <w:rPr>
          <w:rFonts w:asciiTheme="minorHAnsi" w:hAnsiTheme="minorHAnsi"/>
          <w:sz w:val="22"/>
          <w:u w:val="single"/>
        </w:rPr>
      </w:pPr>
      <w:r w:rsidRPr="00400B35">
        <w:rPr>
          <w:rFonts w:asciiTheme="minorHAnsi" w:hAnsiTheme="minorHAnsi"/>
          <w:sz w:val="22"/>
        </w:rPr>
        <w:t>I am committed to working in child welfare even though it can be quite stressful at times.</w:t>
      </w:r>
    </w:p>
    <w:p w:rsidR="004F1ABF" w:rsidRPr="003A1416" w:rsidRDefault="004F1ABF" w:rsidP="00400B35">
      <w:r>
        <w:t xml:space="preserve">The </w:t>
      </w:r>
      <w:r w:rsidRPr="003A1416">
        <w:rPr>
          <w:bCs/>
          <w:u w:val="single"/>
        </w:rPr>
        <w:t>Goal</w:t>
      </w:r>
      <w:r w:rsidRPr="003A1416">
        <w:rPr>
          <w:u w:val="single"/>
        </w:rPr>
        <w:t xml:space="preserve"> </w:t>
      </w:r>
      <w:r w:rsidRPr="003A1416">
        <w:t>of this analysis was to:</w:t>
      </w:r>
    </w:p>
    <w:p w:rsidR="004F1ABF" w:rsidRDefault="004F1ABF" w:rsidP="0032600F">
      <w:pPr>
        <w:pStyle w:val="NoSpacing"/>
        <w:numPr>
          <w:ilvl w:val="0"/>
          <w:numId w:val="31"/>
        </w:numPr>
      </w:pPr>
      <w:r>
        <w:t xml:space="preserve">Identify significant factors associated with caseworkers’ intent to stay in child welfare agencies. </w:t>
      </w:r>
    </w:p>
    <w:p w:rsidR="004F1ABF" w:rsidRDefault="004F1ABF" w:rsidP="0032600F">
      <w:pPr>
        <w:pStyle w:val="NoSpacing"/>
        <w:numPr>
          <w:ilvl w:val="0"/>
          <w:numId w:val="31"/>
        </w:numPr>
      </w:pPr>
      <w:r>
        <w:t>Examine whether the main effects of significant factors differ by worker characteristics</w:t>
      </w:r>
    </w:p>
    <w:p w:rsidR="004F1ABF" w:rsidRDefault="004F1ABF" w:rsidP="00400B35">
      <w:pPr>
        <w:pStyle w:val="NoSpacing"/>
      </w:pPr>
    </w:p>
    <w:p w:rsidR="004F1ABF" w:rsidRPr="00AF570A" w:rsidRDefault="004F1ABF" w:rsidP="00400B35">
      <w:pPr>
        <w:pStyle w:val="NoSpacing"/>
        <w:rPr>
          <w:b/>
          <w:bCs/>
          <w:color w:val="1F4E79"/>
        </w:rPr>
      </w:pPr>
      <w:r w:rsidRPr="00AF570A">
        <w:rPr>
          <w:b/>
          <w:bCs/>
          <w:color w:val="1F4E79"/>
        </w:rPr>
        <w:t>Methods</w:t>
      </w:r>
    </w:p>
    <w:p w:rsidR="004F1ABF" w:rsidRDefault="004F1ABF" w:rsidP="0032600F">
      <w:pPr>
        <w:pStyle w:val="NoSpacing"/>
        <w:numPr>
          <w:ilvl w:val="0"/>
          <w:numId w:val="28"/>
        </w:numPr>
      </w:pPr>
      <w:r>
        <w:t>Data: 2018 FCM survey</w:t>
      </w:r>
      <w:r w:rsidR="00AF33B8">
        <w:t>. Measures used are in Table 2</w:t>
      </w:r>
      <w:r w:rsidR="002A34BA">
        <w:t>7</w:t>
      </w:r>
      <w:r w:rsidR="00AF33B8">
        <w:t xml:space="preserve"> below. Outcome was intent to stay.</w:t>
      </w:r>
    </w:p>
    <w:p w:rsidR="004F1ABF" w:rsidRPr="009B3360" w:rsidRDefault="004F1ABF" w:rsidP="004F1ABF">
      <w:pPr>
        <w:pStyle w:val="NoSpacing"/>
        <w:ind w:left="360"/>
        <w:rPr>
          <w:sz w:val="10"/>
          <w:szCs w:val="10"/>
        </w:rPr>
      </w:pPr>
    </w:p>
    <w:p w:rsidR="004F1ABF" w:rsidRDefault="004F1ABF" w:rsidP="004F1ABF">
      <w:pPr>
        <w:pStyle w:val="Heading4"/>
      </w:pPr>
      <w:r>
        <w:t xml:space="preserve">Table </w:t>
      </w:r>
      <w:r w:rsidR="002A34BA">
        <w:t>27</w:t>
      </w:r>
      <w:r>
        <w:t>. Measures for intent to stay analysis</w:t>
      </w:r>
    </w:p>
    <w:tbl>
      <w:tblPr>
        <w:tblStyle w:val="PlainTable1"/>
        <w:tblW w:w="10255" w:type="dxa"/>
        <w:tblLook w:val="04A0" w:firstRow="1" w:lastRow="0" w:firstColumn="1" w:lastColumn="0" w:noHBand="0" w:noVBand="1"/>
      </w:tblPr>
      <w:tblGrid>
        <w:gridCol w:w="1885"/>
        <w:gridCol w:w="6390"/>
        <w:gridCol w:w="1980"/>
      </w:tblGrid>
      <w:tr w:rsidR="004F1ABF" w:rsidTr="004B54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shd w:val="clear" w:color="auto" w:fill="5B9BD5" w:themeFill="accent1"/>
          </w:tcPr>
          <w:p w:rsidR="004F1ABF" w:rsidRPr="009B3360" w:rsidRDefault="004F1ABF" w:rsidP="00CE1AFB">
            <w:pPr>
              <w:pStyle w:val="NoSpacing"/>
              <w:rPr>
                <w:color w:val="FFFFFF" w:themeColor="background1"/>
              </w:rPr>
            </w:pPr>
            <w:r w:rsidRPr="009B3360">
              <w:rPr>
                <w:color w:val="FFFFFF" w:themeColor="background1"/>
              </w:rPr>
              <w:t>Variables</w:t>
            </w:r>
          </w:p>
        </w:tc>
        <w:tc>
          <w:tcPr>
            <w:tcW w:w="6390" w:type="dxa"/>
            <w:shd w:val="clear" w:color="auto" w:fill="5B9BD5" w:themeFill="accent1"/>
          </w:tcPr>
          <w:p w:rsidR="004F1ABF" w:rsidRPr="009B3360" w:rsidRDefault="004F1ABF" w:rsidP="00CE1AFB">
            <w:pPr>
              <w:pStyle w:val="NoSpacing"/>
              <w:cnfStyle w:val="100000000000" w:firstRow="1" w:lastRow="0" w:firstColumn="0" w:lastColumn="0" w:oddVBand="0" w:evenVBand="0" w:oddHBand="0" w:evenHBand="0" w:firstRowFirstColumn="0" w:firstRowLastColumn="0" w:lastRowFirstColumn="0" w:lastRowLastColumn="0"/>
              <w:rPr>
                <w:color w:val="FFFFFF" w:themeColor="background1"/>
              </w:rPr>
            </w:pPr>
            <w:r w:rsidRPr="009B3360">
              <w:rPr>
                <w:color w:val="FFFFFF" w:themeColor="background1"/>
              </w:rPr>
              <w:t>Measures</w:t>
            </w:r>
          </w:p>
        </w:tc>
        <w:tc>
          <w:tcPr>
            <w:tcW w:w="1980" w:type="dxa"/>
            <w:shd w:val="clear" w:color="auto" w:fill="5B9BD5" w:themeFill="accent1"/>
          </w:tcPr>
          <w:p w:rsidR="004F1ABF" w:rsidRPr="009B3360" w:rsidRDefault="004F1ABF" w:rsidP="00CE1AFB">
            <w:pPr>
              <w:pStyle w:val="NoSpacing"/>
              <w:cnfStyle w:val="100000000000" w:firstRow="1" w:lastRow="0" w:firstColumn="0" w:lastColumn="0" w:oddVBand="0" w:evenVBand="0" w:oddHBand="0" w:evenHBand="0" w:firstRowFirstColumn="0" w:firstRowLastColumn="0" w:lastRowFirstColumn="0" w:lastRowLastColumn="0"/>
              <w:rPr>
                <w:color w:val="FFFFFF" w:themeColor="background1"/>
              </w:rPr>
            </w:pPr>
            <w:r w:rsidRPr="009B3360">
              <w:rPr>
                <w:color w:val="FFFFFF" w:themeColor="background1"/>
              </w:rPr>
              <w:t>Source</w:t>
            </w:r>
          </w:p>
        </w:tc>
      </w:tr>
      <w:tr w:rsidR="004F1ABF" w:rsidTr="004B54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 xml:space="preserve">Intent to stay </w:t>
            </w:r>
          </w:p>
        </w:tc>
        <w:tc>
          <w:tcPr>
            <w:tcW w:w="639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r w:rsidRPr="009B3360">
              <w:t>3 items to measure intent to remain employed in child welfare</w:t>
            </w:r>
          </w:p>
        </w:tc>
        <w:tc>
          <w:tcPr>
            <w:tcW w:w="198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r w:rsidRPr="009B3360">
              <w:t>Ellett (2009)</w:t>
            </w:r>
          </w:p>
        </w:tc>
      </w:tr>
      <w:tr w:rsidR="004F1ABF" w:rsidTr="004B5488">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Emotional supervision</w:t>
            </w:r>
          </w:p>
        </w:tc>
        <w:tc>
          <w:tcPr>
            <w:tcW w:w="6390" w:type="dxa"/>
          </w:tcPr>
          <w:p w:rsidR="004F1ABF" w:rsidRPr="009B3360" w:rsidRDefault="004F1ABF" w:rsidP="00CE1AFB">
            <w:pPr>
              <w:pStyle w:val="NoSpacing"/>
              <w:cnfStyle w:val="000000000000" w:firstRow="0" w:lastRow="0" w:firstColumn="0" w:lastColumn="0" w:oddVBand="0" w:evenVBand="0" w:oddHBand="0" w:evenHBand="0" w:firstRowFirstColumn="0" w:firstRowLastColumn="0" w:lastRowFirstColumn="0" w:lastRowLastColumn="0"/>
            </w:pPr>
            <w:r w:rsidRPr="009B3360">
              <w:t>10 items to measure caseworkers’ perceived emotional support by supervisors</w:t>
            </w:r>
          </w:p>
        </w:tc>
        <w:tc>
          <w:tcPr>
            <w:tcW w:w="1980" w:type="dxa"/>
          </w:tcPr>
          <w:p w:rsidR="004F1ABF" w:rsidRPr="009B3360" w:rsidRDefault="004F1ABF" w:rsidP="00CE1AFB">
            <w:pPr>
              <w:pStyle w:val="NoSpacing"/>
              <w:cnfStyle w:val="000000000000" w:firstRow="0" w:lastRow="0" w:firstColumn="0" w:lastColumn="0" w:oddVBand="0" w:evenVBand="0" w:oddHBand="0" w:evenHBand="0" w:firstRowFirstColumn="0" w:firstRowLastColumn="0" w:lastRowFirstColumn="0" w:lastRowLastColumn="0"/>
            </w:pPr>
            <w:r w:rsidRPr="009B3360">
              <w:t>Fukui et al., (2014) subscale</w:t>
            </w:r>
          </w:p>
        </w:tc>
      </w:tr>
      <w:tr w:rsidR="004F1ABF" w:rsidTr="004B54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Distributive justice</w:t>
            </w:r>
          </w:p>
        </w:tc>
        <w:tc>
          <w:tcPr>
            <w:tcW w:w="639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r w:rsidRPr="009B3360">
              <w:t xml:space="preserve">5 items to measure caseworkers’ perception of fair distribution of outcomes regarding evaluations, pay, rewards, promotions, job assignments, and other tasks at their agencies </w:t>
            </w:r>
          </w:p>
        </w:tc>
        <w:tc>
          <w:tcPr>
            <w:tcW w:w="198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r w:rsidRPr="009B3360">
              <w:t>Niehoff and Moorman (1993) subscale</w:t>
            </w:r>
          </w:p>
        </w:tc>
      </w:tr>
      <w:tr w:rsidR="004F1ABF" w:rsidTr="004B5488">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Procedural justice</w:t>
            </w:r>
          </w:p>
        </w:tc>
        <w:tc>
          <w:tcPr>
            <w:tcW w:w="6390" w:type="dxa"/>
          </w:tcPr>
          <w:p w:rsidR="004F1ABF" w:rsidRPr="009B3360" w:rsidRDefault="004F1ABF" w:rsidP="00CE1AFB">
            <w:pPr>
              <w:pStyle w:val="NoSpacing"/>
              <w:cnfStyle w:val="000000000000" w:firstRow="0" w:lastRow="0" w:firstColumn="0" w:lastColumn="0" w:oddVBand="0" w:evenVBand="0" w:oddHBand="0" w:evenHBand="0" w:firstRowFirstColumn="0" w:firstRowLastColumn="0" w:lastRowFirstColumn="0" w:lastRowLastColumn="0"/>
            </w:pPr>
            <w:r w:rsidRPr="009B3360">
              <w:t>7 items to measure caseworker’s perception of fair processes of decision-making about their evaluations, pay, rewards, promotions, job assignments, and other tasks at their agencies</w:t>
            </w:r>
          </w:p>
        </w:tc>
        <w:tc>
          <w:tcPr>
            <w:tcW w:w="1980" w:type="dxa"/>
          </w:tcPr>
          <w:p w:rsidR="004F1ABF" w:rsidRPr="009B3360" w:rsidRDefault="004F1ABF" w:rsidP="00CE1AFB">
            <w:pPr>
              <w:pStyle w:val="NoSpacing"/>
              <w:cnfStyle w:val="000000000000" w:firstRow="0" w:lastRow="0" w:firstColumn="0" w:lastColumn="0" w:oddVBand="0" w:evenVBand="0" w:oddHBand="0" w:evenHBand="0" w:firstRowFirstColumn="0" w:firstRowLastColumn="0" w:lastRowFirstColumn="0" w:lastRowLastColumn="0"/>
            </w:pPr>
            <w:r w:rsidRPr="009B3360">
              <w:t>Colquitt &amp; Rodell (2015) subscale</w:t>
            </w:r>
          </w:p>
        </w:tc>
      </w:tr>
      <w:tr w:rsidR="004F1ABF" w:rsidTr="004B54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Interpersonal justice</w:t>
            </w:r>
          </w:p>
        </w:tc>
        <w:tc>
          <w:tcPr>
            <w:tcW w:w="639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r w:rsidRPr="009B3360">
              <w:t>3 items to measure caseworkers’ perception of fair treatment by their coworkers at their agencies</w:t>
            </w:r>
          </w:p>
        </w:tc>
        <w:tc>
          <w:tcPr>
            <w:tcW w:w="198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r w:rsidRPr="009B3360">
              <w:t>Colquitt &amp; Rodell (2015) subscale</w:t>
            </w:r>
          </w:p>
        </w:tc>
      </w:tr>
      <w:tr w:rsidR="004F1ABF" w:rsidTr="004B5488">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Regional administrative support</w:t>
            </w:r>
          </w:p>
        </w:tc>
        <w:tc>
          <w:tcPr>
            <w:tcW w:w="6390" w:type="dxa"/>
          </w:tcPr>
          <w:p w:rsidR="004F1ABF" w:rsidRPr="009B3360" w:rsidRDefault="004F1ABF" w:rsidP="00CE1AFB">
            <w:pPr>
              <w:pStyle w:val="NoSpacing"/>
              <w:cnfStyle w:val="000000000000" w:firstRow="0" w:lastRow="0" w:firstColumn="0" w:lastColumn="0" w:oddVBand="0" w:evenVBand="0" w:oddHBand="0" w:evenHBand="0" w:firstRowFirstColumn="0" w:firstRowLastColumn="0" w:lastRowFirstColumn="0" w:lastRowLastColumn="0"/>
            </w:pPr>
            <w:r w:rsidRPr="009B3360">
              <w:t>10 items to measure caseworker’s perception of regional manger’s administrative support to promote staff’s performance, development, and well-being</w:t>
            </w:r>
          </w:p>
        </w:tc>
        <w:tc>
          <w:tcPr>
            <w:tcW w:w="1980" w:type="dxa"/>
          </w:tcPr>
          <w:p w:rsidR="004F1ABF" w:rsidRPr="009B3360" w:rsidRDefault="004F1ABF" w:rsidP="00CE1AFB">
            <w:pPr>
              <w:pStyle w:val="NoSpacing"/>
              <w:cnfStyle w:val="000000000000" w:firstRow="0" w:lastRow="0" w:firstColumn="0" w:lastColumn="0" w:oddVBand="0" w:evenVBand="0" w:oddHBand="0" w:evenHBand="0" w:firstRowFirstColumn="0" w:firstRowLastColumn="0" w:lastRowFirstColumn="0" w:lastRowLastColumn="0"/>
            </w:pPr>
            <w:r w:rsidRPr="009B3360">
              <w:t>Westbrook and Ellett (2009) subscale</w:t>
            </w:r>
          </w:p>
        </w:tc>
      </w:tr>
      <w:tr w:rsidR="004F1ABF" w:rsidTr="004B54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Secondary trauma stress</w:t>
            </w:r>
          </w:p>
        </w:tc>
        <w:tc>
          <w:tcPr>
            <w:tcW w:w="639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r w:rsidRPr="009B3360">
              <w:t>17 items to measure caseworkers’ self-reported secondary trauma stress</w:t>
            </w:r>
          </w:p>
        </w:tc>
        <w:tc>
          <w:tcPr>
            <w:tcW w:w="198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r w:rsidRPr="009B3360">
              <w:t>Bride et al. (2004)</w:t>
            </w:r>
          </w:p>
        </w:tc>
      </w:tr>
      <w:tr w:rsidR="004F1ABF" w:rsidTr="004B5488">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Personal self-care</w:t>
            </w:r>
          </w:p>
        </w:tc>
        <w:tc>
          <w:tcPr>
            <w:tcW w:w="6390" w:type="dxa"/>
          </w:tcPr>
          <w:p w:rsidR="004F1ABF" w:rsidRPr="009B3360" w:rsidRDefault="004F1ABF" w:rsidP="00CE1AFB">
            <w:pPr>
              <w:pStyle w:val="NoSpacing"/>
              <w:cnfStyle w:val="000000000000" w:firstRow="0" w:lastRow="0" w:firstColumn="0" w:lastColumn="0" w:oddVBand="0" w:evenVBand="0" w:oddHBand="0" w:evenHBand="0" w:firstRowFirstColumn="0" w:firstRowLastColumn="0" w:lastRowFirstColumn="0" w:lastRowLastColumn="0"/>
            </w:pPr>
            <w:r w:rsidRPr="009B3360">
              <w:t>7 items to measure caseworkers’ the level of personal self-care (e.g., get adequate sleep, engage in physical activity)</w:t>
            </w:r>
          </w:p>
        </w:tc>
        <w:tc>
          <w:tcPr>
            <w:tcW w:w="1980" w:type="dxa"/>
          </w:tcPr>
          <w:p w:rsidR="004F1ABF" w:rsidRPr="009B3360" w:rsidRDefault="004F1ABF" w:rsidP="00CE1AFB">
            <w:pPr>
              <w:pStyle w:val="NoSpacing"/>
              <w:cnfStyle w:val="000000000000" w:firstRow="0" w:lastRow="0" w:firstColumn="0" w:lastColumn="0" w:oddVBand="0" w:evenVBand="0" w:oddHBand="0" w:evenHBand="0" w:firstRowFirstColumn="0" w:firstRowLastColumn="0" w:lastRowFirstColumn="0" w:lastRowLastColumn="0"/>
            </w:pPr>
            <w:r w:rsidRPr="009B3360">
              <w:t>Factor analysis was conducted</w:t>
            </w:r>
          </w:p>
        </w:tc>
      </w:tr>
      <w:tr w:rsidR="004F1ABF" w:rsidTr="004B54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Professional self-care</w:t>
            </w:r>
          </w:p>
        </w:tc>
        <w:tc>
          <w:tcPr>
            <w:tcW w:w="639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r w:rsidRPr="009B3360">
              <w:t>8 items to measure caseworkers’ the level of professional self-care (e.g., acknowledge success at work, seek out professional development)</w:t>
            </w:r>
          </w:p>
        </w:tc>
        <w:tc>
          <w:tcPr>
            <w:tcW w:w="198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r w:rsidRPr="009B3360">
              <w:t>Factor analysis was conducted</w:t>
            </w:r>
          </w:p>
        </w:tc>
      </w:tr>
      <w:tr w:rsidR="004F1ABF" w:rsidTr="004B5488">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Age</w:t>
            </w:r>
          </w:p>
        </w:tc>
        <w:tc>
          <w:tcPr>
            <w:tcW w:w="6390" w:type="dxa"/>
          </w:tcPr>
          <w:p w:rsidR="004F1ABF" w:rsidRPr="009B3360" w:rsidRDefault="004F1ABF" w:rsidP="00CE1AFB">
            <w:pPr>
              <w:pStyle w:val="NoSpacing"/>
              <w:cnfStyle w:val="000000000000" w:firstRow="0" w:lastRow="0" w:firstColumn="0" w:lastColumn="0" w:oddVBand="0" w:evenVBand="0" w:oddHBand="0" w:evenHBand="0" w:firstRowFirstColumn="0" w:firstRowLastColumn="0" w:lastRowFirstColumn="0" w:lastRowLastColumn="0"/>
            </w:pPr>
            <w:r w:rsidRPr="009B3360">
              <w:t>years</w:t>
            </w:r>
          </w:p>
        </w:tc>
        <w:tc>
          <w:tcPr>
            <w:tcW w:w="1980" w:type="dxa"/>
          </w:tcPr>
          <w:p w:rsidR="004F1ABF" w:rsidRPr="009B3360" w:rsidRDefault="004F1ABF" w:rsidP="00CE1AFB">
            <w:pPr>
              <w:pStyle w:val="NoSpacing"/>
              <w:cnfStyle w:val="000000000000" w:firstRow="0" w:lastRow="0" w:firstColumn="0" w:lastColumn="0" w:oddVBand="0" w:evenVBand="0" w:oddHBand="0" w:evenHBand="0" w:firstRowFirstColumn="0" w:firstRowLastColumn="0" w:lastRowFirstColumn="0" w:lastRowLastColumn="0"/>
            </w:pPr>
          </w:p>
        </w:tc>
      </w:tr>
      <w:tr w:rsidR="004F1ABF" w:rsidTr="004B54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Gender</w:t>
            </w:r>
          </w:p>
        </w:tc>
        <w:tc>
          <w:tcPr>
            <w:tcW w:w="639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r w:rsidRPr="009B3360">
              <w:t>female=1, male=0</w:t>
            </w:r>
          </w:p>
        </w:tc>
        <w:tc>
          <w:tcPr>
            <w:tcW w:w="198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p>
        </w:tc>
      </w:tr>
      <w:tr w:rsidR="004F1ABF" w:rsidTr="004B5488">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Race</w:t>
            </w:r>
          </w:p>
        </w:tc>
        <w:tc>
          <w:tcPr>
            <w:tcW w:w="6390" w:type="dxa"/>
          </w:tcPr>
          <w:p w:rsidR="004F1ABF" w:rsidRPr="009B3360" w:rsidRDefault="004F1ABF" w:rsidP="00CE1AFB">
            <w:pPr>
              <w:pStyle w:val="NoSpacing"/>
              <w:cnfStyle w:val="000000000000" w:firstRow="0" w:lastRow="0" w:firstColumn="0" w:lastColumn="0" w:oddVBand="0" w:evenVBand="0" w:oddHBand="0" w:evenHBand="0" w:firstRowFirstColumn="0" w:firstRowLastColumn="0" w:lastRowFirstColumn="0" w:lastRowLastColumn="0"/>
            </w:pPr>
            <w:r w:rsidRPr="009B3360">
              <w:t>white=1, other=0</w:t>
            </w:r>
          </w:p>
        </w:tc>
        <w:tc>
          <w:tcPr>
            <w:tcW w:w="1980" w:type="dxa"/>
          </w:tcPr>
          <w:p w:rsidR="004F1ABF" w:rsidRPr="009B3360" w:rsidRDefault="004F1ABF" w:rsidP="00CE1AFB">
            <w:pPr>
              <w:pStyle w:val="NoSpacing"/>
              <w:cnfStyle w:val="000000000000" w:firstRow="0" w:lastRow="0" w:firstColumn="0" w:lastColumn="0" w:oddVBand="0" w:evenVBand="0" w:oddHBand="0" w:evenHBand="0" w:firstRowFirstColumn="0" w:firstRowLastColumn="0" w:lastRowFirstColumn="0" w:lastRowLastColumn="0"/>
            </w:pPr>
          </w:p>
        </w:tc>
      </w:tr>
      <w:tr w:rsidR="004F1ABF" w:rsidTr="004B54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Educational level</w:t>
            </w:r>
          </w:p>
        </w:tc>
        <w:tc>
          <w:tcPr>
            <w:tcW w:w="639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r w:rsidRPr="009B3360">
              <w:t>Graduate or higher degree=1, other=0</w:t>
            </w:r>
          </w:p>
        </w:tc>
        <w:tc>
          <w:tcPr>
            <w:tcW w:w="198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p>
        </w:tc>
      </w:tr>
      <w:tr w:rsidR="004F1ABF" w:rsidTr="004B5488">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Work experience</w:t>
            </w:r>
          </w:p>
        </w:tc>
        <w:tc>
          <w:tcPr>
            <w:tcW w:w="6390" w:type="dxa"/>
          </w:tcPr>
          <w:p w:rsidR="004F1ABF" w:rsidRPr="009B3360" w:rsidRDefault="004F1ABF" w:rsidP="00CE1AFB">
            <w:pPr>
              <w:pStyle w:val="NoSpacing"/>
              <w:cnfStyle w:val="000000000000" w:firstRow="0" w:lastRow="0" w:firstColumn="0" w:lastColumn="0" w:oddVBand="0" w:evenVBand="0" w:oddHBand="0" w:evenHBand="0" w:firstRowFirstColumn="0" w:firstRowLastColumn="0" w:lastRowFirstColumn="0" w:lastRowLastColumn="0"/>
            </w:pPr>
            <w:r w:rsidRPr="009B3360">
              <w:t>Years of working at child welfare agencies</w:t>
            </w:r>
          </w:p>
        </w:tc>
        <w:tc>
          <w:tcPr>
            <w:tcW w:w="1980" w:type="dxa"/>
          </w:tcPr>
          <w:p w:rsidR="004F1ABF" w:rsidRPr="009B3360" w:rsidRDefault="004F1ABF" w:rsidP="00CE1AFB">
            <w:pPr>
              <w:pStyle w:val="NoSpacing"/>
              <w:cnfStyle w:val="000000000000" w:firstRow="0" w:lastRow="0" w:firstColumn="0" w:lastColumn="0" w:oddVBand="0" w:evenVBand="0" w:oddHBand="0" w:evenHBand="0" w:firstRowFirstColumn="0" w:firstRowLastColumn="0" w:lastRowFirstColumn="0" w:lastRowLastColumn="0"/>
            </w:pPr>
          </w:p>
        </w:tc>
      </w:tr>
      <w:tr w:rsidR="004F1ABF" w:rsidTr="004B54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Workload</w:t>
            </w:r>
          </w:p>
        </w:tc>
        <w:tc>
          <w:tcPr>
            <w:tcW w:w="639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r w:rsidRPr="009B3360">
              <w:t>1 item to measure caseworkers’ perception of manageable workload</w:t>
            </w:r>
          </w:p>
        </w:tc>
        <w:tc>
          <w:tcPr>
            <w:tcW w:w="1980" w:type="dxa"/>
          </w:tcPr>
          <w:p w:rsidR="004F1ABF" w:rsidRDefault="004F1ABF" w:rsidP="00CE1AFB">
            <w:pPr>
              <w:pStyle w:val="NoSpacing"/>
              <w:cnfStyle w:val="000000100000" w:firstRow="0" w:lastRow="0" w:firstColumn="0" w:lastColumn="0" w:oddVBand="0" w:evenVBand="0" w:oddHBand="1" w:evenHBand="0" w:firstRowFirstColumn="0" w:firstRowLastColumn="0" w:lastRowFirstColumn="0" w:lastRowLastColumn="0"/>
            </w:pPr>
          </w:p>
        </w:tc>
      </w:tr>
      <w:tr w:rsidR="004F1ABF" w:rsidTr="004B5488">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Worker role</w:t>
            </w:r>
          </w:p>
        </w:tc>
        <w:tc>
          <w:tcPr>
            <w:tcW w:w="6390" w:type="dxa"/>
          </w:tcPr>
          <w:p w:rsidR="004F1ABF" w:rsidRPr="009B3360" w:rsidRDefault="004F1ABF" w:rsidP="00CE1AFB">
            <w:pPr>
              <w:pStyle w:val="NoSpacing"/>
              <w:cnfStyle w:val="000000000000" w:firstRow="0" w:lastRow="0" w:firstColumn="0" w:lastColumn="0" w:oddVBand="0" w:evenVBand="0" w:oddHBand="0" w:evenHBand="0" w:firstRowFirstColumn="0" w:firstRowLastColumn="0" w:lastRowFirstColumn="0" w:lastRowLastColumn="0"/>
            </w:pPr>
            <w:r w:rsidRPr="009B3360">
              <w:t>Assessment worker =1, ongoing and youth service worker=0</w:t>
            </w:r>
          </w:p>
        </w:tc>
        <w:tc>
          <w:tcPr>
            <w:tcW w:w="1980" w:type="dxa"/>
          </w:tcPr>
          <w:p w:rsidR="004F1ABF" w:rsidRDefault="004F1ABF" w:rsidP="00CE1AFB">
            <w:pPr>
              <w:pStyle w:val="NoSpacing"/>
              <w:cnfStyle w:val="000000000000" w:firstRow="0" w:lastRow="0" w:firstColumn="0" w:lastColumn="0" w:oddVBand="0" w:evenVBand="0" w:oddHBand="0" w:evenHBand="0" w:firstRowFirstColumn="0" w:firstRowLastColumn="0" w:lastRowFirstColumn="0" w:lastRowLastColumn="0"/>
            </w:pPr>
          </w:p>
        </w:tc>
      </w:tr>
      <w:tr w:rsidR="004F1ABF" w:rsidTr="004B54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004F1ABF" w:rsidRPr="009B3360" w:rsidRDefault="004F1ABF" w:rsidP="00CE1AFB">
            <w:pPr>
              <w:pStyle w:val="NoSpacing"/>
              <w:rPr>
                <w:b w:val="0"/>
              </w:rPr>
            </w:pPr>
            <w:r w:rsidRPr="009B3360">
              <w:rPr>
                <w:b w:val="0"/>
              </w:rPr>
              <w:t>Blended work</w:t>
            </w:r>
          </w:p>
        </w:tc>
        <w:tc>
          <w:tcPr>
            <w:tcW w:w="6390" w:type="dxa"/>
          </w:tcPr>
          <w:p w:rsidR="004F1ABF" w:rsidRPr="009B3360" w:rsidRDefault="004F1ABF" w:rsidP="00CE1AFB">
            <w:pPr>
              <w:pStyle w:val="NoSpacing"/>
              <w:cnfStyle w:val="000000100000" w:firstRow="0" w:lastRow="0" w:firstColumn="0" w:lastColumn="0" w:oddVBand="0" w:evenVBand="0" w:oddHBand="1" w:evenHBand="0" w:firstRowFirstColumn="0" w:firstRowLastColumn="0" w:lastRowFirstColumn="0" w:lastRowLastColumn="0"/>
            </w:pPr>
            <w:r w:rsidRPr="009B3360">
              <w:t>Blended work managing at least two types of cases=1, single work managing only one type of cases=0</w:t>
            </w:r>
          </w:p>
        </w:tc>
        <w:tc>
          <w:tcPr>
            <w:tcW w:w="1980" w:type="dxa"/>
          </w:tcPr>
          <w:p w:rsidR="004F1ABF" w:rsidRDefault="004F1ABF" w:rsidP="00CE1AFB">
            <w:pPr>
              <w:pStyle w:val="NoSpacing"/>
              <w:cnfStyle w:val="000000100000" w:firstRow="0" w:lastRow="0" w:firstColumn="0" w:lastColumn="0" w:oddVBand="0" w:evenVBand="0" w:oddHBand="1" w:evenHBand="0" w:firstRowFirstColumn="0" w:firstRowLastColumn="0" w:lastRowFirstColumn="0" w:lastRowLastColumn="0"/>
            </w:pPr>
          </w:p>
        </w:tc>
      </w:tr>
    </w:tbl>
    <w:p w:rsidR="004F1ABF" w:rsidRDefault="004F1ABF" w:rsidP="0032600F">
      <w:pPr>
        <w:pStyle w:val="NoSpacing"/>
        <w:numPr>
          <w:ilvl w:val="0"/>
          <w:numId w:val="29"/>
        </w:numPr>
      </w:pPr>
      <w:r>
        <w:t>Analysis: multiple regression analysis using SPSS</w:t>
      </w:r>
    </w:p>
    <w:p w:rsidR="004F1ABF" w:rsidRDefault="004F1ABF" w:rsidP="004F1ABF">
      <w:pPr>
        <w:pStyle w:val="NoSpacing"/>
      </w:pPr>
    </w:p>
    <w:p w:rsidR="004F1ABF" w:rsidRPr="004D06FF" w:rsidRDefault="004F1ABF" w:rsidP="004F1ABF">
      <w:pPr>
        <w:pStyle w:val="Heading4"/>
      </w:pPr>
      <w:r>
        <w:rPr>
          <w:noProof/>
        </w:rPr>
        <mc:AlternateContent>
          <mc:Choice Requires="wps">
            <w:drawing>
              <wp:anchor distT="0" distB="0" distL="114300" distR="114300" simplePos="0" relativeHeight="251692032" behindDoc="0" locked="0" layoutInCell="1" allowOverlap="1" wp14:anchorId="4B7F260E" wp14:editId="67E3CBB6">
                <wp:simplePos x="0" y="0"/>
                <wp:positionH relativeFrom="column">
                  <wp:posOffset>-106326</wp:posOffset>
                </wp:positionH>
                <wp:positionV relativeFrom="paragraph">
                  <wp:posOffset>196510</wp:posOffset>
                </wp:positionV>
                <wp:extent cx="6176513" cy="7049386"/>
                <wp:effectExtent l="0" t="0" r="15240" b="18415"/>
                <wp:wrapNone/>
                <wp:docPr id="94" name="Rectangle 94"/>
                <wp:cNvGraphicFramePr/>
                <a:graphic xmlns:a="http://schemas.openxmlformats.org/drawingml/2006/main">
                  <a:graphicData uri="http://schemas.microsoft.com/office/word/2010/wordprocessingShape">
                    <wps:wsp>
                      <wps:cNvSpPr/>
                      <wps:spPr>
                        <a:xfrm>
                          <a:off x="0" y="0"/>
                          <a:ext cx="6176513" cy="7049386"/>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1C2EC5" id="Rectangle 94" o:spid="_x0000_s1026" style="position:absolute;margin-left:-8.35pt;margin-top:15.45pt;width:486.35pt;height:555.0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" filled="f" strokecolor="black [3213]" strokeweight=".5pt"/>
            </w:pict>
          </mc:Fallback>
        </mc:AlternateContent>
      </w:r>
      <w:r>
        <w:t xml:space="preserve">Figure </w:t>
      </w:r>
      <w:r w:rsidR="0061775C">
        <w:t>31</w:t>
      </w:r>
      <w:r>
        <w:t xml:space="preserve">. </w:t>
      </w:r>
      <w:r w:rsidRPr="0017493C">
        <w:t>Results</w:t>
      </w: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4F1ABF" w:rsidRPr="004D06FF" w:rsidTr="00CE1AFB">
        <w:trPr>
          <w:cantSplit/>
        </w:trPr>
        <w:tc>
          <w:tcPr>
            <w:tcW w:w="5843" w:type="dxa"/>
            <w:gridSpan w:val="5"/>
            <w:tcBorders>
              <w:top w:val="nil"/>
              <w:left w:val="nil"/>
              <w:bottom w:val="nil"/>
              <w:right w:val="nil"/>
            </w:tcBorders>
            <w:shd w:val="clear" w:color="auto" w:fill="FFFFFF"/>
            <w:vAlign w:val="center"/>
          </w:tcPr>
          <w:p w:rsidR="00AF570A" w:rsidRDefault="00AF570A" w:rsidP="00CE1AFB">
            <w:pPr>
              <w:autoSpaceDE w:val="0"/>
              <w:autoSpaceDN w:val="0"/>
              <w:adjustRightInd w:val="0"/>
              <w:spacing w:line="320" w:lineRule="atLeast"/>
              <w:ind w:left="60" w:right="60"/>
              <w:jc w:val="center"/>
              <w:rPr>
                <w:rFonts w:ascii="Arial" w:hAnsi="Arial" w:cs="Arial"/>
                <w:b/>
                <w:bCs/>
                <w:color w:val="010205"/>
              </w:rPr>
            </w:pPr>
          </w:p>
          <w:p w:rsidR="004F1ABF" w:rsidRPr="004D06FF" w:rsidRDefault="004F1ABF" w:rsidP="00CE1AFB">
            <w:pPr>
              <w:autoSpaceDE w:val="0"/>
              <w:autoSpaceDN w:val="0"/>
              <w:adjustRightInd w:val="0"/>
              <w:spacing w:line="320" w:lineRule="atLeast"/>
              <w:ind w:left="60" w:right="60"/>
              <w:jc w:val="center"/>
              <w:rPr>
                <w:rFonts w:ascii="Arial" w:hAnsi="Arial" w:cs="Arial"/>
                <w:color w:val="010205"/>
              </w:rPr>
            </w:pPr>
            <w:r w:rsidRPr="004D06FF">
              <w:rPr>
                <w:rFonts w:ascii="Arial" w:hAnsi="Arial" w:cs="Arial"/>
                <w:b/>
                <w:bCs/>
                <w:color w:val="010205"/>
              </w:rPr>
              <w:t>Model Summary</w:t>
            </w:r>
          </w:p>
        </w:tc>
      </w:tr>
      <w:tr w:rsidR="004F1ABF" w:rsidRPr="004D06FF" w:rsidTr="00CE1AFB">
        <w:trPr>
          <w:cantSplit/>
        </w:trPr>
        <w:tc>
          <w:tcPr>
            <w:tcW w:w="795" w:type="dxa"/>
            <w:tcBorders>
              <w:top w:val="nil"/>
              <w:left w:val="nil"/>
              <w:bottom w:val="single" w:sz="8" w:space="0" w:color="152935"/>
              <w:right w:val="nil"/>
            </w:tcBorders>
            <w:shd w:val="clear" w:color="auto" w:fill="5B9BD5" w:themeFill="accent1"/>
            <w:vAlign w:val="bottom"/>
          </w:tcPr>
          <w:p w:rsidR="004F1ABF" w:rsidRPr="00342EEC" w:rsidRDefault="004F1ABF" w:rsidP="00CE1AFB">
            <w:pPr>
              <w:autoSpaceDE w:val="0"/>
              <w:autoSpaceDN w:val="0"/>
              <w:adjustRightInd w:val="0"/>
              <w:spacing w:line="320" w:lineRule="atLeast"/>
              <w:ind w:left="60" w:right="60"/>
              <w:rPr>
                <w:rFonts w:ascii="Arial" w:hAnsi="Arial" w:cs="Arial"/>
                <w:b/>
                <w:color w:val="FFFFFF" w:themeColor="background1"/>
                <w:sz w:val="18"/>
                <w:szCs w:val="18"/>
              </w:rPr>
            </w:pPr>
            <w:r w:rsidRPr="00342EEC">
              <w:rPr>
                <w:rFonts w:ascii="Arial" w:hAnsi="Arial" w:cs="Arial"/>
                <w:b/>
                <w:color w:val="FFFFFF" w:themeColor="background1"/>
                <w:sz w:val="18"/>
                <w:szCs w:val="18"/>
              </w:rPr>
              <w:t>Model</w:t>
            </w:r>
          </w:p>
        </w:tc>
        <w:tc>
          <w:tcPr>
            <w:tcW w:w="1024" w:type="dxa"/>
            <w:tcBorders>
              <w:top w:val="nil"/>
              <w:left w:val="nil"/>
              <w:bottom w:val="single" w:sz="8" w:space="0" w:color="152935"/>
              <w:right w:val="single" w:sz="8" w:space="0" w:color="E0E0E0"/>
            </w:tcBorders>
            <w:shd w:val="clear" w:color="auto" w:fill="5B9BD5" w:themeFill="accent1"/>
            <w:vAlign w:val="bottom"/>
          </w:tcPr>
          <w:p w:rsidR="004F1ABF" w:rsidRPr="00342EEC" w:rsidRDefault="004F1ABF" w:rsidP="00CE1AFB">
            <w:pPr>
              <w:autoSpaceDE w:val="0"/>
              <w:autoSpaceDN w:val="0"/>
              <w:adjustRightInd w:val="0"/>
              <w:spacing w:line="320" w:lineRule="atLeast"/>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R</w:t>
            </w:r>
          </w:p>
        </w:tc>
        <w:tc>
          <w:tcPr>
            <w:tcW w:w="1086" w:type="dxa"/>
            <w:tcBorders>
              <w:top w:val="nil"/>
              <w:left w:val="single" w:sz="8" w:space="0" w:color="E0E0E0"/>
              <w:bottom w:val="single" w:sz="8" w:space="0" w:color="152935"/>
              <w:right w:val="single" w:sz="8" w:space="0" w:color="E0E0E0"/>
            </w:tcBorders>
            <w:shd w:val="clear" w:color="auto" w:fill="5B9BD5" w:themeFill="accent1"/>
            <w:vAlign w:val="bottom"/>
          </w:tcPr>
          <w:p w:rsidR="004F1ABF" w:rsidRPr="00342EEC" w:rsidRDefault="004F1ABF" w:rsidP="00CE1AFB">
            <w:pPr>
              <w:autoSpaceDE w:val="0"/>
              <w:autoSpaceDN w:val="0"/>
              <w:adjustRightInd w:val="0"/>
              <w:spacing w:line="320" w:lineRule="atLeast"/>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R Square</w:t>
            </w:r>
          </w:p>
        </w:tc>
        <w:tc>
          <w:tcPr>
            <w:tcW w:w="1469" w:type="dxa"/>
            <w:tcBorders>
              <w:top w:val="nil"/>
              <w:left w:val="single" w:sz="8" w:space="0" w:color="E0E0E0"/>
              <w:bottom w:val="single" w:sz="8" w:space="0" w:color="152935"/>
              <w:right w:val="single" w:sz="8" w:space="0" w:color="E0E0E0"/>
            </w:tcBorders>
            <w:shd w:val="clear" w:color="auto" w:fill="5B9BD5" w:themeFill="accent1"/>
            <w:vAlign w:val="bottom"/>
          </w:tcPr>
          <w:p w:rsidR="004F1ABF" w:rsidRPr="00342EEC" w:rsidRDefault="004F1ABF" w:rsidP="00CE1AFB">
            <w:pPr>
              <w:autoSpaceDE w:val="0"/>
              <w:autoSpaceDN w:val="0"/>
              <w:adjustRightInd w:val="0"/>
              <w:spacing w:line="320" w:lineRule="atLeast"/>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Adjusted R Square</w:t>
            </w:r>
          </w:p>
        </w:tc>
        <w:tc>
          <w:tcPr>
            <w:tcW w:w="1469" w:type="dxa"/>
            <w:tcBorders>
              <w:top w:val="nil"/>
              <w:left w:val="single" w:sz="8" w:space="0" w:color="E0E0E0"/>
              <w:bottom w:val="single" w:sz="8" w:space="0" w:color="152935"/>
              <w:right w:val="nil"/>
            </w:tcBorders>
            <w:shd w:val="clear" w:color="auto" w:fill="5B9BD5" w:themeFill="accent1"/>
            <w:vAlign w:val="bottom"/>
          </w:tcPr>
          <w:p w:rsidR="004F1ABF" w:rsidRPr="00342EEC" w:rsidRDefault="004F1ABF" w:rsidP="00CE1AFB">
            <w:pPr>
              <w:autoSpaceDE w:val="0"/>
              <w:autoSpaceDN w:val="0"/>
              <w:adjustRightInd w:val="0"/>
              <w:spacing w:line="320" w:lineRule="atLeast"/>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Std. Error of the Estimate</w:t>
            </w:r>
          </w:p>
        </w:tc>
      </w:tr>
      <w:tr w:rsidR="004F1ABF" w:rsidRPr="004D06FF" w:rsidTr="00CE1AFB">
        <w:trPr>
          <w:cantSplit/>
        </w:trPr>
        <w:tc>
          <w:tcPr>
            <w:tcW w:w="795" w:type="dxa"/>
            <w:tcBorders>
              <w:top w:val="single" w:sz="8" w:space="0" w:color="152935"/>
              <w:left w:val="nil"/>
              <w:bottom w:val="single" w:sz="8" w:space="0" w:color="152935"/>
              <w:right w:val="nil"/>
            </w:tcBorders>
            <w:shd w:val="clear" w:color="auto" w:fill="E0E0E0"/>
          </w:tcPr>
          <w:p w:rsidR="004F1ABF" w:rsidRPr="004D06FF" w:rsidRDefault="004F1ABF" w:rsidP="00CE1AFB">
            <w:pPr>
              <w:autoSpaceDE w:val="0"/>
              <w:autoSpaceDN w:val="0"/>
              <w:adjustRightInd w:val="0"/>
              <w:spacing w:line="320" w:lineRule="atLeast"/>
              <w:ind w:left="60" w:right="60"/>
              <w:rPr>
                <w:rFonts w:ascii="Arial" w:hAnsi="Arial" w:cs="Arial"/>
                <w:color w:val="264A60"/>
                <w:sz w:val="18"/>
                <w:szCs w:val="18"/>
              </w:rPr>
            </w:pPr>
            <w:r w:rsidRPr="004D06FF">
              <w:rPr>
                <w:rFonts w:ascii="Arial" w:hAnsi="Arial" w:cs="Arial"/>
                <w:color w:val="264A60"/>
                <w:sz w:val="18"/>
                <w:szCs w:val="18"/>
              </w:rPr>
              <w:t>1</w:t>
            </w:r>
          </w:p>
        </w:tc>
        <w:tc>
          <w:tcPr>
            <w:tcW w:w="1024" w:type="dxa"/>
            <w:tcBorders>
              <w:top w:val="single" w:sz="8" w:space="0" w:color="152935"/>
              <w:left w:val="nil"/>
              <w:bottom w:val="single" w:sz="8" w:space="0" w:color="152935"/>
              <w:right w:val="single" w:sz="8" w:space="0" w:color="E0E0E0"/>
            </w:tcBorders>
            <w:shd w:val="clear" w:color="auto" w:fill="FFFFFF"/>
          </w:tcPr>
          <w:p w:rsidR="004F1ABF" w:rsidRPr="004D06FF" w:rsidRDefault="004F1ABF" w:rsidP="00CE1AFB">
            <w:pPr>
              <w:autoSpaceDE w:val="0"/>
              <w:autoSpaceDN w:val="0"/>
              <w:adjustRightInd w:val="0"/>
              <w:spacing w:line="320" w:lineRule="atLeast"/>
              <w:ind w:left="60" w:right="60"/>
              <w:jc w:val="right"/>
              <w:rPr>
                <w:rFonts w:ascii="Arial" w:hAnsi="Arial" w:cs="Arial"/>
                <w:color w:val="010205"/>
                <w:sz w:val="18"/>
                <w:szCs w:val="18"/>
              </w:rPr>
            </w:pPr>
            <w:r w:rsidRPr="004D06FF">
              <w:rPr>
                <w:rFonts w:ascii="Arial" w:hAnsi="Arial" w:cs="Arial"/>
                <w:color w:val="010205"/>
                <w:sz w:val="18"/>
                <w:szCs w:val="18"/>
              </w:rPr>
              <w:t>.516</w:t>
            </w:r>
            <w:r w:rsidRPr="004D06FF">
              <w:rPr>
                <w:rFonts w:ascii="Arial" w:hAnsi="Arial" w:cs="Arial"/>
                <w:color w:val="010205"/>
                <w:sz w:val="18"/>
                <w:szCs w:val="18"/>
                <w:vertAlign w:val="superscript"/>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rsidR="004F1ABF" w:rsidRPr="004D06FF" w:rsidRDefault="004F1ABF" w:rsidP="00CE1AFB">
            <w:pPr>
              <w:autoSpaceDE w:val="0"/>
              <w:autoSpaceDN w:val="0"/>
              <w:adjustRightInd w:val="0"/>
              <w:spacing w:line="320" w:lineRule="atLeast"/>
              <w:ind w:left="60" w:right="60"/>
              <w:jc w:val="right"/>
              <w:rPr>
                <w:rFonts w:ascii="Arial" w:hAnsi="Arial" w:cs="Arial"/>
                <w:color w:val="010205"/>
                <w:sz w:val="18"/>
                <w:szCs w:val="18"/>
              </w:rPr>
            </w:pPr>
            <w:r w:rsidRPr="004D06FF">
              <w:rPr>
                <w:rFonts w:ascii="Arial" w:hAnsi="Arial" w:cs="Arial"/>
                <w:color w:val="010205"/>
                <w:sz w:val="18"/>
                <w:szCs w:val="18"/>
              </w:rPr>
              <w:t>.267</w:t>
            </w:r>
          </w:p>
        </w:tc>
        <w:tc>
          <w:tcPr>
            <w:tcW w:w="1469" w:type="dxa"/>
            <w:tcBorders>
              <w:top w:val="single" w:sz="8" w:space="0" w:color="152935"/>
              <w:left w:val="single" w:sz="8" w:space="0" w:color="E0E0E0"/>
              <w:bottom w:val="single" w:sz="8" w:space="0" w:color="152935"/>
              <w:right w:val="single" w:sz="8" w:space="0" w:color="E0E0E0"/>
            </w:tcBorders>
            <w:shd w:val="clear" w:color="auto" w:fill="FFFFFF"/>
          </w:tcPr>
          <w:p w:rsidR="004F1ABF" w:rsidRPr="004D06FF" w:rsidRDefault="004F1ABF" w:rsidP="00CE1AFB">
            <w:pPr>
              <w:autoSpaceDE w:val="0"/>
              <w:autoSpaceDN w:val="0"/>
              <w:adjustRightInd w:val="0"/>
              <w:spacing w:line="320" w:lineRule="atLeast"/>
              <w:ind w:left="60" w:right="60"/>
              <w:jc w:val="right"/>
              <w:rPr>
                <w:rFonts w:ascii="Arial" w:hAnsi="Arial" w:cs="Arial"/>
                <w:color w:val="010205"/>
                <w:sz w:val="18"/>
                <w:szCs w:val="18"/>
              </w:rPr>
            </w:pPr>
            <w:r w:rsidRPr="004D06FF">
              <w:rPr>
                <w:rFonts w:ascii="Arial" w:hAnsi="Arial" w:cs="Arial"/>
                <w:color w:val="010205"/>
                <w:sz w:val="18"/>
                <w:szCs w:val="18"/>
              </w:rPr>
              <w:t>.254</w:t>
            </w:r>
          </w:p>
        </w:tc>
        <w:tc>
          <w:tcPr>
            <w:tcW w:w="1469" w:type="dxa"/>
            <w:tcBorders>
              <w:top w:val="single" w:sz="8" w:space="0" w:color="152935"/>
              <w:left w:val="single" w:sz="8" w:space="0" w:color="E0E0E0"/>
              <w:bottom w:val="single" w:sz="8" w:space="0" w:color="152935"/>
              <w:right w:val="nil"/>
            </w:tcBorders>
            <w:shd w:val="clear" w:color="auto" w:fill="FFFFFF"/>
          </w:tcPr>
          <w:p w:rsidR="004F1ABF" w:rsidRPr="004D06FF" w:rsidRDefault="004F1ABF" w:rsidP="00CE1AFB">
            <w:pPr>
              <w:autoSpaceDE w:val="0"/>
              <w:autoSpaceDN w:val="0"/>
              <w:adjustRightInd w:val="0"/>
              <w:spacing w:line="320" w:lineRule="atLeast"/>
              <w:ind w:left="60" w:right="60"/>
              <w:jc w:val="right"/>
              <w:rPr>
                <w:rFonts w:ascii="Arial" w:hAnsi="Arial" w:cs="Arial"/>
                <w:color w:val="010205"/>
                <w:sz w:val="18"/>
                <w:szCs w:val="18"/>
              </w:rPr>
            </w:pPr>
            <w:r w:rsidRPr="004D06FF">
              <w:rPr>
                <w:rFonts w:ascii="Arial" w:hAnsi="Arial" w:cs="Arial"/>
                <w:color w:val="010205"/>
                <w:sz w:val="18"/>
                <w:szCs w:val="18"/>
              </w:rPr>
              <w:t>.78234</w:t>
            </w:r>
          </w:p>
        </w:tc>
      </w:tr>
    </w:tbl>
    <w:p w:rsidR="004F1ABF" w:rsidRDefault="004F1ABF" w:rsidP="004F1ABF">
      <w:pPr>
        <w:autoSpaceDE w:val="0"/>
        <w:autoSpaceDN w:val="0"/>
        <w:adjustRightInd w:val="0"/>
      </w:pPr>
    </w:p>
    <w:p w:rsidR="00AF570A" w:rsidRDefault="00AF570A" w:rsidP="004F1ABF">
      <w:pPr>
        <w:autoSpaceDE w:val="0"/>
        <w:autoSpaceDN w:val="0"/>
        <w:adjustRightInd w:val="0"/>
      </w:pPr>
    </w:p>
    <w:p w:rsidR="00AF570A" w:rsidRPr="004D06FF" w:rsidRDefault="00AF570A" w:rsidP="004F1ABF">
      <w:pPr>
        <w:autoSpaceDE w:val="0"/>
        <w:autoSpaceDN w:val="0"/>
        <w:adjustRightInd w:val="0"/>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204"/>
        <w:gridCol w:w="821"/>
        <w:gridCol w:w="1408"/>
        <w:gridCol w:w="1025"/>
        <w:gridCol w:w="1025"/>
      </w:tblGrid>
      <w:tr w:rsidR="004F1ABF" w:rsidRPr="004D06FF" w:rsidTr="00CE1AFB">
        <w:trPr>
          <w:cantSplit/>
        </w:trPr>
        <w:tc>
          <w:tcPr>
            <w:tcW w:w="7969" w:type="dxa"/>
            <w:gridSpan w:val="8"/>
            <w:tcBorders>
              <w:top w:val="nil"/>
              <w:left w:val="nil"/>
              <w:bottom w:val="nil"/>
              <w:right w:val="nil"/>
            </w:tcBorders>
            <w:shd w:val="clear" w:color="auto" w:fill="FFFFFF"/>
            <w:vAlign w:val="center"/>
          </w:tcPr>
          <w:p w:rsidR="004F1ABF" w:rsidRPr="004D06FF" w:rsidRDefault="004F1ABF" w:rsidP="00CE1AFB">
            <w:pPr>
              <w:autoSpaceDE w:val="0"/>
              <w:autoSpaceDN w:val="0"/>
              <w:adjustRightInd w:val="0"/>
              <w:spacing w:line="320" w:lineRule="atLeast"/>
              <w:ind w:left="60" w:right="60"/>
              <w:jc w:val="center"/>
              <w:rPr>
                <w:rFonts w:ascii="Arial" w:hAnsi="Arial" w:cs="Arial"/>
                <w:color w:val="010205"/>
              </w:rPr>
            </w:pPr>
            <w:r w:rsidRPr="004D06FF">
              <w:rPr>
                <w:rFonts w:ascii="Arial" w:hAnsi="Arial" w:cs="Arial"/>
                <w:b/>
                <w:bCs/>
                <w:color w:val="010205"/>
              </w:rPr>
              <w:t>ANOVA</w:t>
            </w:r>
            <w:r w:rsidRPr="004D06FF">
              <w:rPr>
                <w:rFonts w:ascii="Arial" w:hAnsi="Arial" w:cs="Arial"/>
                <w:b/>
                <w:bCs/>
                <w:color w:val="010205"/>
                <w:vertAlign w:val="superscript"/>
              </w:rPr>
              <w:t>a</w:t>
            </w:r>
          </w:p>
        </w:tc>
      </w:tr>
      <w:tr w:rsidR="004F1ABF" w:rsidRPr="004D06FF" w:rsidTr="00CE1AFB">
        <w:trPr>
          <w:cantSplit/>
        </w:trPr>
        <w:tc>
          <w:tcPr>
            <w:tcW w:w="2017" w:type="dxa"/>
            <w:gridSpan w:val="2"/>
            <w:tcBorders>
              <w:top w:val="nil"/>
              <w:left w:val="nil"/>
              <w:bottom w:val="single" w:sz="8" w:space="0" w:color="152935"/>
              <w:right w:val="nil"/>
            </w:tcBorders>
            <w:shd w:val="clear" w:color="auto" w:fill="5B9BD5" w:themeFill="accent1"/>
            <w:vAlign w:val="bottom"/>
          </w:tcPr>
          <w:p w:rsidR="004F1ABF" w:rsidRPr="00342EEC" w:rsidRDefault="004F1ABF" w:rsidP="00CE1AFB">
            <w:pPr>
              <w:autoSpaceDE w:val="0"/>
              <w:autoSpaceDN w:val="0"/>
              <w:adjustRightInd w:val="0"/>
              <w:spacing w:line="320" w:lineRule="atLeast"/>
              <w:ind w:left="60" w:right="60"/>
              <w:rPr>
                <w:rFonts w:ascii="Arial" w:hAnsi="Arial" w:cs="Arial"/>
                <w:b/>
                <w:color w:val="FFFFFF" w:themeColor="background1"/>
                <w:sz w:val="18"/>
                <w:szCs w:val="18"/>
              </w:rPr>
            </w:pPr>
            <w:r w:rsidRPr="00342EEC">
              <w:rPr>
                <w:rFonts w:ascii="Arial" w:hAnsi="Arial" w:cs="Arial"/>
                <w:b/>
                <w:color w:val="FFFFFF" w:themeColor="background1"/>
                <w:sz w:val="18"/>
                <w:szCs w:val="18"/>
              </w:rPr>
              <w:t>Model</w:t>
            </w:r>
          </w:p>
        </w:tc>
        <w:tc>
          <w:tcPr>
            <w:tcW w:w="1673" w:type="dxa"/>
            <w:gridSpan w:val="2"/>
            <w:tcBorders>
              <w:top w:val="nil"/>
              <w:left w:val="nil"/>
              <w:bottom w:val="single" w:sz="8" w:space="0" w:color="152935"/>
              <w:right w:val="single" w:sz="8" w:space="0" w:color="E0E0E0"/>
            </w:tcBorders>
            <w:shd w:val="clear" w:color="auto" w:fill="5B9BD5" w:themeFill="accent1"/>
            <w:vAlign w:val="bottom"/>
          </w:tcPr>
          <w:p w:rsidR="004F1ABF" w:rsidRPr="00342EEC" w:rsidRDefault="004F1ABF" w:rsidP="00CE1AFB">
            <w:pPr>
              <w:autoSpaceDE w:val="0"/>
              <w:autoSpaceDN w:val="0"/>
              <w:adjustRightInd w:val="0"/>
              <w:spacing w:line="320" w:lineRule="atLeast"/>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Sum of Squares</w:t>
            </w:r>
          </w:p>
        </w:tc>
        <w:tc>
          <w:tcPr>
            <w:tcW w:w="821" w:type="dxa"/>
            <w:tcBorders>
              <w:top w:val="nil"/>
              <w:left w:val="single" w:sz="8" w:space="0" w:color="E0E0E0"/>
              <w:bottom w:val="single" w:sz="8" w:space="0" w:color="152935"/>
              <w:right w:val="single" w:sz="8" w:space="0" w:color="E0E0E0"/>
            </w:tcBorders>
            <w:shd w:val="clear" w:color="auto" w:fill="5B9BD5" w:themeFill="accent1"/>
            <w:vAlign w:val="bottom"/>
          </w:tcPr>
          <w:p w:rsidR="004F1ABF" w:rsidRPr="00342EEC" w:rsidRDefault="004F1ABF" w:rsidP="00CE1AFB">
            <w:pPr>
              <w:autoSpaceDE w:val="0"/>
              <w:autoSpaceDN w:val="0"/>
              <w:adjustRightInd w:val="0"/>
              <w:spacing w:line="320" w:lineRule="atLeast"/>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df</w:t>
            </w:r>
          </w:p>
        </w:tc>
        <w:tc>
          <w:tcPr>
            <w:tcW w:w="1408" w:type="dxa"/>
            <w:tcBorders>
              <w:top w:val="nil"/>
              <w:left w:val="single" w:sz="8" w:space="0" w:color="E0E0E0"/>
              <w:bottom w:val="single" w:sz="8" w:space="0" w:color="152935"/>
              <w:right w:val="single" w:sz="8" w:space="0" w:color="E0E0E0"/>
            </w:tcBorders>
            <w:shd w:val="clear" w:color="auto" w:fill="5B9BD5" w:themeFill="accent1"/>
            <w:vAlign w:val="bottom"/>
          </w:tcPr>
          <w:p w:rsidR="004F1ABF" w:rsidRPr="00342EEC" w:rsidRDefault="004F1ABF" w:rsidP="00CE1AFB">
            <w:pPr>
              <w:autoSpaceDE w:val="0"/>
              <w:autoSpaceDN w:val="0"/>
              <w:adjustRightInd w:val="0"/>
              <w:spacing w:line="320" w:lineRule="atLeast"/>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Mean Square</w:t>
            </w:r>
          </w:p>
        </w:tc>
        <w:tc>
          <w:tcPr>
            <w:tcW w:w="1025" w:type="dxa"/>
            <w:tcBorders>
              <w:top w:val="nil"/>
              <w:left w:val="single" w:sz="8" w:space="0" w:color="E0E0E0"/>
              <w:bottom w:val="single" w:sz="8" w:space="0" w:color="152935"/>
              <w:right w:val="single" w:sz="8" w:space="0" w:color="E0E0E0"/>
            </w:tcBorders>
            <w:shd w:val="clear" w:color="auto" w:fill="5B9BD5" w:themeFill="accent1"/>
            <w:vAlign w:val="bottom"/>
          </w:tcPr>
          <w:p w:rsidR="004F1ABF" w:rsidRPr="00342EEC" w:rsidRDefault="004F1ABF" w:rsidP="00CE1AFB">
            <w:pPr>
              <w:autoSpaceDE w:val="0"/>
              <w:autoSpaceDN w:val="0"/>
              <w:adjustRightInd w:val="0"/>
              <w:spacing w:line="320" w:lineRule="atLeast"/>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F</w:t>
            </w:r>
          </w:p>
        </w:tc>
        <w:tc>
          <w:tcPr>
            <w:tcW w:w="1025" w:type="dxa"/>
            <w:tcBorders>
              <w:top w:val="nil"/>
              <w:left w:val="single" w:sz="8" w:space="0" w:color="E0E0E0"/>
              <w:bottom w:val="single" w:sz="8" w:space="0" w:color="152935"/>
              <w:right w:val="nil"/>
            </w:tcBorders>
            <w:shd w:val="clear" w:color="auto" w:fill="5B9BD5" w:themeFill="accent1"/>
            <w:vAlign w:val="bottom"/>
          </w:tcPr>
          <w:p w:rsidR="004F1ABF" w:rsidRPr="00342EEC" w:rsidRDefault="004F1ABF" w:rsidP="00CE1AFB">
            <w:pPr>
              <w:autoSpaceDE w:val="0"/>
              <w:autoSpaceDN w:val="0"/>
              <w:adjustRightInd w:val="0"/>
              <w:spacing w:line="320" w:lineRule="atLeast"/>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Sig.</w:t>
            </w:r>
          </w:p>
        </w:tc>
      </w:tr>
      <w:tr w:rsidR="004F1ABF" w:rsidRPr="004D06FF" w:rsidTr="00CE1AFB">
        <w:trPr>
          <w:cantSplit/>
        </w:trPr>
        <w:tc>
          <w:tcPr>
            <w:tcW w:w="733" w:type="dxa"/>
            <w:vMerge w:val="restart"/>
            <w:tcBorders>
              <w:top w:val="single" w:sz="8" w:space="0" w:color="152935"/>
              <w:left w:val="nil"/>
              <w:bottom w:val="single" w:sz="8" w:space="0" w:color="152935"/>
              <w:right w:val="nil"/>
            </w:tcBorders>
            <w:shd w:val="clear" w:color="auto" w:fill="E0E0E0"/>
          </w:tcPr>
          <w:p w:rsidR="004F1ABF" w:rsidRPr="004D06FF" w:rsidRDefault="004F1ABF" w:rsidP="00CE1AFB">
            <w:pPr>
              <w:autoSpaceDE w:val="0"/>
              <w:autoSpaceDN w:val="0"/>
              <w:adjustRightInd w:val="0"/>
              <w:spacing w:line="320" w:lineRule="atLeast"/>
              <w:ind w:left="60" w:right="60"/>
              <w:rPr>
                <w:rFonts w:ascii="Arial" w:hAnsi="Arial" w:cs="Arial"/>
                <w:color w:val="264A60"/>
                <w:sz w:val="18"/>
                <w:szCs w:val="18"/>
              </w:rPr>
            </w:pPr>
            <w:r w:rsidRPr="004D06FF">
              <w:rPr>
                <w:rFonts w:ascii="Arial" w:hAnsi="Arial" w:cs="Arial"/>
                <w:color w:val="264A60"/>
                <w:sz w:val="18"/>
                <w:szCs w:val="18"/>
              </w:rPr>
              <w:t>1</w:t>
            </w:r>
          </w:p>
        </w:tc>
        <w:tc>
          <w:tcPr>
            <w:tcW w:w="1284" w:type="dxa"/>
            <w:tcBorders>
              <w:top w:val="single" w:sz="8" w:space="0" w:color="152935"/>
              <w:left w:val="nil"/>
              <w:bottom w:val="single" w:sz="8" w:space="0" w:color="AEAEAE"/>
              <w:right w:val="nil"/>
            </w:tcBorders>
            <w:shd w:val="clear" w:color="auto" w:fill="E0E0E0"/>
          </w:tcPr>
          <w:p w:rsidR="004F1ABF" w:rsidRPr="004D06FF" w:rsidRDefault="004F1ABF" w:rsidP="00CE1AFB">
            <w:pPr>
              <w:autoSpaceDE w:val="0"/>
              <w:autoSpaceDN w:val="0"/>
              <w:adjustRightInd w:val="0"/>
              <w:spacing w:line="320" w:lineRule="atLeast"/>
              <w:ind w:left="60" w:right="60"/>
              <w:rPr>
                <w:rFonts w:ascii="Arial" w:hAnsi="Arial" w:cs="Arial"/>
                <w:color w:val="264A60"/>
                <w:sz w:val="18"/>
                <w:szCs w:val="18"/>
              </w:rPr>
            </w:pPr>
            <w:r w:rsidRPr="004D06FF">
              <w:rPr>
                <w:rFonts w:ascii="Arial" w:hAnsi="Arial" w:cs="Arial"/>
                <w:color w:val="264A60"/>
                <w:sz w:val="18"/>
                <w:szCs w:val="18"/>
              </w:rPr>
              <w:t>Regression</w:t>
            </w:r>
          </w:p>
        </w:tc>
        <w:tc>
          <w:tcPr>
            <w:tcW w:w="1469" w:type="dxa"/>
            <w:tcBorders>
              <w:top w:val="single" w:sz="8" w:space="0" w:color="152935"/>
              <w:left w:val="nil"/>
              <w:bottom w:val="single" w:sz="8" w:space="0" w:color="AEAEAE"/>
              <w:right w:val="single" w:sz="8" w:space="0" w:color="E0E0E0"/>
            </w:tcBorders>
            <w:shd w:val="clear" w:color="auto" w:fill="FFFFFF"/>
          </w:tcPr>
          <w:p w:rsidR="004F1ABF" w:rsidRPr="004D06FF" w:rsidRDefault="004F1ABF" w:rsidP="00CE1AFB">
            <w:pPr>
              <w:autoSpaceDE w:val="0"/>
              <w:autoSpaceDN w:val="0"/>
              <w:adjustRightInd w:val="0"/>
              <w:spacing w:line="320" w:lineRule="atLeast"/>
              <w:ind w:left="60" w:right="60"/>
              <w:jc w:val="right"/>
              <w:rPr>
                <w:rFonts w:ascii="Arial" w:hAnsi="Arial" w:cs="Arial"/>
                <w:color w:val="010205"/>
                <w:sz w:val="18"/>
                <w:szCs w:val="18"/>
              </w:rPr>
            </w:pPr>
            <w:r w:rsidRPr="004D06FF">
              <w:rPr>
                <w:rFonts w:ascii="Arial" w:hAnsi="Arial" w:cs="Arial"/>
                <w:color w:val="010205"/>
                <w:sz w:val="18"/>
                <w:szCs w:val="18"/>
              </w:rPr>
              <w:t>204.010</w:t>
            </w:r>
          </w:p>
        </w:tc>
        <w:tc>
          <w:tcPr>
            <w:tcW w:w="1025" w:type="dxa"/>
            <w:gridSpan w:val="2"/>
            <w:tcBorders>
              <w:top w:val="single" w:sz="8" w:space="0" w:color="152935"/>
              <w:left w:val="single" w:sz="8" w:space="0" w:color="E0E0E0"/>
              <w:bottom w:val="single" w:sz="8" w:space="0" w:color="AEAEAE"/>
              <w:right w:val="single" w:sz="8" w:space="0" w:color="E0E0E0"/>
            </w:tcBorders>
            <w:shd w:val="clear" w:color="auto" w:fill="FFFFFF"/>
          </w:tcPr>
          <w:p w:rsidR="004F1ABF" w:rsidRPr="004D06FF" w:rsidRDefault="004F1ABF" w:rsidP="00CE1AFB">
            <w:pPr>
              <w:autoSpaceDE w:val="0"/>
              <w:autoSpaceDN w:val="0"/>
              <w:adjustRightInd w:val="0"/>
              <w:spacing w:line="320" w:lineRule="atLeast"/>
              <w:ind w:left="60" w:right="60"/>
              <w:jc w:val="right"/>
              <w:rPr>
                <w:rFonts w:ascii="Arial" w:hAnsi="Arial" w:cs="Arial"/>
                <w:color w:val="010205"/>
                <w:sz w:val="18"/>
                <w:szCs w:val="18"/>
              </w:rPr>
            </w:pPr>
            <w:r w:rsidRPr="004D06FF">
              <w:rPr>
                <w:rFonts w:ascii="Arial" w:hAnsi="Arial" w:cs="Arial"/>
                <w:color w:val="010205"/>
                <w:sz w:val="18"/>
                <w:szCs w:val="18"/>
              </w:rPr>
              <w:t>16</w:t>
            </w:r>
          </w:p>
        </w:tc>
        <w:tc>
          <w:tcPr>
            <w:tcW w:w="1408" w:type="dxa"/>
            <w:tcBorders>
              <w:top w:val="single" w:sz="8" w:space="0" w:color="152935"/>
              <w:left w:val="single" w:sz="8" w:space="0" w:color="E0E0E0"/>
              <w:bottom w:val="single" w:sz="8" w:space="0" w:color="AEAEAE"/>
              <w:right w:val="single" w:sz="8" w:space="0" w:color="E0E0E0"/>
            </w:tcBorders>
            <w:shd w:val="clear" w:color="auto" w:fill="FFFFFF"/>
          </w:tcPr>
          <w:p w:rsidR="004F1ABF" w:rsidRPr="004D06FF" w:rsidRDefault="004F1ABF" w:rsidP="00CE1AFB">
            <w:pPr>
              <w:autoSpaceDE w:val="0"/>
              <w:autoSpaceDN w:val="0"/>
              <w:adjustRightInd w:val="0"/>
              <w:spacing w:line="320" w:lineRule="atLeast"/>
              <w:ind w:left="60" w:right="60"/>
              <w:jc w:val="right"/>
              <w:rPr>
                <w:rFonts w:ascii="Arial" w:hAnsi="Arial" w:cs="Arial"/>
                <w:color w:val="010205"/>
                <w:sz w:val="18"/>
                <w:szCs w:val="18"/>
              </w:rPr>
            </w:pPr>
            <w:r w:rsidRPr="004D06FF">
              <w:rPr>
                <w:rFonts w:ascii="Arial" w:hAnsi="Arial" w:cs="Arial"/>
                <w:color w:val="010205"/>
                <w:sz w:val="18"/>
                <w:szCs w:val="18"/>
              </w:rPr>
              <w:t>12.751</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rsidR="004F1ABF" w:rsidRPr="004D06FF" w:rsidRDefault="004F1ABF" w:rsidP="00CE1AFB">
            <w:pPr>
              <w:autoSpaceDE w:val="0"/>
              <w:autoSpaceDN w:val="0"/>
              <w:adjustRightInd w:val="0"/>
              <w:spacing w:line="320" w:lineRule="atLeast"/>
              <w:ind w:left="60" w:right="60"/>
              <w:jc w:val="right"/>
              <w:rPr>
                <w:rFonts w:ascii="Arial" w:hAnsi="Arial" w:cs="Arial"/>
                <w:color w:val="010205"/>
                <w:sz w:val="18"/>
                <w:szCs w:val="18"/>
              </w:rPr>
            </w:pPr>
            <w:r w:rsidRPr="004D06FF">
              <w:rPr>
                <w:rFonts w:ascii="Arial" w:hAnsi="Arial" w:cs="Arial"/>
                <w:color w:val="010205"/>
                <w:sz w:val="18"/>
                <w:szCs w:val="18"/>
              </w:rPr>
              <w:t>20.832</w:t>
            </w:r>
          </w:p>
        </w:tc>
        <w:tc>
          <w:tcPr>
            <w:tcW w:w="1025" w:type="dxa"/>
            <w:tcBorders>
              <w:top w:val="single" w:sz="8" w:space="0" w:color="152935"/>
              <w:left w:val="single" w:sz="8" w:space="0" w:color="E0E0E0"/>
              <w:bottom w:val="single" w:sz="8" w:space="0" w:color="AEAEAE"/>
              <w:right w:val="nil"/>
            </w:tcBorders>
            <w:shd w:val="clear" w:color="auto" w:fill="FFFFFF"/>
          </w:tcPr>
          <w:p w:rsidR="004F1ABF" w:rsidRPr="004D06FF" w:rsidRDefault="004F1ABF" w:rsidP="00CE1AFB">
            <w:pPr>
              <w:autoSpaceDE w:val="0"/>
              <w:autoSpaceDN w:val="0"/>
              <w:adjustRightInd w:val="0"/>
              <w:spacing w:line="320" w:lineRule="atLeast"/>
              <w:ind w:left="60" w:right="60"/>
              <w:jc w:val="right"/>
              <w:rPr>
                <w:rFonts w:ascii="Arial" w:hAnsi="Arial" w:cs="Arial"/>
                <w:color w:val="010205"/>
                <w:sz w:val="18"/>
                <w:szCs w:val="18"/>
              </w:rPr>
            </w:pPr>
            <w:r w:rsidRPr="004D06FF">
              <w:rPr>
                <w:rFonts w:ascii="Arial" w:hAnsi="Arial" w:cs="Arial"/>
                <w:color w:val="010205"/>
                <w:sz w:val="18"/>
                <w:szCs w:val="18"/>
              </w:rPr>
              <w:t>.000</w:t>
            </w:r>
            <w:r w:rsidRPr="004D06FF">
              <w:rPr>
                <w:rFonts w:ascii="Arial" w:hAnsi="Arial" w:cs="Arial"/>
                <w:color w:val="010205"/>
                <w:sz w:val="18"/>
                <w:szCs w:val="18"/>
                <w:vertAlign w:val="superscript"/>
              </w:rPr>
              <w:t>b</w:t>
            </w:r>
          </w:p>
        </w:tc>
      </w:tr>
      <w:tr w:rsidR="004F1ABF" w:rsidRPr="004D06FF" w:rsidTr="00CE1AFB">
        <w:trPr>
          <w:cantSplit/>
        </w:trPr>
        <w:tc>
          <w:tcPr>
            <w:tcW w:w="733" w:type="dxa"/>
            <w:vMerge/>
            <w:tcBorders>
              <w:top w:val="single" w:sz="8" w:space="0" w:color="152935"/>
              <w:left w:val="nil"/>
              <w:bottom w:val="single" w:sz="8" w:space="0" w:color="152935"/>
              <w:right w:val="nil"/>
            </w:tcBorders>
            <w:shd w:val="clear" w:color="auto" w:fill="E0E0E0"/>
          </w:tcPr>
          <w:p w:rsidR="004F1ABF" w:rsidRPr="004D06FF" w:rsidRDefault="004F1ABF" w:rsidP="00CE1AFB">
            <w:pPr>
              <w:autoSpaceDE w:val="0"/>
              <w:autoSpaceDN w:val="0"/>
              <w:adjustRightInd w:val="0"/>
              <w:rPr>
                <w:rFonts w:ascii="Arial" w:hAnsi="Arial" w:cs="Arial"/>
                <w:color w:val="010205"/>
                <w:sz w:val="18"/>
                <w:szCs w:val="18"/>
              </w:rPr>
            </w:pPr>
          </w:p>
        </w:tc>
        <w:tc>
          <w:tcPr>
            <w:tcW w:w="1284" w:type="dxa"/>
            <w:tcBorders>
              <w:top w:val="single" w:sz="8" w:space="0" w:color="AEAEAE"/>
              <w:left w:val="nil"/>
              <w:bottom w:val="single" w:sz="8" w:space="0" w:color="AEAEAE"/>
              <w:right w:val="nil"/>
            </w:tcBorders>
            <w:shd w:val="clear" w:color="auto" w:fill="E0E0E0"/>
          </w:tcPr>
          <w:p w:rsidR="004F1ABF" w:rsidRPr="004D06FF" w:rsidRDefault="004F1ABF" w:rsidP="00CE1AFB">
            <w:pPr>
              <w:autoSpaceDE w:val="0"/>
              <w:autoSpaceDN w:val="0"/>
              <w:adjustRightInd w:val="0"/>
              <w:spacing w:line="320" w:lineRule="atLeast"/>
              <w:ind w:left="60" w:right="60"/>
              <w:rPr>
                <w:rFonts w:ascii="Arial" w:hAnsi="Arial" w:cs="Arial"/>
                <w:color w:val="264A60"/>
                <w:sz w:val="18"/>
                <w:szCs w:val="18"/>
              </w:rPr>
            </w:pPr>
            <w:r w:rsidRPr="004D06FF">
              <w:rPr>
                <w:rFonts w:ascii="Arial" w:hAnsi="Arial" w:cs="Arial"/>
                <w:color w:val="264A60"/>
                <w:sz w:val="18"/>
                <w:szCs w:val="18"/>
              </w:rPr>
              <w:t>Residual</w:t>
            </w:r>
          </w:p>
        </w:tc>
        <w:tc>
          <w:tcPr>
            <w:tcW w:w="1469" w:type="dxa"/>
            <w:tcBorders>
              <w:top w:val="single" w:sz="8" w:space="0" w:color="AEAEAE"/>
              <w:left w:val="nil"/>
              <w:bottom w:val="single" w:sz="8" w:space="0" w:color="AEAEAE"/>
              <w:right w:val="single" w:sz="8" w:space="0" w:color="E0E0E0"/>
            </w:tcBorders>
            <w:shd w:val="clear" w:color="auto" w:fill="FFFFFF"/>
          </w:tcPr>
          <w:p w:rsidR="004F1ABF" w:rsidRPr="004D06FF" w:rsidRDefault="004F1ABF" w:rsidP="00CE1AFB">
            <w:pPr>
              <w:autoSpaceDE w:val="0"/>
              <w:autoSpaceDN w:val="0"/>
              <w:adjustRightInd w:val="0"/>
              <w:spacing w:line="320" w:lineRule="atLeast"/>
              <w:ind w:left="60" w:right="60"/>
              <w:jc w:val="right"/>
              <w:rPr>
                <w:rFonts w:ascii="Arial" w:hAnsi="Arial" w:cs="Arial"/>
                <w:color w:val="010205"/>
                <w:sz w:val="18"/>
                <w:szCs w:val="18"/>
              </w:rPr>
            </w:pPr>
            <w:r w:rsidRPr="004D06FF">
              <w:rPr>
                <w:rFonts w:ascii="Arial" w:hAnsi="Arial" w:cs="Arial"/>
                <w:color w:val="010205"/>
                <w:sz w:val="18"/>
                <w:szCs w:val="18"/>
              </w:rPr>
              <w:t>561.256</w:t>
            </w:r>
          </w:p>
        </w:tc>
        <w:tc>
          <w:tcPr>
            <w:tcW w:w="1025" w:type="dxa"/>
            <w:gridSpan w:val="2"/>
            <w:tcBorders>
              <w:top w:val="single" w:sz="8" w:space="0" w:color="AEAEAE"/>
              <w:left w:val="single" w:sz="8" w:space="0" w:color="E0E0E0"/>
              <w:bottom w:val="single" w:sz="8" w:space="0" w:color="AEAEAE"/>
              <w:right w:val="single" w:sz="8" w:space="0" w:color="E0E0E0"/>
            </w:tcBorders>
            <w:shd w:val="clear" w:color="auto" w:fill="FFFFFF"/>
          </w:tcPr>
          <w:p w:rsidR="004F1ABF" w:rsidRPr="004D06FF" w:rsidRDefault="004F1ABF" w:rsidP="00CE1AFB">
            <w:pPr>
              <w:autoSpaceDE w:val="0"/>
              <w:autoSpaceDN w:val="0"/>
              <w:adjustRightInd w:val="0"/>
              <w:spacing w:line="320" w:lineRule="atLeast"/>
              <w:ind w:left="60" w:right="60"/>
              <w:jc w:val="right"/>
              <w:rPr>
                <w:rFonts w:ascii="Arial" w:hAnsi="Arial" w:cs="Arial"/>
                <w:color w:val="010205"/>
                <w:sz w:val="18"/>
                <w:szCs w:val="18"/>
              </w:rPr>
            </w:pPr>
            <w:r w:rsidRPr="004D06FF">
              <w:rPr>
                <w:rFonts w:ascii="Arial" w:hAnsi="Arial" w:cs="Arial"/>
                <w:color w:val="010205"/>
                <w:sz w:val="18"/>
                <w:szCs w:val="18"/>
              </w:rPr>
              <w:t>917</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rsidR="004F1ABF" w:rsidRPr="004D06FF" w:rsidRDefault="004F1ABF" w:rsidP="00CE1AFB">
            <w:pPr>
              <w:autoSpaceDE w:val="0"/>
              <w:autoSpaceDN w:val="0"/>
              <w:adjustRightInd w:val="0"/>
              <w:spacing w:line="320" w:lineRule="atLeast"/>
              <w:ind w:left="60" w:right="60"/>
              <w:jc w:val="right"/>
              <w:rPr>
                <w:rFonts w:ascii="Arial" w:hAnsi="Arial" w:cs="Arial"/>
                <w:color w:val="010205"/>
                <w:sz w:val="18"/>
                <w:szCs w:val="18"/>
              </w:rPr>
            </w:pPr>
            <w:r w:rsidRPr="004D06FF">
              <w:rPr>
                <w:rFonts w:ascii="Arial" w:hAnsi="Arial" w:cs="Arial"/>
                <w:color w:val="010205"/>
                <w:sz w:val="18"/>
                <w:szCs w:val="18"/>
              </w:rPr>
              <w:t>.612</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4F1ABF" w:rsidRPr="004D06FF" w:rsidRDefault="004F1ABF" w:rsidP="00CE1AFB">
            <w:pPr>
              <w:autoSpaceDE w:val="0"/>
              <w:autoSpaceDN w:val="0"/>
              <w:adjustRightInd w:val="0"/>
            </w:pPr>
          </w:p>
        </w:tc>
        <w:tc>
          <w:tcPr>
            <w:tcW w:w="1025" w:type="dxa"/>
            <w:tcBorders>
              <w:top w:val="single" w:sz="8" w:space="0" w:color="AEAEAE"/>
              <w:left w:val="single" w:sz="8" w:space="0" w:color="E0E0E0"/>
              <w:bottom w:val="single" w:sz="8" w:space="0" w:color="AEAEAE"/>
              <w:right w:val="nil"/>
            </w:tcBorders>
            <w:shd w:val="clear" w:color="auto" w:fill="FFFFFF"/>
            <w:vAlign w:val="center"/>
          </w:tcPr>
          <w:p w:rsidR="004F1ABF" w:rsidRPr="004D06FF" w:rsidRDefault="004F1ABF" w:rsidP="00CE1AFB">
            <w:pPr>
              <w:autoSpaceDE w:val="0"/>
              <w:autoSpaceDN w:val="0"/>
              <w:adjustRightInd w:val="0"/>
            </w:pPr>
          </w:p>
        </w:tc>
      </w:tr>
      <w:tr w:rsidR="004F1ABF" w:rsidRPr="004D06FF" w:rsidTr="00CE1AFB">
        <w:trPr>
          <w:cantSplit/>
        </w:trPr>
        <w:tc>
          <w:tcPr>
            <w:tcW w:w="733" w:type="dxa"/>
            <w:vMerge/>
            <w:tcBorders>
              <w:top w:val="single" w:sz="8" w:space="0" w:color="152935"/>
              <w:left w:val="nil"/>
              <w:bottom w:val="single" w:sz="8" w:space="0" w:color="152935"/>
              <w:right w:val="nil"/>
            </w:tcBorders>
            <w:shd w:val="clear" w:color="auto" w:fill="E0E0E0"/>
          </w:tcPr>
          <w:p w:rsidR="004F1ABF" w:rsidRPr="004D06FF" w:rsidRDefault="004F1ABF" w:rsidP="00CE1AFB">
            <w:pPr>
              <w:autoSpaceDE w:val="0"/>
              <w:autoSpaceDN w:val="0"/>
              <w:adjustRightInd w:val="0"/>
            </w:pPr>
          </w:p>
        </w:tc>
        <w:tc>
          <w:tcPr>
            <w:tcW w:w="1284" w:type="dxa"/>
            <w:tcBorders>
              <w:top w:val="single" w:sz="8" w:space="0" w:color="AEAEAE"/>
              <w:left w:val="nil"/>
              <w:bottom w:val="single" w:sz="8" w:space="0" w:color="152935"/>
              <w:right w:val="nil"/>
            </w:tcBorders>
            <w:shd w:val="clear" w:color="auto" w:fill="E0E0E0"/>
          </w:tcPr>
          <w:p w:rsidR="004F1ABF" w:rsidRPr="004D06FF" w:rsidRDefault="004F1ABF" w:rsidP="00CE1AFB">
            <w:pPr>
              <w:autoSpaceDE w:val="0"/>
              <w:autoSpaceDN w:val="0"/>
              <w:adjustRightInd w:val="0"/>
              <w:spacing w:line="320" w:lineRule="atLeast"/>
              <w:ind w:left="60" w:right="60"/>
              <w:rPr>
                <w:rFonts w:ascii="Arial" w:hAnsi="Arial" w:cs="Arial"/>
                <w:color w:val="264A60"/>
                <w:sz w:val="18"/>
                <w:szCs w:val="18"/>
              </w:rPr>
            </w:pPr>
            <w:r w:rsidRPr="004D06FF">
              <w:rPr>
                <w:rFonts w:ascii="Arial" w:hAnsi="Arial" w:cs="Arial"/>
                <w:color w:val="264A60"/>
                <w:sz w:val="18"/>
                <w:szCs w:val="18"/>
              </w:rPr>
              <w:t>Total</w:t>
            </w:r>
          </w:p>
        </w:tc>
        <w:tc>
          <w:tcPr>
            <w:tcW w:w="1469" w:type="dxa"/>
            <w:tcBorders>
              <w:top w:val="single" w:sz="8" w:space="0" w:color="AEAEAE"/>
              <w:left w:val="nil"/>
              <w:bottom w:val="single" w:sz="8" w:space="0" w:color="152935"/>
              <w:right w:val="single" w:sz="8" w:space="0" w:color="E0E0E0"/>
            </w:tcBorders>
            <w:shd w:val="clear" w:color="auto" w:fill="FFFFFF"/>
          </w:tcPr>
          <w:p w:rsidR="004F1ABF" w:rsidRPr="004D06FF" w:rsidRDefault="004F1ABF" w:rsidP="00CE1AFB">
            <w:pPr>
              <w:autoSpaceDE w:val="0"/>
              <w:autoSpaceDN w:val="0"/>
              <w:adjustRightInd w:val="0"/>
              <w:spacing w:line="320" w:lineRule="atLeast"/>
              <w:ind w:left="60" w:right="60"/>
              <w:jc w:val="right"/>
              <w:rPr>
                <w:rFonts w:ascii="Arial" w:hAnsi="Arial" w:cs="Arial"/>
                <w:color w:val="010205"/>
                <w:sz w:val="18"/>
                <w:szCs w:val="18"/>
              </w:rPr>
            </w:pPr>
            <w:r w:rsidRPr="004D06FF">
              <w:rPr>
                <w:rFonts w:ascii="Arial" w:hAnsi="Arial" w:cs="Arial"/>
                <w:color w:val="010205"/>
                <w:sz w:val="18"/>
                <w:szCs w:val="18"/>
              </w:rPr>
              <w:t>765.266</w:t>
            </w:r>
          </w:p>
        </w:tc>
        <w:tc>
          <w:tcPr>
            <w:tcW w:w="1025" w:type="dxa"/>
            <w:gridSpan w:val="2"/>
            <w:tcBorders>
              <w:top w:val="single" w:sz="8" w:space="0" w:color="AEAEAE"/>
              <w:left w:val="single" w:sz="8" w:space="0" w:color="E0E0E0"/>
              <w:bottom w:val="single" w:sz="8" w:space="0" w:color="152935"/>
              <w:right w:val="single" w:sz="8" w:space="0" w:color="E0E0E0"/>
            </w:tcBorders>
            <w:shd w:val="clear" w:color="auto" w:fill="FFFFFF"/>
          </w:tcPr>
          <w:p w:rsidR="004F1ABF" w:rsidRPr="004D06FF" w:rsidRDefault="004F1ABF" w:rsidP="00CE1AFB">
            <w:pPr>
              <w:autoSpaceDE w:val="0"/>
              <w:autoSpaceDN w:val="0"/>
              <w:adjustRightInd w:val="0"/>
              <w:spacing w:line="320" w:lineRule="atLeast"/>
              <w:ind w:left="60" w:right="60"/>
              <w:jc w:val="right"/>
              <w:rPr>
                <w:rFonts w:ascii="Arial" w:hAnsi="Arial" w:cs="Arial"/>
                <w:color w:val="010205"/>
                <w:sz w:val="18"/>
                <w:szCs w:val="18"/>
              </w:rPr>
            </w:pPr>
            <w:r w:rsidRPr="004D06FF">
              <w:rPr>
                <w:rFonts w:ascii="Arial" w:hAnsi="Arial" w:cs="Arial"/>
                <w:color w:val="010205"/>
                <w:sz w:val="18"/>
                <w:szCs w:val="18"/>
              </w:rPr>
              <w:t>933</w:t>
            </w:r>
          </w:p>
        </w:tc>
        <w:tc>
          <w:tcPr>
            <w:tcW w:w="140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4F1ABF" w:rsidRPr="004D06FF" w:rsidRDefault="004F1ABF" w:rsidP="00CE1AFB">
            <w:pPr>
              <w:autoSpaceDE w:val="0"/>
              <w:autoSpaceDN w:val="0"/>
              <w:adjustRightInd w:val="0"/>
            </w:pPr>
          </w:p>
        </w:tc>
        <w:tc>
          <w:tcPr>
            <w:tcW w:w="102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4F1ABF" w:rsidRPr="004D06FF" w:rsidRDefault="004F1ABF" w:rsidP="00CE1AFB">
            <w:pPr>
              <w:autoSpaceDE w:val="0"/>
              <w:autoSpaceDN w:val="0"/>
              <w:adjustRightInd w:val="0"/>
            </w:pPr>
          </w:p>
        </w:tc>
        <w:tc>
          <w:tcPr>
            <w:tcW w:w="1025" w:type="dxa"/>
            <w:tcBorders>
              <w:top w:val="single" w:sz="8" w:space="0" w:color="AEAEAE"/>
              <w:left w:val="single" w:sz="8" w:space="0" w:color="E0E0E0"/>
              <w:bottom w:val="single" w:sz="8" w:space="0" w:color="152935"/>
              <w:right w:val="nil"/>
            </w:tcBorders>
            <w:shd w:val="clear" w:color="auto" w:fill="FFFFFF"/>
            <w:vAlign w:val="center"/>
          </w:tcPr>
          <w:p w:rsidR="004F1ABF" w:rsidRPr="004D06FF" w:rsidRDefault="004F1ABF" w:rsidP="00CE1AFB">
            <w:pPr>
              <w:autoSpaceDE w:val="0"/>
              <w:autoSpaceDN w:val="0"/>
              <w:adjustRightInd w:val="0"/>
            </w:pPr>
          </w:p>
        </w:tc>
      </w:tr>
    </w:tbl>
    <w:p w:rsidR="004F1ABF" w:rsidRPr="007D0393" w:rsidRDefault="004F1ABF" w:rsidP="004F1ABF">
      <w:pPr>
        <w:autoSpaceDE w:val="0"/>
        <w:autoSpaceDN w:val="0"/>
        <w:adjustRightInd w:val="0"/>
      </w:pPr>
    </w:p>
    <w:tbl>
      <w:tblPr>
        <w:tblW w:w="4904"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01"/>
        <w:gridCol w:w="1080"/>
        <w:gridCol w:w="1083"/>
        <w:gridCol w:w="1351"/>
        <w:gridCol w:w="1081"/>
        <w:gridCol w:w="984"/>
      </w:tblGrid>
      <w:tr w:rsidR="004F1ABF" w:rsidRPr="007D0393" w:rsidTr="00CE1AFB">
        <w:trPr>
          <w:cantSplit/>
        </w:trPr>
        <w:tc>
          <w:tcPr>
            <w:tcW w:w="5000" w:type="pct"/>
            <w:gridSpan w:val="6"/>
            <w:tcBorders>
              <w:top w:val="nil"/>
              <w:left w:val="nil"/>
              <w:bottom w:val="nil"/>
              <w:right w:val="nil"/>
            </w:tcBorders>
            <w:shd w:val="clear" w:color="auto" w:fill="FFFFFF"/>
            <w:vAlign w:val="center"/>
          </w:tcPr>
          <w:p w:rsidR="00AF570A" w:rsidRDefault="00AF570A" w:rsidP="00CE1AFB">
            <w:pPr>
              <w:autoSpaceDE w:val="0"/>
              <w:autoSpaceDN w:val="0"/>
              <w:adjustRightInd w:val="0"/>
              <w:spacing w:line="360" w:lineRule="auto"/>
              <w:ind w:left="60" w:right="60"/>
              <w:jc w:val="center"/>
              <w:rPr>
                <w:rFonts w:ascii="Arial" w:hAnsi="Arial" w:cs="Arial"/>
                <w:b/>
                <w:bCs/>
                <w:color w:val="010205"/>
              </w:rPr>
            </w:pPr>
          </w:p>
          <w:p w:rsidR="00AF570A" w:rsidRDefault="00AF570A" w:rsidP="00CE1AFB">
            <w:pPr>
              <w:autoSpaceDE w:val="0"/>
              <w:autoSpaceDN w:val="0"/>
              <w:adjustRightInd w:val="0"/>
              <w:spacing w:line="360" w:lineRule="auto"/>
              <w:ind w:left="60" w:right="60"/>
              <w:jc w:val="center"/>
              <w:rPr>
                <w:rFonts w:ascii="Arial" w:hAnsi="Arial" w:cs="Arial"/>
                <w:b/>
                <w:bCs/>
                <w:color w:val="010205"/>
              </w:rPr>
            </w:pPr>
          </w:p>
          <w:p w:rsidR="004F1ABF" w:rsidRPr="007D0393" w:rsidRDefault="004F1ABF" w:rsidP="00CE1AFB">
            <w:pPr>
              <w:autoSpaceDE w:val="0"/>
              <w:autoSpaceDN w:val="0"/>
              <w:adjustRightInd w:val="0"/>
              <w:spacing w:line="360" w:lineRule="auto"/>
              <w:ind w:left="60" w:right="60"/>
              <w:jc w:val="center"/>
              <w:rPr>
                <w:rFonts w:ascii="Arial" w:hAnsi="Arial" w:cs="Arial"/>
                <w:color w:val="010205"/>
              </w:rPr>
            </w:pPr>
            <w:r w:rsidRPr="007D0393">
              <w:rPr>
                <w:rFonts w:ascii="Arial" w:hAnsi="Arial" w:cs="Arial"/>
                <w:b/>
                <w:bCs/>
                <w:color w:val="010205"/>
              </w:rPr>
              <w:t>Coefficients</w:t>
            </w:r>
            <w:r w:rsidRPr="007D0393">
              <w:rPr>
                <w:rFonts w:ascii="Arial" w:hAnsi="Arial" w:cs="Arial"/>
                <w:b/>
                <w:bCs/>
                <w:color w:val="010205"/>
                <w:vertAlign w:val="superscript"/>
              </w:rPr>
              <w:t>a</w:t>
            </w:r>
          </w:p>
        </w:tc>
      </w:tr>
      <w:tr w:rsidR="004F1ABF" w:rsidRPr="007D0393" w:rsidTr="00CE1AFB">
        <w:trPr>
          <w:cantSplit/>
        </w:trPr>
        <w:tc>
          <w:tcPr>
            <w:tcW w:w="1961" w:type="pct"/>
            <w:vMerge w:val="restart"/>
            <w:tcBorders>
              <w:top w:val="nil"/>
              <w:left w:val="nil"/>
              <w:bottom w:val="nil"/>
              <w:right w:val="nil"/>
            </w:tcBorders>
            <w:shd w:val="clear" w:color="auto" w:fill="5B9BD5" w:themeFill="accent1"/>
            <w:vAlign w:val="bottom"/>
          </w:tcPr>
          <w:p w:rsidR="004F1ABF" w:rsidRPr="00342EEC" w:rsidRDefault="004F1ABF" w:rsidP="00400B35">
            <w:pPr>
              <w:autoSpaceDE w:val="0"/>
              <w:autoSpaceDN w:val="0"/>
              <w:adjustRightInd w:val="0"/>
              <w:ind w:left="60" w:right="60"/>
              <w:rPr>
                <w:rFonts w:ascii="Arial" w:hAnsi="Arial" w:cs="Arial"/>
                <w:b/>
                <w:color w:val="FFFFFF" w:themeColor="background1"/>
                <w:sz w:val="18"/>
                <w:szCs w:val="18"/>
              </w:rPr>
            </w:pPr>
            <w:r w:rsidRPr="00342EEC">
              <w:rPr>
                <w:rFonts w:ascii="Arial" w:hAnsi="Arial" w:cs="Arial"/>
                <w:b/>
                <w:color w:val="FFFFFF" w:themeColor="background1"/>
                <w:sz w:val="18"/>
                <w:szCs w:val="18"/>
              </w:rPr>
              <w:t>Model</w:t>
            </w:r>
          </w:p>
        </w:tc>
        <w:tc>
          <w:tcPr>
            <w:tcW w:w="1178" w:type="pct"/>
            <w:gridSpan w:val="2"/>
            <w:tcBorders>
              <w:top w:val="nil"/>
              <w:left w:val="nil"/>
              <w:bottom w:val="nil"/>
              <w:right w:val="single" w:sz="8" w:space="0" w:color="E0E0E0"/>
            </w:tcBorders>
            <w:shd w:val="clear" w:color="auto" w:fill="5B9BD5" w:themeFill="accent1"/>
            <w:vAlign w:val="bottom"/>
          </w:tcPr>
          <w:p w:rsidR="004F1ABF" w:rsidRPr="00342EEC" w:rsidRDefault="004F1ABF" w:rsidP="00400B35">
            <w:pPr>
              <w:autoSpaceDE w:val="0"/>
              <w:autoSpaceDN w:val="0"/>
              <w:adjustRightInd w:val="0"/>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Unstandardized Coefficients</w:t>
            </w:r>
          </w:p>
        </w:tc>
        <w:tc>
          <w:tcPr>
            <w:tcW w:w="736" w:type="pct"/>
            <w:tcBorders>
              <w:top w:val="nil"/>
              <w:left w:val="single" w:sz="8" w:space="0" w:color="E0E0E0"/>
              <w:bottom w:val="nil"/>
              <w:right w:val="single" w:sz="8" w:space="0" w:color="E0E0E0"/>
            </w:tcBorders>
            <w:shd w:val="clear" w:color="auto" w:fill="5B9BD5" w:themeFill="accent1"/>
            <w:vAlign w:val="bottom"/>
          </w:tcPr>
          <w:p w:rsidR="004F1ABF" w:rsidRPr="00342EEC" w:rsidRDefault="004F1ABF" w:rsidP="00400B35">
            <w:pPr>
              <w:autoSpaceDE w:val="0"/>
              <w:autoSpaceDN w:val="0"/>
              <w:adjustRightInd w:val="0"/>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Standardized Coefficients</w:t>
            </w:r>
          </w:p>
        </w:tc>
        <w:tc>
          <w:tcPr>
            <w:tcW w:w="589" w:type="pct"/>
            <w:vMerge w:val="restart"/>
            <w:tcBorders>
              <w:top w:val="nil"/>
              <w:left w:val="single" w:sz="8" w:space="0" w:color="E0E0E0"/>
              <w:bottom w:val="nil"/>
              <w:right w:val="single" w:sz="8" w:space="0" w:color="E0E0E0"/>
            </w:tcBorders>
            <w:shd w:val="clear" w:color="auto" w:fill="5B9BD5" w:themeFill="accent1"/>
            <w:vAlign w:val="bottom"/>
          </w:tcPr>
          <w:p w:rsidR="004F1ABF" w:rsidRPr="00342EEC" w:rsidRDefault="004F1ABF" w:rsidP="00400B35">
            <w:pPr>
              <w:autoSpaceDE w:val="0"/>
              <w:autoSpaceDN w:val="0"/>
              <w:adjustRightInd w:val="0"/>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t</w:t>
            </w:r>
          </w:p>
        </w:tc>
        <w:tc>
          <w:tcPr>
            <w:tcW w:w="536" w:type="pct"/>
            <w:vMerge w:val="restart"/>
            <w:tcBorders>
              <w:top w:val="nil"/>
              <w:left w:val="single" w:sz="8" w:space="0" w:color="E0E0E0"/>
              <w:bottom w:val="nil"/>
              <w:right w:val="nil"/>
            </w:tcBorders>
            <w:shd w:val="clear" w:color="auto" w:fill="5B9BD5" w:themeFill="accent1"/>
            <w:vAlign w:val="bottom"/>
          </w:tcPr>
          <w:p w:rsidR="004F1ABF" w:rsidRPr="00342EEC" w:rsidRDefault="004F1ABF" w:rsidP="00400B35">
            <w:pPr>
              <w:autoSpaceDE w:val="0"/>
              <w:autoSpaceDN w:val="0"/>
              <w:adjustRightInd w:val="0"/>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Sig.</w:t>
            </w:r>
          </w:p>
        </w:tc>
      </w:tr>
      <w:tr w:rsidR="004F1ABF" w:rsidRPr="007D0393" w:rsidTr="00CE1AFB">
        <w:trPr>
          <w:cantSplit/>
        </w:trPr>
        <w:tc>
          <w:tcPr>
            <w:tcW w:w="1961" w:type="pct"/>
            <w:vMerge/>
            <w:tcBorders>
              <w:top w:val="nil"/>
              <w:left w:val="nil"/>
              <w:bottom w:val="nil"/>
              <w:right w:val="nil"/>
            </w:tcBorders>
            <w:shd w:val="clear" w:color="auto" w:fill="FFFFFF"/>
            <w:vAlign w:val="bottom"/>
          </w:tcPr>
          <w:p w:rsidR="004F1ABF" w:rsidRPr="007D0393" w:rsidRDefault="004F1ABF" w:rsidP="00400B35">
            <w:pPr>
              <w:autoSpaceDE w:val="0"/>
              <w:autoSpaceDN w:val="0"/>
              <w:adjustRightInd w:val="0"/>
              <w:rPr>
                <w:rFonts w:ascii="Arial" w:hAnsi="Arial" w:cs="Arial"/>
                <w:color w:val="264A60"/>
                <w:sz w:val="18"/>
                <w:szCs w:val="18"/>
              </w:rPr>
            </w:pPr>
          </w:p>
        </w:tc>
        <w:tc>
          <w:tcPr>
            <w:tcW w:w="588" w:type="pct"/>
            <w:tcBorders>
              <w:top w:val="nil"/>
              <w:left w:val="nil"/>
              <w:bottom w:val="single" w:sz="8" w:space="0" w:color="152935"/>
              <w:right w:val="single" w:sz="8" w:space="0" w:color="E0E0E0"/>
            </w:tcBorders>
            <w:shd w:val="clear" w:color="auto" w:fill="5B9BD5" w:themeFill="accent1"/>
            <w:vAlign w:val="bottom"/>
          </w:tcPr>
          <w:p w:rsidR="004F1ABF" w:rsidRPr="00342EEC" w:rsidRDefault="004F1ABF" w:rsidP="00400B35">
            <w:pPr>
              <w:autoSpaceDE w:val="0"/>
              <w:autoSpaceDN w:val="0"/>
              <w:adjustRightInd w:val="0"/>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B</w:t>
            </w:r>
          </w:p>
        </w:tc>
        <w:tc>
          <w:tcPr>
            <w:tcW w:w="590" w:type="pct"/>
            <w:tcBorders>
              <w:top w:val="nil"/>
              <w:left w:val="single" w:sz="8" w:space="0" w:color="E0E0E0"/>
              <w:bottom w:val="single" w:sz="8" w:space="0" w:color="152935"/>
              <w:right w:val="single" w:sz="8" w:space="0" w:color="E0E0E0"/>
            </w:tcBorders>
            <w:shd w:val="clear" w:color="auto" w:fill="5B9BD5" w:themeFill="accent1"/>
            <w:vAlign w:val="bottom"/>
          </w:tcPr>
          <w:p w:rsidR="004F1ABF" w:rsidRPr="00342EEC" w:rsidRDefault="004F1ABF" w:rsidP="00400B35">
            <w:pPr>
              <w:autoSpaceDE w:val="0"/>
              <w:autoSpaceDN w:val="0"/>
              <w:adjustRightInd w:val="0"/>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Std. Error</w:t>
            </w:r>
          </w:p>
        </w:tc>
        <w:tc>
          <w:tcPr>
            <w:tcW w:w="736" w:type="pct"/>
            <w:tcBorders>
              <w:top w:val="nil"/>
              <w:left w:val="single" w:sz="8" w:space="0" w:color="E0E0E0"/>
              <w:bottom w:val="single" w:sz="8" w:space="0" w:color="152935"/>
              <w:right w:val="single" w:sz="8" w:space="0" w:color="E0E0E0"/>
            </w:tcBorders>
            <w:shd w:val="clear" w:color="auto" w:fill="5B9BD5" w:themeFill="accent1"/>
            <w:vAlign w:val="bottom"/>
          </w:tcPr>
          <w:p w:rsidR="004F1ABF" w:rsidRPr="00342EEC" w:rsidRDefault="004F1ABF" w:rsidP="00400B35">
            <w:pPr>
              <w:autoSpaceDE w:val="0"/>
              <w:autoSpaceDN w:val="0"/>
              <w:adjustRightInd w:val="0"/>
              <w:ind w:left="60" w:right="60"/>
              <w:jc w:val="center"/>
              <w:rPr>
                <w:rFonts w:ascii="Arial" w:hAnsi="Arial" w:cs="Arial"/>
                <w:b/>
                <w:color w:val="FFFFFF" w:themeColor="background1"/>
                <w:sz w:val="18"/>
                <w:szCs w:val="18"/>
              </w:rPr>
            </w:pPr>
            <w:r w:rsidRPr="00342EEC">
              <w:rPr>
                <w:rFonts w:ascii="Arial" w:hAnsi="Arial" w:cs="Arial"/>
                <w:b/>
                <w:color w:val="FFFFFF" w:themeColor="background1"/>
                <w:sz w:val="18"/>
                <w:szCs w:val="18"/>
              </w:rPr>
              <w:t>Beta</w:t>
            </w:r>
          </w:p>
        </w:tc>
        <w:tc>
          <w:tcPr>
            <w:tcW w:w="589" w:type="pct"/>
            <w:vMerge/>
            <w:tcBorders>
              <w:top w:val="nil"/>
              <w:left w:val="single" w:sz="8" w:space="0" w:color="E0E0E0"/>
              <w:bottom w:val="nil"/>
              <w:right w:val="single" w:sz="8" w:space="0" w:color="E0E0E0"/>
            </w:tcBorders>
            <w:shd w:val="clear" w:color="auto" w:fill="FFFFFF"/>
            <w:vAlign w:val="bottom"/>
          </w:tcPr>
          <w:p w:rsidR="004F1ABF" w:rsidRPr="007D0393" w:rsidRDefault="004F1ABF" w:rsidP="00400B35">
            <w:pPr>
              <w:autoSpaceDE w:val="0"/>
              <w:autoSpaceDN w:val="0"/>
              <w:adjustRightInd w:val="0"/>
              <w:rPr>
                <w:rFonts w:ascii="Arial" w:hAnsi="Arial" w:cs="Arial"/>
                <w:color w:val="264A60"/>
                <w:sz w:val="18"/>
                <w:szCs w:val="18"/>
              </w:rPr>
            </w:pPr>
          </w:p>
        </w:tc>
        <w:tc>
          <w:tcPr>
            <w:tcW w:w="536" w:type="pct"/>
            <w:vMerge/>
            <w:tcBorders>
              <w:top w:val="nil"/>
              <w:left w:val="single" w:sz="8" w:space="0" w:color="E0E0E0"/>
              <w:bottom w:val="nil"/>
              <w:right w:val="nil"/>
            </w:tcBorders>
            <w:shd w:val="clear" w:color="auto" w:fill="FFFFFF"/>
            <w:vAlign w:val="bottom"/>
          </w:tcPr>
          <w:p w:rsidR="004F1ABF" w:rsidRPr="007D0393" w:rsidRDefault="004F1ABF" w:rsidP="00400B35">
            <w:pPr>
              <w:autoSpaceDE w:val="0"/>
              <w:autoSpaceDN w:val="0"/>
              <w:adjustRightInd w:val="0"/>
              <w:rPr>
                <w:rFonts w:ascii="Arial" w:hAnsi="Arial" w:cs="Arial"/>
                <w:color w:val="264A60"/>
                <w:sz w:val="18"/>
                <w:szCs w:val="18"/>
              </w:rPr>
            </w:pPr>
          </w:p>
        </w:tc>
      </w:tr>
      <w:tr w:rsidR="004F1ABF" w:rsidRPr="007D0393" w:rsidTr="00CE1AFB">
        <w:trPr>
          <w:cantSplit/>
        </w:trPr>
        <w:tc>
          <w:tcPr>
            <w:tcW w:w="1961" w:type="pct"/>
            <w:tcBorders>
              <w:top w:val="single" w:sz="8" w:space="0" w:color="152935"/>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264A60"/>
                <w:sz w:val="18"/>
                <w:szCs w:val="18"/>
              </w:rPr>
            </w:pPr>
            <w:r w:rsidRPr="007D0393">
              <w:rPr>
                <w:rFonts w:ascii="Arial" w:hAnsi="Arial" w:cs="Arial"/>
                <w:color w:val="264A60"/>
                <w:sz w:val="18"/>
                <w:szCs w:val="18"/>
              </w:rPr>
              <w:t>(Constant)</w:t>
            </w:r>
          </w:p>
        </w:tc>
        <w:tc>
          <w:tcPr>
            <w:tcW w:w="588" w:type="pct"/>
            <w:tcBorders>
              <w:top w:val="single" w:sz="8" w:space="0" w:color="152935"/>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1.438</w:t>
            </w:r>
          </w:p>
        </w:tc>
        <w:tc>
          <w:tcPr>
            <w:tcW w:w="590" w:type="pct"/>
            <w:tcBorders>
              <w:top w:val="single" w:sz="8" w:space="0" w:color="152935"/>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.299</w:t>
            </w:r>
          </w:p>
        </w:tc>
        <w:tc>
          <w:tcPr>
            <w:tcW w:w="736" w:type="pct"/>
            <w:tcBorders>
              <w:top w:val="single" w:sz="8" w:space="0" w:color="152935"/>
              <w:left w:val="single" w:sz="8" w:space="0" w:color="E0E0E0"/>
              <w:bottom w:val="single" w:sz="8" w:space="0" w:color="AEAEAE"/>
              <w:right w:val="single" w:sz="8" w:space="0" w:color="E0E0E0"/>
            </w:tcBorders>
            <w:shd w:val="clear" w:color="auto" w:fill="FFFFFF"/>
            <w:vAlign w:val="center"/>
          </w:tcPr>
          <w:p w:rsidR="004F1ABF" w:rsidRPr="007D0393" w:rsidRDefault="004F1ABF" w:rsidP="00400B35">
            <w:pPr>
              <w:autoSpaceDE w:val="0"/>
              <w:autoSpaceDN w:val="0"/>
              <w:adjustRightInd w:val="0"/>
            </w:pPr>
          </w:p>
        </w:tc>
        <w:tc>
          <w:tcPr>
            <w:tcW w:w="589" w:type="pct"/>
            <w:tcBorders>
              <w:top w:val="single" w:sz="8" w:space="0" w:color="152935"/>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4.814</w:t>
            </w:r>
          </w:p>
        </w:tc>
        <w:tc>
          <w:tcPr>
            <w:tcW w:w="536" w:type="pct"/>
            <w:tcBorders>
              <w:top w:val="single" w:sz="8" w:space="0" w:color="152935"/>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.000</w:t>
            </w:r>
          </w:p>
        </w:tc>
      </w:tr>
      <w:tr w:rsidR="004F1ABF" w:rsidRPr="007D0393" w:rsidTr="00CE1AFB">
        <w:trPr>
          <w:cantSplit/>
        </w:trPr>
        <w:tc>
          <w:tcPr>
            <w:tcW w:w="1961" w:type="pct"/>
            <w:tcBorders>
              <w:top w:val="single" w:sz="8" w:space="0" w:color="AEAEAE"/>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FF0000"/>
                <w:sz w:val="18"/>
                <w:szCs w:val="18"/>
              </w:rPr>
            </w:pPr>
            <w:r w:rsidRPr="007D0393">
              <w:rPr>
                <w:rFonts w:ascii="Arial" w:hAnsi="Arial" w:cs="Arial"/>
                <w:color w:val="FF0000"/>
                <w:sz w:val="18"/>
                <w:szCs w:val="18"/>
              </w:rPr>
              <w:t>Emotional Supervision</w:t>
            </w:r>
          </w:p>
        </w:tc>
        <w:tc>
          <w:tcPr>
            <w:tcW w:w="588" w:type="pct"/>
            <w:tcBorders>
              <w:top w:val="single" w:sz="8" w:space="0" w:color="AEAEAE"/>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.107</w:t>
            </w:r>
          </w:p>
        </w:tc>
        <w:tc>
          <w:tcPr>
            <w:tcW w:w="590"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.032</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.113</w:t>
            </w:r>
          </w:p>
        </w:tc>
        <w:tc>
          <w:tcPr>
            <w:tcW w:w="589"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3.378</w:t>
            </w:r>
          </w:p>
        </w:tc>
        <w:tc>
          <w:tcPr>
            <w:tcW w:w="536" w:type="pct"/>
            <w:tcBorders>
              <w:top w:val="single" w:sz="8" w:space="0" w:color="AEAEAE"/>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.001</w:t>
            </w:r>
          </w:p>
        </w:tc>
      </w:tr>
      <w:tr w:rsidR="004F1ABF" w:rsidRPr="007D0393" w:rsidTr="00CE1AFB">
        <w:trPr>
          <w:cantSplit/>
        </w:trPr>
        <w:tc>
          <w:tcPr>
            <w:tcW w:w="1961" w:type="pct"/>
            <w:tcBorders>
              <w:top w:val="single" w:sz="8" w:space="0" w:color="AEAEAE"/>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FF0000"/>
                <w:sz w:val="18"/>
                <w:szCs w:val="18"/>
              </w:rPr>
            </w:pPr>
            <w:r w:rsidRPr="007D0393">
              <w:rPr>
                <w:rFonts w:ascii="Arial" w:hAnsi="Arial" w:cs="Arial"/>
                <w:color w:val="FF0000"/>
                <w:sz w:val="18"/>
                <w:szCs w:val="18"/>
              </w:rPr>
              <w:t>Org distributive justice</w:t>
            </w:r>
          </w:p>
        </w:tc>
        <w:tc>
          <w:tcPr>
            <w:tcW w:w="588" w:type="pct"/>
            <w:tcBorders>
              <w:top w:val="single" w:sz="8" w:space="0" w:color="AEAEAE"/>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.316</w:t>
            </w:r>
          </w:p>
        </w:tc>
        <w:tc>
          <w:tcPr>
            <w:tcW w:w="590"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.051</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.252</w:t>
            </w:r>
          </w:p>
        </w:tc>
        <w:tc>
          <w:tcPr>
            <w:tcW w:w="589"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6.230</w:t>
            </w:r>
          </w:p>
        </w:tc>
        <w:tc>
          <w:tcPr>
            <w:tcW w:w="536" w:type="pct"/>
            <w:tcBorders>
              <w:top w:val="single" w:sz="8" w:space="0" w:color="AEAEAE"/>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.000</w:t>
            </w:r>
          </w:p>
        </w:tc>
      </w:tr>
      <w:tr w:rsidR="004F1ABF" w:rsidRPr="007D0393" w:rsidTr="00CE1AFB">
        <w:trPr>
          <w:cantSplit/>
        </w:trPr>
        <w:tc>
          <w:tcPr>
            <w:tcW w:w="1961" w:type="pct"/>
            <w:tcBorders>
              <w:top w:val="single" w:sz="8" w:space="0" w:color="AEAEAE"/>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264A60"/>
                <w:sz w:val="18"/>
                <w:szCs w:val="18"/>
              </w:rPr>
            </w:pPr>
            <w:r w:rsidRPr="007D0393">
              <w:rPr>
                <w:rFonts w:ascii="Arial" w:hAnsi="Arial" w:cs="Arial"/>
                <w:color w:val="264A60"/>
                <w:sz w:val="18"/>
                <w:szCs w:val="18"/>
              </w:rPr>
              <w:t>Org procedural justice</w:t>
            </w:r>
          </w:p>
        </w:tc>
        <w:tc>
          <w:tcPr>
            <w:tcW w:w="588" w:type="pct"/>
            <w:tcBorders>
              <w:top w:val="single" w:sz="8" w:space="0" w:color="AEAEAE"/>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-.009</w:t>
            </w:r>
          </w:p>
        </w:tc>
        <w:tc>
          <w:tcPr>
            <w:tcW w:w="590"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.044</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-.008</w:t>
            </w:r>
          </w:p>
        </w:tc>
        <w:tc>
          <w:tcPr>
            <w:tcW w:w="589"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-.200</w:t>
            </w:r>
          </w:p>
        </w:tc>
        <w:tc>
          <w:tcPr>
            <w:tcW w:w="536" w:type="pct"/>
            <w:tcBorders>
              <w:top w:val="single" w:sz="8" w:space="0" w:color="AEAEAE"/>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.841</w:t>
            </w:r>
          </w:p>
        </w:tc>
      </w:tr>
      <w:tr w:rsidR="004F1ABF" w:rsidRPr="007D0393" w:rsidTr="00CE1AFB">
        <w:trPr>
          <w:cantSplit/>
        </w:trPr>
        <w:tc>
          <w:tcPr>
            <w:tcW w:w="1961" w:type="pct"/>
            <w:tcBorders>
              <w:top w:val="single" w:sz="8" w:space="0" w:color="AEAEAE"/>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264A60"/>
                <w:sz w:val="18"/>
                <w:szCs w:val="18"/>
              </w:rPr>
            </w:pPr>
            <w:r w:rsidRPr="007D0393">
              <w:rPr>
                <w:rFonts w:ascii="Arial" w:hAnsi="Arial" w:cs="Arial"/>
                <w:color w:val="264A60"/>
                <w:sz w:val="18"/>
                <w:szCs w:val="18"/>
              </w:rPr>
              <w:t>Org interpersonal justice</w:t>
            </w:r>
          </w:p>
        </w:tc>
        <w:tc>
          <w:tcPr>
            <w:tcW w:w="588" w:type="pct"/>
            <w:tcBorders>
              <w:top w:val="single" w:sz="8" w:space="0" w:color="AEAEAE"/>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-.011</w:t>
            </w:r>
          </w:p>
        </w:tc>
        <w:tc>
          <w:tcPr>
            <w:tcW w:w="590"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.036</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-.010</w:t>
            </w:r>
          </w:p>
        </w:tc>
        <w:tc>
          <w:tcPr>
            <w:tcW w:w="589"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-.311</w:t>
            </w:r>
          </w:p>
        </w:tc>
        <w:tc>
          <w:tcPr>
            <w:tcW w:w="536" w:type="pct"/>
            <w:tcBorders>
              <w:top w:val="single" w:sz="8" w:space="0" w:color="AEAEAE"/>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.756</w:t>
            </w:r>
          </w:p>
        </w:tc>
      </w:tr>
      <w:tr w:rsidR="004F1ABF" w:rsidRPr="007D0393" w:rsidTr="00CE1AFB">
        <w:trPr>
          <w:cantSplit/>
        </w:trPr>
        <w:tc>
          <w:tcPr>
            <w:tcW w:w="1961" w:type="pct"/>
            <w:tcBorders>
              <w:top w:val="single" w:sz="8" w:space="0" w:color="AEAEAE"/>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264A60"/>
                <w:sz w:val="18"/>
                <w:szCs w:val="18"/>
              </w:rPr>
            </w:pPr>
            <w:r w:rsidRPr="007D0393">
              <w:rPr>
                <w:rFonts w:ascii="Arial" w:hAnsi="Arial" w:cs="Arial"/>
                <w:color w:val="264A60"/>
                <w:sz w:val="18"/>
                <w:szCs w:val="18"/>
              </w:rPr>
              <w:t>Regional administrative support</w:t>
            </w:r>
          </w:p>
        </w:tc>
        <w:tc>
          <w:tcPr>
            <w:tcW w:w="588" w:type="pct"/>
            <w:tcBorders>
              <w:top w:val="single" w:sz="8" w:space="0" w:color="AEAEAE"/>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.028</w:t>
            </w:r>
          </w:p>
        </w:tc>
        <w:tc>
          <w:tcPr>
            <w:tcW w:w="590"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.032</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.031</w:t>
            </w:r>
          </w:p>
        </w:tc>
        <w:tc>
          <w:tcPr>
            <w:tcW w:w="589"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.866</w:t>
            </w:r>
          </w:p>
        </w:tc>
        <w:tc>
          <w:tcPr>
            <w:tcW w:w="536" w:type="pct"/>
            <w:tcBorders>
              <w:top w:val="single" w:sz="8" w:space="0" w:color="AEAEAE"/>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.387</w:t>
            </w:r>
          </w:p>
        </w:tc>
      </w:tr>
      <w:tr w:rsidR="004F1ABF" w:rsidRPr="007D0393" w:rsidTr="00CE1AFB">
        <w:trPr>
          <w:cantSplit/>
        </w:trPr>
        <w:tc>
          <w:tcPr>
            <w:tcW w:w="1961" w:type="pct"/>
            <w:tcBorders>
              <w:top w:val="single" w:sz="8" w:space="0" w:color="AEAEAE"/>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FF0000"/>
                <w:sz w:val="18"/>
                <w:szCs w:val="18"/>
              </w:rPr>
            </w:pPr>
            <w:r w:rsidRPr="007D0393">
              <w:rPr>
                <w:rFonts w:ascii="Arial" w:hAnsi="Arial" w:cs="Arial"/>
                <w:color w:val="FF0000"/>
                <w:sz w:val="18"/>
                <w:szCs w:val="18"/>
              </w:rPr>
              <w:t>Secondary trauma stress, Bride scale</w:t>
            </w:r>
          </w:p>
        </w:tc>
        <w:tc>
          <w:tcPr>
            <w:tcW w:w="588" w:type="pct"/>
            <w:tcBorders>
              <w:top w:val="single" w:sz="8" w:space="0" w:color="AEAEAE"/>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-.194</w:t>
            </w:r>
          </w:p>
        </w:tc>
        <w:tc>
          <w:tcPr>
            <w:tcW w:w="590"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.039</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-.174</w:t>
            </w:r>
          </w:p>
        </w:tc>
        <w:tc>
          <w:tcPr>
            <w:tcW w:w="589"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-5.033</w:t>
            </w:r>
          </w:p>
        </w:tc>
        <w:tc>
          <w:tcPr>
            <w:tcW w:w="536" w:type="pct"/>
            <w:tcBorders>
              <w:top w:val="single" w:sz="8" w:space="0" w:color="AEAEAE"/>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.000</w:t>
            </w:r>
          </w:p>
        </w:tc>
      </w:tr>
      <w:tr w:rsidR="004F1ABF" w:rsidRPr="007D0393" w:rsidTr="00CE1AFB">
        <w:trPr>
          <w:cantSplit/>
        </w:trPr>
        <w:tc>
          <w:tcPr>
            <w:tcW w:w="1961" w:type="pct"/>
            <w:tcBorders>
              <w:top w:val="single" w:sz="8" w:space="0" w:color="AEAEAE"/>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264A60"/>
                <w:sz w:val="18"/>
                <w:szCs w:val="18"/>
              </w:rPr>
            </w:pPr>
            <w:r>
              <w:rPr>
                <w:rFonts w:ascii="Arial" w:hAnsi="Arial" w:cs="Arial"/>
                <w:color w:val="264A60"/>
                <w:sz w:val="18"/>
                <w:szCs w:val="18"/>
              </w:rPr>
              <w:t>P</w:t>
            </w:r>
            <w:r w:rsidRPr="007D0393">
              <w:rPr>
                <w:rFonts w:ascii="Arial" w:hAnsi="Arial" w:cs="Arial"/>
                <w:color w:val="264A60"/>
                <w:sz w:val="18"/>
                <w:szCs w:val="18"/>
              </w:rPr>
              <w:t xml:space="preserve">ersonal </w:t>
            </w:r>
            <w:r w:rsidR="0003517B" w:rsidRPr="007D0393">
              <w:rPr>
                <w:rFonts w:ascii="Arial" w:hAnsi="Arial" w:cs="Arial"/>
                <w:color w:val="264A60"/>
                <w:sz w:val="18"/>
                <w:szCs w:val="18"/>
              </w:rPr>
              <w:t>self-care</w:t>
            </w:r>
          </w:p>
        </w:tc>
        <w:tc>
          <w:tcPr>
            <w:tcW w:w="588" w:type="pct"/>
            <w:tcBorders>
              <w:top w:val="single" w:sz="8" w:space="0" w:color="AEAEAE"/>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-.093</w:t>
            </w:r>
          </w:p>
        </w:tc>
        <w:tc>
          <w:tcPr>
            <w:tcW w:w="590"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.058</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-.064</w:t>
            </w:r>
          </w:p>
        </w:tc>
        <w:tc>
          <w:tcPr>
            <w:tcW w:w="589"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-1.587</w:t>
            </w:r>
          </w:p>
        </w:tc>
        <w:tc>
          <w:tcPr>
            <w:tcW w:w="536" w:type="pct"/>
            <w:tcBorders>
              <w:top w:val="single" w:sz="8" w:space="0" w:color="AEAEAE"/>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.113</w:t>
            </w:r>
          </w:p>
        </w:tc>
      </w:tr>
      <w:tr w:rsidR="004F1ABF" w:rsidRPr="007D0393" w:rsidTr="00CE1AFB">
        <w:trPr>
          <w:cantSplit/>
        </w:trPr>
        <w:tc>
          <w:tcPr>
            <w:tcW w:w="1961" w:type="pct"/>
            <w:tcBorders>
              <w:top w:val="single" w:sz="8" w:space="0" w:color="AEAEAE"/>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FF0000"/>
                <w:sz w:val="18"/>
                <w:szCs w:val="18"/>
              </w:rPr>
            </w:pPr>
            <w:r w:rsidRPr="00E5779F">
              <w:rPr>
                <w:rFonts w:ascii="Arial" w:hAnsi="Arial" w:cs="Arial"/>
                <w:color w:val="FF0000"/>
                <w:sz w:val="18"/>
                <w:szCs w:val="18"/>
              </w:rPr>
              <w:t>P</w:t>
            </w:r>
            <w:r w:rsidRPr="007D0393">
              <w:rPr>
                <w:rFonts w:ascii="Arial" w:hAnsi="Arial" w:cs="Arial"/>
                <w:color w:val="FF0000"/>
                <w:sz w:val="18"/>
                <w:szCs w:val="18"/>
              </w:rPr>
              <w:t xml:space="preserve">rofessional </w:t>
            </w:r>
            <w:r w:rsidR="0003517B" w:rsidRPr="007D0393">
              <w:rPr>
                <w:rFonts w:ascii="Arial" w:hAnsi="Arial" w:cs="Arial"/>
                <w:color w:val="FF0000"/>
                <w:sz w:val="18"/>
                <w:szCs w:val="18"/>
              </w:rPr>
              <w:t>self-care</w:t>
            </w:r>
          </w:p>
        </w:tc>
        <w:tc>
          <w:tcPr>
            <w:tcW w:w="588" w:type="pct"/>
            <w:tcBorders>
              <w:top w:val="single" w:sz="8" w:space="0" w:color="AEAEAE"/>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.161</w:t>
            </w:r>
          </w:p>
        </w:tc>
        <w:tc>
          <w:tcPr>
            <w:tcW w:w="590"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.059</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.105</w:t>
            </w:r>
          </w:p>
        </w:tc>
        <w:tc>
          <w:tcPr>
            <w:tcW w:w="589"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2.701</w:t>
            </w:r>
          </w:p>
        </w:tc>
        <w:tc>
          <w:tcPr>
            <w:tcW w:w="536" w:type="pct"/>
            <w:tcBorders>
              <w:top w:val="single" w:sz="8" w:space="0" w:color="AEAEAE"/>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.007</w:t>
            </w:r>
          </w:p>
        </w:tc>
      </w:tr>
      <w:tr w:rsidR="004F1ABF" w:rsidRPr="007D0393" w:rsidTr="00CE1AFB">
        <w:trPr>
          <w:cantSplit/>
        </w:trPr>
        <w:tc>
          <w:tcPr>
            <w:tcW w:w="1961" w:type="pct"/>
            <w:tcBorders>
              <w:top w:val="single" w:sz="8" w:space="0" w:color="AEAEAE"/>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FF0000"/>
                <w:sz w:val="18"/>
                <w:szCs w:val="18"/>
              </w:rPr>
            </w:pPr>
            <w:r w:rsidRPr="007D0393">
              <w:rPr>
                <w:rFonts w:ascii="Arial" w:hAnsi="Arial" w:cs="Arial"/>
                <w:color w:val="FF0000"/>
                <w:sz w:val="18"/>
                <w:szCs w:val="18"/>
              </w:rPr>
              <w:t>Caseworker age</w:t>
            </w:r>
          </w:p>
        </w:tc>
        <w:tc>
          <w:tcPr>
            <w:tcW w:w="588" w:type="pct"/>
            <w:tcBorders>
              <w:top w:val="single" w:sz="8" w:space="0" w:color="AEAEAE"/>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.021</w:t>
            </w:r>
          </w:p>
        </w:tc>
        <w:tc>
          <w:tcPr>
            <w:tcW w:w="590"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.003</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.239</w:t>
            </w:r>
          </w:p>
        </w:tc>
        <w:tc>
          <w:tcPr>
            <w:tcW w:w="589"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7.317</w:t>
            </w:r>
          </w:p>
        </w:tc>
        <w:tc>
          <w:tcPr>
            <w:tcW w:w="536" w:type="pct"/>
            <w:tcBorders>
              <w:top w:val="single" w:sz="8" w:space="0" w:color="AEAEAE"/>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.000</w:t>
            </w:r>
          </w:p>
        </w:tc>
      </w:tr>
      <w:tr w:rsidR="004F1ABF" w:rsidRPr="007D0393" w:rsidTr="00CE1AFB">
        <w:trPr>
          <w:cantSplit/>
        </w:trPr>
        <w:tc>
          <w:tcPr>
            <w:tcW w:w="1961" w:type="pct"/>
            <w:tcBorders>
              <w:top w:val="single" w:sz="8" w:space="0" w:color="AEAEAE"/>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264A60"/>
                <w:sz w:val="18"/>
                <w:szCs w:val="18"/>
              </w:rPr>
            </w:pPr>
            <w:r w:rsidRPr="007D0393">
              <w:rPr>
                <w:rFonts w:ascii="Arial" w:hAnsi="Arial" w:cs="Arial"/>
                <w:color w:val="264A60"/>
                <w:sz w:val="18"/>
                <w:szCs w:val="18"/>
              </w:rPr>
              <w:t>Caseworker gender, female =1</w:t>
            </w:r>
          </w:p>
        </w:tc>
        <w:tc>
          <w:tcPr>
            <w:tcW w:w="588" w:type="pct"/>
            <w:tcBorders>
              <w:top w:val="single" w:sz="8" w:space="0" w:color="AEAEAE"/>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.131</w:t>
            </w:r>
          </w:p>
        </w:tc>
        <w:tc>
          <w:tcPr>
            <w:tcW w:w="590"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.072</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.053</w:t>
            </w:r>
          </w:p>
        </w:tc>
        <w:tc>
          <w:tcPr>
            <w:tcW w:w="589"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1.828</w:t>
            </w:r>
          </w:p>
        </w:tc>
        <w:tc>
          <w:tcPr>
            <w:tcW w:w="536" w:type="pct"/>
            <w:tcBorders>
              <w:top w:val="single" w:sz="8" w:space="0" w:color="AEAEAE"/>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.068</w:t>
            </w:r>
          </w:p>
        </w:tc>
      </w:tr>
      <w:tr w:rsidR="004F1ABF" w:rsidRPr="007D0393" w:rsidTr="00CE1AFB">
        <w:trPr>
          <w:cantSplit/>
        </w:trPr>
        <w:tc>
          <w:tcPr>
            <w:tcW w:w="1961" w:type="pct"/>
            <w:tcBorders>
              <w:top w:val="single" w:sz="8" w:space="0" w:color="AEAEAE"/>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264A60"/>
                <w:sz w:val="18"/>
                <w:szCs w:val="18"/>
              </w:rPr>
            </w:pPr>
            <w:r w:rsidRPr="007D0393">
              <w:rPr>
                <w:rFonts w:ascii="Arial" w:hAnsi="Arial" w:cs="Arial"/>
                <w:color w:val="264A60"/>
                <w:sz w:val="18"/>
                <w:szCs w:val="18"/>
              </w:rPr>
              <w:t xml:space="preserve">Caseworker race white=1 </w:t>
            </w:r>
          </w:p>
        </w:tc>
        <w:tc>
          <w:tcPr>
            <w:tcW w:w="588" w:type="pct"/>
            <w:tcBorders>
              <w:top w:val="single" w:sz="8" w:space="0" w:color="AEAEAE"/>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.106</w:t>
            </w:r>
          </w:p>
        </w:tc>
        <w:tc>
          <w:tcPr>
            <w:tcW w:w="590"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.065</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.048</w:t>
            </w:r>
          </w:p>
        </w:tc>
        <w:tc>
          <w:tcPr>
            <w:tcW w:w="589"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1.642</w:t>
            </w:r>
          </w:p>
        </w:tc>
        <w:tc>
          <w:tcPr>
            <w:tcW w:w="536" w:type="pct"/>
            <w:tcBorders>
              <w:top w:val="single" w:sz="8" w:space="0" w:color="AEAEAE"/>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.101</w:t>
            </w:r>
          </w:p>
        </w:tc>
      </w:tr>
      <w:tr w:rsidR="004F1ABF" w:rsidRPr="007D0393" w:rsidTr="00CE1AFB">
        <w:trPr>
          <w:cantSplit/>
        </w:trPr>
        <w:tc>
          <w:tcPr>
            <w:tcW w:w="1961" w:type="pct"/>
            <w:tcBorders>
              <w:top w:val="single" w:sz="8" w:space="0" w:color="AEAEAE"/>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FF0000"/>
                <w:sz w:val="18"/>
                <w:szCs w:val="18"/>
              </w:rPr>
            </w:pPr>
            <w:r w:rsidRPr="007D0393">
              <w:rPr>
                <w:rFonts w:ascii="Arial" w:hAnsi="Arial" w:cs="Arial"/>
                <w:color w:val="FF0000"/>
                <w:sz w:val="18"/>
                <w:szCs w:val="18"/>
              </w:rPr>
              <w:t>Caseworker graduate degree=1</w:t>
            </w:r>
          </w:p>
        </w:tc>
        <w:tc>
          <w:tcPr>
            <w:tcW w:w="588" w:type="pct"/>
            <w:tcBorders>
              <w:top w:val="single" w:sz="8" w:space="0" w:color="AEAEAE"/>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-.165</w:t>
            </w:r>
          </w:p>
        </w:tc>
        <w:tc>
          <w:tcPr>
            <w:tcW w:w="590"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.082</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-.058</w:t>
            </w:r>
          </w:p>
        </w:tc>
        <w:tc>
          <w:tcPr>
            <w:tcW w:w="589"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-2.010</w:t>
            </w:r>
          </w:p>
        </w:tc>
        <w:tc>
          <w:tcPr>
            <w:tcW w:w="536" w:type="pct"/>
            <w:tcBorders>
              <w:top w:val="single" w:sz="8" w:space="0" w:color="AEAEAE"/>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FF0000"/>
                <w:sz w:val="18"/>
                <w:szCs w:val="18"/>
              </w:rPr>
            </w:pPr>
            <w:r w:rsidRPr="007D0393">
              <w:rPr>
                <w:rFonts w:ascii="Arial" w:hAnsi="Arial" w:cs="Arial"/>
                <w:color w:val="FF0000"/>
                <w:sz w:val="18"/>
                <w:szCs w:val="18"/>
              </w:rPr>
              <w:t>.045</w:t>
            </w:r>
          </w:p>
        </w:tc>
      </w:tr>
      <w:tr w:rsidR="004F1ABF" w:rsidRPr="007D0393" w:rsidTr="00CE1AFB">
        <w:trPr>
          <w:cantSplit/>
        </w:trPr>
        <w:tc>
          <w:tcPr>
            <w:tcW w:w="1961" w:type="pct"/>
            <w:tcBorders>
              <w:top w:val="single" w:sz="8" w:space="0" w:color="AEAEAE"/>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264A60"/>
                <w:sz w:val="18"/>
                <w:szCs w:val="18"/>
              </w:rPr>
            </w:pPr>
            <w:r w:rsidRPr="007D0393">
              <w:rPr>
                <w:rFonts w:ascii="Arial" w:hAnsi="Arial" w:cs="Arial"/>
                <w:color w:val="264A60"/>
                <w:sz w:val="18"/>
                <w:szCs w:val="18"/>
              </w:rPr>
              <w:t xml:space="preserve">Caseworker </w:t>
            </w:r>
            <w:r>
              <w:rPr>
                <w:rFonts w:ascii="Arial" w:hAnsi="Arial" w:cs="Arial"/>
                <w:color w:val="264A60"/>
                <w:sz w:val="18"/>
                <w:szCs w:val="18"/>
              </w:rPr>
              <w:t>work experience (years)</w:t>
            </w:r>
          </w:p>
        </w:tc>
        <w:tc>
          <w:tcPr>
            <w:tcW w:w="588" w:type="pct"/>
            <w:tcBorders>
              <w:top w:val="single" w:sz="8" w:space="0" w:color="AEAEAE"/>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.003</w:t>
            </w:r>
          </w:p>
        </w:tc>
        <w:tc>
          <w:tcPr>
            <w:tcW w:w="590"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.007</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.013</w:t>
            </w:r>
          </w:p>
        </w:tc>
        <w:tc>
          <w:tcPr>
            <w:tcW w:w="589"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.400</w:t>
            </w:r>
          </w:p>
        </w:tc>
        <w:tc>
          <w:tcPr>
            <w:tcW w:w="536" w:type="pct"/>
            <w:tcBorders>
              <w:top w:val="single" w:sz="8" w:space="0" w:color="AEAEAE"/>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.689</w:t>
            </w:r>
          </w:p>
        </w:tc>
      </w:tr>
      <w:tr w:rsidR="004F1ABF" w:rsidRPr="007D0393" w:rsidTr="00CE1AFB">
        <w:trPr>
          <w:cantSplit/>
        </w:trPr>
        <w:tc>
          <w:tcPr>
            <w:tcW w:w="1961" w:type="pct"/>
            <w:tcBorders>
              <w:top w:val="single" w:sz="8" w:space="0" w:color="AEAEAE"/>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264A60"/>
                <w:sz w:val="18"/>
                <w:szCs w:val="18"/>
              </w:rPr>
            </w:pPr>
            <w:r w:rsidRPr="007D0393">
              <w:rPr>
                <w:rFonts w:ascii="Arial" w:hAnsi="Arial" w:cs="Arial"/>
                <w:color w:val="264A60"/>
                <w:sz w:val="18"/>
                <w:szCs w:val="18"/>
              </w:rPr>
              <w:t>Caseworker manageable workload</w:t>
            </w:r>
          </w:p>
        </w:tc>
        <w:tc>
          <w:tcPr>
            <w:tcW w:w="588" w:type="pct"/>
            <w:tcBorders>
              <w:top w:val="single" w:sz="8" w:space="0" w:color="AEAEAE"/>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-.009</w:t>
            </w:r>
          </w:p>
        </w:tc>
        <w:tc>
          <w:tcPr>
            <w:tcW w:w="590"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.028</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-.011</w:t>
            </w:r>
          </w:p>
        </w:tc>
        <w:tc>
          <w:tcPr>
            <w:tcW w:w="589"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-.337</w:t>
            </w:r>
          </w:p>
        </w:tc>
        <w:tc>
          <w:tcPr>
            <w:tcW w:w="536" w:type="pct"/>
            <w:tcBorders>
              <w:top w:val="single" w:sz="8" w:space="0" w:color="AEAEAE"/>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.736</w:t>
            </w:r>
          </w:p>
        </w:tc>
      </w:tr>
      <w:tr w:rsidR="004F1ABF" w:rsidRPr="007D0393" w:rsidTr="00CE1AFB">
        <w:trPr>
          <w:cantSplit/>
        </w:trPr>
        <w:tc>
          <w:tcPr>
            <w:tcW w:w="1961" w:type="pct"/>
            <w:tcBorders>
              <w:top w:val="single" w:sz="8" w:space="0" w:color="AEAEAE"/>
              <w:left w:val="nil"/>
              <w:bottom w:val="single" w:sz="8" w:space="0" w:color="AEAEAE"/>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264A60"/>
                <w:sz w:val="18"/>
                <w:szCs w:val="18"/>
              </w:rPr>
            </w:pPr>
            <w:r w:rsidRPr="007D0393">
              <w:rPr>
                <w:rFonts w:ascii="Arial" w:hAnsi="Arial" w:cs="Arial"/>
                <w:color w:val="264A60"/>
                <w:sz w:val="18"/>
                <w:szCs w:val="18"/>
              </w:rPr>
              <w:t>Assessment worker=1</w:t>
            </w:r>
          </w:p>
        </w:tc>
        <w:tc>
          <w:tcPr>
            <w:tcW w:w="588" w:type="pct"/>
            <w:tcBorders>
              <w:top w:val="single" w:sz="8" w:space="0" w:color="AEAEAE"/>
              <w:left w:val="nil"/>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-.005</w:t>
            </w:r>
          </w:p>
        </w:tc>
        <w:tc>
          <w:tcPr>
            <w:tcW w:w="590"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.057</w:t>
            </w:r>
          </w:p>
        </w:tc>
        <w:tc>
          <w:tcPr>
            <w:tcW w:w="736"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-.002</w:t>
            </w:r>
          </w:p>
        </w:tc>
        <w:tc>
          <w:tcPr>
            <w:tcW w:w="589" w:type="pct"/>
            <w:tcBorders>
              <w:top w:val="single" w:sz="8" w:space="0" w:color="AEAEAE"/>
              <w:left w:val="single" w:sz="8" w:space="0" w:color="E0E0E0"/>
              <w:bottom w:val="single" w:sz="8" w:space="0" w:color="AEAEAE"/>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-.083</w:t>
            </w:r>
          </w:p>
        </w:tc>
        <w:tc>
          <w:tcPr>
            <w:tcW w:w="536" w:type="pct"/>
            <w:tcBorders>
              <w:top w:val="single" w:sz="8" w:space="0" w:color="AEAEAE"/>
              <w:left w:val="single" w:sz="8" w:space="0" w:color="E0E0E0"/>
              <w:bottom w:val="single" w:sz="8" w:space="0" w:color="AEAEAE"/>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.934</w:t>
            </w:r>
          </w:p>
        </w:tc>
      </w:tr>
      <w:tr w:rsidR="004F1ABF" w:rsidRPr="007D0393" w:rsidTr="00AF570A">
        <w:trPr>
          <w:cantSplit/>
          <w:trHeight w:val="664"/>
        </w:trPr>
        <w:tc>
          <w:tcPr>
            <w:tcW w:w="1961" w:type="pct"/>
            <w:tcBorders>
              <w:top w:val="single" w:sz="8" w:space="0" w:color="AEAEAE"/>
              <w:left w:val="nil"/>
              <w:bottom w:val="single" w:sz="8" w:space="0" w:color="152935"/>
              <w:right w:val="nil"/>
            </w:tcBorders>
            <w:shd w:val="clear" w:color="auto" w:fill="E0E0E0"/>
          </w:tcPr>
          <w:p w:rsidR="004F1ABF" w:rsidRPr="007D0393" w:rsidRDefault="004F1ABF" w:rsidP="00400B35">
            <w:pPr>
              <w:autoSpaceDE w:val="0"/>
              <w:autoSpaceDN w:val="0"/>
              <w:adjustRightInd w:val="0"/>
              <w:ind w:left="60" w:right="60"/>
              <w:rPr>
                <w:rFonts w:ascii="Arial" w:hAnsi="Arial" w:cs="Arial"/>
                <w:color w:val="264A60"/>
                <w:sz w:val="18"/>
                <w:szCs w:val="18"/>
              </w:rPr>
            </w:pPr>
            <w:r w:rsidRPr="007D0393">
              <w:rPr>
                <w:rFonts w:ascii="Arial" w:hAnsi="Arial" w:cs="Arial"/>
                <w:color w:val="264A60"/>
                <w:sz w:val="18"/>
                <w:szCs w:val="18"/>
              </w:rPr>
              <w:t xml:space="preserve">Blended work managing at least two </w:t>
            </w:r>
            <w:r>
              <w:rPr>
                <w:rFonts w:ascii="Arial" w:hAnsi="Arial" w:cs="Arial"/>
                <w:color w:val="264A60"/>
                <w:sz w:val="18"/>
                <w:szCs w:val="18"/>
              </w:rPr>
              <w:t>case types=1</w:t>
            </w:r>
          </w:p>
        </w:tc>
        <w:tc>
          <w:tcPr>
            <w:tcW w:w="588" w:type="pct"/>
            <w:tcBorders>
              <w:top w:val="single" w:sz="8" w:space="0" w:color="AEAEAE"/>
              <w:left w:val="nil"/>
              <w:bottom w:val="single" w:sz="8" w:space="0" w:color="152935"/>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.031</w:t>
            </w:r>
          </w:p>
        </w:tc>
        <w:tc>
          <w:tcPr>
            <w:tcW w:w="590" w:type="pct"/>
            <w:tcBorders>
              <w:top w:val="single" w:sz="8" w:space="0" w:color="AEAEAE"/>
              <w:left w:val="single" w:sz="8" w:space="0" w:color="E0E0E0"/>
              <w:bottom w:val="single" w:sz="8" w:space="0" w:color="152935"/>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.054</w:t>
            </w:r>
          </w:p>
        </w:tc>
        <w:tc>
          <w:tcPr>
            <w:tcW w:w="736" w:type="pct"/>
            <w:tcBorders>
              <w:top w:val="single" w:sz="8" w:space="0" w:color="AEAEAE"/>
              <w:left w:val="single" w:sz="8" w:space="0" w:color="E0E0E0"/>
              <w:bottom w:val="single" w:sz="8" w:space="0" w:color="152935"/>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.017</w:t>
            </w:r>
          </w:p>
        </w:tc>
        <w:tc>
          <w:tcPr>
            <w:tcW w:w="589" w:type="pct"/>
            <w:tcBorders>
              <w:top w:val="single" w:sz="8" w:space="0" w:color="AEAEAE"/>
              <w:left w:val="single" w:sz="8" w:space="0" w:color="E0E0E0"/>
              <w:bottom w:val="single" w:sz="8" w:space="0" w:color="152935"/>
              <w:right w:val="single" w:sz="8" w:space="0" w:color="E0E0E0"/>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.574</w:t>
            </w:r>
          </w:p>
        </w:tc>
        <w:tc>
          <w:tcPr>
            <w:tcW w:w="536" w:type="pct"/>
            <w:tcBorders>
              <w:top w:val="single" w:sz="8" w:space="0" w:color="AEAEAE"/>
              <w:left w:val="single" w:sz="8" w:space="0" w:color="E0E0E0"/>
              <w:bottom w:val="single" w:sz="8" w:space="0" w:color="152935"/>
              <w:right w:val="nil"/>
            </w:tcBorders>
            <w:shd w:val="clear" w:color="auto" w:fill="FFFFFF"/>
          </w:tcPr>
          <w:p w:rsidR="004F1ABF" w:rsidRPr="007D0393" w:rsidRDefault="004F1ABF" w:rsidP="00400B35">
            <w:pPr>
              <w:autoSpaceDE w:val="0"/>
              <w:autoSpaceDN w:val="0"/>
              <w:adjustRightInd w:val="0"/>
              <w:ind w:left="60" w:right="60"/>
              <w:jc w:val="right"/>
              <w:rPr>
                <w:rFonts w:ascii="Arial" w:hAnsi="Arial" w:cs="Arial"/>
                <w:color w:val="010205"/>
                <w:sz w:val="18"/>
                <w:szCs w:val="18"/>
              </w:rPr>
            </w:pPr>
            <w:r w:rsidRPr="007D0393">
              <w:rPr>
                <w:rFonts w:ascii="Arial" w:hAnsi="Arial" w:cs="Arial"/>
                <w:color w:val="010205"/>
                <w:sz w:val="18"/>
                <w:szCs w:val="18"/>
              </w:rPr>
              <w:t>.566</w:t>
            </w:r>
          </w:p>
        </w:tc>
      </w:tr>
      <w:tr w:rsidR="004F1ABF" w:rsidRPr="007D0393" w:rsidTr="00CE1AFB">
        <w:trPr>
          <w:cantSplit/>
        </w:trPr>
        <w:tc>
          <w:tcPr>
            <w:tcW w:w="5000" w:type="pct"/>
            <w:gridSpan w:val="6"/>
            <w:tcBorders>
              <w:top w:val="nil"/>
              <w:left w:val="nil"/>
              <w:bottom w:val="nil"/>
              <w:right w:val="nil"/>
            </w:tcBorders>
            <w:shd w:val="clear" w:color="auto" w:fill="FFFFFF"/>
          </w:tcPr>
          <w:p w:rsidR="004F1ABF" w:rsidRPr="007D0393" w:rsidRDefault="004F1ABF" w:rsidP="00CE1AFB">
            <w:pPr>
              <w:autoSpaceDE w:val="0"/>
              <w:autoSpaceDN w:val="0"/>
              <w:adjustRightInd w:val="0"/>
              <w:spacing w:line="360" w:lineRule="auto"/>
              <w:ind w:left="60" w:right="60"/>
              <w:rPr>
                <w:rFonts w:ascii="Arial" w:hAnsi="Arial" w:cs="Arial"/>
                <w:color w:val="010205"/>
                <w:sz w:val="18"/>
                <w:szCs w:val="18"/>
              </w:rPr>
            </w:pPr>
            <w:r w:rsidRPr="007D0393">
              <w:rPr>
                <w:rFonts w:ascii="Arial" w:hAnsi="Arial" w:cs="Arial"/>
                <w:color w:val="010205"/>
                <w:sz w:val="18"/>
                <w:szCs w:val="18"/>
              </w:rPr>
              <w:t>a. Dependent Variable: Intend to stay in child welfare</w:t>
            </w:r>
          </w:p>
        </w:tc>
      </w:tr>
    </w:tbl>
    <w:p w:rsidR="00AF570A" w:rsidRDefault="00AF570A" w:rsidP="004F1ABF">
      <w:pPr>
        <w:pStyle w:val="NoSpacing"/>
        <w:rPr>
          <w:b/>
          <w:bCs/>
          <w:color w:val="1F4E79"/>
        </w:rPr>
      </w:pPr>
    </w:p>
    <w:p w:rsidR="004B5488" w:rsidRDefault="004B5488" w:rsidP="004F1ABF">
      <w:pPr>
        <w:pStyle w:val="NoSpacing"/>
        <w:rPr>
          <w:b/>
          <w:bCs/>
          <w:color w:val="1F4E79"/>
        </w:rPr>
      </w:pPr>
    </w:p>
    <w:p w:rsidR="004F1ABF" w:rsidRPr="00AF570A" w:rsidRDefault="004F1ABF" w:rsidP="004F1ABF">
      <w:pPr>
        <w:pStyle w:val="NoSpacing"/>
        <w:rPr>
          <w:b/>
          <w:bCs/>
          <w:color w:val="1F4E79"/>
        </w:rPr>
      </w:pPr>
      <w:r w:rsidRPr="00AF570A">
        <w:rPr>
          <w:b/>
          <w:bCs/>
          <w:color w:val="1F4E79"/>
        </w:rPr>
        <w:t>Results: Main Effects</w:t>
      </w:r>
    </w:p>
    <w:p w:rsidR="004F1ABF" w:rsidRDefault="004F1ABF" w:rsidP="0032600F">
      <w:pPr>
        <w:pStyle w:val="NoSpacing"/>
        <w:numPr>
          <w:ilvl w:val="0"/>
          <w:numId w:val="29"/>
        </w:numPr>
      </w:pPr>
      <w:r>
        <w:t xml:space="preserve">Emotional supervision significantly increased the intent to stay; clinical and professional supervision were excluded because of the multicollinearity issue. In addition, they were not significant factors when they were entered individually. Thus, it can be suggested that emotional supervision is more important than other aspects of supervision. </w:t>
      </w:r>
    </w:p>
    <w:p w:rsidR="004F1ABF" w:rsidRDefault="004F1ABF" w:rsidP="0032600F">
      <w:pPr>
        <w:pStyle w:val="NoSpacing"/>
        <w:numPr>
          <w:ilvl w:val="0"/>
          <w:numId w:val="29"/>
        </w:numPr>
      </w:pPr>
      <w:r>
        <w:t>Among organizational justice, distributive justice significantly increased the intent to stay. Distributive justice was a stronger factor than other significant factors.</w:t>
      </w:r>
    </w:p>
    <w:p w:rsidR="004F1ABF" w:rsidRDefault="004F1ABF" w:rsidP="0032600F">
      <w:pPr>
        <w:pStyle w:val="NoSpacing"/>
        <w:numPr>
          <w:ilvl w:val="0"/>
          <w:numId w:val="29"/>
        </w:numPr>
      </w:pPr>
      <w:r>
        <w:t xml:space="preserve">Secondary traumatic stress significantly decreased the intent to stay. </w:t>
      </w:r>
    </w:p>
    <w:p w:rsidR="004F1ABF" w:rsidRDefault="004F1ABF" w:rsidP="0032600F">
      <w:pPr>
        <w:pStyle w:val="NoSpacing"/>
        <w:numPr>
          <w:ilvl w:val="0"/>
          <w:numId w:val="29"/>
        </w:numPr>
      </w:pPr>
      <w:r>
        <w:t>Professional self-care significantly increased the intent to stay, but personal self-care was not significant.</w:t>
      </w:r>
    </w:p>
    <w:p w:rsidR="004F1ABF" w:rsidRDefault="004F1ABF" w:rsidP="0032600F">
      <w:pPr>
        <w:pStyle w:val="NoSpacing"/>
        <w:numPr>
          <w:ilvl w:val="0"/>
          <w:numId w:val="29"/>
        </w:numPr>
      </w:pPr>
      <w:r>
        <w:t xml:space="preserve">Older workers were more likely to intend to stay at child welfare agencies, where workers with graduate-level degrees were less likely to intend to stay. </w:t>
      </w:r>
    </w:p>
    <w:p w:rsidR="004F1ABF" w:rsidRDefault="004F1ABF" w:rsidP="004F1ABF">
      <w:pPr>
        <w:pStyle w:val="NoSpacing"/>
      </w:pPr>
    </w:p>
    <w:p w:rsidR="004F1ABF" w:rsidRDefault="004F1ABF" w:rsidP="004F1ABF">
      <w:pPr>
        <w:pStyle w:val="NoSpacing"/>
      </w:pPr>
    </w:p>
    <w:p w:rsidR="004F1ABF" w:rsidRDefault="00AF570A" w:rsidP="004F1ABF">
      <w:pPr>
        <w:pStyle w:val="NoSpacing"/>
      </w:pPr>
      <w:r w:rsidRPr="00AF570A">
        <w:rPr>
          <w:b/>
          <w:bCs/>
          <w:color w:val="1F4E79"/>
        </w:rPr>
        <w:t xml:space="preserve">Results: </w:t>
      </w:r>
      <w:r w:rsidR="004F1ABF" w:rsidRPr="00AF570A">
        <w:rPr>
          <w:b/>
          <w:bCs/>
          <w:color w:val="1F4E79"/>
        </w:rPr>
        <w:t xml:space="preserve">Interaction Effect of Worker Characteristics (age, gender, race, worker role, work experience, and educational level): </w:t>
      </w:r>
      <w:r w:rsidR="004F1ABF">
        <w:t>Only significant interaction effects are reported as follows:</w:t>
      </w:r>
    </w:p>
    <w:p w:rsidR="004F1ABF" w:rsidRDefault="004F1ABF" w:rsidP="004F1ABF">
      <w:pPr>
        <w:pStyle w:val="NoSpacing"/>
        <w:rPr>
          <w:b/>
          <w:bCs/>
        </w:rPr>
      </w:pPr>
    </w:p>
    <w:p w:rsidR="004F1ABF" w:rsidRPr="009B3360" w:rsidRDefault="004F1ABF" w:rsidP="0032600F">
      <w:pPr>
        <w:pStyle w:val="NoSpacing"/>
        <w:numPr>
          <w:ilvl w:val="0"/>
          <w:numId w:val="30"/>
        </w:numPr>
        <w:rPr>
          <w:b/>
          <w:bCs/>
        </w:rPr>
      </w:pPr>
      <w:r>
        <w:t>The negative impact of secondary traumatic stress on the intent to stay was greater for ongoing and youth service workers</w:t>
      </w:r>
      <w:r w:rsidR="008F3629">
        <w:t xml:space="preserve"> (collaborative care workers)</w:t>
      </w:r>
      <w:r>
        <w:t xml:space="preserve"> than assessment workers (Figure </w:t>
      </w:r>
      <w:r w:rsidR="0061775C">
        <w:t>32</w:t>
      </w:r>
      <w:r>
        <w:t>).</w:t>
      </w:r>
    </w:p>
    <w:p w:rsidR="004F1ABF" w:rsidRPr="009B3360" w:rsidRDefault="004F1ABF" w:rsidP="004F1ABF">
      <w:pPr>
        <w:pStyle w:val="NoSpacing"/>
        <w:ind w:left="720"/>
        <w:rPr>
          <w:b/>
          <w:bCs/>
        </w:rPr>
      </w:pPr>
    </w:p>
    <w:p w:rsidR="004F1ABF" w:rsidRPr="00F24E06" w:rsidRDefault="0061775C" w:rsidP="004F1ABF">
      <w:pPr>
        <w:pStyle w:val="Heading4"/>
      </w:pPr>
      <w:r>
        <w:t>Figure 32</w:t>
      </w:r>
      <w:r w:rsidR="004F1ABF">
        <w:t>. Secondary traumatic stress and intent to stay</w:t>
      </w:r>
    </w:p>
    <w:p w:rsidR="004F1ABF" w:rsidRDefault="004F1ABF" w:rsidP="004F1ABF">
      <w:pPr>
        <w:autoSpaceDE w:val="0"/>
        <w:autoSpaceDN w:val="0"/>
        <w:adjustRightInd w:val="0"/>
      </w:pPr>
      <w:r>
        <w:rPr>
          <w:noProof/>
        </w:rPr>
        <w:drawing>
          <wp:inline distT="0" distB="0" distL="0" distR="0" wp14:anchorId="290B0326" wp14:editId="26849037">
            <wp:extent cx="4591050" cy="3672840"/>
            <wp:effectExtent l="0" t="0" r="0" b="381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21159" cy="3776927"/>
                    </a:xfrm>
                    <a:prstGeom prst="rect">
                      <a:avLst/>
                    </a:prstGeom>
                    <a:noFill/>
                    <a:ln>
                      <a:noFill/>
                    </a:ln>
                  </pic:spPr>
                </pic:pic>
              </a:graphicData>
            </a:graphic>
          </wp:inline>
        </w:drawing>
      </w:r>
    </w:p>
    <w:p w:rsidR="004F1ABF" w:rsidRDefault="004F1ABF" w:rsidP="004F1ABF">
      <w:pPr>
        <w:spacing w:after="200" w:line="276" w:lineRule="auto"/>
      </w:pPr>
    </w:p>
    <w:p w:rsidR="004F1ABF" w:rsidRPr="00CE1AFB" w:rsidRDefault="004F1ABF" w:rsidP="0032600F">
      <w:pPr>
        <w:pStyle w:val="ListParagraph"/>
        <w:numPr>
          <w:ilvl w:val="0"/>
          <w:numId w:val="30"/>
        </w:numPr>
        <w:rPr>
          <w:rFonts w:asciiTheme="minorHAnsi" w:hAnsiTheme="minorHAnsi"/>
          <w:sz w:val="22"/>
          <w:szCs w:val="22"/>
        </w:rPr>
      </w:pPr>
      <w:r w:rsidRPr="00CE1AFB">
        <w:rPr>
          <w:rFonts w:asciiTheme="minorHAnsi" w:hAnsiTheme="minorHAnsi"/>
          <w:sz w:val="22"/>
          <w:szCs w:val="22"/>
        </w:rPr>
        <w:t xml:space="preserve">The positive impact of emotional supervision on the intent to stay was greater for older workers (Figure </w:t>
      </w:r>
      <w:r w:rsidR="0061775C">
        <w:rPr>
          <w:rFonts w:asciiTheme="minorHAnsi" w:hAnsiTheme="minorHAnsi"/>
          <w:sz w:val="22"/>
          <w:szCs w:val="22"/>
        </w:rPr>
        <w:t>33)</w:t>
      </w:r>
      <w:r w:rsidRPr="00CE1AFB">
        <w:rPr>
          <w:rFonts w:asciiTheme="minorHAnsi" w:hAnsiTheme="minorHAnsi"/>
          <w:sz w:val="22"/>
          <w:szCs w:val="22"/>
        </w:rPr>
        <w:t>.</w:t>
      </w:r>
    </w:p>
    <w:p w:rsidR="004F1ABF" w:rsidRPr="00F24E06" w:rsidRDefault="004F1ABF" w:rsidP="004F1ABF">
      <w:pPr>
        <w:pStyle w:val="Heading4"/>
      </w:pPr>
      <w:r>
        <w:t xml:space="preserve">Figure </w:t>
      </w:r>
      <w:r w:rsidR="0061775C">
        <w:t>33</w:t>
      </w:r>
      <w:r>
        <w:t>. Emotional supervision and intent to stay BY age</w:t>
      </w:r>
    </w:p>
    <w:p w:rsidR="004F1ABF" w:rsidRDefault="004F1ABF" w:rsidP="004F1ABF">
      <w:pPr>
        <w:autoSpaceDE w:val="0"/>
        <w:autoSpaceDN w:val="0"/>
        <w:adjustRightInd w:val="0"/>
        <w:ind w:left="360"/>
      </w:pPr>
      <w:r>
        <w:rPr>
          <w:noProof/>
        </w:rPr>
        <w:drawing>
          <wp:inline distT="0" distB="0" distL="0" distR="0" wp14:anchorId="469D456D" wp14:editId="1A7D5053">
            <wp:extent cx="4259580" cy="3407662"/>
            <wp:effectExtent l="0" t="0" r="7620" b="254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25422" cy="3460336"/>
                    </a:xfrm>
                    <a:prstGeom prst="rect">
                      <a:avLst/>
                    </a:prstGeom>
                    <a:noFill/>
                    <a:ln>
                      <a:noFill/>
                    </a:ln>
                  </pic:spPr>
                </pic:pic>
              </a:graphicData>
            </a:graphic>
          </wp:inline>
        </w:drawing>
      </w:r>
    </w:p>
    <w:p w:rsidR="004F1ABF" w:rsidRDefault="004F1ABF" w:rsidP="0032600F">
      <w:pPr>
        <w:pStyle w:val="NoSpacing"/>
        <w:numPr>
          <w:ilvl w:val="0"/>
          <w:numId w:val="30"/>
        </w:numPr>
      </w:pPr>
      <w:r>
        <w:t xml:space="preserve">The negative impact of secondary trauma on the intent to stay was greater for older workers at the marginal level (p &lt; .1).  See Figure </w:t>
      </w:r>
      <w:r w:rsidR="0061775C">
        <w:t>34</w:t>
      </w:r>
      <w:r>
        <w:t>.</w:t>
      </w:r>
    </w:p>
    <w:p w:rsidR="004F1ABF" w:rsidRPr="00F24E06" w:rsidRDefault="004F1ABF" w:rsidP="004F1ABF">
      <w:pPr>
        <w:pStyle w:val="Heading4"/>
      </w:pPr>
      <w:r>
        <w:t xml:space="preserve">Figure </w:t>
      </w:r>
      <w:r w:rsidR="0061775C">
        <w:t>34</w:t>
      </w:r>
      <w:r>
        <w:t>. Secondary traumatic stress and intent to stay BY age</w:t>
      </w:r>
    </w:p>
    <w:p w:rsidR="004F1ABF" w:rsidRDefault="004F1ABF" w:rsidP="004F1ABF">
      <w:pPr>
        <w:autoSpaceDE w:val="0"/>
        <w:autoSpaceDN w:val="0"/>
        <w:adjustRightInd w:val="0"/>
        <w:sectPr w:rsidR="004F1ABF">
          <w:pgSz w:w="12240" w:h="15840"/>
          <w:pgMar w:top="1440" w:right="1440" w:bottom="1440" w:left="1440" w:header="720" w:footer="720" w:gutter="0"/>
          <w:cols w:space="720"/>
          <w:docGrid w:linePitch="360"/>
        </w:sectPr>
      </w:pPr>
      <w:r>
        <w:rPr>
          <w:noProof/>
        </w:rPr>
        <w:drawing>
          <wp:inline distT="0" distB="0" distL="0" distR="0" wp14:anchorId="547F3EF1" wp14:editId="309E85A2">
            <wp:extent cx="4073327" cy="314325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73327" cy="3143250"/>
                    </a:xfrm>
                    <a:prstGeom prst="rect">
                      <a:avLst/>
                    </a:prstGeom>
                    <a:noFill/>
                    <a:ln>
                      <a:noFill/>
                    </a:ln>
                  </pic:spPr>
                </pic:pic>
              </a:graphicData>
            </a:graphic>
          </wp:inline>
        </w:drawing>
      </w:r>
    </w:p>
    <w:p w:rsidR="004F1ABF" w:rsidRDefault="004F1ABF" w:rsidP="004F1ABF">
      <w:r>
        <w:t xml:space="preserve">The ratings for FCMs secondary traumatic stress, justice, and their professional self-care are provided in </w:t>
      </w:r>
      <w:r w:rsidR="00AF33B8">
        <w:t>T</w:t>
      </w:r>
      <w:r>
        <w:t>ables 2</w:t>
      </w:r>
      <w:r w:rsidR="002A34BA">
        <w:t>8</w:t>
      </w:r>
      <w:r>
        <w:t xml:space="preserve"> – </w:t>
      </w:r>
      <w:r w:rsidR="002A34BA">
        <w:t>30</w:t>
      </w:r>
      <w:r>
        <w:t>.</w:t>
      </w:r>
      <w:r w:rsidRPr="008428D0">
        <w:t xml:space="preserve"> </w:t>
      </w:r>
      <w:r>
        <w:t xml:space="preserve">FCMs identified themselves as caring individuals who enjoy helping others in Table </w:t>
      </w:r>
      <w:r w:rsidR="00AF33B8">
        <w:t>2</w:t>
      </w:r>
      <w:r w:rsidR="002A34BA">
        <w:t>8</w:t>
      </w:r>
      <w:r>
        <w:t>, but around 20% of workers never or rarely took breaks</w:t>
      </w:r>
      <w:r w:rsidR="0061775C">
        <w:t xml:space="preserve"> or vacations as seen in Table </w:t>
      </w:r>
      <w:r w:rsidR="00AF33B8">
        <w:t>2</w:t>
      </w:r>
      <w:r w:rsidR="002A34BA">
        <w:t>9</w:t>
      </w:r>
      <w:r>
        <w:t>.</w:t>
      </w:r>
    </w:p>
    <w:p w:rsidR="004F1ABF" w:rsidRDefault="004F1ABF" w:rsidP="004F1ABF">
      <w:pPr>
        <w:pStyle w:val="Heading4"/>
      </w:pPr>
      <w:r>
        <w:t xml:space="preserve">Table </w:t>
      </w:r>
      <w:r w:rsidR="0061775C">
        <w:t>2</w:t>
      </w:r>
      <w:r w:rsidR="002A34BA">
        <w:t>8</w:t>
      </w:r>
      <w:r>
        <w:t>. Secondary Traumatic Stress (Frequency of the feeling past 30 days)</w:t>
      </w:r>
    </w:p>
    <w:tbl>
      <w:tblPr>
        <w:tblStyle w:val="PlainTable1"/>
        <w:tblW w:w="9715" w:type="dxa"/>
        <w:tblLook w:val="04A0" w:firstRow="1" w:lastRow="0" w:firstColumn="1" w:lastColumn="0" w:noHBand="0" w:noVBand="1"/>
      </w:tblPr>
      <w:tblGrid>
        <w:gridCol w:w="6475"/>
        <w:gridCol w:w="1620"/>
        <w:gridCol w:w="1620"/>
      </w:tblGrid>
      <w:tr w:rsidR="004F1ABF" w:rsidTr="00CE1A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5B9BD5" w:themeFill="accent1"/>
          </w:tcPr>
          <w:p w:rsidR="004F1ABF" w:rsidRPr="006A2449" w:rsidRDefault="004F1ABF" w:rsidP="00CE1AFB">
            <w:pPr>
              <w:rPr>
                <w:color w:val="FFFFFF" w:themeColor="background1"/>
              </w:rPr>
            </w:pPr>
            <w:r w:rsidRPr="006A2449">
              <w:rPr>
                <w:color w:val="FFFFFF" w:themeColor="background1"/>
              </w:rPr>
              <w:t>1=Never to 5=Very often</w:t>
            </w:r>
          </w:p>
        </w:tc>
        <w:tc>
          <w:tcPr>
            <w:tcW w:w="1620" w:type="dxa"/>
            <w:shd w:val="clear" w:color="auto" w:fill="5B9BD5" w:themeFill="accent1"/>
          </w:tcPr>
          <w:p w:rsidR="004F1ABF" w:rsidRPr="006A2449" w:rsidRDefault="004F1ABF" w:rsidP="00CE1AFB">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rPr>
            </w:pPr>
            <w:r w:rsidRPr="006A2449">
              <w:rPr>
                <w:rFonts w:ascii="Calibri" w:hAnsi="Calibri"/>
                <w:color w:val="FFFFFF" w:themeColor="background1"/>
              </w:rPr>
              <w:t>Mean</w:t>
            </w:r>
          </w:p>
        </w:tc>
        <w:tc>
          <w:tcPr>
            <w:tcW w:w="1620" w:type="dxa"/>
            <w:shd w:val="clear" w:color="auto" w:fill="5B9BD5" w:themeFill="accent1"/>
          </w:tcPr>
          <w:p w:rsidR="004F1ABF" w:rsidRPr="006A2449" w:rsidRDefault="004F1ABF" w:rsidP="00CE1AFB">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rPr>
            </w:pPr>
            <w:r w:rsidRPr="006A2449">
              <w:rPr>
                <w:rFonts w:ascii="Calibri" w:hAnsi="Calibri"/>
                <w:color w:val="FFFFFF" w:themeColor="background1"/>
              </w:rPr>
              <w:t>SD</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am a very caring person.</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4.23</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0.70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get satisfaction from being able to (help) other people.</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4.12</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0.70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am proud of what I can do to (help).</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3.97</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0.80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feel connected to others.</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3.89</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0.80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rPr>
              <w:t>I am preoccupied with more than one person that I (help).</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bCs/>
              </w:rPr>
              <w:t>3.87</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bCs/>
              </w:rPr>
              <w:t>0.90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rPr>
              <w:t>I like my work as a (helper).</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3.87</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0.80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am happy that I chose to do this work.</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3.87</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0.90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believe I can make a difference through my work.</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3.84</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0.80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am happy.</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3.67</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0.80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have beliefs that sustain me.</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3.65</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1.20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have happy thoughts and feelings about those I (help) and how I could help them.</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3.65</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0.80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My work makes me feel satisfied.</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3.58</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0.80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am pleased with how I am able to keep up with (helping) techniques and protocols.</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3.57</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0.90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have thoughts that I am a “success” as a (helper).</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3.55</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0.90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am the person I always wanted to be.</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3.49</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0.90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feel invigorated after working with those I (help).</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3.39</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0.90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feel worn out because of my work as a (helper).</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3.34</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1.10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feel overwhelmed because my case (work) load never seems endless.</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3.27</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1.10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feel “bogged down” by the system.</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2.85</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1.20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jump or am startled by unexpected sounds.</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2.72</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1.10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find it difficult to separate my personal life from my life as a (helper).</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2.62</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1.10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Because of my (helping), I have felt “on edge” about various things.</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2.53</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1.10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think that I might have been affected by the traumatic stress of those I (help).</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2.51</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1.10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feel trapped by my job as a (helper).</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2.26</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1.10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am not as productive at work because I am losing sleep over traumatic experiences of a person that I (help).</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2.21</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1.00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feel depressed because of the traumatic experiences of the people I (help).</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2.17</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1.00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feel as though I am experiencing the trauma of someone I have (helped).</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2.09</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1.10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avoid certain activities or situations because they remind me of frightening experiences of the people I (help).</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2.07</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1.10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I can’t recall important parts of my work with trauma victims.</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2.00</w:t>
            </w:r>
          </w:p>
        </w:tc>
        <w:tc>
          <w:tcPr>
            <w:tcW w:w="1620" w:type="dxa"/>
          </w:tcPr>
          <w:p w:rsidR="004F1ABF" w:rsidRPr="0026378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rPr>
            </w:pPr>
            <w:r w:rsidRPr="00263784">
              <w:rPr>
                <w:rFonts w:cs="Arial"/>
                <w:color w:val="000000"/>
              </w:rPr>
              <w:t>1.00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263784" w:rsidRDefault="004F1ABF" w:rsidP="00CE1AFB">
            <w:pPr>
              <w:rPr>
                <w:rFonts w:cs="Arial"/>
                <w:b w:val="0"/>
              </w:rPr>
            </w:pPr>
            <w:r w:rsidRPr="00263784">
              <w:rPr>
                <w:rFonts w:cs="Arial"/>
                <w:b w:val="0"/>
                <w:bCs w:val="0"/>
                <w:color w:val="000000"/>
              </w:rPr>
              <w:t>As a result of my (helping), I have intrusive frightening thoughts.</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1.93</w:t>
            </w:r>
          </w:p>
        </w:tc>
        <w:tc>
          <w:tcPr>
            <w:tcW w:w="1620" w:type="dxa"/>
          </w:tcPr>
          <w:p w:rsidR="004F1ABF" w:rsidRPr="0026378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rPr>
            </w:pPr>
            <w:r w:rsidRPr="00263784">
              <w:rPr>
                <w:rFonts w:cs="Arial"/>
                <w:color w:val="000000"/>
              </w:rPr>
              <w:t>1.00</w:t>
            </w:r>
          </w:p>
        </w:tc>
      </w:tr>
    </w:tbl>
    <w:p w:rsidR="004F1ABF" w:rsidRDefault="004F1ABF" w:rsidP="004F1ABF">
      <w:pPr>
        <w:pStyle w:val="Heading4"/>
      </w:pPr>
      <w:r>
        <w:t xml:space="preserve">Table </w:t>
      </w:r>
      <w:r w:rsidR="0061775C">
        <w:t>2</w:t>
      </w:r>
      <w:r w:rsidR="002A34BA">
        <w:t>9</w:t>
      </w:r>
      <w:r>
        <w:t>. Professional self-care (Frequency of the activity in the past 30 days)</w:t>
      </w:r>
    </w:p>
    <w:tbl>
      <w:tblPr>
        <w:tblStyle w:val="PlainTable1"/>
        <w:tblW w:w="9715" w:type="dxa"/>
        <w:tblLook w:val="04A0" w:firstRow="1" w:lastRow="0" w:firstColumn="1" w:lastColumn="0" w:noHBand="0" w:noVBand="1"/>
      </w:tblPr>
      <w:tblGrid>
        <w:gridCol w:w="6475"/>
        <w:gridCol w:w="1620"/>
        <w:gridCol w:w="1620"/>
      </w:tblGrid>
      <w:tr w:rsidR="004F1ABF" w:rsidTr="00CE1A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5B9BD5" w:themeFill="accent1"/>
          </w:tcPr>
          <w:p w:rsidR="004F1ABF" w:rsidRPr="006A2449" w:rsidRDefault="004F1ABF" w:rsidP="00CE1AFB">
            <w:pPr>
              <w:rPr>
                <w:color w:val="FFFFFF" w:themeColor="background1"/>
              </w:rPr>
            </w:pPr>
            <w:r w:rsidRPr="006A2449">
              <w:rPr>
                <w:color w:val="FFFFFF" w:themeColor="background1"/>
              </w:rPr>
              <w:t>1=Never to 5=Very often</w:t>
            </w:r>
          </w:p>
        </w:tc>
        <w:tc>
          <w:tcPr>
            <w:tcW w:w="1620" w:type="dxa"/>
            <w:shd w:val="clear" w:color="auto" w:fill="5B9BD5" w:themeFill="accent1"/>
          </w:tcPr>
          <w:p w:rsidR="004F1ABF" w:rsidRPr="006A2449" w:rsidRDefault="004F1ABF" w:rsidP="00CE1AFB">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rPr>
            </w:pPr>
            <w:r w:rsidRPr="006A2449">
              <w:rPr>
                <w:rFonts w:ascii="Calibri" w:hAnsi="Calibri"/>
                <w:color w:val="FFFFFF" w:themeColor="background1"/>
              </w:rPr>
              <w:t>Mean</w:t>
            </w:r>
          </w:p>
        </w:tc>
        <w:tc>
          <w:tcPr>
            <w:tcW w:w="1620" w:type="dxa"/>
            <w:shd w:val="clear" w:color="auto" w:fill="5B9BD5" w:themeFill="accent1"/>
          </w:tcPr>
          <w:p w:rsidR="004F1ABF" w:rsidRPr="006A2449" w:rsidRDefault="004F1ABF" w:rsidP="00CE1AFB">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rPr>
            </w:pPr>
            <w:r w:rsidRPr="006A2449">
              <w:rPr>
                <w:rFonts w:ascii="Calibri" w:hAnsi="Calibri"/>
                <w:color w:val="FFFFFF" w:themeColor="background1"/>
              </w:rPr>
              <w:t>SD</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8428D0" w:rsidRDefault="004F1ABF" w:rsidP="00CE1AFB">
            <w:pPr>
              <w:rPr>
                <w:rFonts w:ascii="Arial" w:hAnsi="Arial" w:cs="Arial"/>
                <w:b w:val="0"/>
                <w:sz w:val="20"/>
                <w:szCs w:val="20"/>
              </w:rPr>
            </w:pPr>
            <w:r w:rsidRPr="008428D0">
              <w:rPr>
                <w:b w:val="0"/>
              </w:rPr>
              <w:t>I problem solve when I have challenges at work.</w:t>
            </w:r>
          </w:p>
        </w:tc>
        <w:tc>
          <w:tcPr>
            <w:tcW w:w="1620" w:type="dxa"/>
          </w:tcPr>
          <w:p w:rsidR="004F1ABF" w:rsidRPr="004369CE" w:rsidRDefault="004F1ABF" w:rsidP="00CE1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B4AC6">
              <w:t>2.93</w:t>
            </w:r>
          </w:p>
        </w:tc>
        <w:tc>
          <w:tcPr>
            <w:tcW w:w="1620" w:type="dxa"/>
          </w:tcPr>
          <w:p w:rsidR="004F1ABF" w:rsidRPr="004369CE" w:rsidRDefault="004F1ABF" w:rsidP="00CE1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t>0.71</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8428D0" w:rsidRDefault="004F1ABF" w:rsidP="00CE1AFB">
            <w:pPr>
              <w:rPr>
                <w:rFonts w:ascii="Arial" w:hAnsi="Arial" w:cs="Arial"/>
                <w:b w:val="0"/>
                <w:sz w:val="20"/>
                <w:szCs w:val="20"/>
              </w:rPr>
            </w:pPr>
            <w:r w:rsidRPr="008428D0">
              <w:rPr>
                <w:b w:val="0"/>
              </w:rPr>
              <w:t>I seek out colleagues I find supportive.</w:t>
            </w:r>
          </w:p>
        </w:tc>
        <w:tc>
          <w:tcPr>
            <w:tcW w:w="1620" w:type="dxa"/>
          </w:tcPr>
          <w:p w:rsidR="004F1ABF" w:rsidRPr="004369CE" w:rsidRDefault="004F1ABF" w:rsidP="00CE1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B4AC6">
              <w:t>2.85</w:t>
            </w:r>
          </w:p>
        </w:tc>
        <w:tc>
          <w:tcPr>
            <w:tcW w:w="1620" w:type="dxa"/>
          </w:tcPr>
          <w:p w:rsidR="004F1ABF" w:rsidRPr="004369CE" w:rsidRDefault="004F1ABF" w:rsidP="00CE1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t>0.84</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8428D0" w:rsidRDefault="004F1ABF" w:rsidP="00CE1AFB">
            <w:pPr>
              <w:rPr>
                <w:rFonts w:ascii="Arial" w:hAnsi="Arial" w:cs="Arial"/>
                <w:b w:val="0"/>
                <w:sz w:val="20"/>
                <w:szCs w:val="20"/>
              </w:rPr>
            </w:pPr>
            <w:r w:rsidRPr="008428D0">
              <w:rPr>
                <w:b w:val="0"/>
              </w:rPr>
              <w:t>I reserve work tasks for designated work hours (e.g., paperwork, emails, work related colleague contact).</w:t>
            </w:r>
          </w:p>
        </w:tc>
        <w:tc>
          <w:tcPr>
            <w:tcW w:w="1620" w:type="dxa"/>
          </w:tcPr>
          <w:p w:rsidR="004F1ABF" w:rsidRPr="004369CE" w:rsidRDefault="004F1ABF" w:rsidP="00CE1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B4AC6">
              <w:t>2.55</w:t>
            </w:r>
          </w:p>
        </w:tc>
        <w:tc>
          <w:tcPr>
            <w:tcW w:w="1620" w:type="dxa"/>
          </w:tcPr>
          <w:p w:rsidR="004F1ABF" w:rsidRPr="004369CE" w:rsidRDefault="004F1ABF" w:rsidP="00CE1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t>0.95</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8428D0" w:rsidRDefault="004F1ABF" w:rsidP="00CE1AFB">
            <w:pPr>
              <w:rPr>
                <w:rFonts w:ascii="Arial" w:hAnsi="Arial" w:cs="Arial"/>
                <w:b w:val="0"/>
                <w:sz w:val="20"/>
                <w:szCs w:val="20"/>
              </w:rPr>
            </w:pPr>
            <w:r w:rsidRPr="008428D0">
              <w:rPr>
                <w:b w:val="0"/>
              </w:rPr>
              <w:t>I am able to say “no” when appropriate.</w:t>
            </w:r>
          </w:p>
        </w:tc>
        <w:tc>
          <w:tcPr>
            <w:tcW w:w="1620" w:type="dxa"/>
          </w:tcPr>
          <w:p w:rsidR="004F1ABF" w:rsidRPr="004369CE" w:rsidRDefault="004F1ABF" w:rsidP="00CE1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B4AC6">
              <w:t>2.47</w:t>
            </w:r>
          </w:p>
        </w:tc>
        <w:tc>
          <w:tcPr>
            <w:tcW w:w="1620" w:type="dxa"/>
          </w:tcPr>
          <w:p w:rsidR="004F1ABF" w:rsidRPr="004369CE" w:rsidRDefault="004F1ABF" w:rsidP="00CE1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t>0.97</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8428D0" w:rsidRDefault="004F1ABF" w:rsidP="00CE1AFB">
            <w:pPr>
              <w:rPr>
                <w:rFonts w:ascii="Arial" w:hAnsi="Arial" w:cs="Arial"/>
                <w:b w:val="0"/>
                <w:sz w:val="20"/>
                <w:szCs w:val="20"/>
              </w:rPr>
            </w:pPr>
            <w:r w:rsidRPr="008428D0">
              <w:rPr>
                <w:b w:val="0"/>
              </w:rPr>
              <w:t>I acknowledge my successes at work.</w:t>
            </w:r>
          </w:p>
        </w:tc>
        <w:tc>
          <w:tcPr>
            <w:tcW w:w="1620" w:type="dxa"/>
          </w:tcPr>
          <w:p w:rsidR="004F1ABF" w:rsidRPr="006A2449" w:rsidRDefault="004F1ABF" w:rsidP="00CE1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B4AC6">
              <w:t>2.40</w:t>
            </w:r>
          </w:p>
        </w:tc>
        <w:tc>
          <w:tcPr>
            <w:tcW w:w="1620" w:type="dxa"/>
          </w:tcPr>
          <w:p w:rsidR="004F1ABF" w:rsidRPr="006A2449" w:rsidRDefault="004F1ABF" w:rsidP="00CE1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t>0.92</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8428D0" w:rsidRDefault="004F1ABF" w:rsidP="00CE1AFB">
            <w:pPr>
              <w:rPr>
                <w:rFonts w:ascii="Arial" w:hAnsi="Arial" w:cs="Arial"/>
                <w:b w:val="0"/>
                <w:sz w:val="20"/>
                <w:szCs w:val="20"/>
              </w:rPr>
            </w:pPr>
            <w:r w:rsidRPr="008428D0">
              <w:rPr>
                <w:b w:val="0"/>
              </w:rPr>
              <w:t>I seek out professional development opportunities that appeal to me.</w:t>
            </w:r>
          </w:p>
        </w:tc>
        <w:tc>
          <w:tcPr>
            <w:tcW w:w="1620" w:type="dxa"/>
          </w:tcPr>
          <w:p w:rsidR="004F1ABF" w:rsidRPr="004369CE" w:rsidRDefault="004F1ABF" w:rsidP="00CE1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B4AC6">
              <w:t>2.34</w:t>
            </w:r>
          </w:p>
        </w:tc>
        <w:tc>
          <w:tcPr>
            <w:tcW w:w="1620" w:type="dxa"/>
          </w:tcPr>
          <w:p w:rsidR="004F1ABF" w:rsidRPr="004369CE" w:rsidRDefault="004F1ABF" w:rsidP="00CE1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t>0.96</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8428D0" w:rsidRDefault="004F1ABF" w:rsidP="00CE1AFB">
            <w:pPr>
              <w:rPr>
                <w:rFonts w:ascii="Arial" w:hAnsi="Arial" w:cs="Arial"/>
                <w:b w:val="0"/>
                <w:sz w:val="20"/>
                <w:szCs w:val="20"/>
              </w:rPr>
            </w:pPr>
            <w:r w:rsidRPr="008428D0">
              <w:rPr>
                <w:b w:val="0"/>
              </w:rPr>
              <w:t>I attend to feelings of being overwhelmed with my work.</w:t>
            </w:r>
          </w:p>
        </w:tc>
        <w:tc>
          <w:tcPr>
            <w:tcW w:w="1620" w:type="dxa"/>
          </w:tcPr>
          <w:p w:rsidR="004F1ABF" w:rsidRPr="004369CE" w:rsidRDefault="004F1ABF" w:rsidP="00CE1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B4AC6">
              <w:t>2.31</w:t>
            </w:r>
          </w:p>
        </w:tc>
        <w:tc>
          <w:tcPr>
            <w:tcW w:w="1620" w:type="dxa"/>
          </w:tcPr>
          <w:p w:rsidR="004F1ABF" w:rsidRPr="004369CE" w:rsidRDefault="004F1ABF" w:rsidP="00CE1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t>0.88</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tcPr>
          <w:p w:rsidR="004F1ABF" w:rsidRPr="008428D0" w:rsidRDefault="004F1ABF" w:rsidP="00CE1AFB">
            <w:pPr>
              <w:rPr>
                <w:rFonts w:ascii="Arial" w:hAnsi="Arial" w:cs="Arial"/>
                <w:b w:val="0"/>
                <w:sz w:val="20"/>
                <w:szCs w:val="20"/>
              </w:rPr>
            </w:pPr>
            <w:r w:rsidRPr="008428D0">
              <w:rPr>
                <w:b w:val="0"/>
              </w:rPr>
              <w:t>I take small breaks throughout the workday.</w:t>
            </w:r>
          </w:p>
        </w:tc>
        <w:tc>
          <w:tcPr>
            <w:tcW w:w="1620" w:type="dxa"/>
          </w:tcPr>
          <w:p w:rsidR="004F1ABF" w:rsidRPr="004369CE" w:rsidRDefault="004F1ABF" w:rsidP="00CE1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B4AC6">
              <w:t>2.25</w:t>
            </w:r>
          </w:p>
        </w:tc>
        <w:tc>
          <w:tcPr>
            <w:tcW w:w="1620" w:type="dxa"/>
          </w:tcPr>
          <w:p w:rsidR="004F1ABF" w:rsidRPr="004369CE" w:rsidRDefault="004F1ABF" w:rsidP="00CE1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t>0.99</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tcPr>
          <w:p w:rsidR="004F1ABF" w:rsidRPr="008428D0" w:rsidRDefault="004F1ABF" w:rsidP="00CE1AFB">
            <w:pPr>
              <w:rPr>
                <w:rFonts w:ascii="Arial" w:hAnsi="Arial" w:cs="Arial"/>
                <w:b w:val="0"/>
                <w:sz w:val="20"/>
                <w:szCs w:val="20"/>
              </w:rPr>
            </w:pPr>
            <w:r w:rsidRPr="008428D0">
              <w:rPr>
                <w:b w:val="0"/>
              </w:rPr>
              <w:t>I take vacations.</w:t>
            </w:r>
          </w:p>
        </w:tc>
        <w:tc>
          <w:tcPr>
            <w:tcW w:w="1620" w:type="dxa"/>
          </w:tcPr>
          <w:p w:rsidR="004F1ABF" w:rsidRPr="004369CE" w:rsidRDefault="004F1ABF" w:rsidP="00CE1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B4AC6">
              <w:t>2.14</w:t>
            </w:r>
          </w:p>
        </w:tc>
        <w:tc>
          <w:tcPr>
            <w:tcW w:w="1620" w:type="dxa"/>
          </w:tcPr>
          <w:p w:rsidR="004F1ABF" w:rsidRPr="004369CE" w:rsidRDefault="004F1ABF" w:rsidP="00CE1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t>1.00</w:t>
            </w:r>
          </w:p>
        </w:tc>
      </w:tr>
    </w:tbl>
    <w:p w:rsidR="00CE1AFB" w:rsidRDefault="00CE1AFB" w:rsidP="004F1ABF"/>
    <w:p w:rsidR="004F1ABF" w:rsidRDefault="004F1ABF" w:rsidP="004F1ABF">
      <w:r>
        <w:t xml:space="preserve">Table </w:t>
      </w:r>
      <w:r w:rsidR="0061775C">
        <w:t>2</w:t>
      </w:r>
      <w:r w:rsidR="00AF33B8">
        <w:t>8</w:t>
      </w:r>
      <w:r>
        <w:t xml:space="preserve"> presents the organizational justice items.  Distributive justice items had the highest association with the intent to stay across all ages and gender.</w:t>
      </w:r>
    </w:p>
    <w:p w:rsidR="00C47A5F" w:rsidRDefault="00C47A5F" w:rsidP="004F1ABF"/>
    <w:p w:rsidR="004F1ABF" w:rsidRDefault="004F1ABF" w:rsidP="004F1ABF">
      <w:pPr>
        <w:pStyle w:val="Heading4"/>
      </w:pPr>
      <w:r>
        <w:t xml:space="preserve">Table </w:t>
      </w:r>
      <w:r w:rsidR="002A34BA">
        <w:t>30</w:t>
      </w:r>
      <w:r>
        <w:t>. Organizational Justice</w:t>
      </w:r>
    </w:p>
    <w:tbl>
      <w:tblPr>
        <w:tblStyle w:val="PlainTable1"/>
        <w:tblW w:w="9715" w:type="dxa"/>
        <w:tblLook w:val="04A0" w:firstRow="1" w:lastRow="0" w:firstColumn="1" w:lastColumn="0" w:noHBand="0" w:noVBand="1"/>
      </w:tblPr>
      <w:tblGrid>
        <w:gridCol w:w="6475"/>
        <w:gridCol w:w="1620"/>
        <w:gridCol w:w="1620"/>
      </w:tblGrid>
      <w:tr w:rsidR="004F1ABF" w:rsidTr="00CE1A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5B9BD5" w:themeFill="accent1"/>
          </w:tcPr>
          <w:p w:rsidR="004F1ABF" w:rsidRPr="006A2449" w:rsidRDefault="004F1ABF" w:rsidP="00CE1AFB">
            <w:pPr>
              <w:rPr>
                <w:color w:val="FFFFFF" w:themeColor="background1"/>
              </w:rPr>
            </w:pPr>
            <w:r w:rsidRPr="006A2449">
              <w:rPr>
                <w:color w:val="FFFFFF" w:themeColor="background1"/>
              </w:rPr>
              <w:t>1=</w:t>
            </w:r>
            <w:r>
              <w:rPr>
                <w:color w:val="FFFFFF" w:themeColor="background1"/>
              </w:rPr>
              <w:t>Strongly disagree</w:t>
            </w:r>
            <w:r w:rsidRPr="006A2449">
              <w:rPr>
                <w:color w:val="FFFFFF" w:themeColor="background1"/>
              </w:rPr>
              <w:t xml:space="preserve"> to 5=</w:t>
            </w:r>
            <w:r>
              <w:rPr>
                <w:color w:val="FFFFFF" w:themeColor="background1"/>
              </w:rPr>
              <w:t>Strongly agree</w:t>
            </w:r>
          </w:p>
        </w:tc>
        <w:tc>
          <w:tcPr>
            <w:tcW w:w="1620" w:type="dxa"/>
            <w:shd w:val="clear" w:color="auto" w:fill="5B9BD5" w:themeFill="accent1"/>
          </w:tcPr>
          <w:p w:rsidR="004F1ABF" w:rsidRPr="006A2449" w:rsidRDefault="004F1ABF" w:rsidP="00CE1AFB">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rPr>
            </w:pPr>
            <w:r w:rsidRPr="006A2449">
              <w:rPr>
                <w:rFonts w:ascii="Calibri" w:hAnsi="Calibri"/>
                <w:color w:val="FFFFFF" w:themeColor="background1"/>
              </w:rPr>
              <w:t>Mean</w:t>
            </w:r>
          </w:p>
        </w:tc>
        <w:tc>
          <w:tcPr>
            <w:tcW w:w="1620" w:type="dxa"/>
            <w:shd w:val="clear" w:color="auto" w:fill="5B9BD5" w:themeFill="accent1"/>
          </w:tcPr>
          <w:p w:rsidR="004F1ABF" w:rsidRPr="006A2449" w:rsidRDefault="004F1ABF" w:rsidP="00CE1AFB">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rPr>
            </w:pPr>
            <w:r w:rsidRPr="006A2449">
              <w:rPr>
                <w:rFonts w:ascii="Calibri" w:hAnsi="Calibri"/>
                <w:color w:val="FFFFFF" w:themeColor="background1"/>
              </w:rPr>
              <w:t>SD</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i/>
                <w:color w:val="000000" w:themeColor="text1"/>
              </w:rPr>
            </w:pPr>
            <w:r w:rsidRPr="00350DA4">
              <w:rPr>
                <w:rFonts w:cs="Arial"/>
                <w:bCs w:val="0"/>
                <w:i/>
                <w:color w:val="000000" w:themeColor="text1"/>
              </w:rPr>
              <w:t>Distributive Justice</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350DA4">
              <w:rPr>
                <w:rFonts w:cs="Arial"/>
                <w:color w:val="000000" w:themeColor="text1"/>
              </w:rPr>
              <w:t> </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350DA4">
              <w:rPr>
                <w:rFonts w:cs="Arial"/>
                <w:color w:val="000000" w:themeColor="text1"/>
              </w:rPr>
              <w:t> </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b w:val="0"/>
                <w:color w:val="000000" w:themeColor="text1"/>
              </w:rPr>
            </w:pPr>
            <w:r w:rsidRPr="00350DA4">
              <w:rPr>
                <w:rFonts w:cs="Arial"/>
                <w:b w:val="0"/>
                <w:color w:val="000000" w:themeColor="text1"/>
              </w:rPr>
              <w:t xml:space="preserve">I think that my level of pay is fair.  </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50DA4">
              <w:rPr>
                <w:rFonts w:cs="Arial"/>
                <w:color w:val="000000" w:themeColor="text1"/>
              </w:rPr>
              <w:t>2.84</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426EAC">
              <w:t>1.03</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b w:val="0"/>
                <w:color w:val="000000" w:themeColor="text1"/>
              </w:rPr>
            </w:pPr>
            <w:r w:rsidRPr="00350DA4">
              <w:rPr>
                <w:rFonts w:cs="Arial"/>
                <w:b w:val="0"/>
                <w:color w:val="000000" w:themeColor="text1"/>
              </w:rPr>
              <w:t xml:space="preserve">I consider my workload to be quite fair.  </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350DA4">
              <w:rPr>
                <w:rFonts w:cs="Arial"/>
                <w:color w:val="000000" w:themeColor="text1"/>
              </w:rPr>
              <w:t>3.13</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426EAC">
              <w:t>1.02</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b w:val="0"/>
                <w:color w:val="000000" w:themeColor="text1"/>
              </w:rPr>
            </w:pPr>
            <w:r w:rsidRPr="00350DA4">
              <w:rPr>
                <w:rFonts w:cs="Arial"/>
                <w:b w:val="0"/>
                <w:color w:val="000000" w:themeColor="text1"/>
              </w:rPr>
              <w:t xml:space="preserve">Overall, the rewards I receive here are quite fair.  </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50DA4">
              <w:rPr>
                <w:rFonts w:cs="Arial"/>
                <w:color w:val="000000" w:themeColor="text1"/>
              </w:rPr>
              <w:t>3.04</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426EAC">
              <w:t>1.00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b w:val="0"/>
                <w:color w:val="000000" w:themeColor="text1"/>
              </w:rPr>
            </w:pPr>
            <w:r w:rsidRPr="00350DA4">
              <w:rPr>
                <w:rFonts w:cs="Arial"/>
                <w:b w:val="0"/>
                <w:color w:val="000000" w:themeColor="text1"/>
              </w:rPr>
              <w:t xml:space="preserve">I feel that my job responsibilities are fair as compared to my coworkers. </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350DA4">
              <w:rPr>
                <w:rFonts w:cs="Arial"/>
                <w:color w:val="000000" w:themeColor="text1"/>
              </w:rPr>
              <w:t>3.58</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426EAC">
              <w:t>0.92</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i/>
                <w:color w:val="000000" w:themeColor="text1"/>
              </w:rPr>
            </w:pPr>
            <w:r w:rsidRPr="00350DA4">
              <w:rPr>
                <w:rFonts w:cs="Arial"/>
                <w:bCs w:val="0"/>
                <w:i/>
                <w:color w:val="000000" w:themeColor="text1"/>
              </w:rPr>
              <w:t>Procedural Justice</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50DA4">
              <w:rPr>
                <w:rFonts w:cs="Arial"/>
                <w:color w:val="000000" w:themeColor="text1"/>
              </w:rPr>
              <w:t> </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b w:val="0"/>
                <w:color w:val="000000" w:themeColor="text1"/>
              </w:rPr>
            </w:pPr>
            <w:r w:rsidRPr="00350DA4">
              <w:rPr>
                <w:rFonts w:cs="Arial"/>
                <w:b w:val="0"/>
                <w:color w:val="000000" w:themeColor="text1"/>
              </w:rPr>
              <w:t>My agency’s decisions are made in an unbiased manner.  (DecMkng)</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350DA4">
              <w:rPr>
                <w:rFonts w:cs="Arial"/>
                <w:color w:val="000000" w:themeColor="text1"/>
              </w:rPr>
              <w:t>3.21</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426EAC">
              <w:t>1.01</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b w:val="0"/>
                <w:color w:val="000000" w:themeColor="text1"/>
              </w:rPr>
            </w:pPr>
            <w:r w:rsidRPr="00350DA4">
              <w:rPr>
                <w:rFonts w:cs="Arial"/>
                <w:b w:val="0"/>
                <w:color w:val="000000" w:themeColor="text1"/>
              </w:rPr>
              <w:t>My agency makes sure that all employee concerns are heard before decisions are made. (EmployHeard)</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50DA4">
              <w:rPr>
                <w:rFonts w:cs="Arial"/>
                <w:color w:val="000000" w:themeColor="text1"/>
              </w:rPr>
              <w:t>2.96</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426EAC">
              <w:t>1.06</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b w:val="0"/>
                <w:color w:val="000000" w:themeColor="text1"/>
              </w:rPr>
            </w:pPr>
            <w:r w:rsidRPr="00350DA4">
              <w:rPr>
                <w:rFonts w:cs="Arial"/>
                <w:b w:val="0"/>
                <w:color w:val="000000" w:themeColor="text1"/>
              </w:rPr>
              <w:t>To make decisions, my agency collects accurate and complete information. (AccInfo)</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350DA4">
              <w:rPr>
                <w:rFonts w:cs="Arial"/>
                <w:color w:val="000000" w:themeColor="text1"/>
              </w:rPr>
              <w:t>3.17</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426EAC">
              <w:t>1.00</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b w:val="0"/>
                <w:color w:val="000000" w:themeColor="text1"/>
              </w:rPr>
            </w:pPr>
            <w:r w:rsidRPr="00350DA4">
              <w:rPr>
                <w:rFonts w:cs="Arial"/>
                <w:b w:val="0"/>
                <w:color w:val="000000" w:themeColor="text1"/>
              </w:rPr>
              <w:t>My agency allows employees to engage in decision-making procedures. (EmployEngage)</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50DA4">
              <w:rPr>
                <w:rFonts w:cs="Arial"/>
                <w:color w:val="000000" w:themeColor="text1"/>
              </w:rPr>
              <w:t>3.26</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426EAC">
              <w:t>1.02</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b w:val="0"/>
                <w:color w:val="000000" w:themeColor="text1"/>
              </w:rPr>
            </w:pPr>
            <w:r w:rsidRPr="00350DA4">
              <w:rPr>
                <w:rFonts w:cs="Arial"/>
                <w:b w:val="0"/>
                <w:color w:val="000000" w:themeColor="text1"/>
              </w:rPr>
              <w:t>All decisions are applied consistently across all affected employees. (Decision)</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350DA4">
              <w:rPr>
                <w:rFonts w:cs="Arial"/>
                <w:color w:val="000000" w:themeColor="text1"/>
              </w:rPr>
              <w:t>2.99</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426EAC">
              <w:t>1.08</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b w:val="0"/>
                <w:color w:val="000000" w:themeColor="text1"/>
              </w:rPr>
            </w:pPr>
            <w:r w:rsidRPr="00350DA4">
              <w:rPr>
                <w:rFonts w:cs="Arial"/>
                <w:b w:val="0"/>
                <w:color w:val="000000" w:themeColor="text1"/>
              </w:rPr>
              <w:t>Employees are allowed to challenge or appeal decisions made by my agency. (EmployChall)</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50DA4">
              <w:rPr>
                <w:rFonts w:cs="Arial"/>
                <w:color w:val="000000" w:themeColor="text1"/>
              </w:rPr>
              <w:t>2.96</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426EAC">
              <w:t>1.04</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b w:val="0"/>
                <w:color w:val="000000" w:themeColor="text1"/>
              </w:rPr>
            </w:pPr>
            <w:r w:rsidRPr="00350DA4">
              <w:rPr>
                <w:rFonts w:cs="Arial"/>
                <w:b w:val="0"/>
                <w:color w:val="000000" w:themeColor="text1"/>
              </w:rPr>
              <w:t>Decision-making procedures uphold ethical and moral standards. (Ethical)</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350DA4">
              <w:rPr>
                <w:rFonts w:cs="Arial"/>
                <w:color w:val="000000" w:themeColor="text1"/>
              </w:rPr>
              <w:t>3.47</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426EAC">
              <w:t>0.93</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i/>
                <w:color w:val="000000" w:themeColor="text1"/>
              </w:rPr>
            </w:pPr>
            <w:r w:rsidRPr="00350DA4">
              <w:rPr>
                <w:rFonts w:cs="Arial"/>
                <w:bCs w:val="0"/>
                <w:i/>
                <w:color w:val="000000" w:themeColor="text1"/>
              </w:rPr>
              <w:t>Interpersonal Justice</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50DA4">
              <w:rPr>
                <w:rFonts w:cs="Arial"/>
                <w:color w:val="000000" w:themeColor="text1"/>
              </w:rPr>
              <w:t> </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b w:val="0"/>
                <w:color w:val="000000" w:themeColor="text1"/>
              </w:rPr>
            </w:pPr>
            <w:r w:rsidRPr="00350DA4">
              <w:rPr>
                <w:rFonts w:cs="Arial"/>
                <w:b w:val="0"/>
                <w:color w:val="000000" w:themeColor="text1"/>
              </w:rPr>
              <w:t>My coworkers treat me in a polite manner. (CoworkPolite)</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350DA4">
              <w:rPr>
                <w:rFonts w:cs="Arial"/>
                <w:color w:val="000000" w:themeColor="text1"/>
              </w:rPr>
              <w:t>4.10</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426EAC">
              <w:t>0.81</w:t>
            </w:r>
          </w:p>
        </w:tc>
      </w:tr>
      <w:tr w:rsidR="004F1ABF" w:rsidTr="00CE1AFB">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b w:val="0"/>
                <w:color w:val="000000" w:themeColor="text1"/>
              </w:rPr>
            </w:pPr>
            <w:r w:rsidRPr="00350DA4">
              <w:rPr>
                <w:rFonts w:cs="Arial"/>
                <w:b w:val="0"/>
                <w:color w:val="000000" w:themeColor="text1"/>
              </w:rPr>
              <w:t>My coworkers treat me with dignity. (CoworkDig)</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350DA4">
              <w:rPr>
                <w:rFonts w:cs="Arial"/>
                <w:color w:val="000000" w:themeColor="text1"/>
              </w:rPr>
              <w:t>4.09</w:t>
            </w:r>
          </w:p>
        </w:tc>
        <w:tc>
          <w:tcPr>
            <w:tcW w:w="1620" w:type="dxa"/>
          </w:tcPr>
          <w:p w:rsidR="004F1ABF" w:rsidRPr="00350DA4" w:rsidRDefault="004F1ABF" w:rsidP="00CE1AFB">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426EAC">
              <w:t>0.80</w:t>
            </w:r>
          </w:p>
        </w:tc>
      </w:tr>
      <w:tr w:rsidR="004F1ABF" w:rsidTr="00CE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vAlign w:val="bottom"/>
          </w:tcPr>
          <w:p w:rsidR="004F1ABF" w:rsidRPr="00350DA4" w:rsidRDefault="004F1ABF" w:rsidP="00CE1AFB">
            <w:pPr>
              <w:rPr>
                <w:rFonts w:cs="Arial"/>
                <w:b w:val="0"/>
                <w:color w:val="000000" w:themeColor="text1"/>
              </w:rPr>
            </w:pPr>
            <w:r w:rsidRPr="00350DA4">
              <w:rPr>
                <w:rFonts w:cs="Arial"/>
                <w:b w:val="0"/>
                <w:color w:val="000000" w:themeColor="text1"/>
              </w:rPr>
              <w:t>My coworkers treat me with respect. (CoworkResp)</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350DA4">
              <w:rPr>
                <w:rFonts w:cs="Arial"/>
                <w:color w:val="000000" w:themeColor="text1"/>
              </w:rPr>
              <w:t>4.10</w:t>
            </w:r>
          </w:p>
        </w:tc>
        <w:tc>
          <w:tcPr>
            <w:tcW w:w="1620" w:type="dxa"/>
          </w:tcPr>
          <w:p w:rsidR="004F1ABF" w:rsidRPr="00350DA4" w:rsidRDefault="004F1ABF" w:rsidP="00CE1AFB">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426EAC">
              <w:t>0.80</w:t>
            </w:r>
          </w:p>
        </w:tc>
      </w:tr>
    </w:tbl>
    <w:p w:rsidR="00CE1AFB" w:rsidRDefault="00CE1AFB" w:rsidP="00CE1AFB">
      <w:pPr>
        <w:pStyle w:val="NoSpacing"/>
        <w:rPr>
          <w:b/>
          <w:bCs/>
        </w:rPr>
      </w:pPr>
    </w:p>
    <w:p w:rsidR="00F31500" w:rsidRDefault="00F31500">
      <w:pPr>
        <w:spacing w:after="160" w:line="259" w:lineRule="auto"/>
        <w:rPr>
          <w:rFonts w:asciiTheme="majorHAnsi" w:eastAsiaTheme="majorEastAsia" w:hAnsiTheme="majorHAnsi" w:cstheme="majorBidi"/>
          <w:color w:val="1F4D78" w:themeColor="accent1" w:themeShade="7F"/>
          <w:sz w:val="24"/>
          <w:szCs w:val="24"/>
        </w:rPr>
      </w:pPr>
      <w:r>
        <w:br w:type="page"/>
      </w:r>
    </w:p>
    <w:p w:rsidR="00CE1AFB" w:rsidRPr="00A21455" w:rsidRDefault="00CE1AFB" w:rsidP="00CE1AFB">
      <w:pPr>
        <w:pStyle w:val="Heading3"/>
      </w:pPr>
      <w:r>
        <w:t xml:space="preserve">FCM Survey: </w:t>
      </w:r>
      <w:r w:rsidRPr="00A21455">
        <w:t>Evaluation of the Fidelity of CFTM</w:t>
      </w:r>
    </w:p>
    <w:p w:rsidR="00CE1AFB" w:rsidRPr="00A21455" w:rsidRDefault="00CE1AFB" w:rsidP="00CE1AFB">
      <w:pPr>
        <w:pStyle w:val="NoSpacing"/>
      </w:pPr>
      <w:r w:rsidRPr="00A21455">
        <w:t>The fidelity of CFTM was evaluated by FCMs who coordinated CFTMs using a valid scale. The scale was developed by the Waiver team by selecting and modifying appropriate items from the fidelity index of the Wraparound model that provides the underlying principles of CFTM. The scale consists of nine items that reflect the core principles of CFTM (</w:t>
      </w:r>
      <w:r w:rsidRPr="0061775C">
        <w:t xml:space="preserve">See Table </w:t>
      </w:r>
      <w:r w:rsidR="002A34BA">
        <w:t>31</w:t>
      </w:r>
      <w:r w:rsidRPr="00A21455">
        <w:t xml:space="preserve">). Caseworkers were asked to select their recently closed case and rate the fidelity of CFTM that they facilitated for the selected case on a four-point scale (1=strongly disagree to 4 = strongly agree) in 2017 and on a five-point scale (1=strongly disagree to 5 = strongly agree) in 2018. Because of the different scale points, the original scale was transformed to a binary variable that indicated whether FCMs strongly agreed or agreed with each item (1= agree; 0 =disagree). The overall CFTM fidelity was calculated by summing up the nine binary items, ranging from 0 to 9 with higher scores indicating high-quality fidelity. </w:t>
      </w:r>
    </w:p>
    <w:p w:rsidR="00CE1AFB" w:rsidRPr="00A21455" w:rsidRDefault="00CE1AFB" w:rsidP="00CE1AFB">
      <w:pPr>
        <w:pStyle w:val="NoSpacing"/>
      </w:pPr>
    </w:p>
    <w:p w:rsidR="00CE1AFB" w:rsidRPr="00A21455" w:rsidRDefault="00CE1AFB" w:rsidP="00CD4739">
      <w:pPr>
        <w:pStyle w:val="Heading4"/>
      </w:pPr>
      <w:r w:rsidRPr="0061775C">
        <w:t xml:space="preserve">Table </w:t>
      </w:r>
      <w:r w:rsidR="002A34BA">
        <w:t>31</w:t>
      </w:r>
      <w:r w:rsidRPr="0061775C">
        <w:t>.</w:t>
      </w:r>
      <w:r w:rsidRPr="00A21455">
        <w:t xml:space="preserve"> CFTM Fidelity Scale</w:t>
      </w:r>
    </w:p>
    <w:tbl>
      <w:tblPr>
        <w:tblStyle w:val="MediumShading1-Accent111"/>
        <w:tblW w:w="5000" w:type="pct"/>
        <w:tblLook w:val="04A0" w:firstRow="1" w:lastRow="0" w:firstColumn="1" w:lastColumn="0" w:noHBand="0" w:noVBand="1"/>
      </w:tblPr>
      <w:tblGrid>
        <w:gridCol w:w="695"/>
        <w:gridCol w:w="2895"/>
        <w:gridCol w:w="5750"/>
      </w:tblGrid>
      <w:tr w:rsidR="00CE1AFB" w:rsidRPr="00A21455" w:rsidTr="00CD4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pct"/>
            <w:tcBorders>
              <w:top w:val="none" w:sz="0" w:space="0" w:color="auto"/>
              <w:left w:val="none" w:sz="0" w:space="0" w:color="auto"/>
              <w:bottom w:val="none" w:sz="0" w:space="0" w:color="auto"/>
              <w:right w:val="none" w:sz="0" w:space="0" w:color="auto"/>
            </w:tcBorders>
            <w:hideMark/>
          </w:tcPr>
          <w:p w:rsidR="00CE1AFB" w:rsidRPr="00A21455" w:rsidRDefault="00CE1AFB" w:rsidP="00CE1AFB">
            <w:pPr>
              <w:pStyle w:val="NoSpacing"/>
              <w:jc w:val="center"/>
            </w:pPr>
            <w:r w:rsidRPr="00A21455">
              <w:rPr>
                <w:b w:val="0"/>
                <w:bCs w:val="0"/>
              </w:rPr>
              <w:t>Item</w:t>
            </w:r>
          </w:p>
        </w:tc>
        <w:tc>
          <w:tcPr>
            <w:tcW w:w="1550" w:type="pct"/>
            <w:tcBorders>
              <w:top w:val="none" w:sz="0" w:space="0" w:color="auto"/>
              <w:left w:val="none" w:sz="0" w:space="0" w:color="auto"/>
              <w:bottom w:val="none" w:sz="0" w:space="0" w:color="auto"/>
              <w:right w:val="none" w:sz="0" w:space="0" w:color="auto"/>
            </w:tcBorders>
            <w:hideMark/>
          </w:tcPr>
          <w:p w:rsidR="00CE1AFB" w:rsidRPr="00A21455" w:rsidRDefault="00CE1AFB" w:rsidP="00CE1AFB">
            <w:pPr>
              <w:pStyle w:val="NoSpacing"/>
              <w:jc w:val="center"/>
              <w:cnfStyle w:val="100000000000" w:firstRow="1" w:lastRow="0" w:firstColumn="0" w:lastColumn="0" w:oddVBand="0" w:evenVBand="0" w:oddHBand="0" w:evenHBand="0" w:firstRowFirstColumn="0" w:firstRowLastColumn="0" w:lastRowFirstColumn="0" w:lastRowLastColumn="0"/>
            </w:pPr>
            <w:r w:rsidRPr="00A21455">
              <w:rPr>
                <w:b w:val="0"/>
                <w:bCs w:val="0"/>
              </w:rPr>
              <w:t>Principles</w:t>
            </w:r>
          </w:p>
        </w:tc>
        <w:tc>
          <w:tcPr>
            <w:tcW w:w="3078" w:type="pct"/>
            <w:tcBorders>
              <w:top w:val="none" w:sz="0" w:space="0" w:color="auto"/>
              <w:left w:val="none" w:sz="0" w:space="0" w:color="auto"/>
              <w:bottom w:val="none" w:sz="0" w:space="0" w:color="auto"/>
              <w:right w:val="none" w:sz="0" w:space="0" w:color="auto"/>
            </w:tcBorders>
            <w:hideMark/>
          </w:tcPr>
          <w:p w:rsidR="00CE1AFB" w:rsidRPr="00A21455" w:rsidRDefault="00CE1AFB" w:rsidP="00CE1AFB">
            <w:pPr>
              <w:pStyle w:val="NoSpacing"/>
              <w:jc w:val="center"/>
              <w:cnfStyle w:val="100000000000" w:firstRow="1" w:lastRow="0" w:firstColumn="0" w:lastColumn="0" w:oddVBand="0" w:evenVBand="0" w:oddHBand="0" w:evenHBand="0" w:firstRowFirstColumn="0" w:firstRowLastColumn="0" w:lastRowFirstColumn="0" w:lastRowLastColumn="0"/>
            </w:pPr>
            <w:r w:rsidRPr="00A21455">
              <w:rPr>
                <w:b w:val="0"/>
                <w:bCs w:val="0"/>
              </w:rPr>
              <w:t>Items</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72" w:type="pct"/>
            <w:tcBorders>
              <w:right w:val="none" w:sz="0" w:space="0" w:color="auto"/>
            </w:tcBorders>
            <w:hideMark/>
          </w:tcPr>
          <w:p w:rsidR="00CE1AFB" w:rsidRPr="00A21455" w:rsidRDefault="00CE1AFB" w:rsidP="00CE1AFB">
            <w:pPr>
              <w:pStyle w:val="NoSpacing"/>
              <w:jc w:val="center"/>
            </w:pPr>
            <w:r w:rsidRPr="00A21455">
              <w:t>1</w:t>
            </w:r>
          </w:p>
        </w:tc>
        <w:tc>
          <w:tcPr>
            <w:tcW w:w="1550" w:type="pct"/>
            <w:tcBorders>
              <w:left w:val="none" w:sz="0" w:space="0" w:color="auto"/>
              <w:right w:val="none" w:sz="0" w:space="0" w:color="auto"/>
            </w:tcBorders>
            <w:hideMark/>
          </w:tcPr>
          <w:p w:rsidR="00CE1AFB" w:rsidRPr="00A21455" w:rsidRDefault="00CE1AFB" w:rsidP="00CE1AFB">
            <w:pPr>
              <w:pStyle w:val="NoSpacing"/>
              <w:cnfStyle w:val="000000100000" w:firstRow="0" w:lastRow="0" w:firstColumn="0" w:lastColumn="0" w:oddVBand="0" w:evenVBand="0" w:oddHBand="1" w:evenHBand="0" w:firstRowFirstColumn="0" w:firstRowLastColumn="0" w:lastRowFirstColumn="0" w:lastRowLastColumn="0"/>
            </w:pPr>
            <w:r w:rsidRPr="00A21455">
              <w:t>Family Voice and Choice</w:t>
            </w:r>
          </w:p>
        </w:tc>
        <w:tc>
          <w:tcPr>
            <w:tcW w:w="3078" w:type="pct"/>
            <w:tcBorders>
              <w:left w:val="none" w:sz="0" w:space="0" w:color="auto"/>
            </w:tcBorders>
            <w:hideMark/>
          </w:tcPr>
          <w:p w:rsidR="00CE1AFB" w:rsidRPr="00A21455" w:rsidRDefault="00CE1AFB" w:rsidP="00CE1AFB">
            <w:pPr>
              <w:pStyle w:val="NoSpacing"/>
              <w:cnfStyle w:val="000000100000" w:firstRow="0" w:lastRow="0" w:firstColumn="0" w:lastColumn="0" w:oddVBand="0" w:evenVBand="0" w:oddHBand="1" w:evenHBand="0" w:firstRowFirstColumn="0" w:firstRowLastColumn="0" w:lastRowFirstColumn="0" w:lastRowLastColumn="0"/>
            </w:pPr>
            <w:r w:rsidRPr="00A21455">
              <w:t xml:space="preserve">Important decisions are never made about the child/family when they aren’t there. </w:t>
            </w:r>
          </w:p>
        </w:tc>
      </w:tr>
      <w:tr w:rsidR="00CE1AFB" w:rsidRPr="00A21455" w:rsidTr="00CD47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pct"/>
            <w:tcBorders>
              <w:right w:val="none" w:sz="0" w:space="0" w:color="auto"/>
            </w:tcBorders>
            <w:hideMark/>
          </w:tcPr>
          <w:p w:rsidR="00CE1AFB" w:rsidRPr="00A21455" w:rsidRDefault="00CE1AFB" w:rsidP="00CE1AFB">
            <w:pPr>
              <w:pStyle w:val="NoSpacing"/>
              <w:jc w:val="center"/>
            </w:pPr>
            <w:r w:rsidRPr="00A21455">
              <w:t>2</w:t>
            </w:r>
          </w:p>
        </w:tc>
        <w:tc>
          <w:tcPr>
            <w:tcW w:w="1550" w:type="pct"/>
            <w:tcBorders>
              <w:left w:val="none" w:sz="0" w:space="0" w:color="auto"/>
              <w:right w:val="none" w:sz="0" w:space="0" w:color="auto"/>
            </w:tcBorders>
            <w:hideMark/>
          </w:tcPr>
          <w:p w:rsidR="00CE1AFB" w:rsidRPr="00A21455" w:rsidRDefault="00CE1AFB" w:rsidP="00CE1AFB">
            <w:pPr>
              <w:pStyle w:val="NoSpacing"/>
              <w:cnfStyle w:val="000000010000" w:firstRow="0" w:lastRow="0" w:firstColumn="0" w:lastColumn="0" w:oddVBand="0" w:evenVBand="0" w:oddHBand="0" w:evenHBand="1" w:firstRowFirstColumn="0" w:firstRowLastColumn="0" w:lastRowFirstColumn="0" w:lastRowLastColumn="0"/>
            </w:pPr>
            <w:r w:rsidRPr="00A21455">
              <w:t>Teamwork</w:t>
            </w:r>
          </w:p>
        </w:tc>
        <w:tc>
          <w:tcPr>
            <w:tcW w:w="3078" w:type="pct"/>
            <w:tcBorders>
              <w:left w:val="none" w:sz="0" w:space="0" w:color="auto"/>
            </w:tcBorders>
            <w:hideMark/>
          </w:tcPr>
          <w:p w:rsidR="00CE1AFB" w:rsidRPr="00A21455" w:rsidRDefault="00CE1AFB" w:rsidP="00CE1AFB">
            <w:pPr>
              <w:pStyle w:val="NoSpacing"/>
              <w:cnfStyle w:val="000000010000" w:firstRow="0" w:lastRow="0" w:firstColumn="0" w:lastColumn="0" w:oddVBand="0" w:evenVBand="0" w:oddHBand="0" w:evenHBand="1" w:firstRowFirstColumn="0" w:firstRowLastColumn="0" w:lastRowFirstColumn="0" w:lastRowLastColumn="0"/>
            </w:pPr>
            <w:r w:rsidRPr="00A21455">
              <w:t>The team develops any kind of written statement about what it is working on with the child and family. AND I can describe what the team’s mission says.</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pct"/>
            <w:tcBorders>
              <w:right w:val="none" w:sz="0" w:space="0" w:color="auto"/>
            </w:tcBorders>
            <w:hideMark/>
          </w:tcPr>
          <w:p w:rsidR="00CE1AFB" w:rsidRPr="00A21455" w:rsidRDefault="00CE1AFB" w:rsidP="00CE1AFB">
            <w:pPr>
              <w:pStyle w:val="NoSpacing"/>
              <w:jc w:val="center"/>
            </w:pPr>
            <w:r w:rsidRPr="00A21455">
              <w:t>3</w:t>
            </w:r>
          </w:p>
        </w:tc>
        <w:tc>
          <w:tcPr>
            <w:tcW w:w="1550" w:type="pct"/>
            <w:tcBorders>
              <w:left w:val="none" w:sz="0" w:space="0" w:color="auto"/>
              <w:right w:val="none" w:sz="0" w:space="0" w:color="auto"/>
            </w:tcBorders>
            <w:hideMark/>
          </w:tcPr>
          <w:p w:rsidR="00CE1AFB" w:rsidRPr="00A21455" w:rsidRDefault="00CE1AFB" w:rsidP="00CE1AFB">
            <w:pPr>
              <w:pStyle w:val="NoSpacing"/>
              <w:cnfStyle w:val="000000100000" w:firstRow="0" w:lastRow="0" w:firstColumn="0" w:lastColumn="0" w:oddVBand="0" w:evenVBand="0" w:oddHBand="1" w:evenHBand="0" w:firstRowFirstColumn="0" w:firstRowLastColumn="0" w:lastRowFirstColumn="0" w:lastRowLastColumn="0"/>
            </w:pPr>
            <w:r w:rsidRPr="00A21455">
              <w:t>Natural Support</w:t>
            </w:r>
          </w:p>
        </w:tc>
        <w:tc>
          <w:tcPr>
            <w:tcW w:w="3078" w:type="pct"/>
            <w:tcBorders>
              <w:left w:val="none" w:sz="0" w:space="0" w:color="auto"/>
            </w:tcBorders>
            <w:hideMark/>
          </w:tcPr>
          <w:p w:rsidR="00CE1AFB" w:rsidRPr="00A21455" w:rsidRDefault="00CE1AFB" w:rsidP="00CE1AFB">
            <w:pPr>
              <w:pStyle w:val="NoSpacing"/>
              <w:cnfStyle w:val="000000100000" w:firstRow="0" w:lastRow="0" w:firstColumn="0" w:lastColumn="0" w:oddVBand="0" w:evenVBand="0" w:oddHBand="1" w:evenHBand="0" w:firstRowFirstColumn="0" w:firstRowLastColumn="0" w:lastRowFirstColumn="0" w:lastRowLastColumn="0"/>
            </w:pPr>
            <w:r w:rsidRPr="00A21455">
              <w:t>The team finds ways to increase the support the family gets from friends and family members.</w:t>
            </w:r>
          </w:p>
        </w:tc>
      </w:tr>
      <w:tr w:rsidR="00CE1AFB" w:rsidRPr="00A21455" w:rsidTr="00CD47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pct"/>
            <w:tcBorders>
              <w:right w:val="none" w:sz="0" w:space="0" w:color="auto"/>
            </w:tcBorders>
            <w:hideMark/>
          </w:tcPr>
          <w:p w:rsidR="00CE1AFB" w:rsidRPr="00A21455" w:rsidRDefault="00CE1AFB" w:rsidP="00CE1AFB">
            <w:pPr>
              <w:pStyle w:val="NoSpacing"/>
              <w:jc w:val="center"/>
            </w:pPr>
            <w:r w:rsidRPr="00A21455">
              <w:t>4</w:t>
            </w:r>
          </w:p>
        </w:tc>
        <w:tc>
          <w:tcPr>
            <w:tcW w:w="1550" w:type="pct"/>
            <w:tcBorders>
              <w:left w:val="none" w:sz="0" w:space="0" w:color="auto"/>
              <w:right w:val="none" w:sz="0" w:space="0" w:color="auto"/>
            </w:tcBorders>
            <w:hideMark/>
          </w:tcPr>
          <w:p w:rsidR="00CE1AFB" w:rsidRPr="00A21455" w:rsidRDefault="00CE1AFB" w:rsidP="00CE1AFB">
            <w:pPr>
              <w:pStyle w:val="NoSpacing"/>
              <w:cnfStyle w:val="000000010000" w:firstRow="0" w:lastRow="0" w:firstColumn="0" w:lastColumn="0" w:oddVBand="0" w:evenVBand="0" w:oddHBand="0" w:evenHBand="1" w:firstRowFirstColumn="0" w:firstRowLastColumn="0" w:lastRowFirstColumn="0" w:lastRowLastColumn="0"/>
            </w:pPr>
            <w:r w:rsidRPr="00A21455">
              <w:t>Collaboration</w:t>
            </w:r>
          </w:p>
        </w:tc>
        <w:tc>
          <w:tcPr>
            <w:tcW w:w="3078" w:type="pct"/>
            <w:tcBorders>
              <w:left w:val="none" w:sz="0" w:space="0" w:color="auto"/>
            </w:tcBorders>
            <w:hideMark/>
          </w:tcPr>
          <w:p w:rsidR="00CE1AFB" w:rsidRPr="00A21455" w:rsidRDefault="00CE1AFB" w:rsidP="00CE1AFB">
            <w:pPr>
              <w:pStyle w:val="NoSpacing"/>
              <w:cnfStyle w:val="000000010000" w:firstRow="0" w:lastRow="0" w:firstColumn="0" w:lastColumn="0" w:oddVBand="0" w:evenVBand="0" w:oddHBand="0" w:evenHBand="1" w:firstRowFirstColumn="0" w:firstRowLastColumn="0" w:lastRowFirstColumn="0" w:lastRowLastColumn="0"/>
            </w:pPr>
            <w:r w:rsidRPr="00A21455">
              <w:t>The members of the team hold each other responsible for doing their part of the case plan.</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pct"/>
            <w:tcBorders>
              <w:right w:val="none" w:sz="0" w:space="0" w:color="auto"/>
            </w:tcBorders>
            <w:hideMark/>
          </w:tcPr>
          <w:p w:rsidR="00CE1AFB" w:rsidRPr="00A21455" w:rsidRDefault="00CE1AFB" w:rsidP="00CE1AFB">
            <w:pPr>
              <w:pStyle w:val="NoSpacing"/>
              <w:jc w:val="center"/>
            </w:pPr>
            <w:r w:rsidRPr="00A21455">
              <w:t>5</w:t>
            </w:r>
          </w:p>
        </w:tc>
        <w:tc>
          <w:tcPr>
            <w:tcW w:w="1550" w:type="pct"/>
            <w:tcBorders>
              <w:left w:val="none" w:sz="0" w:space="0" w:color="auto"/>
              <w:right w:val="none" w:sz="0" w:space="0" w:color="auto"/>
            </w:tcBorders>
            <w:hideMark/>
          </w:tcPr>
          <w:p w:rsidR="00CE1AFB" w:rsidRPr="00A21455" w:rsidRDefault="00CE1AFB" w:rsidP="00CE1AFB">
            <w:pPr>
              <w:pStyle w:val="NoSpacing"/>
              <w:cnfStyle w:val="000000100000" w:firstRow="0" w:lastRow="0" w:firstColumn="0" w:lastColumn="0" w:oddVBand="0" w:evenVBand="0" w:oddHBand="1" w:evenHBand="0" w:firstRowFirstColumn="0" w:firstRowLastColumn="0" w:lastRowFirstColumn="0" w:lastRowLastColumn="0"/>
            </w:pPr>
            <w:r w:rsidRPr="00A21455">
              <w:t>Cultural Competency</w:t>
            </w:r>
          </w:p>
        </w:tc>
        <w:tc>
          <w:tcPr>
            <w:tcW w:w="3078" w:type="pct"/>
            <w:tcBorders>
              <w:left w:val="none" w:sz="0" w:space="0" w:color="auto"/>
            </w:tcBorders>
            <w:hideMark/>
          </w:tcPr>
          <w:p w:rsidR="00CE1AFB" w:rsidRPr="00A21455" w:rsidRDefault="00CE1AFB" w:rsidP="00CE1AFB">
            <w:pPr>
              <w:pStyle w:val="NoSpacing"/>
              <w:cnfStyle w:val="000000100000" w:firstRow="0" w:lastRow="0" w:firstColumn="0" w:lastColumn="0" w:oddVBand="0" w:evenVBand="0" w:oddHBand="1" w:evenHBand="0" w:firstRowFirstColumn="0" w:firstRowLastColumn="0" w:lastRowFirstColumn="0" w:lastRowLastColumn="0"/>
            </w:pPr>
            <w:r w:rsidRPr="00A21455">
              <w:t>All members of your team demonstrate respect for the family.</w:t>
            </w:r>
          </w:p>
        </w:tc>
      </w:tr>
      <w:tr w:rsidR="00CE1AFB" w:rsidRPr="00A21455" w:rsidTr="00CD47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pct"/>
            <w:tcBorders>
              <w:right w:val="none" w:sz="0" w:space="0" w:color="auto"/>
            </w:tcBorders>
            <w:hideMark/>
          </w:tcPr>
          <w:p w:rsidR="00CE1AFB" w:rsidRPr="00A21455" w:rsidRDefault="00CE1AFB" w:rsidP="00CE1AFB">
            <w:pPr>
              <w:pStyle w:val="NoSpacing"/>
              <w:jc w:val="center"/>
            </w:pPr>
            <w:r w:rsidRPr="00A21455">
              <w:t>6</w:t>
            </w:r>
          </w:p>
        </w:tc>
        <w:tc>
          <w:tcPr>
            <w:tcW w:w="1550" w:type="pct"/>
            <w:tcBorders>
              <w:left w:val="none" w:sz="0" w:space="0" w:color="auto"/>
              <w:right w:val="none" w:sz="0" w:space="0" w:color="auto"/>
            </w:tcBorders>
            <w:hideMark/>
          </w:tcPr>
          <w:p w:rsidR="00CE1AFB" w:rsidRPr="00A21455" w:rsidRDefault="00CE1AFB" w:rsidP="00CE1AFB">
            <w:pPr>
              <w:pStyle w:val="NoSpacing"/>
              <w:cnfStyle w:val="000000010000" w:firstRow="0" w:lastRow="0" w:firstColumn="0" w:lastColumn="0" w:oddVBand="0" w:evenVBand="0" w:oddHBand="0" w:evenHBand="1" w:firstRowFirstColumn="0" w:firstRowLastColumn="0" w:lastRowFirstColumn="0" w:lastRowLastColumn="0"/>
            </w:pPr>
            <w:r w:rsidRPr="00A21455">
              <w:t>Individualized Plan</w:t>
            </w:r>
          </w:p>
        </w:tc>
        <w:tc>
          <w:tcPr>
            <w:tcW w:w="3078" w:type="pct"/>
            <w:tcBorders>
              <w:left w:val="none" w:sz="0" w:space="0" w:color="auto"/>
            </w:tcBorders>
            <w:hideMark/>
          </w:tcPr>
          <w:p w:rsidR="00CE1AFB" w:rsidRPr="00A21455" w:rsidRDefault="00CE1AFB" w:rsidP="00CE1AFB">
            <w:pPr>
              <w:pStyle w:val="NoSpacing"/>
              <w:cnfStyle w:val="000000010000" w:firstRow="0" w:lastRow="0" w:firstColumn="0" w:lastColumn="0" w:oddVBand="0" w:evenVBand="0" w:oddHBand="0" w:evenHBand="1" w:firstRowFirstColumn="0" w:firstRowLastColumn="0" w:lastRowFirstColumn="0" w:lastRowLastColumn="0"/>
            </w:pPr>
            <w:r w:rsidRPr="00A21455">
              <w:t>There is a crisis or safety plan that specifies what everyone must do to respond. AND this plan also specifies how to prevent crises from occurring.</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pct"/>
            <w:tcBorders>
              <w:right w:val="none" w:sz="0" w:space="0" w:color="auto"/>
            </w:tcBorders>
            <w:hideMark/>
          </w:tcPr>
          <w:p w:rsidR="00CE1AFB" w:rsidRPr="00A21455" w:rsidRDefault="00CE1AFB" w:rsidP="00CE1AFB">
            <w:pPr>
              <w:pStyle w:val="NoSpacing"/>
              <w:jc w:val="center"/>
            </w:pPr>
            <w:r w:rsidRPr="00A21455">
              <w:t>7</w:t>
            </w:r>
          </w:p>
        </w:tc>
        <w:tc>
          <w:tcPr>
            <w:tcW w:w="1550" w:type="pct"/>
            <w:tcBorders>
              <w:left w:val="none" w:sz="0" w:space="0" w:color="auto"/>
              <w:right w:val="none" w:sz="0" w:space="0" w:color="auto"/>
            </w:tcBorders>
            <w:hideMark/>
          </w:tcPr>
          <w:p w:rsidR="00CE1AFB" w:rsidRPr="00A21455" w:rsidRDefault="00CE1AFB" w:rsidP="00CE1AFB">
            <w:pPr>
              <w:pStyle w:val="NoSpacing"/>
              <w:cnfStyle w:val="000000100000" w:firstRow="0" w:lastRow="0" w:firstColumn="0" w:lastColumn="0" w:oddVBand="0" w:evenVBand="0" w:oddHBand="1" w:evenHBand="0" w:firstRowFirstColumn="0" w:firstRowLastColumn="0" w:lastRowFirstColumn="0" w:lastRowLastColumn="0"/>
            </w:pPr>
            <w:r w:rsidRPr="00A21455">
              <w:t>Strengths-Based Approach</w:t>
            </w:r>
          </w:p>
        </w:tc>
        <w:tc>
          <w:tcPr>
            <w:tcW w:w="3078" w:type="pct"/>
            <w:tcBorders>
              <w:left w:val="none" w:sz="0" w:space="0" w:color="auto"/>
            </w:tcBorders>
            <w:hideMark/>
          </w:tcPr>
          <w:p w:rsidR="00CE1AFB" w:rsidRPr="00A21455" w:rsidRDefault="00CE1AFB" w:rsidP="00CE1AFB">
            <w:pPr>
              <w:pStyle w:val="NoSpacing"/>
              <w:cnfStyle w:val="000000100000" w:firstRow="0" w:lastRow="0" w:firstColumn="0" w:lastColumn="0" w:oddVBand="0" w:evenVBand="0" w:oddHBand="1" w:evenHBand="0" w:firstRowFirstColumn="0" w:firstRowLastColumn="0" w:lastRowFirstColumn="0" w:lastRowLastColumn="0"/>
            </w:pPr>
            <w:r w:rsidRPr="00A21455">
              <w:t>The supports and services in the case plan are connected to the strengths and abilities of the child and family.</w:t>
            </w:r>
          </w:p>
        </w:tc>
      </w:tr>
      <w:tr w:rsidR="00CE1AFB" w:rsidRPr="00A21455" w:rsidTr="00CD47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pct"/>
            <w:tcBorders>
              <w:right w:val="none" w:sz="0" w:space="0" w:color="auto"/>
            </w:tcBorders>
            <w:hideMark/>
          </w:tcPr>
          <w:p w:rsidR="00CE1AFB" w:rsidRPr="00A21455" w:rsidRDefault="00CE1AFB" w:rsidP="00CE1AFB">
            <w:pPr>
              <w:pStyle w:val="NoSpacing"/>
              <w:jc w:val="center"/>
            </w:pPr>
            <w:r w:rsidRPr="00A21455">
              <w:t>8</w:t>
            </w:r>
          </w:p>
        </w:tc>
        <w:tc>
          <w:tcPr>
            <w:tcW w:w="1550" w:type="pct"/>
            <w:tcBorders>
              <w:left w:val="none" w:sz="0" w:space="0" w:color="auto"/>
              <w:right w:val="none" w:sz="0" w:space="0" w:color="auto"/>
            </w:tcBorders>
            <w:hideMark/>
          </w:tcPr>
          <w:p w:rsidR="00CE1AFB" w:rsidRPr="00A21455" w:rsidRDefault="00CE1AFB" w:rsidP="00CE1AFB">
            <w:pPr>
              <w:pStyle w:val="NoSpacing"/>
              <w:cnfStyle w:val="000000010000" w:firstRow="0" w:lastRow="0" w:firstColumn="0" w:lastColumn="0" w:oddVBand="0" w:evenVBand="0" w:oddHBand="0" w:evenHBand="1" w:firstRowFirstColumn="0" w:firstRowLastColumn="0" w:lastRowFirstColumn="0" w:lastRowLastColumn="0"/>
            </w:pPr>
            <w:r w:rsidRPr="00A21455">
              <w:t>Persistent Efforts</w:t>
            </w:r>
          </w:p>
        </w:tc>
        <w:tc>
          <w:tcPr>
            <w:tcW w:w="3078" w:type="pct"/>
            <w:tcBorders>
              <w:left w:val="none" w:sz="0" w:space="0" w:color="auto"/>
            </w:tcBorders>
            <w:hideMark/>
          </w:tcPr>
          <w:p w:rsidR="00CE1AFB" w:rsidRPr="00A21455" w:rsidRDefault="00CE1AFB" w:rsidP="00CE1AFB">
            <w:pPr>
              <w:pStyle w:val="NoSpacing"/>
              <w:cnfStyle w:val="000000010000" w:firstRow="0" w:lastRow="0" w:firstColumn="0" w:lastColumn="0" w:oddVBand="0" w:evenVBand="0" w:oddHBand="0" w:evenHBand="1" w:firstRowFirstColumn="0" w:firstRowLastColumn="0" w:lastRowFirstColumn="0" w:lastRowLastColumn="0"/>
            </w:pPr>
            <w:r w:rsidRPr="00A21455">
              <w:t>Some members of the team will be there to support the family when the case is finished.</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pct"/>
            <w:tcBorders>
              <w:right w:val="none" w:sz="0" w:space="0" w:color="auto"/>
            </w:tcBorders>
            <w:hideMark/>
          </w:tcPr>
          <w:p w:rsidR="00CE1AFB" w:rsidRPr="00A21455" w:rsidRDefault="00CE1AFB" w:rsidP="00CE1AFB">
            <w:pPr>
              <w:pStyle w:val="NoSpacing"/>
              <w:jc w:val="center"/>
            </w:pPr>
            <w:r w:rsidRPr="00A21455">
              <w:t>9</w:t>
            </w:r>
          </w:p>
        </w:tc>
        <w:tc>
          <w:tcPr>
            <w:tcW w:w="1550" w:type="pct"/>
            <w:tcBorders>
              <w:left w:val="none" w:sz="0" w:space="0" w:color="auto"/>
              <w:right w:val="none" w:sz="0" w:space="0" w:color="auto"/>
            </w:tcBorders>
            <w:hideMark/>
          </w:tcPr>
          <w:p w:rsidR="00CE1AFB" w:rsidRPr="00A21455" w:rsidRDefault="00CE1AFB" w:rsidP="00CE1AFB">
            <w:pPr>
              <w:pStyle w:val="NoSpacing"/>
              <w:cnfStyle w:val="000000100000" w:firstRow="0" w:lastRow="0" w:firstColumn="0" w:lastColumn="0" w:oddVBand="0" w:evenVBand="0" w:oddHBand="1" w:evenHBand="0" w:firstRowFirstColumn="0" w:firstRowLastColumn="0" w:lastRowFirstColumn="0" w:lastRowLastColumn="0"/>
            </w:pPr>
            <w:r w:rsidRPr="00A21455">
              <w:t>Outcome-Based Evaluation</w:t>
            </w:r>
          </w:p>
        </w:tc>
        <w:tc>
          <w:tcPr>
            <w:tcW w:w="3078" w:type="pct"/>
            <w:tcBorders>
              <w:left w:val="none" w:sz="0" w:space="0" w:color="auto"/>
            </w:tcBorders>
            <w:hideMark/>
          </w:tcPr>
          <w:p w:rsidR="00CE1AFB" w:rsidRPr="00A21455" w:rsidRDefault="00CE1AFB" w:rsidP="00CE1AFB">
            <w:pPr>
              <w:pStyle w:val="NoSpacing"/>
              <w:cnfStyle w:val="000000100000" w:firstRow="0" w:lastRow="0" w:firstColumn="0" w:lastColumn="0" w:oddVBand="0" w:evenVBand="0" w:oddHBand="1" w:evenHBand="0" w:firstRowFirstColumn="0" w:firstRowLastColumn="0" w:lastRowFirstColumn="0" w:lastRowLastColumn="0"/>
            </w:pPr>
            <w:r w:rsidRPr="00A21455">
              <w:t>The team assigns specific tasks to all members at the end of each meeting. AND the team reviews each member’s follow-through on tasks.</w:t>
            </w:r>
          </w:p>
        </w:tc>
      </w:tr>
    </w:tbl>
    <w:p w:rsidR="00CE1AFB" w:rsidRPr="00A21455" w:rsidRDefault="00CE1AFB" w:rsidP="00CE1AFB">
      <w:pPr>
        <w:pStyle w:val="NoSpacing"/>
      </w:pPr>
    </w:p>
    <w:p w:rsidR="00CE1AFB" w:rsidRPr="00A21455" w:rsidRDefault="00CE1AFB" w:rsidP="00CE1AFB">
      <w:pPr>
        <w:pStyle w:val="NoSpacing"/>
      </w:pPr>
      <w:r w:rsidRPr="0061775C">
        <w:t xml:space="preserve">Table </w:t>
      </w:r>
      <w:r w:rsidR="00AF33B8">
        <w:t>3</w:t>
      </w:r>
      <w:r w:rsidR="002A34BA">
        <w:t>2</w:t>
      </w:r>
      <w:r w:rsidRPr="00A21455">
        <w:t xml:space="preserve"> presents the trends in the overall fidelity and individual fidelity indicators of CFTM. For the overall fidelity, FCMs agreed that at least 7 (SD = 2.16) out of the 9 fidelity indicators were implemented well for their closed cases. However, the overall fidelity score of the CFTM significantly decreased from 2017 (M = 7.94, SD = 1.55) to 2018 (M = 6.67, SD = 2.54). For the individual fidelity indicators, many FCMs agreed that their CFTMs were implemented successfully by ensuring its core principles, especially the strengths-based approach (91.0%) and cultural competency (89.4%). However, they were less like to agree that family voice and choice (63.8%) and teamwork (77.0%) were ensured in their CFTM as compared to the other fidelity indicators. The findings imply that CFTM may face more challenges in allowing family voices to be heard in decision-making as well as in creating the shared mission for the child and family among team members. Similar to the trends in the overall fidelity, the percent of rated agrees significantly decreased for the most fidelity indicators, although teamwork was significantly improved from 2017 to 2018. </w:t>
      </w:r>
    </w:p>
    <w:p w:rsidR="00CE1AFB" w:rsidRPr="00A21455" w:rsidRDefault="00CE1AFB" w:rsidP="00CE1AFB">
      <w:pPr>
        <w:pStyle w:val="NoSpacing"/>
        <w:rPr>
          <w:highlight w:val="yellow"/>
        </w:rPr>
      </w:pPr>
    </w:p>
    <w:p w:rsidR="00CE1AFB" w:rsidRPr="00A21455" w:rsidRDefault="00CE1AFB" w:rsidP="00CD4739">
      <w:pPr>
        <w:pStyle w:val="Heading4"/>
      </w:pPr>
      <w:r w:rsidRPr="0061775C">
        <w:t xml:space="preserve">Table </w:t>
      </w:r>
      <w:r w:rsidR="00AF33B8">
        <w:t>3</w:t>
      </w:r>
      <w:r w:rsidR="002A34BA">
        <w:t>2</w:t>
      </w:r>
      <w:r w:rsidRPr="0061775C">
        <w:t>.</w:t>
      </w:r>
      <w:r w:rsidRPr="00A21455">
        <w:t xml:space="preserve"> Trends in the Fidelity of CFTM</w:t>
      </w:r>
    </w:p>
    <w:tbl>
      <w:tblPr>
        <w:tblStyle w:val="MediumShading1-Accent111"/>
        <w:tblW w:w="0" w:type="auto"/>
        <w:tblLook w:val="04A0" w:firstRow="1" w:lastRow="0" w:firstColumn="1" w:lastColumn="0" w:noHBand="0" w:noVBand="1"/>
      </w:tblPr>
      <w:tblGrid>
        <w:gridCol w:w="3142"/>
        <w:gridCol w:w="1607"/>
        <w:gridCol w:w="1607"/>
        <w:gridCol w:w="1608"/>
        <w:gridCol w:w="1376"/>
      </w:tblGrid>
      <w:tr w:rsidR="00CE1AFB" w:rsidRPr="00A21455" w:rsidTr="00CD4739">
        <w:trPr>
          <w:cnfStyle w:val="100000000000" w:firstRow="1" w:lastRow="0" w:firstColumn="0" w:lastColumn="0" w:oddVBand="0" w:evenVBand="0" w:oddHBand="0"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145" w:type="dxa"/>
            <w:vMerge w:val="restart"/>
            <w:tcBorders>
              <w:top w:val="none" w:sz="0" w:space="0" w:color="auto"/>
              <w:left w:val="none" w:sz="0" w:space="0" w:color="auto"/>
              <w:bottom w:val="none" w:sz="0" w:space="0" w:color="auto"/>
              <w:right w:val="none" w:sz="0" w:space="0" w:color="auto"/>
            </w:tcBorders>
            <w:vAlign w:val="center"/>
          </w:tcPr>
          <w:p w:rsidR="00CE1AFB" w:rsidRPr="00AF570A" w:rsidRDefault="00CE1AFB" w:rsidP="00CD4739">
            <w:pPr>
              <w:pStyle w:val="NoSpacing"/>
              <w:rPr>
                <w:bCs w:val="0"/>
              </w:rPr>
            </w:pPr>
            <w:r w:rsidRPr="00AF570A">
              <w:rPr>
                <w:bCs w:val="0"/>
              </w:rPr>
              <w:t>Overall Fidelity</w:t>
            </w:r>
          </w:p>
        </w:tc>
        <w:tc>
          <w:tcPr>
            <w:tcW w:w="1609" w:type="dxa"/>
            <w:tcBorders>
              <w:top w:val="none" w:sz="0" w:space="0" w:color="auto"/>
              <w:left w:val="none" w:sz="0" w:space="0" w:color="auto"/>
              <w:bottom w:val="none" w:sz="0" w:space="0" w:color="auto"/>
              <w:right w:val="none" w:sz="0" w:space="0" w:color="auto"/>
            </w:tcBorders>
          </w:tcPr>
          <w:p w:rsidR="00CE1AFB" w:rsidRPr="00AF570A" w:rsidRDefault="00CE1AFB" w:rsidP="00CE1AFB">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AF570A">
              <w:rPr>
                <w:bCs w:val="0"/>
              </w:rPr>
              <w:t xml:space="preserve">Total </w:t>
            </w:r>
          </w:p>
          <w:p w:rsidR="00CE1AFB" w:rsidRPr="00AF570A" w:rsidRDefault="00CE1AFB" w:rsidP="00CE1AFB">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AF570A">
              <w:rPr>
                <w:bCs w:val="0"/>
              </w:rPr>
              <w:t>(N= 1,869)</w:t>
            </w:r>
          </w:p>
        </w:tc>
        <w:tc>
          <w:tcPr>
            <w:tcW w:w="1609" w:type="dxa"/>
            <w:tcBorders>
              <w:top w:val="none" w:sz="0" w:space="0" w:color="auto"/>
              <w:left w:val="none" w:sz="0" w:space="0" w:color="auto"/>
              <w:bottom w:val="none" w:sz="0" w:space="0" w:color="auto"/>
              <w:right w:val="none" w:sz="0" w:space="0" w:color="auto"/>
            </w:tcBorders>
          </w:tcPr>
          <w:p w:rsidR="00CE1AFB" w:rsidRPr="00AF570A" w:rsidRDefault="00CE1AFB" w:rsidP="00CE1AFB">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AF570A">
              <w:rPr>
                <w:bCs w:val="0"/>
              </w:rPr>
              <w:t>2017</w:t>
            </w:r>
          </w:p>
          <w:p w:rsidR="00CE1AFB" w:rsidRPr="00AF570A" w:rsidRDefault="00CE1AFB" w:rsidP="00CE1AFB">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AF570A">
              <w:rPr>
                <w:bCs w:val="0"/>
              </w:rPr>
              <w:t>(N= 1,005)</w:t>
            </w:r>
          </w:p>
        </w:tc>
        <w:tc>
          <w:tcPr>
            <w:tcW w:w="1610" w:type="dxa"/>
            <w:tcBorders>
              <w:top w:val="none" w:sz="0" w:space="0" w:color="auto"/>
              <w:left w:val="none" w:sz="0" w:space="0" w:color="auto"/>
              <w:bottom w:val="none" w:sz="0" w:space="0" w:color="auto"/>
              <w:right w:val="none" w:sz="0" w:space="0" w:color="auto"/>
            </w:tcBorders>
          </w:tcPr>
          <w:p w:rsidR="00CE1AFB" w:rsidRPr="00AF570A" w:rsidRDefault="00CE1AFB" w:rsidP="00CE1AFB">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AF570A">
              <w:rPr>
                <w:bCs w:val="0"/>
              </w:rPr>
              <w:t>2018</w:t>
            </w:r>
          </w:p>
          <w:p w:rsidR="00CE1AFB" w:rsidRPr="00AF570A" w:rsidRDefault="00CE1AFB" w:rsidP="00CE1AFB">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AF570A">
              <w:rPr>
                <w:bCs w:val="0"/>
              </w:rPr>
              <w:t>(N = 864)</w:t>
            </w:r>
          </w:p>
        </w:tc>
        <w:tc>
          <w:tcPr>
            <w:tcW w:w="1377" w:type="dxa"/>
            <w:vMerge w:val="restart"/>
            <w:tcBorders>
              <w:top w:val="none" w:sz="0" w:space="0" w:color="auto"/>
              <w:left w:val="none" w:sz="0" w:space="0" w:color="auto"/>
              <w:bottom w:val="none" w:sz="0" w:space="0" w:color="auto"/>
              <w:right w:val="none" w:sz="0" w:space="0" w:color="auto"/>
            </w:tcBorders>
            <w:vAlign w:val="center"/>
          </w:tcPr>
          <w:p w:rsidR="00CE1AFB" w:rsidRPr="00AF570A" w:rsidRDefault="00CE1AFB" w:rsidP="00CD4739">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AF570A">
              <w:rPr>
                <w:bCs w:val="0"/>
              </w:rPr>
              <w:t>t-test</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Merge/>
            <w:tcBorders>
              <w:right w:val="none" w:sz="0" w:space="0" w:color="auto"/>
            </w:tcBorders>
          </w:tcPr>
          <w:p w:rsidR="00CE1AFB" w:rsidRPr="00A21455" w:rsidRDefault="00CE1AFB" w:rsidP="00CE1AFB">
            <w:pPr>
              <w:pStyle w:val="NoSpacing"/>
              <w:jc w:val="center"/>
              <w:rPr>
                <w:b w:val="0"/>
                <w:bCs w:val="0"/>
              </w:rPr>
            </w:pPr>
          </w:p>
        </w:tc>
        <w:tc>
          <w:tcPr>
            <w:tcW w:w="1609" w:type="dxa"/>
            <w:tcBorders>
              <w:left w:val="none" w:sz="0" w:space="0" w:color="auto"/>
              <w:right w:val="none" w:sz="0" w:space="0" w:color="auto"/>
            </w:tcBorders>
            <w:shd w:val="clear" w:color="auto" w:fill="4472C4" w:themeFill="accent5"/>
          </w:tcPr>
          <w:p w:rsidR="00CE1AFB" w:rsidRPr="00CD4739"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CD4739">
              <w:rPr>
                <w:b/>
                <w:bCs/>
                <w:color w:val="FFFFFF" w:themeColor="background1"/>
              </w:rPr>
              <w:t>M (SD)</w:t>
            </w:r>
          </w:p>
        </w:tc>
        <w:tc>
          <w:tcPr>
            <w:tcW w:w="1609" w:type="dxa"/>
            <w:tcBorders>
              <w:left w:val="none" w:sz="0" w:space="0" w:color="auto"/>
              <w:right w:val="none" w:sz="0" w:space="0" w:color="auto"/>
            </w:tcBorders>
            <w:shd w:val="clear" w:color="auto" w:fill="4472C4" w:themeFill="accent5"/>
          </w:tcPr>
          <w:p w:rsidR="00CE1AFB" w:rsidRPr="00CD4739"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CD4739">
              <w:rPr>
                <w:b/>
                <w:bCs/>
                <w:color w:val="FFFFFF" w:themeColor="background1"/>
              </w:rPr>
              <w:t>M (SD)</w:t>
            </w:r>
          </w:p>
        </w:tc>
        <w:tc>
          <w:tcPr>
            <w:tcW w:w="1610" w:type="dxa"/>
            <w:tcBorders>
              <w:left w:val="none" w:sz="0" w:space="0" w:color="auto"/>
              <w:right w:val="none" w:sz="0" w:space="0" w:color="auto"/>
            </w:tcBorders>
            <w:shd w:val="clear" w:color="auto" w:fill="4472C4" w:themeFill="accent5"/>
          </w:tcPr>
          <w:p w:rsidR="00CE1AFB" w:rsidRPr="00CD4739"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CD4739">
              <w:rPr>
                <w:b/>
                <w:bCs/>
                <w:color w:val="FFFFFF" w:themeColor="background1"/>
              </w:rPr>
              <w:t>M (SD)</w:t>
            </w:r>
          </w:p>
        </w:tc>
        <w:tc>
          <w:tcPr>
            <w:tcW w:w="1377" w:type="dxa"/>
            <w:vMerge/>
            <w:tcBorders>
              <w:lef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p>
        </w:tc>
      </w:tr>
      <w:tr w:rsidR="00CE1AFB" w:rsidRPr="00A21455" w:rsidTr="00CD47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Borders>
              <w:right w:val="none" w:sz="0" w:space="0" w:color="auto"/>
            </w:tcBorders>
          </w:tcPr>
          <w:p w:rsidR="00CE1AFB" w:rsidRPr="00CD4739" w:rsidRDefault="00CE1AFB" w:rsidP="00CE1AFB">
            <w:pPr>
              <w:pStyle w:val="NoSpacing"/>
              <w:rPr>
                <w:b w:val="0"/>
              </w:rPr>
            </w:pPr>
            <w:r w:rsidRPr="00CD4739">
              <w:rPr>
                <w:b w:val="0"/>
              </w:rPr>
              <w:t xml:space="preserve">Overall Fidelity </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rPr>
                <w:b/>
                <w:bCs/>
              </w:rPr>
            </w:pPr>
            <w:r w:rsidRPr="00A21455">
              <w:t>7.36 (2.16)</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rPr>
                <w:b/>
                <w:bCs/>
              </w:rPr>
            </w:pPr>
            <w:r w:rsidRPr="00A21455">
              <w:t>7.94 (1.55)</w:t>
            </w:r>
          </w:p>
        </w:tc>
        <w:tc>
          <w:tcPr>
            <w:tcW w:w="1610"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rPr>
                <w:b/>
                <w:bCs/>
              </w:rPr>
            </w:pPr>
            <w:r w:rsidRPr="00A21455">
              <w:t>6.67 (2.54)</w:t>
            </w:r>
          </w:p>
        </w:tc>
        <w:tc>
          <w:tcPr>
            <w:tcW w:w="1377" w:type="dxa"/>
            <w:tcBorders>
              <w:lef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12.48***</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Borders>
              <w:right w:val="none" w:sz="0" w:space="0" w:color="auto"/>
            </w:tcBorders>
            <w:vAlign w:val="center"/>
          </w:tcPr>
          <w:p w:rsidR="00CE1AFB" w:rsidRPr="00CD4739" w:rsidRDefault="00CE1AFB" w:rsidP="00CD4739">
            <w:pPr>
              <w:pStyle w:val="NoSpacing"/>
              <w:rPr>
                <w:bCs w:val="0"/>
              </w:rPr>
            </w:pPr>
            <w:r w:rsidRPr="00CD4739">
              <w:rPr>
                <w:bCs w:val="0"/>
              </w:rPr>
              <w:t>Fidelity Indicators</w:t>
            </w:r>
          </w:p>
        </w:tc>
        <w:tc>
          <w:tcPr>
            <w:tcW w:w="1609" w:type="dxa"/>
            <w:tcBorders>
              <w:left w:val="none" w:sz="0" w:space="0" w:color="auto"/>
              <w:right w:val="none" w:sz="0" w:space="0" w:color="auto"/>
            </w:tcBorders>
            <w:vAlign w:val="center"/>
          </w:tcPr>
          <w:p w:rsidR="00CE1AFB" w:rsidRPr="00CD4739" w:rsidRDefault="00CE1AFB" w:rsidP="00CD4739">
            <w:pPr>
              <w:pStyle w:val="NoSpacing"/>
              <w:jc w:val="center"/>
              <w:cnfStyle w:val="000000100000" w:firstRow="0" w:lastRow="0" w:firstColumn="0" w:lastColumn="0" w:oddVBand="0" w:evenVBand="0" w:oddHBand="1" w:evenHBand="0" w:firstRowFirstColumn="0" w:firstRowLastColumn="0" w:lastRowFirstColumn="0" w:lastRowLastColumn="0"/>
              <w:rPr>
                <w:b/>
                <w:bCs/>
              </w:rPr>
            </w:pPr>
            <w:r w:rsidRPr="00CD4739">
              <w:rPr>
                <w:b/>
                <w:bCs/>
              </w:rPr>
              <w:t>Percent Rated Agrees</w:t>
            </w:r>
          </w:p>
        </w:tc>
        <w:tc>
          <w:tcPr>
            <w:tcW w:w="1609" w:type="dxa"/>
            <w:tcBorders>
              <w:left w:val="none" w:sz="0" w:space="0" w:color="auto"/>
              <w:right w:val="none" w:sz="0" w:space="0" w:color="auto"/>
            </w:tcBorders>
            <w:vAlign w:val="center"/>
          </w:tcPr>
          <w:p w:rsidR="00CE1AFB" w:rsidRPr="00CD4739" w:rsidRDefault="00CE1AFB" w:rsidP="00CD4739">
            <w:pPr>
              <w:pStyle w:val="NoSpacing"/>
              <w:jc w:val="center"/>
              <w:cnfStyle w:val="000000100000" w:firstRow="0" w:lastRow="0" w:firstColumn="0" w:lastColumn="0" w:oddVBand="0" w:evenVBand="0" w:oddHBand="1" w:evenHBand="0" w:firstRowFirstColumn="0" w:firstRowLastColumn="0" w:lastRowFirstColumn="0" w:lastRowLastColumn="0"/>
              <w:rPr>
                <w:b/>
                <w:bCs/>
              </w:rPr>
            </w:pPr>
            <w:r w:rsidRPr="00CD4739">
              <w:rPr>
                <w:b/>
                <w:bCs/>
              </w:rPr>
              <w:t>Percent Rated Agrees</w:t>
            </w:r>
          </w:p>
        </w:tc>
        <w:tc>
          <w:tcPr>
            <w:tcW w:w="1610" w:type="dxa"/>
            <w:tcBorders>
              <w:left w:val="none" w:sz="0" w:space="0" w:color="auto"/>
              <w:right w:val="none" w:sz="0" w:space="0" w:color="auto"/>
            </w:tcBorders>
            <w:vAlign w:val="center"/>
          </w:tcPr>
          <w:p w:rsidR="00CE1AFB" w:rsidRPr="00CD4739" w:rsidRDefault="00CE1AFB" w:rsidP="00CD4739">
            <w:pPr>
              <w:pStyle w:val="NoSpacing"/>
              <w:jc w:val="center"/>
              <w:cnfStyle w:val="000000100000" w:firstRow="0" w:lastRow="0" w:firstColumn="0" w:lastColumn="0" w:oddVBand="0" w:evenVBand="0" w:oddHBand="1" w:evenHBand="0" w:firstRowFirstColumn="0" w:firstRowLastColumn="0" w:lastRowFirstColumn="0" w:lastRowLastColumn="0"/>
              <w:rPr>
                <w:b/>
                <w:bCs/>
              </w:rPr>
            </w:pPr>
            <w:r w:rsidRPr="00CD4739">
              <w:rPr>
                <w:b/>
                <w:bCs/>
              </w:rPr>
              <w:t>Percent Rated Agrees</w:t>
            </w:r>
          </w:p>
        </w:tc>
        <w:tc>
          <w:tcPr>
            <w:tcW w:w="1377" w:type="dxa"/>
            <w:tcBorders>
              <w:left w:val="none" w:sz="0" w:space="0" w:color="auto"/>
            </w:tcBorders>
            <w:vAlign w:val="center"/>
          </w:tcPr>
          <w:p w:rsidR="00CE1AFB" w:rsidRPr="00CD4739" w:rsidRDefault="00CE1AFB" w:rsidP="00CD4739">
            <w:pPr>
              <w:pStyle w:val="NoSpacing"/>
              <w:jc w:val="center"/>
              <w:cnfStyle w:val="000000100000" w:firstRow="0" w:lastRow="0" w:firstColumn="0" w:lastColumn="0" w:oddVBand="0" w:evenVBand="0" w:oddHBand="1" w:evenHBand="0" w:firstRowFirstColumn="0" w:firstRowLastColumn="0" w:lastRowFirstColumn="0" w:lastRowLastColumn="0"/>
              <w:rPr>
                <w:b/>
                <w:bCs/>
              </w:rPr>
            </w:pPr>
            <w:r w:rsidRPr="00CD4739">
              <w:rPr>
                <w:rFonts w:ascii="Cambria Math" w:hAnsi="Cambria Math" w:cs="Cambria Math"/>
                <w:b/>
                <w:bCs/>
              </w:rPr>
              <w:t>𝝌</w:t>
            </w:r>
            <w:r w:rsidRPr="00CD4739">
              <w:rPr>
                <w:b/>
                <w:bCs/>
                <w:vertAlign w:val="superscript"/>
              </w:rPr>
              <w:t>2</w:t>
            </w:r>
          </w:p>
        </w:tc>
      </w:tr>
      <w:tr w:rsidR="00CE1AFB" w:rsidRPr="00A21455" w:rsidTr="00CD47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Borders>
              <w:right w:val="none" w:sz="0" w:space="0" w:color="auto"/>
            </w:tcBorders>
          </w:tcPr>
          <w:p w:rsidR="00CE1AFB" w:rsidRPr="00CD4739" w:rsidRDefault="00CE1AFB" w:rsidP="00CE1AFB">
            <w:pPr>
              <w:pStyle w:val="NoSpacing"/>
              <w:rPr>
                <w:b w:val="0"/>
              </w:rPr>
            </w:pPr>
            <w:r w:rsidRPr="00CD4739">
              <w:rPr>
                <w:b w:val="0"/>
              </w:rPr>
              <w:t>Family Voice and Choice</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63.8%</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69.6%</w:t>
            </w:r>
          </w:p>
        </w:tc>
        <w:tc>
          <w:tcPr>
            <w:tcW w:w="1610"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57.0%</w:t>
            </w:r>
          </w:p>
        </w:tc>
        <w:tc>
          <w:tcPr>
            <w:tcW w:w="1377" w:type="dxa"/>
            <w:tcBorders>
              <w:lef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30.55***</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Borders>
              <w:right w:val="none" w:sz="0" w:space="0" w:color="auto"/>
            </w:tcBorders>
          </w:tcPr>
          <w:p w:rsidR="00CE1AFB" w:rsidRPr="00CD4739" w:rsidRDefault="00CE1AFB" w:rsidP="00CE1AFB">
            <w:pPr>
              <w:pStyle w:val="NoSpacing"/>
              <w:rPr>
                <w:b w:val="0"/>
              </w:rPr>
            </w:pPr>
            <w:r w:rsidRPr="00CD4739">
              <w:rPr>
                <w:b w:val="0"/>
              </w:rPr>
              <w:t>Teamwork</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77.0%</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59.9%</w:t>
            </w:r>
          </w:p>
        </w:tc>
        <w:tc>
          <w:tcPr>
            <w:tcW w:w="1610"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67.2%</w:t>
            </w:r>
          </w:p>
        </w:tc>
        <w:tc>
          <w:tcPr>
            <w:tcW w:w="1377" w:type="dxa"/>
            <w:tcBorders>
              <w:lef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82.80***</w:t>
            </w:r>
          </w:p>
        </w:tc>
      </w:tr>
      <w:tr w:rsidR="00CE1AFB" w:rsidRPr="00A21455" w:rsidTr="00CD47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Borders>
              <w:right w:val="none" w:sz="0" w:space="0" w:color="auto"/>
            </w:tcBorders>
          </w:tcPr>
          <w:p w:rsidR="00CE1AFB" w:rsidRPr="00CD4739" w:rsidRDefault="00CE1AFB" w:rsidP="00CE1AFB">
            <w:pPr>
              <w:pStyle w:val="NoSpacing"/>
              <w:rPr>
                <w:b w:val="0"/>
              </w:rPr>
            </w:pPr>
            <w:r w:rsidRPr="00CD4739">
              <w:rPr>
                <w:b w:val="0"/>
              </w:rPr>
              <w:t>Natural Support</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85.7%</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92.9%</w:t>
            </w:r>
          </w:p>
        </w:tc>
        <w:tc>
          <w:tcPr>
            <w:tcW w:w="1610"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77.4%</w:t>
            </w:r>
          </w:p>
        </w:tc>
        <w:tc>
          <w:tcPr>
            <w:tcW w:w="1377" w:type="dxa"/>
            <w:tcBorders>
              <w:lef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85.96***</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Borders>
              <w:right w:val="none" w:sz="0" w:space="0" w:color="auto"/>
            </w:tcBorders>
          </w:tcPr>
          <w:p w:rsidR="00CE1AFB" w:rsidRPr="00CD4739" w:rsidRDefault="00CE1AFB" w:rsidP="00CE1AFB">
            <w:pPr>
              <w:pStyle w:val="NoSpacing"/>
              <w:rPr>
                <w:b w:val="0"/>
              </w:rPr>
            </w:pPr>
            <w:r w:rsidRPr="00CD4739">
              <w:rPr>
                <w:b w:val="0"/>
              </w:rPr>
              <w:t>Collaboration</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84.6%</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90.6%</w:t>
            </w:r>
          </w:p>
        </w:tc>
        <w:tc>
          <w:tcPr>
            <w:tcW w:w="1610"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77.6%</w:t>
            </w:r>
          </w:p>
        </w:tc>
        <w:tc>
          <w:tcPr>
            <w:tcW w:w="1377" w:type="dxa"/>
            <w:tcBorders>
              <w:lef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56.58***</w:t>
            </w:r>
          </w:p>
        </w:tc>
      </w:tr>
      <w:tr w:rsidR="00CE1AFB" w:rsidRPr="00A21455" w:rsidTr="00CD47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Borders>
              <w:right w:val="none" w:sz="0" w:space="0" w:color="auto"/>
            </w:tcBorders>
          </w:tcPr>
          <w:p w:rsidR="00CE1AFB" w:rsidRPr="00CD4739" w:rsidRDefault="00CE1AFB" w:rsidP="00CE1AFB">
            <w:pPr>
              <w:pStyle w:val="NoSpacing"/>
              <w:rPr>
                <w:b w:val="0"/>
              </w:rPr>
            </w:pPr>
            <w:r w:rsidRPr="00CD4739">
              <w:rPr>
                <w:b w:val="0"/>
              </w:rPr>
              <w:t>Cultural Competency</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89.4%</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95.4%</w:t>
            </w:r>
          </w:p>
        </w:tc>
        <w:tc>
          <w:tcPr>
            <w:tcW w:w="1610"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82.4%</w:t>
            </w:r>
          </w:p>
        </w:tc>
        <w:tc>
          <w:tcPr>
            <w:tcW w:w="1377" w:type="dxa"/>
            <w:tcBorders>
              <w:lef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78.11***</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Borders>
              <w:right w:val="none" w:sz="0" w:space="0" w:color="auto"/>
            </w:tcBorders>
          </w:tcPr>
          <w:p w:rsidR="00CE1AFB" w:rsidRPr="00CD4739" w:rsidRDefault="00CE1AFB" w:rsidP="00CE1AFB">
            <w:pPr>
              <w:pStyle w:val="NoSpacing"/>
              <w:rPr>
                <w:b w:val="0"/>
              </w:rPr>
            </w:pPr>
            <w:r w:rsidRPr="00CD4739">
              <w:rPr>
                <w:b w:val="0"/>
              </w:rPr>
              <w:t>Individualized Plan</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84.7%</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93.1%</w:t>
            </w:r>
          </w:p>
        </w:tc>
        <w:tc>
          <w:tcPr>
            <w:tcW w:w="1610"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74.9%</w:t>
            </w:r>
          </w:p>
        </w:tc>
        <w:tc>
          <w:tcPr>
            <w:tcW w:w="1377" w:type="dxa"/>
            <w:tcBorders>
              <w:lef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111.60***</w:t>
            </w:r>
          </w:p>
        </w:tc>
      </w:tr>
      <w:tr w:rsidR="00CE1AFB" w:rsidRPr="00A21455" w:rsidTr="00CD47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Borders>
              <w:right w:val="none" w:sz="0" w:space="0" w:color="auto"/>
            </w:tcBorders>
          </w:tcPr>
          <w:p w:rsidR="00CE1AFB" w:rsidRPr="00CD4739" w:rsidRDefault="00CE1AFB" w:rsidP="00CE1AFB">
            <w:pPr>
              <w:pStyle w:val="NoSpacing"/>
              <w:rPr>
                <w:b w:val="0"/>
              </w:rPr>
            </w:pPr>
            <w:r w:rsidRPr="00CD4739">
              <w:rPr>
                <w:b w:val="0"/>
              </w:rPr>
              <w:t>Strengths-Based Approach</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91.0%</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96.8%</w:t>
            </w:r>
          </w:p>
        </w:tc>
        <w:tc>
          <w:tcPr>
            <w:tcW w:w="1610"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84.3%</w:t>
            </w:r>
          </w:p>
        </w:tc>
        <w:tc>
          <w:tcPr>
            <w:tcW w:w="1377" w:type="dxa"/>
            <w:tcBorders>
              <w:lef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85.06***</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Borders>
              <w:right w:val="none" w:sz="0" w:space="0" w:color="auto"/>
            </w:tcBorders>
          </w:tcPr>
          <w:p w:rsidR="00CE1AFB" w:rsidRPr="00CD4739" w:rsidRDefault="00CE1AFB" w:rsidP="00CE1AFB">
            <w:pPr>
              <w:pStyle w:val="NoSpacing"/>
              <w:rPr>
                <w:b w:val="0"/>
              </w:rPr>
            </w:pPr>
            <w:r w:rsidRPr="00CD4739">
              <w:rPr>
                <w:b w:val="0"/>
              </w:rPr>
              <w:t>Persistent Efforts</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83.3%</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89.5%</w:t>
            </w:r>
          </w:p>
        </w:tc>
        <w:tc>
          <w:tcPr>
            <w:tcW w:w="1610"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76.0%</w:t>
            </w:r>
          </w:p>
        </w:tc>
        <w:tc>
          <w:tcPr>
            <w:tcW w:w="1377" w:type="dxa"/>
            <w:tcBorders>
              <w:lef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56.77***</w:t>
            </w:r>
          </w:p>
        </w:tc>
      </w:tr>
      <w:tr w:rsidR="00CE1AFB" w:rsidRPr="00A21455" w:rsidTr="00CD47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Borders>
              <w:right w:val="none" w:sz="0" w:space="0" w:color="auto"/>
            </w:tcBorders>
          </w:tcPr>
          <w:p w:rsidR="00CE1AFB" w:rsidRPr="00CD4739" w:rsidRDefault="00CE1AFB" w:rsidP="00CE1AFB">
            <w:pPr>
              <w:pStyle w:val="NoSpacing"/>
              <w:rPr>
                <w:b w:val="0"/>
              </w:rPr>
            </w:pPr>
            <w:r w:rsidRPr="00CD4739">
              <w:rPr>
                <w:b w:val="0"/>
              </w:rPr>
              <w:t>Outcome-Based Evaluation</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83.5%</w:t>
            </w:r>
          </w:p>
        </w:tc>
        <w:tc>
          <w:tcPr>
            <w:tcW w:w="1609"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90.5%</w:t>
            </w:r>
          </w:p>
        </w:tc>
        <w:tc>
          <w:tcPr>
            <w:tcW w:w="1610"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75.3%</w:t>
            </w:r>
          </w:p>
        </w:tc>
        <w:tc>
          <w:tcPr>
            <w:tcW w:w="1377" w:type="dxa"/>
            <w:tcBorders>
              <w:lef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73.88***</w:t>
            </w:r>
          </w:p>
        </w:tc>
      </w:tr>
    </w:tbl>
    <w:p w:rsidR="00CE1AFB" w:rsidRPr="00A21455" w:rsidRDefault="00CE1AFB" w:rsidP="00CE1AFB">
      <w:pPr>
        <w:pStyle w:val="NoSpacing"/>
      </w:pPr>
      <w:r w:rsidRPr="00A21455">
        <w:t>***p &lt; .001</w:t>
      </w:r>
    </w:p>
    <w:p w:rsidR="00CE1AFB" w:rsidRPr="00A21455" w:rsidRDefault="00CE1AFB" w:rsidP="00CE1AFB">
      <w:pPr>
        <w:pStyle w:val="NoSpacing"/>
      </w:pPr>
    </w:p>
    <w:p w:rsidR="00CE1AFB" w:rsidRPr="00A21455" w:rsidRDefault="00CE1AFB" w:rsidP="00CE1AFB">
      <w:pPr>
        <w:pStyle w:val="NoSpacing"/>
      </w:pPr>
    </w:p>
    <w:p w:rsidR="00AF570A" w:rsidRDefault="00CE1AFB" w:rsidP="00CE1AFB">
      <w:pPr>
        <w:pStyle w:val="NoSpacing"/>
      </w:pPr>
      <w:r w:rsidRPr="0061775C">
        <w:t xml:space="preserve">Table </w:t>
      </w:r>
      <w:r w:rsidR="0061775C">
        <w:t>3</w:t>
      </w:r>
      <w:r w:rsidR="002A34BA">
        <w:t>3</w:t>
      </w:r>
      <w:r w:rsidRPr="00A21455">
        <w:t xml:space="preserve"> shows the results of multiple regression to examine how FCMs’ characteristics are associated with their perceived fidelity of CFTM. Although FCMs’ age and race were not significant factors, female FCMs reported a significantly higher level of the overall fidelity than male FCMs did (β = .063, p &lt; .05). In contrast, FCMs with social work degrees tended to perceive the lower level of the overall fidelity as compared to those with other educational degrees (β = -.062, p &lt; .05). The overall fidelity was positively associated with FCMs’ perceived workload manageability rated on a five-point scale from 1=extremely unmanageable to 5=extremely manageable (β = .112, p &lt; .001). Similarly, FCMs were more likely to report that they implemented CFTM with a high-quality fidelity when they felt more competent about facilitating CFTM (β = .147, p &lt; .001). </w:t>
      </w:r>
    </w:p>
    <w:p w:rsidR="00AF570A" w:rsidRDefault="00AF570A" w:rsidP="00CE1AFB">
      <w:pPr>
        <w:pStyle w:val="NoSpacing"/>
      </w:pPr>
    </w:p>
    <w:p w:rsidR="00CE1AFB" w:rsidRDefault="00CE1AFB" w:rsidP="00CE1AFB">
      <w:pPr>
        <w:pStyle w:val="NoSpacing"/>
      </w:pPr>
      <w:r w:rsidRPr="00A21455">
        <w:t xml:space="preserve">The CFTM facilitation skills measured by four items that asked FCMs to self-report the level of their competencies for (1) encouraging teamwork, (2) managing power and control issues, (3) resolving conflicts between team members, and (4) addressing non-negotiable issues within CFTM (1=strongly disagree to 5=strongly agree). The results suggest that organizational support and effective supervision are necessary to effectively manage FCMs’ workloads so that they have enough time to prepare and implement the high-quality of CFTM. Furthermore, it is important to provide effective curricular and training activities that help FCMs improve their knowledge and skills to successfully implement CFTM. </w:t>
      </w:r>
    </w:p>
    <w:p w:rsidR="00C47A5F" w:rsidRPr="00A21455" w:rsidRDefault="00C47A5F" w:rsidP="00CE1AFB">
      <w:pPr>
        <w:pStyle w:val="NoSpacing"/>
      </w:pPr>
    </w:p>
    <w:p w:rsidR="00CE1AFB" w:rsidRDefault="00CE1AFB" w:rsidP="00CE1AFB">
      <w:pPr>
        <w:pStyle w:val="NoSpacing"/>
      </w:pPr>
    </w:p>
    <w:p w:rsidR="00CE1AFB" w:rsidRPr="00A21455" w:rsidRDefault="0061775C" w:rsidP="00AF570A">
      <w:pPr>
        <w:pStyle w:val="Heading4"/>
      </w:pPr>
      <w:r>
        <w:t>Table 3</w:t>
      </w:r>
      <w:r w:rsidR="002A34BA">
        <w:t>3</w:t>
      </w:r>
      <w:r w:rsidR="00CE1AFB" w:rsidRPr="0061775C">
        <w:t>.</w:t>
      </w:r>
      <w:r w:rsidR="00CE1AFB" w:rsidRPr="00A21455">
        <w:t xml:space="preserve"> The Impacts of FCMs’ Characteristics on the Overall Fidelity of CFTM</w:t>
      </w:r>
    </w:p>
    <w:tbl>
      <w:tblPr>
        <w:tblStyle w:val="MediumShading1-Accent111"/>
        <w:tblW w:w="0" w:type="auto"/>
        <w:tblLook w:val="04A0" w:firstRow="1" w:lastRow="0" w:firstColumn="1" w:lastColumn="0" w:noHBand="0" w:noVBand="1"/>
      </w:tblPr>
      <w:tblGrid>
        <w:gridCol w:w="4310"/>
        <w:gridCol w:w="1709"/>
        <w:gridCol w:w="1618"/>
        <w:gridCol w:w="1703"/>
      </w:tblGrid>
      <w:tr w:rsidR="00CE1AFB" w:rsidRPr="00A21455" w:rsidTr="00CD47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Borders>
              <w:top w:val="none" w:sz="0" w:space="0" w:color="auto"/>
              <w:left w:val="none" w:sz="0" w:space="0" w:color="auto"/>
              <w:bottom w:val="none" w:sz="0" w:space="0" w:color="auto"/>
              <w:right w:val="none" w:sz="0" w:space="0" w:color="auto"/>
            </w:tcBorders>
          </w:tcPr>
          <w:p w:rsidR="00CE1AFB" w:rsidRPr="00CD4739" w:rsidRDefault="00CE1AFB" w:rsidP="00CE1AFB">
            <w:pPr>
              <w:pStyle w:val="NoSpacing"/>
              <w:rPr>
                <w:bCs w:val="0"/>
              </w:rPr>
            </w:pPr>
            <w:r w:rsidRPr="00CD4739">
              <w:rPr>
                <w:bCs w:val="0"/>
              </w:rPr>
              <w:t>FCMs’ Characteristics (n = 1,360)</w:t>
            </w:r>
          </w:p>
        </w:tc>
        <w:tc>
          <w:tcPr>
            <w:tcW w:w="1710" w:type="dxa"/>
            <w:tcBorders>
              <w:top w:val="none" w:sz="0" w:space="0" w:color="auto"/>
              <w:left w:val="none" w:sz="0" w:space="0" w:color="auto"/>
              <w:bottom w:val="none" w:sz="0" w:space="0" w:color="auto"/>
              <w:right w:val="none" w:sz="0" w:space="0" w:color="auto"/>
            </w:tcBorders>
          </w:tcPr>
          <w:p w:rsidR="00CE1AFB" w:rsidRPr="00CD4739" w:rsidRDefault="00CE1AFB" w:rsidP="00CE1AFB">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CD4739">
              <w:rPr>
                <w:bCs w:val="0"/>
              </w:rPr>
              <w:t>β</w:t>
            </w:r>
          </w:p>
        </w:tc>
        <w:tc>
          <w:tcPr>
            <w:tcW w:w="1620" w:type="dxa"/>
            <w:tcBorders>
              <w:top w:val="none" w:sz="0" w:space="0" w:color="auto"/>
              <w:left w:val="none" w:sz="0" w:space="0" w:color="auto"/>
              <w:bottom w:val="none" w:sz="0" w:space="0" w:color="auto"/>
              <w:right w:val="none" w:sz="0" w:space="0" w:color="auto"/>
            </w:tcBorders>
          </w:tcPr>
          <w:p w:rsidR="00CE1AFB" w:rsidRPr="00CD4739" w:rsidRDefault="00CE1AFB" w:rsidP="00CE1AFB">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CD4739">
              <w:rPr>
                <w:bCs w:val="0"/>
              </w:rPr>
              <w:t>SE</w:t>
            </w:r>
          </w:p>
        </w:tc>
        <w:tc>
          <w:tcPr>
            <w:tcW w:w="1705" w:type="dxa"/>
            <w:tcBorders>
              <w:top w:val="none" w:sz="0" w:space="0" w:color="auto"/>
              <w:left w:val="none" w:sz="0" w:space="0" w:color="auto"/>
              <w:bottom w:val="none" w:sz="0" w:space="0" w:color="auto"/>
              <w:right w:val="none" w:sz="0" w:space="0" w:color="auto"/>
            </w:tcBorders>
          </w:tcPr>
          <w:p w:rsidR="00CE1AFB" w:rsidRPr="00CD4739" w:rsidRDefault="00CE1AFB" w:rsidP="00CE1AFB">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CD4739">
              <w:rPr>
                <w:bCs w:val="0"/>
              </w:rPr>
              <w:t>t</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Borders>
              <w:right w:val="none" w:sz="0" w:space="0" w:color="auto"/>
            </w:tcBorders>
          </w:tcPr>
          <w:p w:rsidR="00CE1AFB" w:rsidRPr="00CD4739" w:rsidRDefault="00CE1AFB" w:rsidP="00CE1AFB">
            <w:pPr>
              <w:pStyle w:val="NoSpacing"/>
              <w:rPr>
                <w:b w:val="0"/>
              </w:rPr>
            </w:pPr>
            <w:r w:rsidRPr="00CD4739">
              <w:rPr>
                <w:b w:val="0"/>
              </w:rPr>
              <w:t>Age</w:t>
            </w:r>
          </w:p>
        </w:tc>
        <w:tc>
          <w:tcPr>
            <w:tcW w:w="1710"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.004</w:t>
            </w:r>
          </w:p>
        </w:tc>
        <w:tc>
          <w:tcPr>
            <w:tcW w:w="1620"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.005</w:t>
            </w:r>
          </w:p>
        </w:tc>
        <w:tc>
          <w:tcPr>
            <w:tcW w:w="1705" w:type="dxa"/>
            <w:tcBorders>
              <w:lef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.153</w:t>
            </w:r>
          </w:p>
        </w:tc>
      </w:tr>
      <w:tr w:rsidR="00CE1AFB" w:rsidRPr="00A21455" w:rsidTr="00CD47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Borders>
              <w:right w:val="none" w:sz="0" w:space="0" w:color="auto"/>
            </w:tcBorders>
          </w:tcPr>
          <w:p w:rsidR="00CE1AFB" w:rsidRPr="00CD4739" w:rsidRDefault="00CE1AFB" w:rsidP="00CE1AFB">
            <w:pPr>
              <w:pStyle w:val="NoSpacing"/>
              <w:rPr>
                <w:b w:val="0"/>
              </w:rPr>
            </w:pPr>
            <w:r w:rsidRPr="00CD4739">
              <w:rPr>
                <w:b w:val="0"/>
              </w:rPr>
              <w:t>Female</w:t>
            </w:r>
          </w:p>
        </w:tc>
        <w:tc>
          <w:tcPr>
            <w:tcW w:w="1710"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.056*</w:t>
            </w:r>
          </w:p>
        </w:tc>
        <w:tc>
          <w:tcPr>
            <w:tcW w:w="1620"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.153</w:t>
            </w:r>
          </w:p>
        </w:tc>
        <w:tc>
          <w:tcPr>
            <w:tcW w:w="1705" w:type="dxa"/>
            <w:tcBorders>
              <w:lef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2.183</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Borders>
              <w:right w:val="none" w:sz="0" w:space="0" w:color="auto"/>
            </w:tcBorders>
          </w:tcPr>
          <w:p w:rsidR="00CE1AFB" w:rsidRPr="00CD4739" w:rsidRDefault="00CE1AFB" w:rsidP="00CE1AFB">
            <w:pPr>
              <w:pStyle w:val="NoSpacing"/>
              <w:rPr>
                <w:b w:val="0"/>
              </w:rPr>
            </w:pPr>
            <w:r w:rsidRPr="00CD4739">
              <w:rPr>
                <w:b w:val="0"/>
              </w:rPr>
              <w:t>White</w:t>
            </w:r>
          </w:p>
        </w:tc>
        <w:tc>
          <w:tcPr>
            <w:tcW w:w="1710"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-.012</w:t>
            </w:r>
          </w:p>
        </w:tc>
        <w:tc>
          <w:tcPr>
            <w:tcW w:w="1620"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.131</w:t>
            </w:r>
          </w:p>
        </w:tc>
        <w:tc>
          <w:tcPr>
            <w:tcW w:w="1705" w:type="dxa"/>
            <w:tcBorders>
              <w:lef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-.456</w:t>
            </w:r>
          </w:p>
        </w:tc>
      </w:tr>
      <w:tr w:rsidR="00CE1AFB" w:rsidRPr="00A21455" w:rsidTr="00CD47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Borders>
              <w:right w:val="none" w:sz="0" w:space="0" w:color="auto"/>
            </w:tcBorders>
          </w:tcPr>
          <w:p w:rsidR="00CE1AFB" w:rsidRPr="00CD4739" w:rsidRDefault="00CE1AFB" w:rsidP="00CE1AFB">
            <w:pPr>
              <w:pStyle w:val="NoSpacing"/>
              <w:rPr>
                <w:b w:val="0"/>
              </w:rPr>
            </w:pPr>
            <w:r w:rsidRPr="00CD4739">
              <w:rPr>
                <w:b w:val="0"/>
              </w:rPr>
              <w:t>Social Work Degree</w:t>
            </w:r>
          </w:p>
        </w:tc>
        <w:tc>
          <w:tcPr>
            <w:tcW w:w="1710"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-.039*</w:t>
            </w:r>
          </w:p>
        </w:tc>
        <w:tc>
          <w:tcPr>
            <w:tcW w:w="1620"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.117</w:t>
            </w:r>
          </w:p>
        </w:tc>
        <w:tc>
          <w:tcPr>
            <w:tcW w:w="1705" w:type="dxa"/>
            <w:tcBorders>
              <w:lef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-1.418</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Borders>
              <w:right w:val="none" w:sz="0" w:space="0" w:color="auto"/>
            </w:tcBorders>
          </w:tcPr>
          <w:p w:rsidR="00CE1AFB" w:rsidRPr="00CD4739" w:rsidRDefault="00CE1AFB" w:rsidP="00CE1AFB">
            <w:pPr>
              <w:pStyle w:val="NoSpacing"/>
              <w:rPr>
                <w:b w:val="0"/>
              </w:rPr>
            </w:pPr>
            <w:r w:rsidRPr="00CD4739">
              <w:rPr>
                <w:b w:val="0"/>
              </w:rPr>
              <w:t>Work Experience (Years)</w:t>
            </w:r>
          </w:p>
        </w:tc>
        <w:tc>
          <w:tcPr>
            <w:tcW w:w="1710"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-.054</w:t>
            </w:r>
          </w:p>
        </w:tc>
        <w:tc>
          <w:tcPr>
            <w:tcW w:w="1620"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.140</w:t>
            </w:r>
          </w:p>
        </w:tc>
        <w:tc>
          <w:tcPr>
            <w:tcW w:w="1705" w:type="dxa"/>
            <w:tcBorders>
              <w:lef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-2.074</w:t>
            </w:r>
          </w:p>
        </w:tc>
      </w:tr>
      <w:tr w:rsidR="00CE1AFB" w:rsidRPr="00A21455" w:rsidTr="00CD47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Borders>
              <w:right w:val="none" w:sz="0" w:space="0" w:color="auto"/>
            </w:tcBorders>
          </w:tcPr>
          <w:p w:rsidR="00CE1AFB" w:rsidRPr="00CD4739" w:rsidRDefault="00CE1AFB" w:rsidP="00CE1AFB">
            <w:pPr>
              <w:pStyle w:val="NoSpacing"/>
              <w:rPr>
                <w:b w:val="0"/>
              </w:rPr>
            </w:pPr>
            <w:r w:rsidRPr="00CD4739">
              <w:rPr>
                <w:b w:val="0"/>
              </w:rPr>
              <w:t>Number of Open Caseloads</w:t>
            </w:r>
          </w:p>
        </w:tc>
        <w:tc>
          <w:tcPr>
            <w:tcW w:w="1710"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-.004</w:t>
            </w:r>
          </w:p>
        </w:tc>
        <w:tc>
          <w:tcPr>
            <w:tcW w:w="1620"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.009</w:t>
            </w:r>
          </w:p>
        </w:tc>
        <w:tc>
          <w:tcPr>
            <w:tcW w:w="1705" w:type="dxa"/>
            <w:tcBorders>
              <w:lef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-.144</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Borders>
              <w:right w:val="none" w:sz="0" w:space="0" w:color="auto"/>
            </w:tcBorders>
          </w:tcPr>
          <w:p w:rsidR="00CE1AFB" w:rsidRPr="00CD4739" w:rsidRDefault="00CE1AFB" w:rsidP="00CE1AFB">
            <w:pPr>
              <w:pStyle w:val="NoSpacing"/>
              <w:rPr>
                <w:b w:val="0"/>
              </w:rPr>
            </w:pPr>
            <w:r w:rsidRPr="00CD4739">
              <w:rPr>
                <w:b w:val="0"/>
              </w:rPr>
              <w:t>Manageable workload</w:t>
            </w:r>
          </w:p>
        </w:tc>
        <w:tc>
          <w:tcPr>
            <w:tcW w:w="1710"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.104***</w:t>
            </w:r>
          </w:p>
        </w:tc>
        <w:tc>
          <w:tcPr>
            <w:tcW w:w="1620"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.052</w:t>
            </w:r>
          </w:p>
        </w:tc>
        <w:tc>
          <w:tcPr>
            <w:tcW w:w="1705" w:type="dxa"/>
            <w:tcBorders>
              <w:lef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3.857</w:t>
            </w:r>
          </w:p>
        </w:tc>
      </w:tr>
      <w:tr w:rsidR="00CE1AFB" w:rsidRPr="00A21455" w:rsidTr="00CD47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Borders>
              <w:right w:val="none" w:sz="0" w:space="0" w:color="auto"/>
            </w:tcBorders>
          </w:tcPr>
          <w:p w:rsidR="00CE1AFB" w:rsidRPr="00CD4739" w:rsidRDefault="00CE1AFB" w:rsidP="00CE1AFB">
            <w:pPr>
              <w:pStyle w:val="NoSpacing"/>
              <w:rPr>
                <w:b w:val="0"/>
              </w:rPr>
            </w:pPr>
            <w:r w:rsidRPr="00CD4739">
              <w:rPr>
                <w:b w:val="0"/>
              </w:rPr>
              <w:t>CFTM Facilitation Skills</w:t>
            </w:r>
          </w:p>
        </w:tc>
        <w:tc>
          <w:tcPr>
            <w:tcW w:w="1710"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.135***</w:t>
            </w:r>
          </w:p>
        </w:tc>
        <w:tc>
          <w:tcPr>
            <w:tcW w:w="1620" w:type="dxa"/>
            <w:tcBorders>
              <w:left w:val="none" w:sz="0" w:space="0" w:color="auto"/>
              <w:righ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.083</w:t>
            </w:r>
          </w:p>
        </w:tc>
        <w:tc>
          <w:tcPr>
            <w:tcW w:w="1705" w:type="dxa"/>
            <w:tcBorders>
              <w:left w:val="none" w:sz="0" w:space="0" w:color="auto"/>
            </w:tcBorders>
          </w:tcPr>
          <w:p w:rsidR="00CE1AFB" w:rsidRPr="00A21455"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pPr>
            <w:r w:rsidRPr="00A21455">
              <w:t>5.220</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Borders>
              <w:right w:val="none" w:sz="0" w:space="0" w:color="auto"/>
            </w:tcBorders>
          </w:tcPr>
          <w:p w:rsidR="00CE1AFB" w:rsidRPr="00CD4739" w:rsidRDefault="00CE1AFB" w:rsidP="00CE1AFB">
            <w:pPr>
              <w:pStyle w:val="NoSpacing"/>
              <w:rPr>
                <w:b w:val="0"/>
              </w:rPr>
            </w:pPr>
            <w:r w:rsidRPr="00CD4739">
              <w:rPr>
                <w:b w:val="0"/>
              </w:rPr>
              <w:t>2018 Survey</w:t>
            </w:r>
          </w:p>
        </w:tc>
        <w:tc>
          <w:tcPr>
            <w:tcW w:w="1710"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-.300***</w:t>
            </w:r>
          </w:p>
        </w:tc>
        <w:tc>
          <w:tcPr>
            <w:tcW w:w="1620" w:type="dxa"/>
            <w:tcBorders>
              <w:left w:val="none" w:sz="0" w:space="0" w:color="auto"/>
              <w:righ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.110</w:t>
            </w:r>
          </w:p>
        </w:tc>
        <w:tc>
          <w:tcPr>
            <w:tcW w:w="1705" w:type="dxa"/>
            <w:tcBorders>
              <w:left w:val="none" w:sz="0" w:space="0" w:color="auto"/>
            </w:tcBorders>
          </w:tcPr>
          <w:p w:rsidR="00CE1AFB" w:rsidRPr="00A21455"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pPr>
            <w:r w:rsidRPr="00A21455">
              <w:t>-11.374</w:t>
            </w:r>
          </w:p>
        </w:tc>
      </w:tr>
      <w:tr w:rsidR="00CE1AFB" w:rsidRPr="00A21455" w:rsidTr="00CD47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Borders>
              <w:right w:val="none" w:sz="0" w:space="0" w:color="auto"/>
            </w:tcBorders>
          </w:tcPr>
          <w:p w:rsidR="00CE1AFB" w:rsidRPr="00CD4739" w:rsidRDefault="00CE1AFB" w:rsidP="00CE1AFB">
            <w:pPr>
              <w:pStyle w:val="NoSpacing"/>
              <w:jc w:val="center"/>
              <w:rPr>
                <w:bCs w:val="0"/>
              </w:rPr>
            </w:pPr>
            <w:r w:rsidRPr="00CD4739">
              <w:rPr>
                <w:bCs w:val="0"/>
              </w:rPr>
              <w:t>F</w:t>
            </w:r>
          </w:p>
        </w:tc>
        <w:tc>
          <w:tcPr>
            <w:tcW w:w="5035" w:type="dxa"/>
            <w:gridSpan w:val="3"/>
            <w:tcBorders>
              <w:left w:val="none" w:sz="0" w:space="0" w:color="auto"/>
            </w:tcBorders>
          </w:tcPr>
          <w:p w:rsidR="00CE1AFB" w:rsidRPr="00CD4739" w:rsidRDefault="00CE1AFB" w:rsidP="00CE1AFB">
            <w:pPr>
              <w:pStyle w:val="NoSpacing"/>
              <w:jc w:val="center"/>
              <w:cnfStyle w:val="000000010000" w:firstRow="0" w:lastRow="0" w:firstColumn="0" w:lastColumn="0" w:oddVBand="0" w:evenVBand="0" w:oddHBand="0" w:evenHBand="1" w:firstRowFirstColumn="0" w:firstRowLastColumn="0" w:lastRowFirstColumn="0" w:lastRowLastColumn="0"/>
              <w:rPr>
                <w:b/>
                <w:bCs/>
              </w:rPr>
            </w:pPr>
            <w:r w:rsidRPr="00CD4739">
              <w:rPr>
                <w:b/>
                <w:bCs/>
              </w:rPr>
              <w:t>19.360***</w:t>
            </w:r>
          </w:p>
        </w:tc>
      </w:tr>
      <w:tr w:rsidR="00CE1AFB" w:rsidRPr="00A21455" w:rsidTr="00CD4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Borders>
              <w:right w:val="none" w:sz="0" w:space="0" w:color="auto"/>
            </w:tcBorders>
          </w:tcPr>
          <w:p w:rsidR="00CE1AFB" w:rsidRPr="00CD4739" w:rsidRDefault="00CE1AFB" w:rsidP="00CE1AFB">
            <w:pPr>
              <w:pStyle w:val="NoSpacing"/>
              <w:jc w:val="center"/>
              <w:rPr>
                <w:bCs w:val="0"/>
                <w:vertAlign w:val="superscript"/>
              </w:rPr>
            </w:pPr>
            <w:r w:rsidRPr="00CD4739">
              <w:rPr>
                <w:bCs w:val="0"/>
              </w:rPr>
              <w:t>R</w:t>
            </w:r>
            <w:r w:rsidRPr="00CD4739">
              <w:rPr>
                <w:bCs w:val="0"/>
                <w:vertAlign w:val="superscript"/>
              </w:rPr>
              <w:t>2</w:t>
            </w:r>
          </w:p>
        </w:tc>
        <w:tc>
          <w:tcPr>
            <w:tcW w:w="5035" w:type="dxa"/>
            <w:gridSpan w:val="3"/>
            <w:tcBorders>
              <w:left w:val="none" w:sz="0" w:space="0" w:color="auto"/>
            </w:tcBorders>
          </w:tcPr>
          <w:p w:rsidR="00CE1AFB" w:rsidRPr="00CD4739" w:rsidRDefault="00CE1AFB" w:rsidP="00CE1AFB">
            <w:pPr>
              <w:pStyle w:val="NoSpacing"/>
              <w:jc w:val="center"/>
              <w:cnfStyle w:val="000000100000" w:firstRow="0" w:lastRow="0" w:firstColumn="0" w:lastColumn="0" w:oddVBand="0" w:evenVBand="0" w:oddHBand="1" w:evenHBand="0" w:firstRowFirstColumn="0" w:firstRowLastColumn="0" w:lastRowFirstColumn="0" w:lastRowLastColumn="0"/>
              <w:rPr>
                <w:b/>
                <w:bCs/>
              </w:rPr>
            </w:pPr>
            <w:r w:rsidRPr="00CD4739">
              <w:rPr>
                <w:b/>
                <w:bCs/>
              </w:rPr>
              <w:t>.114</w:t>
            </w:r>
          </w:p>
        </w:tc>
      </w:tr>
    </w:tbl>
    <w:p w:rsidR="00CE1AFB" w:rsidRPr="00A21455" w:rsidRDefault="00CE1AFB" w:rsidP="00CE1AFB">
      <w:pPr>
        <w:pStyle w:val="NoSpacing"/>
      </w:pPr>
      <w:r w:rsidRPr="00A21455">
        <w:t>*p &lt; .05, ***p &lt; .001</w:t>
      </w:r>
    </w:p>
    <w:p w:rsidR="00CE1AFB" w:rsidRPr="00A21455" w:rsidRDefault="00CE1AFB" w:rsidP="00CE1AFB">
      <w:pPr>
        <w:pStyle w:val="NoSpacing"/>
      </w:pPr>
    </w:p>
    <w:p w:rsidR="00F114E9" w:rsidRDefault="00CE1AFB" w:rsidP="00CE1AFB">
      <w:pPr>
        <w:pStyle w:val="NoSpacing"/>
      </w:pPr>
      <w:r w:rsidRPr="00A21455">
        <w:t xml:space="preserve"> </w:t>
      </w:r>
    </w:p>
    <w:p w:rsidR="00F114E9" w:rsidRDefault="00F114E9">
      <w:pPr>
        <w:spacing w:after="160" w:line="259" w:lineRule="auto"/>
        <w:rPr>
          <w:rFonts w:eastAsiaTheme="minorEastAsia"/>
        </w:rPr>
      </w:pPr>
      <w:r>
        <w:br w:type="page"/>
      </w:r>
    </w:p>
    <w:p w:rsidR="00CE1AFB" w:rsidRDefault="00F114E9" w:rsidP="00F114E9">
      <w:pPr>
        <w:pStyle w:val="Heading3"/>
      </w:pPr>
      <w:r>
        <w:t xml:space="preserve">FCM Survey: </w:t>
      </w:r>
      <w:r w:rsidRPr="00F114E9">
        <w:t>Model Fidelity and Child Well-Being in Family Team Conference: The Moderation Effect of Racial Matching</w:t>
      </w:r>
      <w:r w:rsidR="00C34156">
        <w:rPr>
          <w:rStyle w:val="FootnoteReference"/>
        </w:rPr>
        <w:footnoteReference w:id="8"/>
      </w:r>
    </w:p>
    <w:p w:rsidR="00F114E9" w:rsidRDefault="00F114E9" w:rsidP="00F114E9">
      <w:r>
        <w:t xml:space="preserve">In this section, the Evaluation Team explores two questions: </w:t>
      </w:r>
    </w:p>
    <w:p w:rsidR="00D46466" w:rsidRPr="00F114E9" w:rsidRDefault="00D46466" w:rsidP="0032600F">
      <w:pPr>
        <w:pStyle w:val="ListParagraph"/>
        <w:numPr>
          <w:ilvl w:val="0"/>
          <w:numId w:val="36"/>
        </w:numPr>
        <w:rPr>
          <w:rFonts w:asciiTheme="minorHAnsi" w:hAnsiTheme="minorHAnsi"/>
          <w:sz w:val="22"/>
          <w:szCs w:val="22"/>
        </w:rPr>
      </w:pPr>
      <w:r w:rsidRPr="00F114E9">
        <w:rPr>
          <w:rFonts w:asciiTheme="minorHAnsi" w:hAnsiTheme="minorHAnsi"/>
          <w:sz w:val="22"/>
          <w:szCs w:val="22"/>
        </w:rPr>
        <w:t xml:space="preserve">Is </w:t>
      </w:r>
      <w:r w:rsidR="00297E4E">
        <w:rPr>
          <w:rFonts w:asciiTheme="minorHAnsi" w:hAnsiTheme="minorHAnsi"/>
          <w:sz w:val="22"/>
          <w:szCs w:val="22"/>
        </w:rPr>
        <w:t>CFTM</w:t>
      </w:r>
      <w:r w:rsidRPr="00F114E9">
        <w:rPr>
          <w:rFonts w:asciiTheme="minorHAnsi" w:hAnsiTheme="minorHAnsi"/>
          <w:sz w:val="22"/>
          <w:szCs w:val="22"/>
        </w:rPr>
        <w:t xml:space="preserve"> culturally responsive? If so, how to implement </w:t>
      </w:r>
      <w:r w:rsidR="00297E4E">
        <w:rPr>
          <w:rFonts w:asciiTheme="minorHAnsi" w:hAnsiTheme="minorHAnsi"/>
          <w:sz w:val="22"/>
          <w:szCs w:val="22"/>
        </w:rPr>
        <w:t>CFTM</w:t>
      </w:r>
      <w:r w:rsidRPr="00F114E9">
        <w:rPr>
          <w:rFonts w:asciiTheme="minorHAnsi" w:hAnsiTheme="minorHAnsi"/>
          <w:sz w:val="22"/>
          <w:szCs w:val="22"/>
        </w:rPr>
        <w:t xml:space="preserve"> in order to improve the well-being of children of color? </w:t>
      </w:r>
    </w:p>
    <w:p w:rsidR="00D46466" w:rsidRPr="00F114E9" w:rsidRDefault="00D46466" w:rsidP="0032600F">
      <w:pPr>
        <w:pStyle w:val="ListParagraph"/>
        <w:numPr>
          <w:ilvl w:val="0"/>
          <w:numId w:val="36"/>
        </w:numPr>
        <w:rPr>
          <w:rFonts w:asciiTheme="minorHAnsi" w:hAnsiTheme="minorHAnsi"/>
          <w:sz w:val="22"/>
          <w:szCs w:val="22"/>
        </w:rPr>
      </w:pPr>
      <w:r w:rsidRPr="00F114E9">
        <w:rPr>
          <w:rFonts w:asciiTheme="minorHAnsi" w:hAnsiTheme="minorHAnsi"/>
          <w:sz w:val="22"/>
          <w:szCs w:val="22"/>
        </w:rPr>
        <w:t xml:space="preserve">Is racial matching effective for successfully implementing </w:t>
      </w:r>
      <w:r w:rsidR="00297E4E">
        <w:rPr>
          <w:rFonts w:asciiTheme="minorHAnsi" w:hAnsiTheme="minorHAnsi"/>
          <w:sz w:val="22"/>
          <w:szCs w:val="22"/>
        </w:rPr>
        <w:t>CFTM</w:t>
      </w:r>
      <w:r w:rsidRPr="00F114E9">
        <w:rPr>
          <w:rFonts w:asciiTheme="minorHAnsi" w:hAnsiTheme="minorHAnsi"/>
          <w:sz w:val="22"/>
          <w:szCs w:val="22"/>
        </w:rPr>
        <w:t xml:space="preserve"> with high fidelity and improving its intended outcome?</w:t>
      </w:r>
    </w:p>
    <w:p w:rsidR="00F114E9" w:rsidRDefault="00F114E9" w:rsidP="00F114E9">
      <w:r>
        <w:t>The purpose of this study aims to e</w:t>
      </w:r>
      <w:r w:rsidRPr="00F114E9">
        <w:t xml:space="preserve">xplore how the quality of implementing </w:t>
      </w:r>
      <w:r w:rsidR="00297E4E">
        <w:t>CFTM</w:t>
      </w:r>
      <w:r w:rsidRPr="00F114E9">
        <w:t xml:space="preserve"> (fidelity) differ between children matched with facilitators from the same or different racial groups</w:t>
      </w:r>
      <w:r>
        <w:t xml:space="preserve"> and e</w:t>
      </w:r>
      <w:r w:rsidRPr="00F114E9">
        <w:t xml:space="preserve">xamine the moderation effect of racial matching on the relationship between the fidelity of </w:t>
      </w:r>
      <w:r w:rsidR="00297E4E">
        <w:t>CFTM</w:t>
      </w:r>
      <w:r w:rsidRPr="00F114E9">
        <w:t xml:space="preserve"> and child well-being</w:t>
      </w:r>
      <w:r>
        <w:t>.</w:t>
      </w:r>
    </w:p>
    <w:p w:rsidR="00F114E9" w:rsidRDefault="00F114E9" w:rsidP="00F114E9"/>
    <w:p w:rsidR="00F114E9" w:rsidRDefault="00F114E9" w:rsidP="00F114E9">
      <w:pPr>
        <w:rPr>
          <w:b/>
          <w:color w:val="1F4E79"/>
        </w:rPr>
      </w:pPr>
      <w:r w:rsidRPr="00F114E9">
        <w:rPr>
          <w:b/>
          <w:color w:val="1F4E79"/>
        </w:rPr>
        <w:t>Measures:</w:t>
      </w:r>
    </w:p>
    <w:p w:rsidR="00F114E9" w:rsidRDefault="00F114E9" w:rsidP="00F114E9">
      <w:r>
        <w:t xml:space="preserve">Measures are provided below in Table </w:t>
      </w:r>
      <w:r w:rsidR="0061775C">
        <w:t>3</w:t>
      </w:r>
      <w:r w:rsidR="007D3CB0">
        <w:t>4</w:t>
      </w:r>
      <w:r>
        <w:t>.</w:t>
      </w:r>
    </w:p>
    <w:p w:rsidR="00F114E9" w:rsidRDefault="00F114E9" w:rsidP="00F114E9"/>
    <w:p w:rsidR="00F114E9" w:rsidRDefault="00F114E9" w:rsidP="00F114E9">
      <w:pPr>
        <w:pStyle w:val="Heading4"/>
      </w:pPr>
      <w:r>
        <w:t xml:space="preserve">Table </w:t>
      </w:r>
      <w:r w:rsidR="0061775C">
        <w:t>3</w:t>
      </w:r>
      <w:r w:rsidR="007D3CB0">
        <w:t xml:space="preserve">4. </w:t>
      </w:r>
      <w:r>
        <w:t>Measures</w:t>
      </w:r>
      <w:r w:rsidRPr="00F114E9">
        <w:t xml:space="preserve"> </w:t>
      </w:r>
    </w:p>
    <w:tbl>
      <w:tblPr>
        <w:tblStyle w:val="MediumShading1-Accent111"/>
        <w:tblW w:w="0" w:type="auto"/>
        <w:tblLook w:val="0420" w:firstRow="1" w:lastRow="0" w:firstColumn="0" w:lastColumn="0" w:noHBand="0" w:noVBand="1"/>
      </w:tblPr>
      <w:tblGrid>
        <w:gridCol w:w="1790"/>
        <w:gridCol w:w="6568"/>
        <w:gridCol w:w="899"/>
      </w:tblGrid>
      <w:tr w:rsidR="00F114E9" w:rsidRPr="00F114E9" w:rsidTr="00F114E9">
        <w:trPr>
          <w:cnfStyle w:val="100000000000" w:firstRow="1" w:lastRow="0" w:firstColumn="0" w:lastColumn="0" w:oddVBand="0" w:evenVBand="0" w:oddHBand="0" w:evenHBand="0" w:firstRowFirstColumn="0" w:firstRowLastColumn="0" w:lastRowFirstColumn="0" w:lastRowLastColumn="0"/>
          <w:trHeight w:val="42"/>
        </w:trPr>
        <w:tc>
          <w:tcPr>
            <w:tcW w:w="1790" w:type="dxa"/>
            <w:hideMark/>
          </w:tcPr>
          <w:p w:rsidR="00F114E9" w:rsidRPr="00F114E9" w:rsidRDefault="00F114E9" w:rsidP="00F114E9">
            <w:pPr>
              <w:jc w:val="center"/>
              <w:rPr>
                <w:rFonts w:ascii="Arial" w:eastAsia="Times New Roman" w:hAnsi="Arial" w:cs="Arial"/>
                <w:color w:val="FFFFFF" w:themeColor="background1"/>
              </w:rPr>
            </w:pPr>
            <w:r w:rsidRPr="00F114E9">
              <w:rPr>
                <w:rFonts w:ascii="Calibri" w:eastAsia="Times New Roman" w:hAnsi="Calibri" w:cs="Arial"/>
                <w:bCs w:val="0"/>
                <w:color w:val="FFFFFF" w:themeColor="background1"/>
                <w:spacing w:val="30"/>
                <w:kern w:val="24"/>
              </w:rPr>
              <w:t>Variables</w:t>
            </w:r>
          </w:p>
        </w:tc>
        <w:tc>
          <w:tcPr>
            <w:tcW w:w="6568" w:type="dxa"/>
            <w:hideMark/>
          </w:tcPr>
          <w:p w:rsidR="00F114E9" w:rsidRPr="00F114E9" w:rsidRDefault="00F114E9" w:rsidP="00F114E9">
            <w:pPr>
              <w:jc w:val="center"/>
              <w:rPr>
                <w:rFonts w:ascii="Arial" w:eastAsia="Times New Roman" w:hAnsi="Arial" w:cs="Arial"/>
                <w:color w:val="FFFFFF" w:themeColor="background1"/>
              </w:rPr>
            </w:pPr>
            <w:r w:rsidRPr="00F114E9">
              <w:rPr>
                <w:rFonts w:ascii="Calibri" w:eastAsia="Times New Roman" w:hAnsi="Calibri" w:cs="Arial"/>
                <w:bCs w:val="0"/>
                <w:color w:val="FFFFFF" w:themeColor="background1"/>
                <w:spacing w:val="30"/>
                <w:kern w:val="24"/>
              </w:rPr>
              <w:t>Measures</w:t>
            </w:r>
          </w:p>
        </w:tc>
        <w:tc>
          <w:tcPr>
            <w:tcW w:w="0" w:type="auto"/>
            <w:hideMark/>
          </w:tcPr>
          <w:p w:rsidR="00F114E9" w:rsidRPr="00F114E9" w:rsidRDefault="00F114E9" w:rsidP="00F114E9">
            <w:pPr>
              <w:jc w:val="center"/>
              <w:rPr>
                <w:rFonts w:ascii="Arial" w:eastAsia="Times New Roman" w:hAnsi="Arial" w:cs="Arial"/>
                <w:color w:val="FFFFFF" w:themeColor="background1"/>
              </w:rPr>
            </w:pPr>
            <w:r w:rsidRPr="00F114E9">
              <w:rPr>
                <w:rFonts w:ascii="Calibri" w:eastAsia="Times New Roman" w:hAnsi="Calibri" w:cs="Arial"/>
                <w:bCs w:val="0"/>
                <w:color w:val="FFFFFF" w:themeColor="background1"/>
                <w:spacing w:val="30"/>
                <w:kern w:val="24"/>
              </w:rPr>
              <w:t>Alpha</w:t>
            </w:r>
          </w:p>
        </w:tc>
      </w:tr>
      <w:tr w:rsidR="00F114E9" w:rsidRPr="00F114E9" w:rsidTr="00F114E9">
        <w:trPr>
          <w:cnfStyle w:val="000000100000" w:firstRow="0" w:lastRow="0" w:firstColumn="0" w:lastColumn="0" w:oddVBand="0" w:evenVBand="0" w:oddHBand="1" w:evenHBand="0" w:firstRowFirstColumn="0" w:firstRowLastColumn="0" w:lastRowFirstColumn="0" w:lastRowLastColumn="0"/>
          <w:trHeight w:val="1070"/>
        </w:trPr>
        <w:tc>
          <w:tcPr>
            <w:tcW w:w="1790" w:type="dxa"/>
            <w:hideMark/>
          </w:tcPr>
          <w:p w:rsidR="00F114E9" w:rsidRPr="00F114E9" w:rsidRDefault="00F114E9" w:rsidP="00F114E9">
            <w:pPr>
              <w:rPr>
                <w:rFonts w:ascii="Arial" w:eastAsia="Times New Roman" w:hAnsi="Arial" w:cs="Arial"/>
              </w:rPr>
            </w:pPr>
            <w:r w:rsidRPr="00F114E9">
              <w:rPr>
                <w:rFonts w:ascii="Calibri" w:eastAsia="Times New Roman" w:hAnsi="Calibri" w:cs="Arial"/>
                <w:color w:val="000000"/>
                <w:kern w:val="24"/>
              </w:rPr>
              <w:t>Child well-being</w:t>
            </w:r>
          </w:p>
        </w:tc>
        <w:tc>
          <w:tcPr>
            <w:tcW w:w="6568" w:type="dxa"/>
            <w:hideMark/>
          </w:tcPr>
          <w:p w:rsidR="00F114E9" w:rsidRPr="00F114E9" w:rsidRDefault="00F114E9" w:rsidP="0032600F">
            <w:pPr>
              <w:numPr>
                <w:ilvl w:val="0"/>
                <w:numId w:val="37"/>
              </w:numPr>
              <w:ind w:left="510" w:hanging="270"/>
              <w:contextualSpacing/>
              <w:rPr>
                <w:rFonts w:ascii="Arial" w:eastAsia="Times New Roman" w:hAnsi="Arial" w:cs="Arial"/>
              </w:rPr>
            </w:pPr>
            <w:r w:rsidRPr="00F114E9">
              <w:rPr>
                <w:rFonts w:ascii="Calibri" w:eastAsia="Times New Roman" w:hAnsi="Calibri" w:cs="Arial"/>
                <w:color w:val="000000"/>
                <w:kern w:val="24"/>
              </w:rPr>
              <w:t>Used four items that assessed the four domains of child well-being: (1) health, (2) emotional, (3) developmental, and (4) learning status (1 = adverse to 6  = optimal)</w:t>
            </w:r>
          </w:p>
        </w:tc>
        <w:tc>
          <w:tcPr>
            <w:tcW w:w="0" w:type="auto"/>
            <w:hideMark/>
          </w:tcPr>
          <w:p w:rsidR="00F114E9" w:rsidRPr="00F114E9" w:rsidRDefault="00F114E9" w:rsidP="00F114E9">
            <w:pPr>
              <w:jc w:val="center"/>
              <w:rPr>
                <w:rFonts w:ascii="Arial" w:eastAsia="Times New Roman" w:hAnsi="Arial" w:cs="Arial"/>
              </w:rPr>
            </w:pPr>
            <w:r w:rsidRPr="00F114E9">
              <w:rPr>
                <w:rFonts w:ascii="Calibri" w:eastAsia="Times New Roman" w:hAnsi="Calibri" w:cs="Arial"/>
                <w:color w:val="000000"/>
                <w:kern w:val="24"/>
              </w:rPr>
              <w:t>.91</w:t>
            </w:r>
          </w:p>
        </w:tc>
      </w:tr>
      <w:tr w:rsidR="00F114E9" w:rsidRPr="00F114E9" w:rsidTr="00F114E9">
        <w:trPr>
          <w:cnfStyle w:val="000000010000" w:firstRow="0" w:lastRow="0" w:firstColumn="0" w:lastColumn="0" w:oddVBand="0" w:evenVBand="0" w:oddHBand="0" w:evenHBand="1" w:firstRowFirstColumn="0" w:firstRowLastColumn="0" w:lastRowFirstColumn="0" w:lastRowLastColumn="0"/>
          <w:trHeight w:val="1670"/>
        </w:trPr>
        <w:tc>
          <w:tcPr>
            <w:tcW w:w="1790" w:type="dxa"/>
            <w:tcBorders>
              <w:right w:val="none" w:sz="0" w:space="0" w:color="auto"/>
            </w:tcBorders>
            <w:hideMark/>
          </w:tcPr>
          <w:p w:rsidR="00F114E9" w:rsidRPr="00F114E9" w:rsidRDefault="00297E4E" w:rsidP="00F114E9">
            <w:pPr>
              <w:rPr>
                <w:rFonts w:ascii="Arial" w:eastAsia="Times New Roman" w:hAnsi="Arial" w:cs="Arial"/>
              </w:rPr>
            </w:pPr>
            <w:r>
              <w:rPr>
                <w:rFonts w:ascii="Calibri" w:eastAsia="Times New Roman" w:hAnsi="Calibri" w:cs="Arial"/>
                <w:color w:val="000000"/>
                <w:kern w:val="24"/>
              </w:rPr>
              <w:t>CFTM</w:t>
            </w:r>
            <w:r w:rsidR="00F114E9" w:rsidRPr="00F114E9">
              <w:rPr>
                <w:rFonts w:ascii="Calibri" w:eastAsia="Times New Roman" w:hAnsi="Calibri" w:cs="Arial"/>
                <w:color w:val="000000"/>
                <w:kern w:val="24"/>
              </w:rPr>
              <w:t xml:space="preserve"> fidelity</w:t>
            </w:r>
          </w:p>
        </w:tc>
        <w:tc>
          <w:tcPr>
            <w:tcW w:w="6568" w:type="dxa"/>
            <w:tcBorders>
              <w:left w:val="none" w:sz="0" w:space="0" w:color="auto"/>
              <w:right w:val="none" w:sz="0" w:space="0" w:color="auto"/>
            </w:tcBorders>
            <w:hideMark/>
          </w:tcPr>
          <w:p w:rsidR="00F114E9" w:rsidRPr="00F114E9" w:rsidRDefault="00F114E9" w:rsidP="0032600F">
            <w:pPr>
              <w:numPr>
                <w:ilvl w:val="0"/>
                <w:numId w:val="38"/>
              </w:numPr>
              <w:ind w:left="510" w:hanging="270"/>
              <w:contextualSpacing/>
              <w:rPr>
                <w:rFonts w:ascii="Arial" w:eastAsia="Times New Roman" w:hAnsi="Arial" w:cs="Arial"/>
              </w:rPr>
            </w:pPr>
            <w:r w:rsidRPr="00F114E9">
              <w:rPr>
                <w:rFonts w:ascii="Calibri" w:eastAsia="Times New Roman" w:hAnsi="Calibri" w:cs="Arial"/>
                <w:color w:val="000000"/>
                <w:kern w:val="24"/>
              </w:rPr>
              <w:t xml:space="preserve">Used the fidelity index that assessed the ten core principles of </w:t>
            </w:r>
            <w:r w:rsidR="00297E4E">
              <w:rPr>
                <w:rFonts w:ascii="Calibri" w:eastAsia="Times New Roman" w:hAnsi="Calibri" w:cs="Arial"/>
                <w:color w:val="000000"/>
                <w:kern w:val="24"/>
              </w:rPr>
              <w:t>CFTM</w:t>
            </w:r>
            <w:r w:rsidRPr="00F114E9">
              <w:rPr>
                <w:rFonts w:ascii="Calibri" w:eastAsia="Times New Roman" w:hAnsi="Calibri" w:cs="Arial"/>
                <w:color w:val="000000"/>
                <w:kern w:val="24"/>
              </w:rPr>
              <w:t>: (1) family voice and choice, (2) strengths-based approach, (3) cultural respect, (4) teamwork, (5) collaborative process, (6) natural support, (7) community-based services, (8) individualized plan, (9) persistence, and (10) outcome-based evaluation (1 = strongly disagree to 5 = strongly agree)</w:t>
            </w:r>
          </w:p>
        </w:tc>
        <w:tc>
          <w:tcPr>
            <w:tcW w:w="0" w:type="auto"/>
            <w:tcBorders>
              <w:left w:val="none" w:sz="0" w:space="0" w:color="auto"/>
            </w:tcBorders>
            <w:hideMark/>
          </w:tcPr>
          <w:p w:rsidR="00F114E9" w:rsidRPr="00F114E9" w:rsidRDefault="00F114E9" w:rsidP="00F114E9">
            <w:pPr>
              <w:jc w:val="center"/>
              <w:rPr>
                <w:rFonts w:ascii="Arial" w:eastAsia="Times New Roman" w:hAnsi="Arial" w:cs="Arial"/>
              </w:rPr>
            </w:pPr>
            <w:r w:rsidRPr="00F114E9">
              <w:rPr>
                <w:rFonts w:ascii="Calibri" w:eastAsia="Times New Roman" w:hAnsi="Calibri" w:cs="Arial"/>
                <w:color w:val="000000"/>
                <w:kern w:val="24"/>
              </w:rPr>
              <w:t>.87</w:t>
            </w:r>
          </w:p>
        </w:tc>
      </w:tr>
      <w:tr w:rsidR="00F114E9" w:rsidRPr="00F114E9" w:rsidTr="00F114E9">
        <w:trPr>
          <w:cnfStyle w:val="000000100000" w:firstRow="0" w:lastRow="0" w:firstColumn="0" w:lastColumn="0" w:oddVBand="0" w:evenVBand="0" w:oddHBand="1" w:evenHBand="0" w:firstRowFirstColumn="0" w:firstRowLastColumn="0" w:lastRowFirstColumn="0" w:lastRowLastColumn="0"/>
          <w:trHeight w:val="1670"/>
        </w:trPr>
        <w:tc>
          <w:tcPr>
            <w:tcW w:w="1790" w:type="dxa"/>
            <w:hideMark/>
          </w:tcPr>
          <w:p w:rsidR="00F114E9" w:rsidRPr="00F114E9" w:rsidRDefault="00F114E9" w:rsidP="00F114E9">
            <w:pPr>
              <w:rPr>
                <w:rFonts w:ascii="Arial" w:eastAsia="Times New Roman" w:hAnsi="Arial" w:cs="Arial"/>
              </w:rPr>
            </w:pPr>
            <w:r w:rsidRPr="00F114E9">
              <w:rPr>
                <w:rFonts w:ascii="Calibri" w:eastAsia="Times New Roman" w:hAnsi="Calibri" w:cs="Arial"/>
                <w:color w:val="000000"/>
                <w:kern w:val="24"/>
              </w:rPr>
              <w:t>Racial matching</w:t>
            </w:r>
          </w:p>
        </w:tc>
        <w:tc>
          <w:tcPr>
            <w:tcW w:w="6568" w:type="dxa"/>
            <w:hideMark/>
          </w:tcPr>
          <w:p w:rsidR="00F114E9" w:rsidRPr="00F114E9" w:rsidRDefault="00F114E9" w:rsidP="0032600F">
            <w:pPr>
              <w:numPr>
                <w:ilvl w:val="0"/>
                <w:numId w:val="39"/>
              </w:numPr>
              <w:ind w:left="510" w:hanging="270"/>
              <w:contextualSpacing/>
              <w:rPr>
                <w:rFonts w:ascii="Arial" w:eastAsia="Times New Roman" w:hAnsi="Arial" w:cs="Arial"/>
              </w:rPr>
            </w:pPr>
            <w:r w:rsidRPr="00F114E9">
              <w:rPr>
                <w:rFonts w:ascii="Calibri" w:eastAsia="Times New Roman" w:hAnsi="Calibri" w:cs="Arial"/>
                <w:color w:val="000000"/>
                <w:kern w:val="24"/>
              </w:rPr>
              <w:t>Initially created racial matching between a caseworker and a child for seven racial groups</w:t>
            </w:r>
          </w:p>
          <w:p w:rsidR="00F114E9" w:rsidRPr="00F114E9" w:rsidRDefault="00F114E9" w:rsidP="0032600F">
            <w:pPr>
              <w:numPr>
                <w:ilvl w:val="0"/>
                <w:numId w:val="39"/>
              </w:numPr>
              <w:ind w:left="510" w:hanging="270"/>
              <w:contextualSpacing/>
              <w:rPr>
                <w:rFonts w:ascii="Arial" w:eastAsia="Times New Roman" w:hAnsi="Arial" w:cs="Arial"/>
              </w:rPr>
            </w:pPr>
            <w:r w:rsidRPr="00F114E9">
              <w:rPr>
                <w:rFonts w:ascii="Calibri" w:eastAsia="Times New Roman" w:hAnsi="Calibri" w:cs="Arial"/>
                <w:color w:val="000000"/>
                <w:kern w:val="24"/>
              </w:rPr>
              <w:t>Categorized the initial racial matching into four groups by considering the child’s racial minority status: (1) non-racial matching for white children, (2) racial-matching for white children, (3) non-racial matching for children of color, and (4) racial matching for children of color (reference group)</w:t>
            </w:r>
          </w:p>
        </w:tc>
        <w:tc>
          <w:tcPr>
            <w:tcW w:w="0" w:type="auto"/>
            <w:hideMark/>
          </w:tcPr>
          <w:p w:rsidR="00F114E9" w:rsidRPr="00F114E9" w:rsidRDefault="00F114E9" w:rsidP="00F114E9">
            <w:pPr>
              <w:jc w:val="center"/>
              <w:rPr>
                <w:rFonts w:ascii="Arial" w:eastAsia="Times New Roman" w:hAnsi="Arial" w:cs="Arial"/>
              </w:rPr>
            </w:pPr>
            <w:r w:rsidRPr="00F114E9">
              <w:rPr>
                <w:rFonts w:ascii="Calibri" w:eastAsia="Times New Roman" w:hAnsi="Calibri" w:cs="Arial"/>
                <w:color w:val="000000"/>
                <w:kern w:val="24"/>
              </w:rPr>
              <w:t>N/A</w:t>
            </w:r>
          </w:p>
        </w:tc>
      </w:tr>
      <w:tr w:rsidR="00F114E9" w:rsidRPr="00F114E9" w:rsidTr="00F114E9">
        <w:trPr>
          <w:cnfStyle w:val="000000010000" w:firstRow="0" w:lastRow="0" w:firstColumn="0" w:lastColumn="0" w:oddVBand="0" w:evenVBand="0" w:oddHBand="0" w:evenHBand="1" w:firstRowFirstColumn="0" w:firstRowLastColumn="0" w:lastRowFirstColumn="0" w:lastRowLastColumn="0"/>
          <w:trHeight w:val="1670"/>
        </w:trPr>
        <w:tc>
          <w:tcPr>
            <w:tcW w:w="1790" w:type="dxa"/>
            <w:tcBorders>
              <w:right w:val="none" w:sz="0" w:space="0" w:color="auto"/>
            </w:tcBorders>
            <w:hideMark/>
          </w:tcPr>
          <w:p w:rsidR="00F114E9" w:rsidRPr="00F114E9" w:rsidRDefault="00F114E9" w:rsidP="00F114E9">
            <w:pPr>
              <w:rPr>
                <w:rFonts w:ascii="Arial" w:eastAsia="Times New Roman" w:hAnsi="Arial" w:cs="Arial"/>
              </w:rPr>
            </w:pPr>
            <w:r w:rsidRPr="00F114E9">
              <w:rPr>
                <w:rFonts w:ascii="Calibri" w:eastAsia="Times New Roman" w:hAnsi="Calibri" w:cs="Arial"/>
                <w:color w:val="000000"/>
                <w:kern w:val="24"/>
              </w:rPr>
              <w:t>Control variables</w:t>
            </w:r>
          </w:p>
        </w:tc>
        <w:tc>
          <w:tcPr>
            <w:tcW w:w="6568" w:type="dxa"/>
            <w:tcBorders>
              <w:left w:val="none" w:sz="0" w:space="0" w:color="auto"/>
              <w:right w:val="none" w:sz="0" w:space="0" w:color="auto"/>
            </w:tcBorders>
            <w:hideMark/>
          </w:tcPr>
          <w:p w:rsidR="00F114E9" w:rsidRPr="00F114E9" w:rsidRDefault="00F114E9" w:rsidP="0032600F">
            <w:pPr>
              <w:numPr>
                <w:ilvl w:val="0"/>
                <w:numId w:val="40"/>
              </w:numPr>
              <w:ind w:left="510" w:hanging="270"/>
              <w:contextualSpacing/>
              <w:rPr>
                <w:rFonts w:ascii="Arial" w:eastAsia="Times New Roman" w:hAnsi="Arial" w:cs="Arial"/>
              </w:rPr>
            </w:pPr>
            <w:r w:rsidRPr="00F114E9">
              <w:rPr>
                <w:rFonts w:ascii="Calibri" w:eastAsia="Times New Roman" w:hAnsi="Calibri" w:cs="Arial"/>
                <w:color w:val="000000"/>
                <w:kern w:val="24"/>
              </w:rPr>
              <w:t>Child characteristics: age, gender, placement type, having multiple caseworkers, and the level of difficulty</w:t>
            </w:r>
          </w:p>
          <w:p w:rsidR="00F114E9" w:rsidRPr="00F114E9" w:rsidRDefault="00F114E9" w:rsidP="0032600F">
            <w:pPr>
              <w:numPr>
                <w:ilvl w:val="0"/>
                <w:numId w:val="40"/>
              </w:numPr>
              <w:ind w:left="510" w:hanging="270"/>
              <w:contextualSpacing/>
              <w:rPr>
                <w:rFonts w:ascii="Arial" w:eastAsia="Times New Roman" w:hAnsi="Arial" w:cs="Arial"/>
              </w:rPr>
            </w:pPr>
            <w:r w:rsidRPr="00F114E9">
              <w:rPr>
                <w:rFonts w:ascii="Calibri" w:eastAsia="Times New Roman" w:hAnsi="Calibri" w:cs="Arial"/>
                <w:color w:val="000000"/>
                <w:kern w:val="24"/>
              </w:rPr>
              <w:t>Caseworker characteristics: age, gender, educational level, caseload, work experience, and facilitation skills for family meetings</w:t>
            </w:r>
          </w:p>
        </w:tc>
        <w:tc>
          <w:tcPr>
            <w:tcW w:w="0" w:type="auto"/>
            <w:tcBorders>
              <w:left w:val="none" w:sz="0" w:space="0" w:color="auto"/>
            </w:tcBorders>
            <w:hideMark/>
          </w:tcPr>
          <w:p w:rsidR="00F114E9" w:rsidRPr="00F114E9" w:rsidRDefault="00F114E9" w:rsidP="00F114E9">
            <w:pPr>
              <w:jc w:val="center"/>
              <w:rPr>
                <w:rFonts w:ascii="Arial" w:eastAsia="Times New Roman" w:hAnsi="Arial" w:cs="Arial"/>
              </w:rPr>
            </w:pPr>
            <w:r w:rsidRPr="00F114E9">
              <w:rPr>
                <w:rFonts w:ascii="Calibri" w:eastAsia="Times New Roman" w:hAnsi="Calibri" w:cs="Arial"/>
                <w:color w:val="000000"/>
                <w:kern w:val="24"/>
              </w:rPr>
              <w:t>N/A</w:t>
            </w:r>
          </w:p>
        </w:tc>
      </w:tr>
    </w:tbl>
    <w:p w:rsidR="008B2EF5" w:rsidRDefault="00F114E9" w:rsidP="00F114E9">
      <w:pPr>
        <w:rPr>
          <w:b/>
          <w:color w:val="1F4E79"/>
        </w:rPr>
      </w:pPr>
      <w:r>
        <w:rPr>
          <w:b/>
          <w:color w:val="1F4E79"/>
        </w:rPr>
        <w:t>Results:</w:t>
      </w:r>
    </w:p>
    <w:p w:rsidR="008B2EF5" w:rsidRDefault="008B2EF5" w:rsidP="008B2EF5">
      <w:r>
        <w:t>Descriptive analyses of the racial characteristics of caseworkers and children will be provided. Then, an ANOVA will compare the fidelity of CTFMs between four racial matching groups with a Bonferroni test.  Finally, a multiple regression with PROCESS analysis will e</w:t>
      </w:r>
      <w:r w:rsidRPr="008B2EF5">
        <w:t>xamine the main effects of major variables on child well-being</w:t>
      </w:r>
      <w:r>
        <w:t>, e</w:t>
      </w:r>
      <w:r w:rsidRPr="008B2EF5">
        <w:t>xamine the moderation effect of racial matching</w:t>
      </w:r>
      <w:r>
        <w:t>, and c</w:t>
      </w:r>
      <w:r w:rsidRPr="008B2EF5">
        <w:t>onduct a pick-a-point approach that probes the significance level of the moderation effect</w:t>
      </w:r>
      <w:r>
        <w:t>.</w:t>
      </w:r>
    </w:p>
    <w:p w:rsidR="008B2EF5" w:rsidRDefault="008B2EF5" w:rsidP="008B2EF5"/>
    <w:p w:rsidR="008B2EF5" w:rsidRDefault="008B2EF5" w:rsidP="008B2EF5">
      <w:r w:rsidRPr="008B2EF5">
        <w:t>The majority of white children (84.8%) were matche</w:t>
      </w:r>
      <w:r>
        <w:t xml:space="preserve">d with white caseworkers. </w:t>
      </w:r>
      <w:r w:rsidRPr="008B2EF5">
        <w:t>About 30% of children of color were matched with caseworkers from the same racial group.</w:t>
      </w:r>
      <w:r>
        <w:t xml:space="preserve"> (</w:t>
      </w:r>
      <w:r w:rsidR="0061775C">
        <w:t>Table 3</w:t>
      </w:r>
      <w:r w:rsidR="007D3CB0">
        <w:t>5</w:t>
      </w:r>
      <w:r>
        <w:t>)</w:t>
      </w:r>
    </w:p>
    <w:p w:rsidR="008B2EF5" w:rsidRDefault="008B2EF5" w:rsidP="008B2EF5"/>
    <w:p w:rsidR="008B2EF5" w:rsidRDefault="008B2EF5" w:rsidP="008B2EF5">
      <w:pPr>
        <w:pStyle w:val="Heading4"/>
      </w:pPr>
      <w:r>
        <w:t xml:space="preserve">Table </w:t>
      </w:r>
      <w:r w:rsidR="0061775C">
        <w:t>3</w:t>
      </w:r>
      <w:r w:rsidR="007D3CB0">
        <w:t xml:space="preserve">5. </w:t>
      </w:r>
      <w:r>
        <w:t>Racial Matching</w:t>
      </w:r>
    </w:p>
    <w:tbl>
      <w:tblPr>
        <w:tblStyle w:val="GridTable4-Accent5"/>
        <w:tblW w:w="5000" w:type="pct"/>
        <w:tblLook w:val="0420" w:firstRow="1" w:lastRow="0" w:firstColumn="0" w:lastColumn="0" w:noHBand="0" w:noVBand="1"/>
      </w:tblPr>
      <w:tblGrid>
        <w:gridCol w:w="3623"/>
        <w:gridCol w:w="1431"/>
        <w:gridCol w:w="1432"/>
        <w:gridCol w:w="1432"/>
        <w:gridCol w:w="1432"/>
      </w:tblGrid>
      <w:tr w:rsidR="00F114E9" w:rsidRPr="00F114E9" w:rsidTr="00297E4E">
        <w:trPr>
          <w:cnfStyle w:val="100000000000" w:firstRow="1" w:lastRow="0" w:firstColumn="0" w:lastColumn="0" w:oddVBand="0" w:evenVBand="0" w:oddHBand="0" w:evenHBand="0" w:firstRowFirstColumn="0" w:firstRowLastColumn="0" w:lastRowFirstColumn="0" w:lastRowLastColumn="0"/>
          <w:trHeight w:val="20"/>
        </w:trPr>
        <w:tc>
          <w:tcPr>
            <w:tcW w:w="1937" w:type="pct"/>
            <w:vMerge w:val="restart"/>
            <w:vAlign w:val="bottom"/>
            <w:hideMark/>
          </w:tcPr>
          <w:p w:rsidR="00F114E9" w:rsidRPr="00F114E9" w:rsidRDefault="00F114E9" w:rsidP="00297E4E">
            <w:r w:rsidRPr="00F114E9">
              <w:t>Racial Groups</w:t>
            </w:r>
          </w:p>
        </w:tc>
        <w:tc>
          <w:tcPr>
            <w:tcW w:w="1531" w:type="pct"/>
            <w:gridSpan w:val="2"/>
            <w:vAlign w:val="bottom"/>
            <w:hideMark/>
          </w:tcPr>
          <w:p w:rsidR="00F114E9" w:rsidRPr="00F114E9" w:rsidRDefault="00F114E9" w:rsidP="00297E4E">
            <w:pPr>
              <w:jc w:val="center"/>
            </w:pPr>
            <w:r w:rsidRPr="00F114E9">
              <w:t>Children</w:t>
            </w:r>
          </w:p>
        </w:tc>
        <w:tc>
          <w:tcPr>
            <w:tcW w:w="1532" w:type="pct"/>
            <w:gridSpan w:val="2"/>
            <w:vAlign w:val="bottom"/>
            <w:hideMark/>
          </w:tcPr>
          <w:p w:rsidR="00F114E9" w:rsidRPr="00F114E9" w:rsidRDefault="00F114E9" w:rsidP="00297E4E">
            <w:pPr>
              <w:jc w:val="center"/>
            </w:pPr>
            <w:r w:rsidRPr="00F114E9">
              <w:t>Caseworkers</w:t>
            </w:r>
          </w:p>
        </w:tc>
      </w:tr>
      <w:tr w:rsidR="00297E4E" w:rsidRPr="00F114E9" w:rsidTr="00297E4E">
        <w:trPr>
          <w:cnfStyle w:val="000000100000" w:firstRow="0" w:lastRow="0" w:firstColumn="0" w:lastColumn="0" w:oddVBand="0" w:evenVBand="0" w:oddHBand="1" w:evenHBand="0" w:firstRowFirstColumn="0" w:firstRowLastColumn="0" w:lastRowFirstColumn="0" w:lastRowLastColumn="0"/>
          <w:trHeight w:val="20"/>
        </w:trPr>
        <w:tc>
          <w:tcPr>
            <w:tcW w:w="1937" w:type="pct"/>
            <w:vMerge/>
            <w:vAlign w:val="bottom"/>
            <w:hideMark/>
          </w:tcPr>
          <w:p w:rsidR="00F114E9" w:rsidRPr="00F114E9" w:rsidRDefault="00F114E9" w:rsidP="00297E4E"/>
        </w:tc>
        <w:tc>
          <w:tcPr>
            <w:tcW w:w="765" w:type="pct"/>
            <w:shd w:val="clear" w:color="auto" w:fill="4472C4" w:themeFill="accent5"/>
            <w:vAlign w:val="bottom"/>
            <w:hideMark/>
          </w:tcPr>
          <w:p w:rsidR="00F114E9" w:rsidRPr="00297E4E" w:rsidRDefault="00F114E9" w:rsidP="00297E4E">
            <w:pPr>
              <w:jc w:val="center"/>
              <w:rPr>
                <w:b/>
                <w:color w:val="FFFFFF" w:themeColor="background1"/>
              </w:rPr>
            </w:pPr>
            <w:r w:rsidRPr="00297E4E">
              <w:rPr>
                <w:b/>
                <w:color w:val="FFFFFF" w:themeColor="background1"/>
              </w:rPr>
              <w:t>N</w:t>
            </w:r>
          </w:p>
        </w:tc>
        <w:tc>
          <w:tcPr>
            <w:tcW w:w="766" w:type="pct"/>
            <w:shd w:val="clear" w:color="auto" w:fill="4472C4" w:themeFill="accent5"/>
            <w:vAlign w:val="bottom"/>
            <w:hideMark/>
          </w:tcPr>
          <w:p w:rsidR="00F114E9" w:rsidRPr="00297E4E" w:rsidRDefault="00F114E9" w:rsidP="00297E4E">
            <w:pPr>
              <w:jc w:val="center"/>
              <w:rPr>
                <w:b/>
                <w:color w:val="FFFFFF" w:themeColor="background1"/>
              </w:rPr>
            </w:pPr>
            <w:r w:rsidRPr="00297E4E">
              <w:rPr>
                <w:b/>
                <w:color w:val="FFFFFF" w:themeColor="background1"/>
              </w:rPr>
              <w:t>Percent</w:t>
            </w:r>
          </w:p>
        </w:tc>
        <w:tc>
          <w:tcPr>
            <w:tcW w:w="766" w:type="pct"/>
            <w:shd w:val="clear" w:color="auto" w:fill="4472C4" w:themeFill="accent5"/>
            <w:vAlign w:val="bottom"/>
            <w:hideMark/>
          </w:tcPr>
          <w:p w:rsidR="00F114E9" w:rsidRPr="00297E4E" w:rsidRDefault="00F114E9" w:rsidP="00297E4E">
            <w:pPr>
              <w:jc w:val="center"/>
              <w:rPr>
                <w:b/>
                <w:color w:val="FFFFFF" w:themeColor="background1"/>
              </w:rPr>
            </w:pPr>
            <w:r w:rsidRPr="00297E4E">
              <w:rPr>
                <w:b/>
                <w:color w:val="FFFFFF" w:themeColor="background1"/>
              </w:rPr>
              <w:t>N</w:t>
            </w:r>
          </w:p>
        </w:tc>
        <w:tc>
          <w:tcPr>
            <w:tcW w:w="766" w:type="pct"/>
            <w:shd w:val="clear" w:color="auto" w:fill="4472C4" w:themeFill="accent5"/>
            <w:vAlign w:val="bottom"/>
            <w:hideMark/>
          </w:tcPr>
          <w:p w:rsidR="00F114E9" w:rsidRPr="00297E4E" w:rsidRDefault="00F114E9" w:rsidP="00297E4E">
            <w:pPr>
              <w:jc w:val="center"/>
              <w:rPr>
                <w:b/>
                <w:color w:val="FFFFFF" w:themeColor="background1"/>
              </w:rPr>
            </w:pPr>
            <w:r w:rsidRPr="00297E4E">
              <w:rPr>
                <w:b/>
                <w:color w:val="FFFFFF" w:themeColor="background1"/>
              </w:rPr>
              <w:t>Percent</w:t>
            </w:r>
          </w:p>
        </w:tc>
      </w:tr>
      <w:tr w:rsidR="00297E4E" w:rsidRPr="00F114E9" w:rsidTr="00297E4E">
        <w:trPr>
          <w:trHeight w:val="20"/>
        </w:trPr>
        <w:tc>
          <w:tcPr>
            <w:tcW w:w="1937" w:type="pct"/>
            <w:vAlign w:val="bottom"/>
            <w:hideMark/>
          </w:tcPr>
          <w:p w:rsidR="00F114E9" w:rsidRPr="00F114E9" w:rsidRDefault="00F114E9" w:rsidP="00297E4E">
            <w:r w:rsidRPr="00F114E9">
              <w:t>White</w:t>
            </w:r>
          </w:p>
        </w:tc>
        <w:tc>
          <w:tcPr>
            <w:tcW w:w="765" w:type="pct"/>
            <w:vAlign w:val="bottom"/>
            <w:hideMark/>
          </w:tcPr>
          <w:p w:rsidR="00F114E9" w:rsidRPr="00F114E9" w:rsidRDefault="00F114E9" w:rsidP="00297E4E">
            <w:pPr>
              <w:jc w:val="center"/>
            </w:pPr>
            <w:r w:rsidRPr="00F114E9">
              <w:t>533</w:t>
            </w:r>
          </w:p>
        </w:tc>
        <w:tc>
          <w:tcPr>
            <w:tcW w:w="766" w:type="pct"/>
            <w:vAlign w:val="bottom"/>
            <w:hideMark/>
          </w:tcPr>
          <w:p w:rsidR="00F114E9" w:rsidRPr="00F114E9" w:rsidRDefault="00F114E9" w:rsidP="00297E4E">
            <w:pPr>
              <w:jc w:val="center"/>
            </w:pPr>
            <w:r w:rsidRPr="00F114E9">
              <w:t>72.7</w:t>
            </w:r>
          </w:p>
        </w:tc>
        <w:tc>
          <w:tcPr>
            <w:tcW w:w="766" w:type="pct"/>
            <w:vAlign w:val="bottom"/>
            <w:hideMark/>
          </w:tcPr>
          <w:p w:rsidR="00F114E9" w:rsidRPr="00F114E9" w:rsidRDefault="00F114E9" w:rsidP="00297E4E">
            <w:pPr>
              <w:jc w:val="center"/>
            </w:pPr>
            <w:r w:rsidRPr="00F114E9">
              <w:t>544</w:t>
            </w:r>
          </w:p>
        </w:tc>
        <w:tc>
          <w:tcPr>
            <w:tcW w:w="766" w:type="pct"/>
            <w:vAlign w:val="bottom"/>
            <w:hideMark/>
          </w:tcPr>
          <w:p w:rsidR="00F114E9" w:rsidRPr="00F114E9" w:rsidRDefault="00F114E9" w:rsidP="00297E4E">
            <w:pPr>
              <w:jc w:val="center"/>
            </w:pPr>
            <w:r w:rsidRPr="00F114E9">
              <w:t>77.7</w:t>
            </w:r>
          </w:p>
        </w:tc>
      </w:tr>
      <w:tr w:rsidR="00297E4E" w:rsidRPr="00F114E9" w:rsidTr="00297E4E">
        <w:trPr>
          <w:cnfStyle w:val="000000100000" w:firstRow="0" w:lastRow="0" w:firstColumn="0" w:lastColumn="0" w:oddVBand="0" w:evenVBand="0" w:oddHBand="1" w:evenHBand="0" w:firstRowFirstColumn="0" w:firstRowLastColumn="0" w:lastRowFirstColumn="0" w:lastRowLastColumn="0"/>
          <w:trHeight w:val="20"/>
        </w:trPr>
        <w:tc>
          <w:tcPr>
            <w:tcW w:w="1937" w:type="pct"/>
            <w:vAlign w:val="bottom"/>
            <w:hideMark/>
          </w:tcPr>
          <w:p w:rsidR="00F114E9" w:rsidRPr="00F114E9" w:rsidRDefault="00F114E9" w:rsidP="00297E4E">
            <w:r w:rsidRPr="00F114E9">
              <w:t>African American</w:t>
            </w:r>
          </w:p>
        </w:tc>
        <w:tc>
          <w:tcPr>
            <w:tcW w:w="765" w:type="pct"/>
            <w:vAlign w:val="bottom"/>
            <w:hideMark/>
          </w:tcPr>
          <w:p w:rsidR="00F114E9" w:rsidRPr="00F114E9" w:rsidRDefault="00F114E9" w:rsidP="00297E4E">
            <w:pPr>
              <w:jc w:val="center"/>
            </w:pPr>
            <w:r w:rsidRPr="00F114E9">
              <w:t>113</w:t>
            </w:r>
          </w:p>
        </w:tc>
        <w:tc>
          <w:tcPr>
            <w:tcW w:w="766" w:type="pct"/>
            <w:vAlign w:val="bottom"/>
            <w:hideMark/>
          </w:tcPr>
          <w:p w:rsidR="00F114E9" w:rsidRPr="00F114E9" w:rsidRDefault="00F114E9" w:rsidP="00297E4E">
            <w:pPr>
              <w:jc w:val="center"/>
            </w:pPr>
            <w:r w:rsidRPr="00F114E9">
              <w:t>15.4</w:t>
            </w:r>
          </w:p>
        </w:tc>
        <w:tc>
          <w:tcPr>
            <w:tcW w:w="766" w:type="pct"/>
            <w:vAlign w:val="bottom"/>
            <w:hideMark/>
          </w:tcPr>
          <w:p w:rsidR="00F114E9" w:rsidRPr="00F114E9" w:rsidRDefault="00F114E9" w:rsidP="00297E4E">
            <w:pPr>
              <w:jc w:val="center"/>
            </w:pPr>
            <w:r w:rsidRPr="00F114E9">
              <w:t>115</w:t>
            </w:r>
          </w:p>
        </w:tc>
        <w:tc>
          <w:tcPr>
            <w:tcW w:w="766" w:type="pct"/>
            <w:vAlign w:val="bottom"/>
            <w:hideMark/>
          </w:tcPr>
          <w:p w:rsidR="00F114E9" w:rsidRPr="00F114E9" w:rsidRDefault="00F114E9" w:rsidP="00297E4E">
            <w:pPr>
              <w:jc w:val="center"/>
            </w:pPr>
            <w:r w:rsidRPr="00F114E9">
              <w:t>16.4</w:t>
            </w:r>
          </w:p>
        </w:tc>
      </w:tr>
      <w:tr w:rsidR="00297E4E" w:rsidRPr="00F114E9" w:rsidTr="00297E4E">
        <w:trPr>
          <w:trHeight w:val="20"/>
        </w:trPr>
        <w:tc>
          <w:tcPr>
            <w:tcW w:w="1937" w:type="pct"/>
            <w:vAlign w:val="bottom"/>
            <w:hideMark/>
          </w:tcPr>
          <w:p w:rsidR="00F114E9" w:rsidRPr="00F114E9" w:rsidRDefault="00F114E9" w:rsidP="00297E4E">
            <w:r w:rsidRPr="00F114E9">
              <w:t>Hispanic</w:t>
            </w:r>
          </w:p>
        </w:tc>
        <w:tc>
          <w:tcPr>
            <w:tcW w:w="765" w:type="pct"/>
            <w:vAlign w:val="bottom"/>
            <w:hideMark/>
          </w:tcPr>
          <w:p w:rsidR="00F114E9" w:rsidRPr="00F114E9" w:rsidRDefault="00F114E9" w:rsidP="00297E4E">
            <w:pPr>
              <w:jc w:val="center"/>
            </w:pPr>
            <w:r w:rsidRPr="00F114E9">
              <w:t>41</w:t>
            </w:r>
          </w:p>
        </w:tc>
        <w:tc>
          <w:tcPr>
            <w:tcW w:w="766" w:type="pct"/>
            <w:vAlign w:val="bottom"/>
            <w:hideMark/>
          </w:tcPr>
          <w:p w:rsidR="00F114E9" w:rsidRPr="00F114E9" w:rsidRDefault="00F114E9" w:rsidP="00297E4E">
            <w:pPr>
              <w:jc w:val="center"/>
            </w:pPr>
            <w:r w:rsidRPr="00F114E9">
              <w:t>5.6</w:t>
            </w:r>
          </w:p>
        </w:tc>
        <w:tc>
          <w:tcPr>
            <w:tcW w:w="766" w:type="pct"/>
            <w:vAlign w:val="bottom"/>
            <w:hideMark/>
          </w:tcPr>
          <w:p w:rsidR="00F114E9" w:rsidRPr="00F114E9" w:rsidRDefault="00F114E9" w:rsidP="00297E4E">
            <w:pPr>
              <w:jc w:val="center"/>
            </w:pPr>
            <w:r w:rsidRPr="00F114E9">
              <w:t>28</w:t>
            </w:r>
          </w:p>
        </w:tc>
        <w:tc>
          <w:tcPr>
            <w:tcW w:w="766" w:type="pct"/>
            <w:vAlign w:val="bottom"/>
            <w:hideMark/>
          </w:tcPr>
          <w:p w:rsidR="00F114E9" w:rsidRPr="00F114E9" w:rsidRDefault="00F114E9" w:rsidP="00297E4E">
            <w:pPr>
              <w:jc w:val="center"/>
            </w:pPr>
            <w:r w:rsidRPr="00F114E9">
              <w:t>4.0</w:t>
            </w:r>
          </w:p>
        </w:tc>
      </w:tr>
      <w:tr w:rsidR="00297E4E" w:rsidRPr="00F114E9" w:rsidTr="00297E4E">
        <w:trPr>
          <w:cnfStyle w:val="000000100000" w:firstRow="0" w:lastRow="0" w:firstColumn="0" w:lastColumn="0" w:oddVBand="0" w:evenVBand="0" w:oddHBand="1" w:evenHBand="0" w:firstRowFirstColumn="0" w:firstRowLastColumn="0" w:lastRowFirstColumn="0" w:lastRowLastColumn="0"/>
          <w:trHeight w:val="20"/>
        </w:trPr>
        <w:tc>
          <w:tcPr>
            <w:tcW w:w="1937" w:type="pct"/>
            <w:vAlign w:val="bottom"/>
            <w:hideMark/>
          </w:tcPr>
          <w:p w:rsidR="00F114E9" w:rsidRPr="00F114E9" w:rsidRDefault="00F114E9" w:rsidP="00297E4E">
            <w:r w:rsidRPr="00F114E9">
              <w:t>Asian</w:t>
            </w:r>
          </w:p>
        </w:tc>
        <w:tc>
          <w:tcPr>
            <w:tcW w:w="765" w:type="pct"/>
            <w:vAlign w:val="bottom"/>
            <w:hideMark/>
          </w:tcPr>
          <w:p w:rsidR="00F114E9" w:rsidRPr="00F114E9" w:rsidRDefault="00F114E9" w:rsidP="00297E4E">
            <w:pPr>
              <w:jc w:val="center"/>
            </w:pPr>
            <w:r w:rsidRPr="00F114E9">
              <w:t>2</w:t>
            </w:r>
          </w:p>
        </w:tc>
        <w:tc>
          <w:tcPr>
            <w:tcW w:w="766" w:type="pct"/>
            <w:vAlign w:val="bottom"/>
            <w:hideMark/>
          </w:tcPr>
          <w:p w:rsidR="00F114E9" w:rsidRPr="00F114E9" w:rsidRDefault="00F114E9" w:rsidP="00297E4E">
            <w:pPr>
              <w:jc w:val="center"/>
            </w:pPr>
            <w:r w:rsidRPr="00F114E9">
              <w:t>.3</w:t>
            </w:r>
          </w:p>
        </w:tc>
        <w:tc>
          <w:tcPr>
            <w:tcW w:w="766" w:type="pct"/>
            <w:vAlign w:val="bottom"/>
            <w:hideMark/>
          </w:tcPr>
          <w:p w:rsidR="00F114E9" w:rsidRPr="00F114E9" w:rsidRDefault="00F114E9" w:rsidP="00297E4E">
            <w:pPr>
              <w:jc w:val="center"/>
            </w:pPr>
            <w:r w:rsidRPr="00F114E9">
              <w:t>-</w:t>
            </w:r>
          </w:p>
        </w:tc>
        <w:tc>
          <w:tcPr>
            <w:tcW w:w="766" w:type="pct"/>
            <w:vAlign w:val="bottom"/>
            <w:hideMark/>
          </w:tcPr>
          <w:p w:rsidR="00F114E9" w:rsidRPr="00F114E9" w:rsidRDefault="00F114E9" w:rsidP="00297E4E">
            <w:pPr>
              <w:jc w:val="center"/>
            </w:pPr>
            <w:r w:rsidRPr="00F114E9">
              <w:t>-</w:t>
            </w:r>
          </w:p>
        </w:tc>
      </w:tr>
      <w:tr w:rsidR="00297E4E" w:rsidRPr="00F114E9" w:rsidTr="00297E4E">
        <w:trPr>
          <w:trHeight w:val="20"/>
        </w:trPr>
        <w:tc>
          <w:tcPr>
            <w:tcW w:w="1937" w:type="pct"/>
            <w:vAlign w:val="bottom"/>
            <w:hideMark/>
          </w:tcPr>
          <w:p w:rsidR="00F114E9" w:rsidRPr="00F114E9" w:rsidRDefault="00F114E9" w:rsidP="00297E4E">
            <w:r w:rsidRPr="00F114E9">
              <w:t>Native Hawaiian or other Pacific Islander</w:t>
            </w:r>
          </w:p>
        </w:tc>
        <w:tc>
          <w:tcPr>
            <w:tcW w:w="765" w:type="pct"/>
            <w:vAlign w:val="bottom"/>
            <w:hideMark/>
          </w:tcPr>
          <w:p w:rsidR="00F114E9" w:rsidRPr="00F114E9" w:rsidRDefault="00F114E9" w:rsidP="00297E4E">
            <w:pPr>
              <w:jc w:val="center"/>
            </w:pPr>
            <w:r w:rsidRPr="00F114E9">
              <w:t>-</w:t>
            </w:r>
          </w:p>
        </w:tc>
        <w:tc>
          <w:tcPr>
            <w:tcW w:w="766" w:type="pct"/>
            <w:vAlign w:val="bottom"/>
            <w:hideMark/>
          </w:tcPr>
          <w:p w:rsidR="00F114E9" w:rsidRPr="00F114E9" w:rsidRDefault="00F114E9" w:rsidP="00297E4E">
            <w:pPr>
              <w:jc w:val="center"/>
            </w:pPr>
            <w:r w:rsidRPr="00F114E9">
              <w:t>-</w:t>
            </w:r>
          </w:p>
        </w:tc>
        <w:tc>
          <w:tcPr>
            <w:tcW w:w="766" w:type="pct"/>
            <w:vAlign w:val="bottom"/>
            <w:hideMark/>
          </w:tcPr>
          <w:p w:rsidR="00F114E9" w:rsidRPr="00F114E9" w:rsidRDefault="00F114E9" w:rsidP="00297E4E">
            <w:pPr>
              <w:jc w:val="center"/>
            </w:pPr>
            <w:r w:rsidRPr="00F114E9">
              <w:t>2</w:t>
            </w:r>
          </w:p>
        </w:tc>
        <w:tc>
          <w:tcPr>
            <w:tcW w:w="766" w:type="pct"/>
            <w:vAlign w:val="bottom"/>
            <w:hideMark/>
          </w:tcPr>
          <w:p w:rsidR="00F114E9" w:rsidRPr="00F114E9" w:rsidRDefault="00F114E9" w:rsidP="00297E4E">
            <w:pPr>
              <w:jc w:val="center"/>
            </w:pPr>
            <w:r w:rsidRPr="00F114E9">
              <w:t>.3</w:t>
            </w:r>
          </w:p>
        </w:tc>
      </w:tr>
      <w:tr w:rsidR="00297E4E" w:rsidRPr="00F114E9" w:rsidTr="00297E4E">
        <w:trPr>
          <w:cnfStyle w:val="000000100000" w:firstRow="0" w:lastRow="0" w:firstColumn="0" w:lastColumn="0" w:oddVBand="0" w:evenVBand="0" w:oddHBand="1" w:evenHBand="0" w:firstRowFirstColumn="0" w:firstRowLastColumn="0" w:lastRowFirstColumn="0" w:lastRowLastColumn="0"/>
          <w:trHeight w:val="20"/>
        </w:trPr>
        <w:tc>
          <w:tcPr>
            <w:tcW w:w="1937" w:type="pct"/>
            <w:vAlign w:val="bottom"/>
            <w:hideMark/>
          </w:tcPr>
          <w:p w:rsidR="00F114E9" w:rsidRPr="00F114E9" w:rsidRDefault="00F114E9" w:rsidP="00297E4E">
            <w:r w:rsidRPr="00F114E9">
              <w:t>American Indian/Alaska Native</w:t>
            </w:r>
          </w:p>
        </w:tc>
        <w:tc>
          <w:tcPr>
            <w:tcW w:w="765" w:type="pct"/>
            <w:vAlign w:val="bottom"/>
            <w:hideMark/>
          </w:tcPr>
          <w:p w:rsidR="00F114E9" w:rsidRPr="00F114E9" w:rsidRDefault="00F114E9" w:rsidP="00297E4E">
            <w:pPr>
              <w:jc w:val="center"/>
            </w:pPr>
            <w:r w:rsidRPr="00F114E9">
              <w:t>-</w:t>
            </w:r>
          </w:p>
        </w:tc>
        <w:tc>
          <w:tcPr>
            <w:tcW w:w="766" w:type="pct"/>
            <w:vAlign w:val="bottom"/>
            <w:hideMark/>
          </w:tcPr>
          <w:p w:rsidR="00F114E9" w:rsidRPr="00F114E9" w:rsidRDefault="00F114E9" w:rsidP="00297E4E">
            <w:pPr>
              <w:jc w:val="center"/>
            </w:pPr>
            <w:r w:rsidRPr="00F114E9">
              <w:t>-</w:t>
            </w:r>
          </w:p>
        </w:tc>
        <w:tc>
          <w:tcPr>
            <w:tcW w:w="766" w:type="pct"/>
            <w:vAlign w:val="bottom"/>
            <w:hideMark/>
          </w:tcPr>
          <w:p w:rsidR="00F114E9" w:rsidRPr="00F114E9" w:rsidRDefault="00F114E9" w:rsidP="00297E4E">
            <w:pPr>
              <w:jc w:val="center"/>
            </w:pPr>
            <w:r w:rsidRPr="00F114E9">
              <w:t>1</w:t>
            </w:r>
          </w:p>
        </w:tc>
        <w:tc>
          <w:tcPr>
            <w:tcW w:w="766" w:type="pct"/>
            <w:vAlign w:val="bottom"/>
            <w:hideMark/>
          </w:tcPr>
          <w:p w:rsidR="00F114E9" w:rsidRPr="00F114E9" w:rsidRDefault="00F114E9" w:rsidP="00297E4E">
            <w:pPr>
              <w:jc w:val="center"/>
            </w:pPr>
            <w:r w:rsidRPr="00F114E9">
              <w:t>.1</w:t>
            </w:r>
          </w:p>
        </w:tc>
      </w:tr>
      <w:tr w:rsidR="00297E4E" w:rsidRPr="00F114E9" w:rsidTr="00297E4E">
        <w:trPr>
          <w:trHeight w:val="20"/>
        </w:trPr>
        <w:tc>
          <w:tcPr>
            <w:tcW w:w="1937" w:type="pct"/>
            <w:vAlign w:val="bottom"/>
            <w:hideMark/>
          </w:tcPr>
          <w:p w:rsidR="00F114E9" w:rsidRPr="00F114E9" w:rsidRDefault="00F114E9" w:rsidP="00297E4E">
            <w:r w:rsidRPr="00F114E9">
              <w:t>Multiracial</w:t>
            </w:r>
          </w:p>
        </w:tc>
        <w:tc>
          <w:tcPr>
            <w:tcW w:w="765" w:type="pct"/>
            <w:vAlign w:val="bottom"/>
            <w:hideMark/>
          </w:tcPr>
          <w:p w:rsidR="00F114E9" w:rsidRPr="00F114E9" w:rsidRDefault="00F114E9" w:rsidP="00297E4E">
            <w:pPr>
              <w:jc w:val="center"/>
            </w:pPr>
            <w:r w:rsidRPr="00F114E9">
              <w:t>44</w:t>
            </w:r>
          </w:p>
        </w:tc>
        <w:tc>
          <w:tcPr>
            <w:tcW w:w="766" w:type="pct"/>
            <w:vAlign w:val="bottom"/>
            <w:hideMark/>
          </w:tcPr>
          <w:p w:rsidR="00F114E9" w:rsidRPr="00F114E9" w:rsidRDefault="00F114E9" w:rsidP="00297E4E">
            <w:pPr>
              <w:jc w:val="center"/>
            </w:pPr>
            <w:r w:rsidRPr="00F114E9">
              <w:t>6.0</w:t>
            </w:r>
          </w:p>
        </w:tc>
        <w:tc>
          <w:tcPr>
            <w:tcW w:w="766" w:type="pct"/>
            <w:vAlign w:val="bottom"/>
            <w:hideMark/>
          </w:tcPr>
          <w:p w:rsidR="00F114E9" w:rsidRPr="00F114E9" w:rsidRDefault="00F114E9" w:rsidP="00297E4E">
            <w:pPr>
              <w:jc w:val="center"/>
            </w:pPr>
            <w:r w:rsidRPr="00F114E9">
              <w:t>10</w:t>
            </w:r>
          </w:p>
        </w:tc>
        <w:tc>
          <w:tcPr>
            <w:tcW w:w="766" w:type="pct"/>
            <w:vAlign w:val="bottom"/>
            <w:hideMark/>
          </w:tcPr>
          <w:p w:rsidR="00F114E9" w:rsidRPr="00F114E9" w:rsidRDefault="00F114E9" w:rsidP="00297E4E">
            <w:pPr>
              <w:jc w:val="center"/>
            </w:pPr>
            <w:r w:rsidRPr="00F114E9">
              <w:t>1.4</w:t>
            </w:r>
          </w:p>
        </w:tc>
      </w:tr>
      <w:tr w:rsidR="00297E4E" w:rsidRPr="00F114E9" w:rsidTr="00297E4E">
        <w:trPr>
          <w:cnfStyle w:val="000000100000" w:firstRow="0" w:lastRow="0" w:firstColumn="0" w:lastColumn="0" w:oddVBand="0" w:evenVBand="0" w:oddHBand="1" w:evenHBand="0" w:firstRowFirstColumn="0" w:firstRowLastColumn="0" w:lastRowFirstColumn="0" w:lastRowLastColumn="0"/>
          <w:trHeight w:val="20"/>
        </w:trPr>
        <w:tc>
          <w:tcPr>
            <w:tcW w:w="1937" w:type="pct"/>
            <w:vAlign w:val="bottom"/>
            <w:hideMark/>
          </w:tcPr>
          <w:p w:rsidR="00F114E9" w:rsidRPr="00ED47AD" w:rsidRDefault="00F114E9" w:rsidP="00297E4E">
            <w:pPr>
              <w:rPr>
                <w:b/>
              </w:rPr>
            </w:pPr>
            <w:r w:rsidRPr="00ED47AD">
              <w:rPr>
                <w:b/>
              </w:rPr>
              <w:t xml:space="preserve">Total </w:t>
            </w:r>
          </w:p>
        </w:tc>
        <w:tc>
          <w:tcPr>
            <w:tcW w:w="765" w:type="pct"/>
            <w:vAlign w:val="bottom"/>
            <w:hideMark/>
          </w:tcPr>
          <w:p w:rsidR="00F114E9" w:rsidRPr="00ED47AD" w:rsidRDefault="00F114E9" w:rsidP="00297E4E">
            <w:pPr>
              <w:jc w:val="center"/>
              <w:rPr>
                <w:b/>
              </w:rPr>
            </w:pPr>
            <w:r w:rsidRPr="00ED47AD">
              <w:rPr>
                <w:b/>
              </w:rPr>
              <w:t>733</w:t>
            </w:r>
          </w:p>
        </w:tc>
        <w:tc>
          <w:tcPr>
            <w:tcW w:w="766" w:type="pct"/>
            <w:vAlign w:val="bottom"/>
            <w:hideMark/>
          </w:tcPr>
          <w:p w:rsidR="00F114E9" w:rsidRPr="00ED47AD" w:rsidRDefault="00F114E9" w:rsidP="00297E4E">
            <w:pPr>
              <w:jc w:val="center"/>
              <w:rPr>
                <w:b/>
              </w:rPr>
            </w:pPr>
            <w:r w:rsidRPr="00ED47AD">
              <w:rPr>
                <w:b/>
              </w:rPr>
              <w:t>100.0</w:t>
            </w:r>
          </w:p>
        </w:tc>
        <w:tc>
          <w:tcPr>
            <w:tcW w:w="766" w:type="pct"/>
            <w:vAlign w:val="bottom"/>
            <w:hideMark/>
          </w:tcPr>
          <w:p w:rsidR="00F114E9" w:rsidRPr="00ED47AD" w:rsidRDefault="00F114E9" w:rsidP="00297E4E">
            <w:pPr>
              <w:jc w:val="center"/>
              <w:rPr>
                <w:b/>
              </w:rPr>
            </w:pPr>
            <w:r w:rsidRPr="00ED47AD">
              <w:rPr>
                <w:b/>
              </w:rPr>
              <w:t>700</w:t>
            </w:r>
          </w:p>
        </w:tc>
        <w:tc>
          <w:tcPr>
            <w:tcW w:w="766" w:type="pct"/>
            <w:vAlign w:val="bottom"/>
            <w:hideMark/>
          </w:tcPr>
          <w:p w:rsidR="00F114E9" w:rsidRPr="00ED47AD" w:rsidRDefault="00F114E9" w:rsidP="00297E4E">
            <w:pPr>
              <w:jc w:val="center"/>
              <w:rPr>
                <w:b/>
              </w:rPr>
            </w:pPr>
            <w:r w:rsidRPr="00ED47AD">
              <w:rPr>
                <w:b/>
              </w:rPr>
              <w:t>100</w:t>
            </w:r>
          </w:p>
        </w:tc>
      </w:tr>
    </w:tbl>
    <w:p w:rsidR="00F114E9" w:rsidRDefault="00F114E9" w:rsidP="00F114E9"/>
    <w:p w:rsidR="005D6EC4" w:rsidRDefault="005D6EC4" w:rsidP="005D6EC4">
      <w:r>
        <w:t xml:space="preserve">In Figure </w:t>
      </w:r>
      <w:r w:rsidR="0061775C">
        <w:t xml:space="preserve">35 </w:t>
      </w:r>
      <w:r>
        <w:t xml:space="preserve">below, </w:t>
      </w:r>
      <w:r w:rsidRPr="005D6EC4">
        <w:t>Caseworkers were asked to evaluate the ten core principles of FTC based on their experiences in the most recently closed case.</w:t>
      </w:r>
      <w:r>
        <w:t xml:space="preserve"> </w:t>
      </w:r>
      <w:r w:rsidRPr="005D6EC4">
        <w:t xml:space="preserve">As </w:t>
      </w:r>
      <w:r>
        <w:t>the figure demonstrates</w:t>
      </w:r>
      <w:r w:rsidRPr="005D6EC4">
        <w:t>, they basically agreed that the FTC was implemented as planned. Interestingly, caseworkers rated the highest on cultural respect. However, Family voice and choice and teamwork are relatively lower than other principles.</w:t>
      </w:r>
      <w:r>
        <w:t xml:space="preserve"> </w:t>
      </w:r>
      <w:r w:rsidRPr="005D6EC4">
        <w:t>This result may imply that there may be more significant barriers to empowering families and actively engaging important team members in FTC even though they are the most important principles that make more culturally responsive.</w:t>
      </w:r>
    </w:p>
    <w:p w:rsidR="005D6EC4" w:rsidRDefault="005D6EC4" w:rsidP="005D6EC4"/>
    <w:p w:rsidR="005D6EC4" w:rsidRDefault="005D6EC4" w:rsidP="005D6EC4">
      <w:pPr>
        <w:pStyle w:val="Heading4"/>
      </w:pPr>
      <w:r>
        <w:t xml:space="preserve">Figure </w:t>
      </w:r>
      <w:r w:rsidR="0061775C">
        <w:t>35</w:t>
      </w:r>
      <w:r>
        <w:t>. Fidelity of CFTM</w:t>
      </w:r>
    </w:p>
    <w:p w:rsidR="005D6EC4" w:rsidRDefault="005D6EC4" w:rsidP="005D6EC4">
      <w:r>
        <w:rPr>
          <w:noProof/>
        </w:rPr>
        <w:drawing>
          <wp:inline distT="0" distB="0" distL="0" distR="0" wp14:anchorId="4C7968C6" wp14:editId="68B5545C">
            <wp:extent cx="5425778" cy="2277745"/>
            <wp:effectExtent l="0" t="0" r="0" b="0"/>
            <wp:docPr id="14348" name="Picture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45963" cy="2286219"/>
                    </a:xfrm>
                    <a:prstGeom prst="rect">
                      <a:avLst/>
                    </a:prstGeom>
                    <a:noFill/>
                  </pic:spPr>
                </pic:pic>
              </a:graphicData>
            </a:graphic>
          </wp:inline>
        </w:drawing>
      </w:r>
    </w:p>
    <w:p w:rsidR="005D6EC4" w:rsidRPr="005D6EC4" w:rsidRDefault="005D6EC4" w:rsidP="005D6EC4">
      <w:pPr>
        <w:rPr>
          <w:sz w:val="18"/>
        </w:rPr>
      </w:pPr>
      <w:r w:rsidRPr="005D6EC4">
        <w:rPr>
          <w:sz w:val="18"/>
        </w:rPr>
        <w:t>Range: 1=Strongly disagree 5=Strongly agree</w:t>
      </w:r>
    </w:p>
    <w:p w:rsidR="005D6EC4" w:rsidRDefault="005D6EC4" w:rsidP="005D6EC4"/>
    <w:p w:rsidR="005D6EC4" w:rsidRDefault="005D6EC4" w:rsidP="005D6EC4">
      <w:r>
        <w:t xml:space="preserve">Figures </w:t>
      </w:r>
      <w:r w:rsidR="00DD3ABD">
        <w:t xml:space="preserve">36-39 </w:t>
      </w:r>
      <w:r w:rsidRPr="005D6EC4">
        <w:t xml:space="preserve">show the overall fidelity and selected indicators that are directly associated with cultural responsiveness in </w:t>
      </w:r>
      <w:r w:rsidR="00D46466">
        <w:t>CTFMs</w:t>
      </w:r>
      <w:r w:rsidRPr="005D6EC4">
        <w:t>. Significant differences were detected in the cultural respect (at the marginal level) and community-based services between four racial matching groups. Non-racial matching groups tend to have the higher levels of cultural respect and community-based services than racial matching groups for both white children and children of color</w:t>
      </w:r>
      <w:r w:rsidR="00D46466">
        <w:t xml:space="preserve">. </w:t>
      </w:r>
      <w:r w:rsidRPr="005D6EC4">
        <w:t xml:space="preserve">Racial matching group for children of color tends to show the lower levels of most fidelity indicators.  </w:t>
      </w:r>
    </w:p>
    <w:p w:rsidR="00D46466" w:rsidRDefault="00D46466" w:rsidP="005D6EC4"/>
    <w:p w:rsidR="00D46466" w:rsidRDefault="00DD3ABD" w:rsidP="00D46466">
      <w:pPr>
        <w:pStyle w:val="Heading4"/>
      </w:pPr>
      <w:r>
        <w:t>Figure 36</w:t>
      </w:r>
      <w:r w:rsidR="00D46466">
        <w:t>. Fidelity by Racial Groups</w:t>
      </w:r>
    </w:p>
    <w:p w:rsidR="00D46466" w:rsidRDefault="00D46466" w:rsidP="005D6EC4">
      <w:r w:rsidRPr="00D46466">
        <w:rPr>
          <w:noProof/>
        </w:rPr>
        <w:drawing>
          <wp:inline distT="0" distB="0" distL="0" distR="0" wp14:anchorId="0F7244DC" wp14:editId="2DC873EE">
            <wp:extent cx="5439728" cy="2016919"/>
            <wp:effectExtent l="0" t="0" r="8890" b="2540"/>
            <wp:docPr id="14351" name="Chart 14351">
              <a:extLst xmlns:a="http://schemas.openxmlformats.org/drawingml/2006/main">
                <a:ext uri="{FF2B5EF4-FFF2-40B4-BE49-F238E27FC236}">
                  <a16:creationId xmlns:a16="http://schemas.microsoft.com/office/drawing/2014/main" id="{5EDAC5EC-DDDE-40C5-BB7D-7D726D235E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D46466" w:rsidRDefault="00D46466" w:rsidP="005D6EC4"/>
    <w:p w:rsidR="00D46466" w:rsidRDefault="00DD3ABD" w:rsidP="00D46466">
      <w:pPr>
        <w:pStyle w:val="Heading4"/>
      </w:pPr>
      <w:r>
        <w:t>Figure 37</w:t>
      </w:r>
      <w:r w:rsidR="00D46466">
        <w:t>. Cultural Respect by Racial Groups</w:t>
      </w:r>
    </w:p>
    <w:p w:rsidR="00D46466" w:rsidRDefault="00D46466" w:rsidP="005D6EC4">
      <w:r w:rsidRPr="00D46466">
        <w:rPr>
          <w:noProof/>
        </w:rPr>
        <w:drawing>
          <wp:inline distT="0" distB="0" distL="0" distR="0" wp14:anchorId="7E143A4A" wp14:editId="690D1800">
            <wp:extent cx="5572125" cy="2219325"/>
            <wp:effectExtent l="0" t="0" r="9525" b="9525"/>
            <wp:docPr id="14352" name="Chart 14352">
              <a:extLst xmlns:a="http://schemas.openxmlformats.org/drawingml/2006/main">
                <a:ext uri="{FF2B5EF4-FFF2-40B4-BE49-F238E27FC236}">
                  <a16:creationId xmlns:a16="http://schemas.microsoft.com/office/drawing/2014/main" id="{98B44F61-9131-4153-9FC4-D5E9305409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D46466" w:rsidRDefault="00D46466" w:rsidP="005D6EC4"/>
    <w:p w:rsidR="00D46466" w:rsidRDefault="00D46466" w:rsidP="00D46466">
      <w:pPr>
        <w:pStyle w:val="Heading4"/>
      </w:pPr>
      <w:r>
        <w:t>Figure</w:t>
      </w:r>
      <w:r w:rsidR="00DD3ABD">
        <w:t xml:space="preserve"> 38</w:t>
      </w:r>
      <w:r>
        <w:t>. Family Voice and Choice by Racial Groups</w:t>
      </w:r>
    </w:p>
    <w:p w:rsidR="00D46466" w:rsidRDefault="00D46466" w:rsidP="00D46466">
      <w:r w:rsidRPr="00D46466">
        <w:rPr>
          <w:noProof/>
        </w:rPr>
        <w:drawing>
          <wp:inline distT="0" distB="0" distL="0" distR="0" wp14:anchorId="365EA03A" wp14:editId="67359DF2">
            <wp:extent cx="5640434" cy="2016919"/>
            <wp:effectExtent l="0" t="0" r="17780" b="2540"/>
            <wp:docPr id="14353" name="Chart 14353">
              <a:extLst xmlns:a="http://schemas.openxmlformats.org/drawingml/2006/main">
                <a:ext uri="{FF2B5EF4-FFF2-40B4-BE49-F238E27FC236}">
                  <a16:creationId xmlns:a16="http://schemas.microsoft.com/office/drawing/2014/main" id="{3458CE74-F5F3-4AB1-87F1-5383FC120E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D46466" w:rsidRDefault="00D46466" w:rsidP="00D46466"/>
    <w:p w:rsidR="00D46466" w:rsidRDefault="00DD3ABD" w:rsidP="00D46466">
      <w:pPr>
        <w:pStyle w:val="Heading4"/>
      </w:pPr>
      <w:r>
        <w:t>Figure 39</w:t>
      </w:r>
      <w:r w:rsidR="00D46466">
        <w:t>. Community-Based Services by Racial Groups</w:t>
      </w:r>
    </w:p>
    <w:p w:rsidR="00D46466" w:rsidRPr="005D6EC4" w:rsidRDefault="00D46466" w:rsidP="00D46466">
      <w:r w:rsidRPr="00D46466">
        <w:rPr>
          <w:noProof/>
        </w:rPr>
        <w:drawing>
          <wp:inline distT="0" distB="0" distL="0" distR="0" wp14:anchorId="0EF934B1" wp14:editId="096733BC">
            <wp:extent cx="5619750" cy="2114550"/>
            <wp:effectExtent l="0" t="0" r="0" b="0"/>
            <wp:docPr id="14354" name="Chart 14354">
              <a:extLst xmlns:a="http://schemas.openxmlformats.org/drawingml/2006/main">
                <a:ext uri="{FF2B5EF4-FFF2-40B4-BE49-F238E27FC236}">
                  <a16:creationId xmlns:a16="http://schemas.microsoft.com/office/drawing/2014/main" id="{FB3710AD-3D8A-4B1E-ADBE-725FA146CA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F114E9" w:rsidRDefault="00F114E9" w:rsidP="00F114E9"/>
    <w:p w:rsidR="00D46466" w:rsidRDefault="00D46466" w:rsidP="00F114E9"/>
    <w:p w:rsidR="00AF33B8" w:rsidRDefault="00AF33B8" w:rsidP="00D46466"/>
    <w:p w:rsidR="00D46466" w:rsidRDefault="00D46466" w:rsidP="00D46466">
      <w:r>
        <w:t xml:space="preserve">Finally, Table </w:t>
      </w:r>
      <w:r w:rsidR="00F74168">
        <w:t>3</w:t>
      </w:r>
      <w:r w:rsidR="007D3CB0">
        <w:t>6</w:t>
      </w:r>
      <w:r>
        <w:t xml:space="preserve"> presents the main effect model and the moderation model findings summarized here:</w:t>
      </w:r>
    </w:p>
    <w:p w:rsidR="00D46466" w:rsidRPr="00D46466" w:rsidRDefault="00D46466" w:rsidP="00D46466">
      <w:pPr>
        <w:rPr>
          <w:b/>
          <w:i/>
          <w:color w:val="1F4E79"/>
        </w:rPr>
      </w:pPr>
      <w:r w:rsidRPr="00D46466">
        <w:rPr>
          <w:b/>
          <w:i/>
          <w:color w:val="1F4E79"/>
        </w:rPr>
        <w:t>Main Effect (Model 1):</w:t>
      </w:r>
    </w:p>
    <w:p w:rsidR="00D46466" w:rsidRPr="00D46466" w:rsidRDefault="00D46466" w:rsidP="00D46466">
      <w:r w:rsidRPr="00D46466">
        <w:t>High fidelity significantly increased child well-being reported by caseworkers.</w:t>
      </w:r>
    </w:p>
    <w:p w:rsidR="00D46466" w:rsidRPr="00D46466" w:rsidRDefault="00D46466" w:rsidP="00D46466">
      <w:r w:rsidRPr="00D46466">
        <w:t>Within the racial matching groups, white children had a significantly higher level of child well-being than children of color (marginal level)</w:t>
      </w:r>
    </w:p>
    <w:p w:rsidR="00D46466" w:rsidRPr="00D46466" w:rsidRDefault="00D46466" w:rsidP="00D46466">
      <w:r w:rsidRPr="00D46466">
        <w:t>Child well-being was significantly lower when children were older, placed in in-home care, had a higher level of difficulty.</w:t>
      </w:r>
    </w:p>
    <w:p w:rsidR="00D46466" w:rsidRDefault="00D46466" w:rsidP="00D46466">
      <w:r w:rsidRPr="00D46466">
        <w:t xml:space="preserve">Caseworkers reported a higher level of child well-being when they are older and have less work experience. </w:t>
      </w:r>
    </w:p>
    <w:p w:rsidR="00C47A5F" w:rsidRPr="00D46466" w:rsidRDefault="00C47A5F" w:rsidP="00D46466"/>
    <w:p w:rsidR="00D46466" w:rsidRPr="00D46466" w:rsidRDefault="00D46466" w:rsidP="00D46466">
      <w:pPr>
        <w:rPr>
          <w:b/>
          <w:i/>
          <w:color w:val="1F4E79"/>
        </w:rPr>
      </w:pPr>
      <w:r w:rsidRPr="00D46466">
        <w:rPr>
          <w:b/>
          <w:i/>
          <w:color w:val="1F4E79"/>
        </w:rPr>
        <w:t>Moderation Effect (Model 2):</w:t>
      </w:r>
    </w:p>
    <w:p w:rsidR="00D46466" w:rsidRDefault="00D46466" w:rsidP="00D46466">
      <w:r w:rsidRPr="00D46466">
        <w:t xml:space="preserve">Racial matching was not a significant moderator that strengthens the positive association between the FTC fidelity and child well-being. </w:t>
      </w:r>
      <w:r>
        <w:t xml:space="preserve"> </w:t>
      </w:r>
    </w:p>
    <w:p w:rsidR="00D46466" w:rsidRDefault="00D46466" w:rsidP="00D46466"/>
    <w:p w:rsidR="00D46466" w:rsidRDefault="00D46466" w:rsidP="00D46466">
      <w:pPr>
        <w:pStyle w:val="Heading4"/>
      </w:pPr>
      <w:r>
        <w:t xml:space="preserve">Table </w:t>
      </w:r>
      <w:r w:rsidR="00F74168">
        <w:t>3</w:t>
      </w:r>
      <w:r w:rsidR="007D3CB0">
        <w:t>6</w:t>
      </w:r>
      <w:r>
        <w:t>.</w:t>
      </w:r>
      <w:r w:rsidR="00F74168">
        <w:t xml:space="preserve"> Main Effect and Moderation Models</w:t>
      </w:r>
    </w:p>
    <w:tbl>
      <w:tblPr>
        <w:tblStyle w:val="GridTable4-Accent111"/>
        <w:tblW w:w="5484" w:type="pct"/>
        <w:tblLook w:val="0600" w:firstRow="0" w:lastRow="0" w:firstColumn="0" w:lastColumn="0" w:noHBand="1" w:noVBand="1"/>
      </w:tblPr>
      <w:tblGrid>
        <w:gridCol w:w="4705"/>
        <w:gridCol w:w="1386"/>
        <w:gridCol w:w="1389"/>
        <w:gridCol w:w="1386"/>
        <w:gridCol w:w="1389"/>
      </w:tblGrid>
      <w:tr w:rsidR="00D46466" w:rsidRPr="00D46466" w:rsidTr="009D3AF8">
        <w:trPr>
          <w:trHeight w:val="20"/>
        </w:trPr>
        <w:tc>
          <w:tcPr>
            <w:tcW w:w="2294" w:type="pct"/>
            <w:vMerge w:val="restart"/>
            <w:shd w:val="clear" w:color="auto" w:fill="4472C4" w:themeFill="accent5"/>
            <w:vAlign w:val="bottom"/>
            <w:hideMark/>
          </w:tcPr>
          <w:p w:rsidR="00D46466" w:rsidRPr="009D3AF8" w:rsidRDefault="00D46466" w:rsidP="009D3AF8">
            <w:pPr>
              <w:rPr>
                <w:b/>
                <w:color w:val="FFFFFF" w:themeColor="background1"/>
              </w:rPr>
            </w:pPr>
            <w:r w:rsidRPr="009D3AF8">
              <w:rPr>
                <w:b/>
                <w:color w:val="FFFFFF" w:themeColor="background1"/>
              </w:rPr>
              <w:t>Variables</w:t>
            </w:r>
          </w:p>
        </w:tc>
        <w:tc>
          <w:tcPr>
            <w:tcW w:w="1353" w:type="pct"/>
            <w:gridSpan w:val="2"/>
            <w:shd w:val="clear" w:color="auto" w:fill="4472C4" w:themeFill="accent5"/>
            <w:vAlign w:val="bottom"/>
            <w:hideMark/>
          </w:tcPr>
          <w:p w:rsidR="00D46466" w:rsidRPr="009D3AF8" w:rsidRDefault="00D46466" w:rsidP="009D3AF8">
            <w:pPr>
              <w:jc w:val="center"/>
              <w:rPr>
                <w:b/>
                <w:color w:val="FFFFFF" w:themeColor="background1"/>
              </w:rPr>
            </w:pPr>
            <w:r w:rsidRPr="009D3AF8">
              <w:rPr>
                <w:b/>
                <w:color w:val="FFFFFF" w:themeColor="background1"/>
              </w:rPr>
              <w:t>Model 1</w:t>
            </w:r>
          </w:p>
        </w:tc>
        <w:tc>
          <w:tcPr>
            <w:tcW w:w="1353" w:type="pct"/>
            <w:gridSpan w:val="2"/>
            <w:shd w:val="clear" w:color="auto" w:fill="4472C4" w:themeFill="accent5"/>
            <w:vAlign w:val="bottom"/>
            <w:hideMark/>
          </w:tcPr>
          <w:p w:rsidR="00D46466" w:rsidRPr="009D3AF8" w:rsidRDefault="00D46466" w:rsidP="009D3AF8">
            <w:pPr>
              <w:jc w:val="center"/>
              <w:rPr>
                <w:rFonts w:cs="Times New Roman"/>
                <w:b/>
                <w:color w:val="FFFFFF" w:themeColor="background1"/>
              </w:rPr>
            </w:pPr>
            <w:r w:rsidRPr="009D3AF8">
              <w:rPr>
                <w:rFonts w:cs="Times New Roman"/>
                <w:b/>
                <w:color w:val="FFFFFF" w:themeColor="background1"/>
              </w:rPr>
              <w:t>Model 2</w:t>
            </w:r>
          </w:p>
        </w:tc>
      </w:tr>
      <w:tr w:rsidR="00D46466" w:rsidRPr="00D46466" w:rsidTr="009D3AF8">
        <w:trPr>
          <w:trHeight w:val="20"/>
        </w:trPr>
        <w:tc>
          <w:tcPr>
            <w:tcW w:w="2294" w:type="pct"/>
            <w:vMerge/>
            <w:shd w:val="clear" w:color="auto" w:fill="4472C4" w:themeFill="accent5"/>
            <w:vAlign w:val="bottom"/>
            <w:hideMark/>
          </w:tcPr>
          <w:p w:rsidR="00D46466" w:rsidRPr="009D3AF8" w:rsidRDefault="00D46466" w:rsidP="009D3AF8">
            <w:pPr>
              <w:rPr>
                <w:b/>
                <w:color w:val="FFFFFF" w:themeColor="background1"/>
              </w:rPr>
            </w:pPr>
          </w:p>
        </w:tc>
        <w:tc>
          <w:tcPr>
            <w:tcW w:w="676" w:type="pct"/>
            <w:shd w:val="clear" w:color="auto" w:fill="4472C4" w:themeFill="accent5"/>
            <w:vAlign w:val="bottom"/>
            <w:hideMark/>
          </w:tcPr>
          <w:p w:rsidR="00D46466" w:rsidRPr="009D3AF8" w:rsidRDefault="00D46466" w:rsidP="009D3AF8">
            <w:pPr>
              <w:jc w:val="center"/>
              <w:rPr>
                <w:b/>
                <w:color w:val="FFFFFF" w:themeColor="background1"/>
              </w:rPr>
            </w:pPr>
            <w:r w:rsidRPr="009D3AF8">
              <w:rPr>
                <w:b/>
                <w:color w:val="FFFFFF" w:themeColor="background1"/>
              </w:rPr>
              <w:t>B</w:t>
            </w:r>
          </w:p>
        </w:tc>
        <w:tc>
          <w:tcPr>
            <w:tcW w:w="677" w:type="pct"/>
            <w:shd w:val="clear" w:color="auto" w:fill="4472C4" w:themeFill="accent5"/>
            <w:vAlign w:val="bottom"/>
            <w:hideMark/>
          </w:tcPr>
          <w:p w:rsidR="00D46466" w:rsidRPr="009D3AF8" w:rsidRDefault="00D46466" w:rsidP="009D3AF8">
            <w:pPr>
              <w:jc w:val="center"/>
              <w:rPr>
                <w:b/>
                <w:color w:val="FFFFFF" w:themeColor="background1"/>
              </w:rPr>
            </w:pPr>
            <w:r w:rsidRPr="009D3AF8">
              <w:rPr>
                <w:b/>
                <w:color w:val="FFFFFF" w:themeColor="background1"/>
              </w:rPr>
              <w:t>SE</w:t>
            </w:r>
          </w:p>
        </w:tc>
        <w:tc>
          <w:tcPr>
            <w:tcW w:w="676" w:type="pct"/>
            <w:shd w:val="clear" w:color="auto" w:fill="4472C4" w:themeFill="accent5"/>
            <w:vAlign w:val="bottom"/>
            <w:hideMark/>
          </w:tcPr>
          <w:p w:rsidR="00D46466" w:rsidRPr="009D3AF8" w:rsidRDefault="00D46466" w:rsidP="009D3AF8">
            <w:pPr>
              <w:jc w:val="center"/>
              <w:rPr>
                <w:b/>
                <w:color w:val="FFFFFF" w:themeColor="background1"/>
              </w:rPr>
            </w:pPr>
            <w:r w:rsidRPr="009D3AF8">
              <w:rPr>
                <w:b/>
                <w:color w:val="FFFFFF" w:themeColor="background1"/>
              </w:rPr>
              <w:t>B</w:t>
            </w:r>
          </w:p>
        </w:tc>
        <w:tc>
          <w:tcPr>
            <w:tcW w:w="677" w:type="pct"/>
            <w:shd w:val="clear" w:color="auto" w:fill="4472C4" w:themeFill="accent5"/>
            <w:vAlign w:val="bottom"/>
            <w:hideMark/>
          </w:tcPr>
          <w:p w:rsidR="00D46466" w:rsidRPr="009D3AF8" w:rsidRDefault="00D46466" w:rsidP="009D3AF8">
            <w:pPr>
              <w:jc w:val="center"/>
              <w:rPr>
                <w:b/>
                <w:color w:val="FFFFFF" w:themeColor="background1"/>
              </w:rPr>
            </w:pPr>
            <w:r w:rsidRPr="009D3AF8">
              <w:rPr>
                <w:b/>
                <w:color w:val="FFFFFF" w:themeColor="background1"/>
              </w:rPr>
              <w:t>SE</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Fidelity</w:t>
            </w:r>
          </w:p>
        </w:tc>
        <w:tc>
          <w:tcPr>
            <w:tcW w:w="676" w:type="pct"/>
            <w:vAlign w:val="bottom"/>
            <w:hideMark/>
          </w:tcPr>
          <w:p w:rsidR="00D46466" w:rsidRPr="00D46466" w:rsidRDefault="00D46466" w:rsidP="009D3AF8">
            <w:pPr>
              <w:jc w:val="center"/>
            </w:pPr>
            <w:r w:rsidRPr="00D46466">
              <w:rPr>
                <w:color w:val="000000" w:themeColor="text1"/>
              </w:rPr>
              <w:t>0.28***</w:t>
            </w:r>
          </w:p>
        </w:tc>
        <w:tc>
          <w:tcPr>
            <w:tcW w:w="677" w:type="pct"/>
            <w:vAlign w:val="bottom"/>
            <w:hideMark/>
          </w:tcPr>
          <w:p w:rsidR="00D46466" w:rsidRPr="00D46466" w:rsidRDefault="00D46466" w:rsidP="009D3AF8">
            <w:pPr>
              <w:jc w:val="center"/>
            </w:pPr>
            <w:r w:rsidRPr="00D46466">
              <w:rPr>
                <w:color w:val="000000" w:themeColor="text1"/>
              </w:rPr>
              <w:t>0.05</w:t>
            </w:r>
          </w:p>
        </w:tc>
        <w:tc>
          <w:tcPr>
            <w:tcW w:w="676" w:type="pct"/>
            <w:vAlign w:val="bottom"/>
            <w:hideMark/>
          </w:tcPr>
          <w:p w:rsidR="00D46466" w:rsidRPr="00D46466" w:rsidRDefault="00D46466" w:rsidP="009D3AF8">
            <w:pPr>
              <w:jc w:val="center"/>
            </w:pPr>
            <w:r w:rsidRPr="00D46466">
              <w:rPr>
                <w:color w:val="000000" w:themeColor="text1"/>
              </w:rPr>
              <w:t>0.19*</w:t>
            </w:r>
          </w:p>
        </w:tc>
        <w:tc>
          <w:tcPr>
            <w:tcW w:w="677" w:type="pct"/>
            <w:vAlign w:val="bottom"/>
            <w:hideMark/>
          </w:tcPr>
          <w:p w:rsidR="00D46466" w:rsidRPr="00D46466" w:rsidRDefault="00D46466" w:rsidP="009D3AF8">
            <w:pPr>
              <w:jc w:val="center"/>
            </w:pPr>
            <w:r w:rsidRPr="00D46466">
              <w:rPr>
                <w:color w:val="000000" w:themeColor="text1"/>
              </w:rPr>
              <w:t>0.05</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Non-racial matching for white children</w:t>
            </w:r>
          </w:p>
        </w:tc>
        <w:tc>
          <w:tcPr>
            <w:tcW w:w="676" w:type="pct"/>
            <w:vAlign w:val="bottom"/>
            <w:hideMark/>
          </w:tcPr>
          <w:p w:rsidR="00D46466" w:rsidRPr="00D46466" w:rsidRDefault="00D46466" w:rsidP="009D3AF8">
            <w:pPr>
              <w:jc w:val="center"/>
            </w:pPr>
            <w:r w:rsidRPr="00D46466">
              <w:rPr>
                <w:color w:val="000000" w:themeColor="text1"/>
              </w:rPr>
              <w:t>0.07</w:t>
            </w:r>
          </w:p>
        </w:tc>
        <w:tc>
          <w:tcPr>
            <w:tcW w:w="677" w:type="pct"/>
            <w:vAlign w:val="bottom"/>
            <w:hideMark/>
          </w:tcPr>
          <w:p w:rsidR="00D46466" w:rsidRPr="00D46466" w:rsidRDefault="00D46466" w:rsidP="009D3AF8">
            <w:pPr>
              <w:jc w:val="center"/>
            </w:pPr>
            <w:r w:rsidRPr="00D46466">
              <w:rPr>
                <w:color w:val="000000" w:themeColor="text1"/>
              </w:rPr>
              <w:t>0.13</w:t>
            </w:r>
          </w:p>
        </w:tc>
        <w:tc>
          <w:tcPr>
            <w:tcW w:w="676" w:type="pct"/>
            <w:vAlign w:val="bottom"/>
            <w:hideMark/>
          </w:tcPr>
          <w:p w:rsidR="00D46466" w:rsidRPr="00D46466" w:rsidRDefault="00D46466" w:rsidP="009D3AF8">
            <w:pPr>
              <w:jc w:val="center"/>
            </w:pPr>
            <w:r w:rsidRPr="00D46466">
              <w:rPr>
                <w:color w:val="000000" w:themeColor="text1"/>
              </w:rPr>
              <w:t>-0.37</w:t>
            </w:r>
          </w:p>
        </w:tc>
        <w:tc>
          <w:tcPr>
            <w:tcW w:w="677" w:type="pct"/>
            <w:vAlign w:val="bottom"/>
            <w:hideMark/>
          </w:tcPr>
          <w:p w:rsidR="00D46466" w:rsidRPr="00D46466" w:rsidRDefault="00D46466" w:rsidP="009D3AF8">
            <w:pPr>
              <w:jc w:val="center"/>
            </w:pPr>
            <w:r w:rsidRPr="00D46466">
              <w:rPr>
                <w:color w:val="000000" w:themeColor="text1"/>
              </w:rPr>
              <w:t>0.25</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Racial matching for white children</w:t>
            </w:r>
          </w:p>
        </w:tc>
        <w:tc>
          <w:tcPr>
            <w:tcW w:w="676" w:type="pct"/>
            <w:vAlign w:val="bottom"/>
            <w:hideMark/>
          </w:tcPr>
          <w:p w:rsidR="00D46466" w:rsidRPr="00D46466" w:rsidRDefault="00D46466" w:rsidP="009D3AF8">
            <w:pPr>
              <w:jc w:val="center"/>
            </w:pPr>
            <w:r w:rsidRPr="00D46466">
              <w:rPr>
                <w:color w:val="000000" w:themeColor="text1"/>
              </w:rPr>
              <w:t>0.12†</w:t>
            </w:r>
          </w:p>
        </w:tc>
        <w:tc>
          <w:tcPr>
            <w:tcW w:w="677" w:type="pct"/>
            <w:vAlign w:val="bottom"/>
            <w:hideMark/>
          </w:tcPr>
          <w:p w:rsidR="00D46466" w:rsidRPr="00D46466" w:rsidRDefault="00D46466" w:rsidP="009D3AF8">
            <w:pPr>
              <w:jc w:val="center"/>
            </w:pPr>
            <w:r w:rsidRPr="00D46466">
              <w:rPr>
                <w:color w:val="000000" w:themeColor="text1"/>
              </w:rPr>
              <w:t>0.10</w:t>
            </w:r>
          </w:p>
        </w:tc>
        <w:tc>
          <w:tcPr>
            <w:tcW w:w="676" w:type="pct"/>
            <w:vAlign w:val="bottom"/>
            <w:hideMark/>
          </w:tcPr>
          <w:p w:rsidR="00D46466" w:rsidRPr="00D46466" w:rsidRDefault="00D46466" w:rsidP="009D3AF8">
            <w:pPr>
              <w:jc w:val="center"/>
            </w:pPr>
            <w:r w:rsidRPr="00D46466">
              <w:rPr>
                <w:color w:val="000000" w:themeColor="text1"/>
              </w:rPr>
              <w:t>-0.26</w:t>
            </w:r>
          </w:p>
        </w:tc>
        <w:tc>
          <w:tcPr>
            <w:tcW w:w="677" w:type="pct"/>
            <w:vAlign w:val="bottom"/>
            <w:hideMark/>
          </w:tcPr>
          <w:p w:rsidR="00D46466" w:rsidRPr="00D46466" w:rsidRDefault="00D46466" w:rsidP="009D3AF8">
            <w:pPr>
              <w:jc w:val="center"/>
            </w:pPr>
            <w:r w:rsidRPr="00D46466">
              <w:rPr>
                <w:color w:val="000000" w:themeColor="text1"/>
              </w:rPr>
              <w:t>0.49</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Non-racial matching for children of color</w:t>
            </w:r>
          </w:p>
        </w:tc>
        <w:tc>
          <w:tcPr>
            <w:tcW w:w="676" w:type="pct"/>
            <w:vAlign w:val="bottom"/>
            <w:hideMark/>
          </w:tcPr>
          <w:p w:rsidR="00D46466" w:rsidRPr="00D46466" w:rsidRDefault="00D46466" w:rsidP="009D3AF8">
            <w:pPr>
              <w:jc w:val="center"/>
            </w:pPr>
            <w:r w:rsidRPr="00D46466">
              <w:rPr>
                <w:color w:val="000000" w:themeColor="text1"/>
              </w:rPr>
              <w:t>0.08</w:t>
            </w:r>
          </w:p>
        </w:tc>
        <w:tc>
          <w:tcPr>
            <w:tcW w:w="677" w:type="pct"/>
            <w:vAlign w:val="bottom"/>
            <w:hideMark/>
          </w:tcPr>
          <w:p w:rsidR="00D46466" w:rsidRPr="00D46466" w:rsidRDefault="00D46466" w:rsidP="009D3AF8">
            <w:pPr>
              <w:jc w:val="center"/>
            </w:pPr>
            <w:r w:rsidRPr="00D46466">
              <w:rPr>
                <w:color w:val="000000" w:themeColor="text1"/>
              </w:rPr>
              <w:t>0.11</w:t>
            </w:r>
          </w:p>
        </w:tc>
        <w:tc>
          <w:tcPr>
            <w:tcW w:w="676" w:type="pct"/>
            <w:vAlign w:val="bottom"/>
            <w:hideMark/>
          </w:tcPr>
          <w:p w:rsidR="00D46466" w:rsidRPr="00D46466" w:rsidRDefault="00D46466" w:rsidP="009D3AF8">
            <w:pPr>
              <w:jc w:val="center"/>
            </w:pPr>
            <w:r w:rsidRPr="00D46466">
              <w:rPr>
                <w:color w:val="000000" w:themeColor="text1"/>
              </w:rPr>
              <w:t>-0.03</w:t>
            </w:r>
          </w:p>
        </w:tc>
        <w:tc>
          <w:tcPr>
            <w:tcW w:w="677" w:type="pct"/>
            <w:vAlign w:val="bottom"/>
            <w:hideMark/>
          </w:tcPr>
          <w:p w:rsidR="00D46466" w:rsidRPr="00D46466" w:rsidRDefault="00D46466" w:rsidP="009D3AF8">
            <w:pPr>
              <w:jc w:val="center"/>
            </w:pPr>
            <w:r w:rsidRPr="00D46466">
              <w:rPr>
                <w:color w:val="000000" w:themeColor="text1"/>
              </w:rPr>
              <w:t>0.94</w:t>
            </w:r>
          </w:p>
        </w:tc>
      </w:tr>
      <w:tr w:rsidR="00D46466" w:rsidRPr="00D46466" w:rsidTr="009D3AF8">
        <w:trPr>
          <w:trHeight w:val="674"/>
        </w:trPr>
        <w:tc>
          <w:tcPr>
            <w:tcW w:w="2294" w:type="pct"/>
            <w:vAlign w:val="bottom"/>
            <w:hideMark/>
          </w:tcPr>
          <w:p w:rsidR="00D46466" w:rsidRPr="00D46466" w:rsidRDefault="00D46466" w:rsidP="009D3AF8">
            <w:r w:rsidRPr="00D46466">
              <w:rPr>
                <w:color w:val="000000" w:themeColor="text1"/>
              </w:rPr>
              <w:t>Child- age (years)</w:t>
            </w:r>
          </w:p>
        </w:tc>
        <w:tc>
          <w:tcPr>
            <w:tcW w:w="676" w:type="pct"/>
            <w:vAlign w:val="bottom"/>
            <w:hideMark/>
          </w:tcPr>
          <w:p w:rsidR="00D46466" w:rsidRPr="00D46466" w:rsidRDefault="00D46466" w:rsidP="009D3AF8">
            <w:pPr>
              <w:jc w:val="center"/>
            </w:pPr>
            <w:r w:rsidRPr="00D46466">
              <w:rPr>
                <w:color w:val="000000" w:themeColor="text1"/>
              </w:rPr>
              <w:t>-0.21***</w:t>
            </w:r>
          </w:p>
        </w:tc>
        <w:tc>
          <w:tcPr>
            <w:tcW w:w="677" w:type="pct"/>
            <w:vAlign w:val="bottom"/>
            <w:hideMark/>
          </w:tcPr>
          <w:p w:rsidR="00D46466" w:rsidRPr="00D46466" w:rsidRDefault="00D46466" w:rsidP="009D3AF8">
            <w:pPr>
              <w:jc w:val="center"/>
            </w:pPr>
            <w:r w:rsidRPr="00D46466">
              <w:rPr>
                <w:color w:val="000000" w:themeColor="text1"/>
              </w:rPr>
              <w:t>0.00</w:t>
            </w:r>
          </w:p>
        </w:tc>
        <w:tc>
          <w:tcPr>
            <w:tcW w:w="676" w:type="pct"/>
            <w:vAlign w:val="bottom"/>
            <w:hideMark/>
          </w:tcPr>
          <w:p w:rsidR="00D46466" w:rsidRPr="00D46466" w:rsidRDefault="00D46466" w:rsidP="009D3AF8">
            <w:pPr>
              <w:jc w:val="center"/>
            </w:pPr>
            <w:r w:rsidRPr="00D46466">
              <w:rPr>
                <w:color w:val="000000" w:themeColor="text1"/>
              </w:rPr>
              <w:t>-0.21***</w:t>
            </w:r>
          </w:p>
        </w:tc>
        <w:tc>
          <w:tcPr>
            <w:tcW w:w="677" w:type="pct"/>
            <w:vAlign w:val="bottom"/>
            <w:hideMark/>
          </w:tcPr>
          <w:p w:rsidR="00D46466" w:rsidRPr="00D46466" w:rsidRDefault="00D46466" w:rsidP="009D3AF8">
            <w:pPr>
              <w:jc w:val="center"/>
            </w:pPr>
            <w:r w:rsidRPr="00D46466">
              <w:rPr>
                <w:color w:val="000000" w:themeColor="text1"/>
              </w:rPr>
              <w:t>0.00</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Child- female</w:t>
            </w:r>
          </w:p>
        </w:tc>
        <w:tc>
          <w:tcPr>
            <w:tcW w:w="676" w:type="pct"/>
            <w:vAlign w:val="bottom"/>
            <w:hideMark/>
          </w:tcPr>
          <w:p w:rsidR="00D46466" w:rsidRPr="00D46466" w:rsidRDefault="00D46466" w:rsidP="009D3AF8">
            <w:pPr>
              <w:jc w:val="center"/>
            </w:pPr>
            <w:r w:rsidRPr="00D46466">
              <w:rPr>
                <w:color w:val="000000" w:themeColor="text1"/>
              </w:rPr>
              <w:t>0.02</w:t>
            </w:r>
          </w:p>
        </w:tc>
        <w:tc>
          <w:tcPr>
            <w:tcW w:w="677" w:type="pct"/>
            <w:vAlign w:val="bottom"/>
            <w:hideMark/>
          </w:tcPr>
          <w:p w:rsidR="00D46466" w:rsidRPr="00D46466" w:rsidRDefault="00D46466" w:rsidP="009D3AF8">
            <w:pPr>
              <w:jc w:val="center"/>
            </w:pPr>
            <w:r w:rsidRPr="00D46466">
              <w:rPr>
                <w:color w:val="000000" w:themeColor="text1"/>
              </w:rPr>
              <w:t>0.06</w:t>
            </w:r>
          </w:p>
        </w:tc>
        <w:tc>
          <w:tcPr>
            <w:tcW w:w="676" w:type="pct"/>
            <w:vAlign w:val="bottom"/>
            <w:hideMark/>
          </w:tcPr>
          <w:p w:rsidR="00D46466" w:rsidRPr="00D46466" w:rsidRDefault="00D46466" w:rsidP="009D3AF8">
            <w:pPr>
              <w:jc w:val="center"/>
            </w:pPr>
            <w:r w:rsidRPr="00D46466">
              <w:rPr>
                <w:color w:val="000000" w:themeColor="text1"/>
              </w:rPr>
              <w:t>0.03</w:t>
            </w:r>
          </w:p>
        </w:tc>
        <w:tc>
          <w:tcPr>
            <w:tcW w:w="677" w:type="pct"/>
            <w:vAlign w:val="bottom"/>
            <w:hideMark/>
          </w:tcPr>
          <w:p w:rsidR="00D46466" w:rsidRPr="00D46466" w:rsidRDefault="00D46466" w:rsidP="009D3AF8">
            <w:pPr>
              <w:jc w:val="center"/>
            </w:pPr>
            <w:r w:rsidRPr="00D46466">
              <w:rPr>
                <w:color w:val="000000" w:themeColor="text1"/>
              </w:rPr>
              <w:t>0.50</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Child- out-of-home placement</w:t>
            </w:r>
          </w:p>
        </w:tc>
        <w:tc>
          <w:tcPr>
            <w:tcW w:w="676" w:type="pct"/>
            <w:vAlign w:val="bottom"/>
            <w:hideMark/>
          </w:tcPr>
          <w:p w:rsidR="00D46466" w:rsidRPr="00D46466" w:rsidRDefault="00D46466" w:rsidP="009D3AF8">
            <w:pPr>
              <w:jc w:val="center"/>
            </w:pPr>
            <w:r w:rsidRPr="00D46466">
              <w:rPr>
                <w:color w:val="000000" w:themeColor="text1"/>
              </w:rPr>
              <w:t>0.14***</w:t>
            </w:r>
          </w:p>
        </w:tc>
        <w:tc>
          <w:tcPr>
            <w:tcW w:w="677" w:type="pct"/>
            <w:vAlign w:val="bottom"/>
            <w:hideMark/>
          </w:tcPr>
          <w:p w:rsidR="00D46466" w:rsidRPr="00D46466" w:rsidRDefault="00D46466" w:rsidP="009D3AF8">
            <w:pPr>
              <w:jc w:val="center"/>
            </w:pPr>
            <w:r w:rsidRPr="00D46466">
              <w:rPr>
                <w:color w:val="000000" w:themeColor="text1"/>
              </w:rPr>
              <w:t>0.06</w:t>
            </w:r>
          </w:p>
        </w:tc>
        <w:tc>
          <w:tcPr>
            <w:tcW w:w="676" w:type="pct"/>
            <w:vAlign w:val="bottom"/>
            <w:hideMark/>
          </w:tcPr>
          <w:p w:rsidR="00D46466" w:rsidRPr="00D46466" w:rsidRDefault="00D46466" w:rsidP="009D3AF8">
            <w:pPr>
              <w:jc w:val="center"/>
            </w:pPr>
            <w:r w:rsidRPr="00D46466">
              <w:rPr>
                <w:color w:val="000000" w:themeColor="text1"/>
              </w:rPr>
              <w:t>0.15***</w:t>
            </w:r>
          </w:p>
        </w:tc>
        <w:tc>
          <w:tcPr>
            <w:tcW w:w="677" w:type="pct"/>
            <w:vAlign w:val="bottom"/>
            <w:hideMark/>
          </w:tcPr>
          <w:p w:rsidR="00D46466" w:rsidRPr="00D46466" w:rsidRDefault="00D46466" w:rsidP="009D3AF8">
            <w:pPr>
              <w:jc w:val="center"/>
            </w:pPr>
            <w:r w:rsidRPr="00D46466">
              <w:rPr>
                <w:color w:val="000000" w:themeColor="text1"/>
              </w:rPr>
              <w:t>0.00</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Child- level of difficulty</w:t>
            </w:r>
          </w:p>
        </w:tc>
        <w:tc>
          <w:tcPr>
            <w:tcW w:w="676" w:type="pct"/>
            <w:vAlign w:val="bottom"/>
            <w:hideMark/>
          </w:tcPr>
          <w:p w:rsidR="00D46466" w:rsidRPr="00D46466" w:rsidRDefault="00D46466" w:rsidP="009D3AF8">
            <w:pPr>
              <w:jc w:val="center"/>
            </w:pPr>
            <w:r w:rsidRPr="00D46466">
              <w:rPr>
                <w:color w:val="000000" w:themeColor="text1"/>
              </w:rPr>
              <w:t>-0.17***</w:t>
            </w:r>
          </w:p>
        </w:tc>
        <w:tc>
          <w:tcPr>
            <w:tcW w:w="677" w:type="pct"/>
            <w:vAlign w:val="bottom"/>
            <w:hideMark/>
          </w:tcPr>
          <w:p w:rsidR="00D46466" w:rsidRPr="00D46466" w:rsidRDefault="00D46466" w:rsidP="009D3AF8">
            <w:pPr>
              <w:jc w:val="center"/>
            </w:pPr>
            <w:r w:rsidRPr="00D46466">
              <w:rPr>
                <w:color w:val="000000" w:themeColor="text1"/>
              </w:rPr>
              <w:t>0.01</w:t>
            </w:r>
          </w:p>
        </w:tc>
        <w:tc>
          <w:tcPr>
            <w:tcW w:w="676" w:type="pct"/>
            <w:vAlign w:val="bottom"/>
            <w:hideMark/>
          </w:tcPr>
          <w:p w:rsidR="00D46466" w:rsidRPr="00D46466" w:rsidRDefault="00D46466" w:rsidP="009D3AF8">
            <w:pPr>
              <w:jc w:val="center"/>
            </w:pPr>
            <w:r w:rsidRPr="00D46466">
              <w:rPr>
                <w:color w:val="000000" w:themeColor="text1"/>
              </w:rPr>
              <w:t>-0.17***</w:t>
            </w:r>
          </w:p>
        </w:tc>
        <w:tc>
          <w:tcPr>
            <w:tcW w:w="677" w:type="pct"/>
            <w:vAlign w:val="bottom"/>
            <w:hideMark/>
          </w:tcPr>
          <w:p w:rsidR="00D46466" w:rsidRPr="00D46466" w:rsidRDefault="00D46466" w:rsidP="009D3AF8">
            <w:pPr>
              <w:jc w:val="center"/>
            </w:pPr>
            <w:r w:rsidRPr="00D46466">
              <w:rPr>
                <w:color w:val="000000" w:themeColor="text1"/>
              </w:rPr>
              <w:t>0.00</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Child- having multiple caseworkers</w:t>
            </w:r>
          </w:p>
        </w:tc>
        <w:tc>
          <w:tcPr>
            <w:tcW w:w="676" w:type="pct"/>
            <w:vAlign w:val="bottom"/>
            <w:hideMark/>
          </w:tcPr>
          <w:p w:rsidR="00D46466" w:rsidRPr="00D46466" w:rsidRDefault="00D46466" w:rsidP="009D3AF8">
            <w:pPr>
              <w:jc w:val="center"/>
            </w:pPr>
            <w:r w:rsidRPr="00D46466">
              <w:rPr>
                <w:color w:val="000000" w:themeColor="text1"/>
              </w:rPr>
              <w:t>-0.01</w:t>
            </w:r>
          </w:p>
        </w:tc>
        <w:tc>
          <w:tcPr>
            <w:tcW w:w="677" w:type="pct"/>
            <w:vAlign w:val="bottom"/>
            <w:hideMark/>
          </w:tcPr>
          <w:p w:rsidR="00D46466" w:rsidRPr="00D46466" w:rsidRDefault="00D46466" w:rsidP="009D3AF8">
            <w:pPr>
              <w:jc w:val="center"/>
            </w:pPr>
            <w:r w:rsidRPr="00D46466">
              <w:rPr>
                <w:color w:val="000000" w:themeColor="text1"/>
              </w:rPr>
              <w:t>0.06</w:t>
            </w:r>
          </w:p>
        </w:tc>
        <w:tc>
          <w:tcPr>
            <w:tcW w:w="676" w:type="pct"/>
            <w:vAlign w:val="bottom"/>
            <w:hideMark/>
          </w:tcPr>
          <w:p w:rsidR="00D46466" w:rsidRPr="00D46466" w:rsidRDefault="00D46466" w:rsidP="009D3AF8">
            <w:pPr>
              <w:jc w:val="center"/>
            </w:pPr>
            <w:r w:rsidRPr="00D46466">
              <w:rPr>
                <w:color w:val="000000" w:themeColor="text1"/>
              </w:rPr>
              <w:t>-0.01</w:t>
            </w:r>
          </w:p>
        </w:tc>
        <w:tc>
          <w:tcPr>
            <w:tcW w:w="677" w:type="pct"/>
            <w:vAlign w:val="bottom"/>
            <w:hideMark/>
          </w:tcPr>
          <w:p w:rsidR="00D46466" w:rsidRPr="00D46466" w:rsidRDefault="00D46466" w:rsidP="009D3AF8">
            <w:pPr>
              <w:jc w:val="center"/>
            </w:pPr>
            <w:r w:rsidRPr="00D46466">
              <w:rPr>
                <w:color w:val="000000" w:themeColor="text1"/>
              </w:rPr>
              <w:t>0.75</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Caseworker- age (years)</w:t>
            </w:r>
          </w:p>
        </w:tc>
        <w:tc>
          <w:tcPr>
            <w:tcW w:w="676" w:type="pct"/>
            <w:vAlign w:val="bottom"/>
            <w:hideMark/>
          </w:tcPr>
          <w:p w:rsidR="00D46466" w:rsidRPr="00D46466" w:rsidRDefault="00D46466" w:rsidP="009D3AF8">
            <w:pPr>
              <w:jc w:val="center"/>
            </w:pPr>
            <w:r w:rsidRPr="00D46466">
              <w:rPr>
                <w:color w:val="000000" w:themeColor="text1"/>
              </w:rPr>
              <w:t>0.10*</w:t>
            </w:r>
          </w:p>
        </w:tc>
        <w:tc>
          <w:tcPr>
            <w:tcW w:w="677" w:type="pct"/>
            <w:vAlign w:val="bottom"/>
            <w:hideMark/>
          </w:tcPr>
          <w:p w:rsidR="00D46466" w:rsidRPr="00D46466" w:rsidRDefault="00D46466" w:rsidP="009D3AF8">
            <w:pPr>
              <w:jc w:val="center"/>
            </w:pPr>
            <w:r w:rsidRPr="00D46466">
              <w:rPr>
                <w:color w:val="000000" w:themeColor="text1"/>
              </w:rPr>
              <w:t>0.00</w:t>
            </w:r>
          </w:p>
        </w:tc>
        <w:tc>
          <w:tcPr>
            <w:tcW w:w="676" w:type="pct"/>
            <w:vAlign w:val="bottom"/>
            <w:hideMark/>
          </w:tcPr>
          <w:p w:rsidR="00D46466" w:rsidRPr="00D46466" w:rsidRDefault="00D46466" w:rsidP="009D3AF8">
            <w:pPr>
              <w:jc w:val="center"/>
            </w:pPr>
            <w:r w:rsidRPr="00D46466">
              <w:rPr>
                <w:color w:val="000000" w:themeColor="text1"/>
              </w:rPr>
              <w:t>0.10*</w:t>
            </w:r>
          </w:p>
        </w:tc>
        <w:tc>
          <w:tcPr>
            <w:tcW w:w="677" w:type="pct"/>
            <w:vAlign w:val="bottom"/>
            <w:hideMark/>
          </w:tcPr>
          <w:p w:rsidR="00D46466" w:rsidRPr="00D46466" w:rsidRDefault="00D46466" w:rsidP="009D3AF8">
            <w:pPr>
              <w:jc w:val="center"/>
            </w:pPr>
            <w:r w:rsidRPr="00D46466">
              <w:rPr>
                <w:color w:val="000000" w:themeColor="text1"/>
              </w:rPr>
              <w:t>0.02</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Caseworker- female</w:t>
            </w:r>
          </w:p>
        </w:tc>
        <w:tc>
          <w:tcPr>
            <w:tcW w:w="676" w:type="pct"/>
            <w:vAlign w:val="bottom"/>
            <w:hideMark/>
          </w:tcPr>
          <w:p w:rsidR="00D46466" w:rsidRPr="00D46466" w:rsidRDefault="00D46466" w:rsidP="009D3AF8">
            <w:pPr>
              <w:jc w:val="center"/>
            </w:pPr>
            <w:r w:rsidRPr="00D46466">
              <w:rPr>
                <w:color w:val="000000" w:themeColor="text1"/>
              </w:rPr>
              <w:t>0.02</w:t>
            </w:r>
          </w:p>
        </w:tc>
        <w:tc>
          <w:tcPr>
            <w:tcW w:w="677" w:type="pct"/>
            <w:vAlign w:val="bottom"/>
            <w:hideMark/>
          </w:tcPr>
          <w:p w:rsidR="00D46466" w:rsidRPr="00D46466" w:rsidRDefault="00D46466" w:rsidP="009D3AF8">
            <w:pPr>
              <w:jc w:val="center"/>
            </w:pPr>
            <w:r w:rsidRPr="00D46466">
              <w:rPr>
                <w:color w:val="000000" w:themeColor="text1"/>
              </w:rPr>
              <w:t>0.08</w:t>
            </w:r>
          </w:p>
        </w:tc>
        <w:tc>
          <w:tcPr>
            <w:tcW w:w="676" w:type="pct"/>
            <w:vAlign w:val="bottom"/>
            <w:hideMark/>
          </w:tcPr>
          <w:p w:rsidR="00D46466" w:rsidRPr="00D46466" w:rsidRDefault="00D46466" w:rsidP="009D3AF8">
            <w:pPr>
              <w:jc w:val="center"/>
            </w:pPr>
            <w:r w:rsidRPr="00D46466">
              <w:rPr>
                <w:color w:val="000000" w:themeColor="text1"/>
              </w:rPr>
              <w:t>0.01</w:t>
            </w:r>
          </w:p>
        </w:tc>
        <w:tc>
          <w:tcPr>
            <w:tcW w:w="677" w:type="pct"/>
            <w:vAlign w:val="bottom"/>
            <w:hideMark/>
          </w:tcPr>
          <w:p w:rsidR="00D46466" w:rsidRPr="00D46466" w:rsidRDefault="00D46466" w:rsidP="009D3AF8">
            <w:pPr>
              <w:jc w:val="center"/>
            </w:pPr>
            <w:r w:rsidRPr="00D46466">
              <w:rPr>
                <w:color w:val="000000" w:themeColor="text1"/>
              </w:rPr>
              <w:t>0.74</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Caseworker- graduate degree</w:t>
            </w:r>
          </w:p>
        </w:tc>
        <w:tc>
          <w:tcPr>
            <w:tcW w:w="676" w:type="pct"/>
            <w:vAlign w:val="bottom"/>
            <w:hideMark/>
          </w:tcPr>
          <w:p w:rsidR="00D46466" w:rsidRPr="00D46466" w:rsidRDefault="00D46466" w:rsidP="009D3AF8">
            <w:pPr>
              <w:jc w:val="center"/>
            </w:pPr>
            <w:r w:rsidRPr="00D46466">
              <w:rPr>
                <w:color w:val="000000" w:themeColor="text1"/>
              </w:rPr>
              <w:t>-0.01</w:t>
            </w:r>
          </w:p>
        </w:tc>
        <w:tc>
          <w:tcPr>
            <w:tcW w:w="677" w:type="pct"/>
            <w:vAlign w:val="bottom"/>
            <w:hideMark/>
          </w:tcPr>
          <w:p w:rsidR="00D46466" w:rsidRPr="00D46466" w:rsidRDefault="00D46466" w:rsidP="009D3AF8">
            <w:pPr>
              <w:jc w:val="center"/>
            </w:pPr>
            <w:r w:rsidRPr="00D46466">
              <w:rPr>
                <w:color w:val="000000" w:themeColor="text1"/>
              </w:rPr>
              <w:t>0.09</w:t>
            </w:r>
          </w:p>
        </w:tc>
        <w:tc>
          <w:tcPr>
            <w:tcW w:w="676" w:type="pct"/>
            <w:vAlign w:val="bottom"/>
            <w:hideMark/>
          </w:tcPr>
          <w:p w:rsidR="00D46466" w:rsidRPr="00D46466" w:rsidRDefault="00D46466" w:rsidP="009D3AF8">
            <w:pPr>
              <w:jc w:val="center"/>
            </w:pPr>
            <w:r w:rsidRPr="00D46466">
              <w:rPr>
                <w:color w:val="000000" w:themeColor="text1"/>
              </w:rPr>
              <w:t>-0.01</w:t>
            </w:r>
          </w:p>
        </w:tc>
        <w:tc>
          <w:tcPr>
            <w:tcW w:w="677" w:type="pct"/>
            <w:vAlign w:val="bottom"/>
            <w:hideMark/>
          </w:tcPr>
          <w:p w:rsidR="00D46466" w:rsidRPr="00D46466" w:rsidRDefault="00D46466" w:rsidP="009D3AF8">
            <w:pPr>
              <w:jc w:val="center"/>
            </w:pPr>
            <w:r w:rsidRPr="00D46466">
              <w:rPr>
                <w:color w:val="000000" w:themeColor="text1"/>
              </w:rPr>
              <w:t>0.86</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Caseworker- caseload</w:t>
            </w:r>
          </w:p>
        </w:tc>
        <w:tc>
          <w:tcPr>
            <w:tcW w:w="676" w:type="pct"/>
            <w:vAlign w:val="bottom"/>
            <w:hideMark/>
          </w:tcPr>
          <w:p w:rsidR="00D46466" w:rsidRPr="00D46466" w:rsidRDefault="00D46466" w:rsidP="009D3AF8">
            <w:pPr>
              <w:jc w:val="center"/>
            </w:pPr>
            <w:r w:rsidRPr="00D46466">
              <w:rPr>
                <w:color w:val="000000" w:themeColor="text1"/>
              </w:rPr>
              <w:t>0.03</w:t>
            </w:r>
          </w:p>
        </w:tc>
        <w:tc>
          <w:tcPr>
            <w:tcW w:w="677" w:type="pct"/>
            <w:vAlign w:val="bottom"/>
            <w:hideMark/>
          </w:tcPr>
          <w:p w:rsidR="00D46466" w:rsidRPr="00D46466" w:rsidRDefault="00D46466" w:rsidP="009D3AF8">
            <w:pPr>
              <w:jc w:val="center"/>
            </w:pPr>
            <w:r w:rsidRPr="00D46466">
              <w:rPr>
                <w:color w:val="000000" w:themeColor="text1"/>
              </w:rPr>
              <w:t>0.01</w:t>
            </w:r>
          </w:p>
        </w:tc>
        <w:tc>
          <w:tcPr>
            <w:tcW w:w="676" w:type="pct"/>
            <w:vAlign w:val="bottom"/>
            <w:hideMark/>
          </w:tcPr>
          <w:p w:rsidR="00D46466" w:rsidRPr="00D46466" w:rsidRDefault="00D46466" w:rsidP="009D3AF8">
            <w:pPr>
              <w:jc w:val="center"/>
            </w:pPr>
            <w:r w:rsidRPr="00D46466">
              <w:rPr>
                <w:color w:val="000000" w:themeColor="text1"/>
              </w:rPr>
              <w:t>0.03</w:t>
            </w:r>
          </w:p>
        </w:tc>
        <w:tc>
          <w:tcPr>
            <w:tcW w:w="677" w:type="pct"/>
            <w:vAlign w:val="bottom"/>
            <w:hideMark/>
          </w:tcPr>
          <w:p w:rsidR="00D46466" w:rsidRPr="00D46466" w:rsidRDefault="00D46466" w:rsidP="009D3AF8">
            <w:pPr>
              <w:jc w:val="center"/>
            </w:pPr>
            <w:r w:rsidRPr="00D46466">
              <w:rPr>
                <w:color w:val="000000" w:themeColor="text1"/>
              </w:rPr>
              <w:t>0.42</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Caseworker- work experience (years)</w:t>
            </w:r>
          </w:p>
        </w:tc>
        <w:tc>
          <w:tcPr>
            <w:tcW w:w="676" w:type="pct"/>
            <w:vAlign w:val="bottom"/>
            <w:hideMark/>
          </w:tcPr>
          <w:p w:rsidR="00D46466" w:rsidRPr="00D46466" w:rsidRDefault="00D46466" w:rsidP="009D3AF8">
            <w:pPr>
              <w:jc w:val="center"/>
            </w:pPr>
            <w:r w:rsidRPr="00D46466">
              <w:rPr>
                <w:color w:val="000000" w:themeColor="text1"/>
              </w:rPr>
              <w:t>-0.08*</w:t>
            </w:r>
          </w:p>
        </w:tc>
        <w:tc>
          <w:tcPr>
            <w:tcW w:w="677" w:type="pct"/>
            <w:vAlign w:val="bottom"/>
            <w:hideMark/>
          </w:tcPr>
          <w:p w:rsidR="00D46466" w:rsidRPr="00D46466" w:rsidRDefault="00D46466" w:rsidP="009D3AF8">
            <w:pPr>
              <w:jc w:val="center"/>
            </w:pPr>
            <w:r w:rsidRPr="00D46466">
              <w:rPr>
                <w:color w:val="000000" w:themeColor="text1"/>
              </w:rPr>
              <w:t>0.01</w:t>
            </w:r>
          </w:p>
        </w:tc>
        <w:tc>
          <w:tcPr>
            <w:tcW w:w="676" w:type="pct"/>
            <w:vAlign w:val="bottom"/>
            <w:hideMark/>
          </w:tcPr>
          <w:p w:rsidR="00D46466" w:rsidRPr="00D46466" w:rsidRDefault="00D46466" w:rsidP="009D3AF8">
            <w:pPr>
              <w:jc w:val="center"/>
            </w:pPr>
            <w:r w:rsidRPr="00D46466">
              <w:rPr>
                <w:color w:val="000000" w:themeColor="text1"/>
              </w:rPr>
              <w:t>-0.09*</w:t>
            </w:r>
          </w:p>
        </w:tc>
        <w:tc>
          <w:tcPr>
            <w:tcW w:w="677" w:type="pct"/>
            <w:vAlign w:val="bottom"/>
            <w:hideMark/>
          </w:tcPr>
          <w:p w:rsidR="00D46466" w:rsidRPr="00D46466" w:rsidRDefault="00D46466" w:rsidP="009D3AF8">
            <w:pPr>
              <w:jc w:val="center"/>
            </w:pPr>
            <w:r w:rsidRPr="00D46466">
              <w:rPr>
                <w:color w:val="000000" w:themeColor="text1"/>
              </w:rPr>
              <w:t>0.04</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Caseworker- FTC facilitation skills</w:t>
            </w:r>
          </w:p>
        </w:tc>
        <w:tc>
          <w:tcPr>
            <w:tcW w:w="676" w:type="pct"/>
            <w:vAlign w:val="bottom"/>
            <w:hideMark/>
          </w:tcPr>
          <w:p w:rsidR="00D46466" w:rsidRPr="00D46466" w:rsidRDefault="00D46466" w:rsidP="009D3AF8">
            <w:pPr>
              <w:jc w:val="center"/>
            </w:pPr>
            <w:r w:rsidRPr="00D46466">
              <w:rPr>
                <w:color w:val="000000" w:themeColor="text1"/>
              </w:rPr>
              <w:t>0.01</w:t>
            </w:r>
          </w:p>
        </w:tc>
        <w:tc>
          <w:tcPr>
            <w:tcW w:w="677" w:type="pct"/>
            <w:vAlign w:val="bottom"/>
            <w:hideMark/>
          </w:tcPr>
          <w:p w:rsidR="00D46466" w:rsidRPr="00D46466" w:rsidRDefault="00D46466" w:rsidP="009D3AF8">
            <w:pPr>
              <w:jc w:val="center"/>
            </w:pPr>
            <w:r w:rsidRPr="00D46466">
              <w:rPr>
                <w:color w:val="000000" w:themeColor="text1"/>
              </w:rPr>
              <w:t>0.05</w:t>
            </w:r>
          </w:p>
        </w:tc>
        <w:tc>
          <w:tcPr>
            <w:tcW w:w="676" w:type="pct"/>
            <w:vAlign w:val="bottom"/>
            <w:hideMark/>
          </w:tcPr>
          <w:p w:rsidR="00D46466" w:rsidRPr="00D46466" w:rsidRDefault="00D46466" w:rsidP="009D3AF8">
            <w:pPr>
              <w:jc w:val="center"/>
            </w:pPr>
            <w:r w:rsidRPr="00D46466">
              <w:rPr>
                <w:color w:val="000000" w:themeColor="text1"/>
              </w:rPr>
              <w:t>0.01</w:t>
            </w:r>
          </w:p>
        </w:tc>
        <w:tc>
          <w:tcPr>
            <w:tcW w:w="677" w:type="pct"/>
            <w:vAlign w:val="bottom"/>
            <w:hideMark/>
          </w:tcPr>
          <w:p w:rsidR="00D46466" w:rsidRPr="00D46466" w:rsidRDefault="00D46466" w:rsidP="009D3AF8">
            <w:pPr>
              <w:jc w:val="center"/>
            </w:pPr>
            <w:r w:rsidRPr="00D46466">
              <w:rPr>
                <w:color w:val="000000" w:themeColor="text1"/>
              </w:rPr>
              <w:t>0.82</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Fidelity X Non-RM for white children</w:t>
            </w:r>
          </w:p>
        </w:tc>
        <w:tc>
          <w:tcPr>
            <w:tcW w:w="676" w:type="pct"/>
            <w:vAlign w:val="bottom"/>
            <w:hideMark/>
          </w:tcPr>
          <w:p w:rsidR="00D46466" w:rsidRPr="00D46466" w:rsidRDefault="00D46466" w:rsidP="009D3AF8">
            <w:pPr>
              <w:jc w:val="center"/>
            </w:pPr>
          </w:p>
        </w:tc>
        <w:tc>
          <w:tcPr>
            <w:tcW w:w="677" w:type="pct"/>
            <w:vAlign w:val="bottom"/>
            <w:hideMark/>
          </w:tcPr>
          <w:p w:rsidR="00D46466" w:rsidRPr="00D46466" w:rsidRDefault="00D46466" w:rsidP="009D3AF8">
            <w:pPr>
              <w:jc w:val="center"/>
              <w:rPr>
                <w:rFonts w:cs="Times New Roman"/>
              </w:rPr>
            </w:pPr>
          </w:p>
        </w:tc>
        <w:tc>
          <w:tcPr>
            <w:tcW w:w="676" w:type="pct"/>
            <w:vAlign w:val="bottom"/>
            <w:hideMark/>
          </w:tcPr>
          <w:p w:rsidR="00D46466" w:rsidRPr="00D46466" w:rsidRDefault="00D46466" w:rsidP="009D3AF8">
            <w:pPr>
              <w:jc w:val="center"/>
            </w:pPr>
            <w:r w:rsidRPr="00D46466">
              <w:rPr>
                <w:color w:val="000000" w:themeColor="text1"/>
              </w:rPr>
              <w:t>0.46</w:t>
            </w:r>
          </w:p>
        </w:tc>
        <w:tc>
          <w:tcPr>
            <w:tcW w:w="677" w:type="pct"/>
            <w:vAlign w:val="bottom"/>
            <w:hideMark/>
          </w:tcPr>
          <w:p w:rsidR="00D46466" w:rsidRPr="00D46466" w:rsidRDefault="00D46466" w:rsidP="009D3AF8">
            <w:pPr>
              <w:jc w:val="center"/>
            </w:pPr>
            <w:r w:rsidRPr="00D46466">
              <w:rPr>
                <w:color w:val="000000" w:themeColor="text1"/>
              </w:rPr>
              <w:t>0.16</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Fidelity X RM for white children</w:t>
            </w:r>
          </w:p>
        </w:tc>
        <w:tc>
          <w:tcPr>
            <w:tcW w:w="676" w:type="pct"/>
            <w:vAlign w:val="bottom"/>
            <w:hideMark/>
          </w:tcPr>
          <w:p w:rsidR="00D46466" w:rsidRPr="00D46466" w:rsidRDefault="00D46466" w:rsidP="009D3AF8">
            <w:pPr>
              <w:jc w:val="center"/>
            </w:pPr>
          </w:p>
        </w:tc>
        <w:tc>
          <w:tcPr>
            <w:tcW w:w="677" w:type="pct"/>
            <w:vAlign w:val="bottom"/>
            <w:hideMark/>
          </w:tcPr>
          <w:p w:rsidR="00D46466" w:rsidRPr="00D46466" w:rsidRDefault="00D46466" w:rsidP="009D3AF8">
            <w:pPr>
              <w:jc w:val="center"/>
              <w:rPr>
                <w:rFonts w:cs="Times New Roman"/>
              </w:rPr>
            </w:pPr>
          </w:p>
        </w:tc>
        <w:tc>
          <w:tcPr>
            <w:tcW w:w="676" w:type="pct"/>
            <w:vAlign w:val="bottom"/>
            <w:hideMark/>
          </w:tcPr>
          <w:p w:rsidR="00D46466" w:rsidRPr="00D46466" w:rsidRDefault="00D46466" w:rsidP="009D3AF8">
            <w:pPr>
              <w:jc w:val="center"/>
            </w:pPr>
            <w:r w:rsidRPr="00D46466">
              <w:rPr>
                <w:color w:val="000000" w:themeColor="text1"/>
              </w:rPr>
              <w:t>0.39</w:t>
            </w:r>
          </w:p>
        </w:tc>
        <w:tc>
          <w:tcPr>
            <w:tcW w:w="677" w:type="pct"/>
            <w:vAlign w:val="bottom"/>
            <w:hideMark/>
          </w:tcPr>
          <w:p w:rsidR="00D46466" w:rsidRPr="00D46466" w:rsidRDefault="00D46466" w:rsidP="009D3AF8">
            <w:pPr>
              <w:jc w:val="center"/>
            </w:pPr>
            <w:r w:rsidRPr="00D46466">
              <w:rPr>
                <w:color w:val="000000" w:themeColor="text1"/>
              </w:rPr>
              <w:t>0.30</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Fidelity X Non-RM for children of color</w:t>
            </w:r>
          </w:p>
        </w:tc>
        <w:tc>
          <w:tcPr>
            <w:tcW w:w="676" w:type="pct"/>
            <w:vAlign w:val="bottom"/>
            <w:hideMark/>
          </w:tcPr>
          <w:p w:rsidR="00D46466" w:rsidRPr="00D46466" w:rsidRDefault="00D46466" w:rsidP="009D3AF8">
            <w:pPr>
              <w:jc w:val="center"/>
            </w:pPr>
          </w:p>
        </w:tc>
        <w:tc>
          <w:tcPr>
            <w:tcW w:w="677" w:type="pct"/>
            <w:vAlign w:val="bottom"/>
            <w:hideMark/>
          </w:tcPr>
          <w:p w:rsidR="00D46466" w:rsidRPr="00D46466" w:rsidRDefault="00D46466" w:rsidP="009D3AF8">
            <w:pPr>
              <w:jc w:val="center"/>
              <w:rPr>
                <w:rFonts w:cs="Times New Roman"/>
              </w:rPr>
            </w:pPr>
          </w:p>
        </w:tc>
        <w:tc>
          <w:tcPr>
            <w:tcW w:w="676" w:type="pct"/>
            <w:vAlign w:val="bottom"/>
            <w:hideMark/>
          </w:tcPr>
          <w:p w:rsidR="00D46466" w:rsidRPr="00D46466" w:rsidRDefault="00D46466" w:rsidP="009D3AF8">
            <w:pPr>
              <w:jc w:val="center"/>
            </w:pPr>
            <w:r w:rsidRPr="00D46466">
              <w:rPr>
                <w:color w:val="000000" w:themeColor="text1"/>
              </w:rPr>
              <w:t>0.12</w:t>
            </w:r>
          </w:p>
        </w:tc>
        <w:tc>
          <w:tcPr>
            <w:tcW w:w="677" w:type="pct"/>
            <w:vAlign w:val="bottom"/>
            <w:hideMark/>
          </w:tcPr>
          <w:p w:rsidR="00D46466" w:rsidRPr="00D46466" w:rsidRDefault="00D46466" w:rsidP="009D3AF8">
            <w:pPr>
              <w:jc w:val="center"/>
            </w:pPr>
            <w:r w:rsidRPr="00D46466">
              <w:rPr>
                <w:color w:val="000000" w:themeColor="text1"/>
              </w:rPr>
              <w:t>0.76</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F (df)</w:t>
            </w:r>
          </w:p>
        </w:tc>
        <w:tc>
          <w:tcPr>
            <w:tcW w:w="1353" w:type="pct"/>
            <w:gridSpan w:val="2"/>
            <w:vAlign w:val="bottom"/>
            <w:hideMark/>
          </w:tcPr>
          <w:p w:rsidR="00D46466" w:rsidRPr="00D46466" w:rsidRDefault="00D46466" w:rsidP="009D3AF8">
            <w:pPr>
              <w:jc w:val="center"/>
            </w:pPr>
            <w:r w:rsidRPr="00D46466">
              <w:rPr>
                <w:color w:val="000000" w:themeColor="text1"/>
              </w:rPr>
              <w:t>9.60 (15, 586)***</w:t>
            </w:r>
          </w:p>
        </w:tc>
        <w:tc>
          <w:tcPr>
            <w:tcW w:w="1353" w:type="pct"/>
            <w:gridSpan w:val="2"/>
            <w:vAlign w:val="bottom"/>
            <w:hideMark/>
          </w:tcPr>
          <w:p w:rsidR="00D46466" w:rsidRPr="00D46466" w:rsidRDefault="00D46466" w:rsidP="009D3AF8">
            <w:pPr>
              <w:jc w:val="center"/>
            </w:pPr>
            <w:r w:rsidRPr="00D46466">
              <w:rPr>
                <w:color w:val="000000" w:themeColor="text1"/>
              </w:rPr>
              <w:t>8.12 (18, 583)***</w:t>
            </w:r>
          </w:p>
        </w:tc>
      </w:tr>
      <w:tr w:rsidR="00D46466" w:rsidRPr="00D46466" w:rsidTr="009D3AF8">
        <w:trPr>
          <w:trHeight w:val="20"/>
        </w:trPr>
        <w:tc>
          <w:tcPr>
            <w:tcW w:w="2294" w:type="pct"/>
            <w:vAlign w:val="bottom"/>
            <w:hideMark/>
          </w:tcPr>
          <w:p w:rsidR="00D46466" w:rsidRPr="00D46466" w:rsidRDefault="00D46466" w:rsidP="009D3AF8">
            <w:r w:rsidRPr="00D46466">
              <w:rPr>
                <w:color w:val="000000" w:themeColor="text1"/>
              </w:rPr>
              <w:t>R-square</w:t>
            </w:r>
          </w:p>
        </w:tc>
        <w:tc>
          <w:tcPr>
            <w:tcW w:w="1353" w:type="pct"/>
            <w:gridSpan w:val="2"/>
            <w:vAlign w:val="bottom"/>
            <w:hideMark/>
          </w:tcPr>
          <w:p w:rsidR="00D46466" w:rsidRPr="00D46466" w:rsidRDefault="00D46466" w:rsidP="009D3AF8">
            <w:pPr>
              <w:jc w:val="center"/>
            </w:pPr>
            <w:r w:rsidRPr="00D46466">
              <w:rPr>
                <w:color w:val="000000" w:themeColor="text1"/>
              </w:rPr>
              <w:t>0.197</w:t>
            </w:r>
          </w:p>
        </w:tc>
        <w:tc>
          <w:tcPr>
            <w:tcW w:w="1353" w:type="pct"/>
            <w:gridSpan w:val="2"/>
            <w:vAlign w:val="bottom"/>
            <w:hideMark/>
          </w:tcPr>
          <w:p w:rsidR="00D46466" w:rsidRPr="00D46466" w:rsidRDefault="00D46466" w:rsidP="009D3AF8">
            <w:pPr>
              <w:jc w:val="center"/>
            </w:pPr>
            <w:r w:rsidRPr="00D46466">
              <w:rPr>
                <w:color w:val="000000" w:themeColor="text1"/>
              </w:rPr>
              <w:t>0.200</w:t>
            </w:r>
          </w:p>
        </w:tc>
      </w:tr>
    </w:tbl>
    <w:p w:rsidR="009D3AF8" w:rsidRPr="009D3AF8" w:rsidRDefault="009D3AF8" w:rsidP="009D3AF8">
      <w:r w:rsidRPr="009D3AF8">
        <w:t>†p&lt;.01, *p&lt;.05, **p&lt;.01, ***p&lt;.001</w:t>
      </w:r>
    </w:p>
    <w:p w:rsidR="00D46466" w:rsidRPr="009D3AF8" w:rsidRDefault="00D46466" w:rsidP="00D46466">
      <w:pPr>
        <w:rPr>
          <w:color w:val="1F4E79"/>
        </w:rPr>
      </w:pPr>
    </w:p>
    <w:p w:rsidR="009D3AF8" w:rsidRDefault="009D3AF8" w:rsidP="00D46466">
      <w:pPr>
        <w:rPr>
          <w:b/>
          <w:color w:val="1F4E79"/>
        </w:rPr>
      </w:pPr>
      <w:r w:rsidRPr="009D3AF8">
        <w:rPr>
          <w:b/>
          <w:color w:val="1F4E79"/>
        </w:rPr>
        <w:t>Summary</w:t>
      </w:r>
      <w:r>
        <w:rPr>
          <w:b/>
          <w:color w:val="1F4E79"/>
        </w:rPr>
        <w:t>:</w:t>
      </w:r>
    </w:p>
    <w:p w:rsidR="001B76FD" w:rsidRDefault="0032600F" w:rsidP="009D3AF8">
      <w:r w:rsidRPr="009D3AF8">
        <w:t>Although the racial composition is similar between children and caseworkers, children of color were less likely than white children to be matched with caseworkers from the same racial groups</w:t>
      </w:r>
      <w:r w:rsidR="009D3AF8">
        <w:t xml:space="preserve">. </w:t>
      </w:r>
      <w:r w:rsidR="009D3AF8" w:rsidRPr="009D3AF8">
        <w:t>Racially matched children of color seem to face more challenges to cultural responsiveness in FTC, perhaps due in part to their higher risks and challenges</w:t>
      </w:r>
      <w:r w:rsidR="009D3AF8">
        <w:t xml:space="preserve">. </w:t>
      </w:r>
      <w:r w:rsidR="009D3AF8" w:rsidRPr="009D3AF8">
        <w:t>The fidelity of FTC was a stronger factor to enhance child well-being</w:t>
      </w:r>
      <w:r w:rsidR="009D3AF8">
        <w:t xml:space="preserve">. </w:t>
      </w:r>
      <w:r w:rsidR="00AB0C4C">
        <w:t xml:space="preserve">Racial matching in FTC </w:t>
      </w:r>
      <w:r w:rsidR="009D3AF8" w:rsidRPr="009D3AF8">
        <w:t>was less effective for improving the well-being of children of color.</w:t>
      </w:r>
      <w:r w:rsidR="00AB0C4C" w:rsidRPr="00AB0C4C">
        <w:t xml:space="preserve"> Caseworkers’ facilitation skills significantly increased child well-being and strengthened the positive impact of the fidelity on child well-being</w:t>
      </w:r>
      <w:r w:rsidR="00AB0C4C">
        <w:t>.</w:t>
      </w:r>
    </w:p>
    <w:p w:rsidR="001B76FD" w:rsidRDefault="001B76FD" w:rsidP="009D3AF8"/>
    <w:p w:rsidR="001B76FD" w:rsidRPr="001B76FD" w:rsidRDefault="001B76FD" w:rsidP="009D3AF8">
      <w:pPr>
        <w:rPr>
          <w:b/>
          <w:color w:val="1F4E79"/>
        </w:rPr>
      </w:pPr>
      <w:r w:rsidRPr="001B76FD">
        <w:rPr>
          <w:b/>
          <w:color w:val="1F4E79"/>
        </w:rPr>
        <w:t>Implications:</w:t>
      </w:r>
    </w:p>
    <w:p w:rsidR="004F685D" w:rsidRDefault="001B76FD" w:rsidP="001B76FD">
      <w:pPr>
        <w:rPr>
          <w:b/>
          <w:bCs/>
        </w:rPr>
      </w:pPr>
      <w:r>
        <w:t xml:space="preserve"> </w:t>
      </w:r>
      <w:r w:rsidR="0032600F" w:rsidRPr="001B76FD">
        <w:rPr>
          <w:b/>
          <w:bCs/>
        </w:rPr>
        <w:t>Enhance cultural responsiveness in the entire process of FTC</w:t>
      </w:r>
    </w:p>
    <w:p w:rsidR="004F685D" w:rsidRPr="001B76FD" w:rsidRDefault="0032600F" w:rsidP="0032600F">
      <w:pPr>
        <w:numPr>
          <w:ilvl w:val="0"/>
          <w:numId w:val="41"/>
        </w:numPr>
      </w:pPr>
      <w:r w:rsidRPr="001B76FD">
        <w:t>Allow families to choose their team members and hold family meetings in culturally appropriate settings</w:t>
      </w:r>
    </w:p>
    <w:p w:rsidR="004F685D" w:rsidRPr="001B76FD" w:rsidRDefault="0032600F" w:rsidP="0032600F">
      <w:pPr>
        <w:numPr>
          <w:ilvl w:val="0"/>
          <w:numId w:val="41"/>
        </w:numPr>
      </w:pPr>
      <w:r w:rsidRPr="001B76FD">
        <w:t>Empower families to embrace their culture in decision-making</w:t>
      </w:r>
    </w:p>
    <w:p w:rsidR="004F685D" w:rsidRPr="001B76FD" w:rsidRDefault="0032600F" w:rsidP="0032600F">
      <w:pPr>
        <w:numPr>
          <w:ilvl w:val="0"/>
          <w:numId w:val="41"/>
        </w:numPr>
      </w:pPr>
      <w:r w:rsidRPr="001B76FD">
        <w:t>Create flexible processes to respect cultural traditions with ongoing communication and joint problem-solving</w:t>
      </w:r>
    </w:p>
    <w:p w:rsidR="004F685D" w:rsidRPr="001B76FD" w:rsidRDefault="0032600F" w:rsidP="0032600F">
      <w:pPr>
        <w:numPr>
          <w:ilvl w:val="0"/>
          <w:numId w:val="41"/>
        </w:numPr>
      </w:pPr>
      <w:r w:rsidRPr="001B76FD">
        <w:t>Monitor and evaluate the fidelity of FTC to address cultural barriers and improve child and family outcomes</w:t>
      </w:r>
    </w:p>
    <w:p w:rsidR="004F685D" w:rsidRPr="001B76FD" w:rsidRDefault="0032600F" w:rsidP="001B76FD">
      <w:r w:rsidRPr="001B76FD">
        <w:rPr>
          <w:b/>
          <w:bCs/>
        </w:rPr>
        <w:t>Develop culturally responsive workforce</w:t>
      </w:r>
    </w:p>
    <w:p w:rsidR="004F685D" w:rsidRPr="001B76FD" w:rsidRDefault="0032600F" w:rsidP="0032600F">
      <w:pPr>
        <w:numPr>
          <w:ilvl w:val="0"/>
          <w:numId w:val="42"/>
        </w:numPr>
      </w:pPr>
      <w:r w:rsidRPr="001B76FD">
        <w:t>Improve cultural knowledge, values, and skills</w:t>
      </w:r>
    </w:p>
    <w:p w:rsidR="004F685D" w:rsidRPr="001B76FD" w:rsidRDefault="0032600F" w:rsidP="0032600F">
      <w:pPr>
        <w:numPr>
          <w:ilvl w:val="0"/>
          <w:numId w:val="42"/>
        </w:numPr>
      </w:pPr>
      <w:r w:rsidRPr="001B76FD">
        <w:t>Encourage critical awareness of caseworkers’ cultural bias and institutional racism based on an intersectionality perspective</w:t>
      </w:r>
    </w:p>
    <w:p w:rsidR="004F685D" w:rsidRPr="001B76FD" w:rsidRDefault="0032600F" w:rsidP="0032600F">
      <w:pPr>
        <w:numPr>
          <w:ilvl w:val="0"/>
          <w:numId w:val="42"/>
        </w:numPr>
      </w:pPr>
      <w:r w:rsidRPr="001B76FD">
        <w:t>Provide organizational support and supervision that allows caseworkers to maintain high-fidelity of FTC, such as cultural respect</w:t>
      </w:r>
    </w:p>
    <w:p w:rsidR="004F685D" w:rsidRPr="001B76FD" w:rsidRDefault="0032600F" w:rsidP="001B76FD">
      <w:r w:rsidRPr="001B76FD">
        <w:rPr>
          <w:b/>
          <w:bCs/>
        </w:rPr>
        <w:t>Promote community engagement and partnerships</w:t>
      </w:r>
    </w:p>
    <w:p w:rsidR="004F685D" w:rsidRPr="001B76FD" w:rsidRDefault="0032600F" w:rsidP="0032600F">
      <w:pPr>
        <w:numPr>
          <w:ilvl w:val="0"/>
          <w:numId w:val="42"/>
        </w:numPr>
      </w:pPr>
      <w:r w:rsidRPr="001B76FD">
        <w:t>Reach out</w:t>
      </w:r>
      <w:r w:rsidR="008F3629">
        <w:t xml:space="preserve"> to</w:t>
      </w:r>
      <w:r w:rsidRPr="001B76FD">
        <w:t xml:space="preserve"> communities to recruit and engage cultural representatives</w:t>
      </w:r>
    </w:p>
    <w:p w:rsidR="004F685D" w:rsidRPr="001B76FD" w:rsidRDefault="0032600F" w:rsidP="0032600F">
      <w:pPr>
        <w:numPr>
          <w:ilvl w:val="0"/>
          <w:numId w:val="42"/>
        </w:numPr>
      </w:pPr>
      <w:r w:rsidRPr="001B76FD">
        <w:t>Build community partnerships to provide culturally responsive services</w:t>
      </w:r>
    </w:p>
    <w:p w:rsidR="001B76FD" w:rsidRPr="001B76FD" w:rsidRDefault="001B76FD" w:rsidP="001B76FD"/>
    <w:p w:rsidR="000138D1" w:rsidRPr="00440792" w:rsidRDefault="000138D1" w:rsidP="00E8762D">
      <w:pPr>
        <w:pStyle w:val="Heading3"/>
        <w:spacing w:line="276" w:lineRule="auto"/>
      </w:pPr>
      <w:r w:rsidRPr="00440792">
        <w:t xml:space="preserve">FCM Survey Summary </w:t>
      </w:r>
    </w:p>
    <w:p w:rsidR="00D53158" w:rsidRDefault="000138D1" w:rsidP="00485C43">
      <w:r w:rsidRPr="00440792">
        <w:t xml:space="preserve">In this report, the Evaluation team provided a </w:t>
      </w:r>
      <w:r w:rsidR="0057286E">
        <w:t>FCM analyses including safety, permanency, and well-being of the most recently opened and most recently closed cases, FCM understanding of FFPSA, FCM perceptions of the service array, perception of concrete service use, determinants of intent to stay in child welfare, evaluation of the fidelity of child family team meetings, and how that fidelity impacts child well-being. A total of 7,133 survey responses were analyzed over the demonstration and extension periods.  These responses provided rich data on the experiences of FCMs during the demonstration.</w:t>
      </w:r>
    </w:p>
    <w:p w:rsidR="00D53158" w:rsidRDefault="00D53158" w:rsidP="00485C43"/>
    <w:p w:rsidR="002D42B2" w:rsidRPr="00D53158" w:rsidRDefault="0057286E" w:rsidP="002D42B2">
      <w:pPr>
        <w:rPr>
          <w:szCs w:val="24"/>
        </w:rPr>
      </w:pPr>
      <w:r>
        <w:t xml:space="preserve"> Of note</w:t>
      </w:r>
      <w:r w:rsidR="00224233">
        <w:t xml:space="preserve">, the most recently opened cases over the demonstration declined in safety, permanency, and well-being supporting the hypothesis that the </w:t>
      </w:r>
      <w:r w:rsidR="00DC7A7D">
        <w:t>Waiver</w:t>
      </w:r>
      <w:r w:rsidR="00224233">
        <w:t xml:space="preserve"> may keep families out of the system who do not need interventions from the State. And FCMs perceptions of the safety, permanency, and well-being of cases at closure increased positively over the demonstration.</w:t>
      </w:r>
      <w:r w:rsidR="00485C43">
        <w:t xml:space="preserve"> In regards to the service array, </w:t>
      </w:r>
      <w:r w:rsidR="00485C43">
        <w:rPr>
          <w:szCs w:val="24"/>
        </w:rPr>
        <w:t>EBPs were not perceived as the most needed, but were the most effective services when they are utilized. Global funds and basic needs were the only two non-EBPs that were perceived as effective as the EBPs.</w:t>
      </w:r>
      <w:r w:rsidR="00D53158">
        <w:rPr>
          <w:szCs w:val="24"/>
        </w:rPr>
        <w:t xml:space="preserve"> </w:t>
      </w:r>
      <w:r w:rsidR="003A1F17">
        <w:t>Distributive justice significantly increased the intent to stay working in child welfare. Distributive justice was a stronger factor than other significant factors. Secondary traumatic stress significantly decreased the intent to stay, particularly for ongoing and youth service workers</w:t>
      </w:r>
      <w:r w:rsidR="00D0524F">
        <w:t xml:space="preserve"> (collaborative care)</w:t>
      </w:r>
      <w:r w:rsidR="003A1F17">
        <w:t xml:space="preserve"> than assessment workers. Professional self-care </w:t>
      </w:r>
      <w:r w:rsidR="00D53158">
        <w:t>also</w:t>
      </w:r>
      <w:r w:rsidR="003A1F17">
        <w:t xml:space="preserve"> increased the intent to stay.</w:t>
      </w:r>
      <w:r w:rsidR="00D53158">
        <w:t xml:space="preserve"> Finally, fidelity to CFTMs decreased over the demonstration period, and better</w:t>
      </w:r>
      <w:r w:rsidR="00D53158" w:rsidRPr="00D46466">
        <w:t xml:space="preserve"> fidelity significantly increased child well-being reported by caseworkers.</w:t>
      </w:r>
      <w:r w:rsidR="002D42B2" w:rsidRPr="00440792">
        <w:br w:type="page"/>
      </w:r>
    </w:p>
    <w:p w:rsidR="002D2433" w:rsidRPr="00440792" w:rsidRDefault="002D2433" w:rsidP="002D2433">
      <w:pPr>
        <w:pStyle w:val="Heading1"/>
      </w:pPr>
      <w:bookmarkStart w:id="22" w:name="_Toc43887884"/>
      <w:r w:rsidRPr="00440792">
        <w:t>Cost</w:t>
      </w:r>
      <w:r w:rsidR="00515259" w:rsidRPr="00440792">
        <w:t xml:space="preserve"> Study</w:t>
      </w:r>
      <w:bookmarkEnd w:id="22"/>
    </w:p>
    <w:p w:rsidR="0084681D" w:rsidRDefault="0084681D" w:rsidP="0084681D">
      <w:r w:rsidRPr="00440792">
        <w:t xml:space="preserve">The Title IV-E Capped Allocation </w:t>
      </w:r>
      <w:r w:rsidR="00A5038C">
        <w:t>Waiver</w:t>
      </w:r>
      <w:r w:rsidRPr="00440792">
        <w:t xml:space="preserve"> that the State of Indiana has be</w:t>
      </w:r>
      <w:r w:rsidR="006A4BBC">
        <w:t>en</w:t>
      </w:r>
      <w:r w:rsidRPr="00440792">
        <w:t xml:space="preserve"> participating in over the last several years has had many benefits that have been well discussed throughout this report.  One of the </w:t>
      </w:r>
      <w:r w:rsidR="00EE5A4D">
        <w:t>impacts</w:t>
      </w:r>
      <w:r w:rsidRPr="00440792">
        <w:t xml:space="preserve"> realized by the state has been the flexibility of the funding.  The state has been able to utilize this funding for more cost than were traditionally</w:t>
      </w:r>
      <w:r w:rsidR="00EE5A4D">
        <w:t xml:space="preserve"> eligible, including unlicensed relative placements and community</w:t>
      </w:r>
      <w:r w:rsidR="00CE2773">
        <w:t>-</w:t>
      </w:r>
      <w:r w:rsidR="00EE5A4D">
        <w:t>based services</w:t>
      </w:r>
      <w:r w:rsidR="00CE2773">
        <w:t xml:space="preserve">. </w:t>
      </w:r>
      <w:r w:rsidRPr="00440792">
        <w:t xml:space="preserve">All of this has been done while keeping under the state’s overall allocation amount for the time period.  </w:t>
      </w:r>
    </w:p>
    <w:p w:rsidR="00F74168" w:rsidRPr="00440792" w:rsidRDefault="00F74168" w:rsidP="0084681D"/>
    <w:p w:rsidR="00F65AB9" w:rsidRDefault="00F65AB9" w:rsidP="00FA2B61">
      <w:pPr>
        <w:pStyle w:val="Heading4"/>
      </w:pPr>
      <w:r>
        <w:t xml:space="preserve">Figure </w:t>
      </w:r>
      <w:r w:rsidR="00F74168">
        <w:t>40</w:t>
      </w:r>
      <w:r>
        <w:t>. Total DCS Spending</w:t>
      </w:r>
      <w:r w:rsidR="00B60D3C">
        <w:t xml:space="preserve"> (By State Fiscal Year)</w:t>
      </w:r>
    </w:p>
    <w:p w:rsidR="00F65AB9" w:rsidRDefault="000C77D9" w:rsidP="00FA2B61">
      <w:pPr>
        <w:keepNext/>
      </w:pPr>
      <w:r w:rsidRPr="000C77D9">
        <w:rPr>
          <w:noProof/>
        </w:rPr>
        <w:drawing>
          <wp:inline distT="0" distB="0" distL="0" distR="0" wp14:anchorId="57386712" wp14:editId="29D70B16">
            <wp:extent cx="5943600" cy="3684905"/>
            <wp:effectExtent l="0" t="0" r="0" b="10795"/>
            <wp:docPr id="14337" name="Chart 143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0C77D9" w:rsidRPr="000C77D9" w:rsidRDefault="000C77D9" w:rsidP="000C77D9">
      <w:pPr>
        <w:keepNext/>
      </w:pPr>
      <w:r>
        <w:t>*</w:t>
      </w:r>
      <w:r w:rsidRPr="000C77D9">
        <w:rPr>
          <w:rFonts w:eastAsiaTheme="minorEastAsia" w:hAnsi="Calibri"/>
          <w:color w:val="000000" w:themeColor="text1"/>
          <w:kern w:val="24"/>
          <w:sz w:val="36"/>
          <w:szCs w:val="36"/>
        </w:rPr>
        <w:t xml:space="preserve"> </w:t>
      </w:r>
      <w:r w:rsidRPr="000C77D9">
        <w:t>Does not include the transfer of DCS appropriation to cover Medicaid match of DCS wards.</w:t>
      </w:r>
    </w:p>
    <w:p w:rsidR="000C77D9" w:rsidRDefault="000C77D9" w:rsidP="00FA2B61">
      <w:pPr>
        <w:keepNext/>
      </w:pPr>
    </w:p>
    <w:p w:rsidR="0084681D" w:rsidRPr="00440792" w:rsidRDefault="0084681D" w:rsidP="0084681D">
      <w:r w:rsidRPr="00440792">
        <w:t xml:space="preserve">As the graph above shows, total spending by the Indiana Department of Child Services has been increasing in an almost dramatic fashion over the course of the </w:t>
      </w:r>
      <w:r w:rsidR="00A5038C">
        <w:t>Waiver</w:t>
      </w:r>
      <w:r w:rsidRPr="00440792">
        <w:t xml:space="preserve">.  This has made the review of this cost very difficult as so many other variables have been a factor during this time period.  One of the </w:t>
      </w:r>
      <w:r w:rsidR="00EE5A4D">
        <w:t>main reasons for this is the dras</w:t>
      </w:r>
      <w:r w:rsidRPr="00440792">
        <w:t xml:space="preserve">tic increase in total </w:t>
      </w:r>
      <w:r w:rsidR="00CE2773" w:rsidRPr="00440792">
        <w:t>caseload</w:t>
      </w:r>
      <w:r w:rsidRPr="00440792">
        <w:t xml:space="preserve"> over that time period</w:t>
      </w:r>
      <w:r w:rsidR="00EE5A4D">
        <w:t xml:space="preserve"> resulting in an increased cost in direct services</w:t>
      </w:r>
      <w:r w:rsidRPr="00440792">
        <w:t xml:space="preserve">.  </w:t>
      </w:r>
      <w:r w:rsidR="00694AC2">
        <w:t xml:space="preserve">During the extension period, </w:t>
      </w:r>
      <w:r w:rsidR="005F04D2">
        <w:t>administrative costs</w:t>
      </w:r>
      <w:r w:rsidR="00EE5A4D">
        <w:t xml:space="preserve"> also</w:t>
      </w:r>
      <w:r w:rsidR="005F04D2">
        <w:t xml:space="preserve"> </w:t>
      </w:r>
      <w:r w:rsidR="00694AC2">
        <w:t xml:space="preserve">increased as DCS hired more caseworkers, </w:t>
      </w:r>
      <w:r w:rsidR="005F04D2">
        <w:t xml:space="preserve">attorneys, </w:t>
      </w:r>
      <w:r w:rsidR="00694AC2">
        <w:t xml:space="preserve">increased salaries, and created </w:t>
      </w:r>
      <w:r w:rsidR="005F04D2">
        <w:t xml:space="preserve">several </w:t>
      </w:r>
      <w:r w:rsidR="00694AC2">
        <w:t>new positions to support</w:t>
      </w:r>
      <w:r w:rsidR="005F04D2">
        <w:t xml:space="preserve"> agency goals and needs</w:t>
      </w:r>
      <w:r w:rsidR="00694AC2">
        <w:t>.</w:t>
      </w:r>
      <w:r w:rsidR="00EE5A4D">
        <w:t xml:space="preserve"> Many of these administrative adjustments were due to a review by the Child Welfare Group and the related recommendations on how to improve the DCS culture. Investment in </w:t>
      </w:r>
      <w:r w:rsidR="00A91703">
        <w:t>culture and the DCS team was one key component of better serving the kids and families in Indiana.</w:t>
      </w:r>
    </w:p>
    <w:p w:rsidR="00F65AB9" w:rsidRDefault="00F65AB9" w:rsidP="0084681D"/>
    <w:p w:rsidR="00F65AB9" w:rsidRDefault="00F65AB9" w:rsidP="00FA2B61">
      <w:pPr>
        <w:pStyle w:val="Heading4"/>
      </w:pPr>
      <w:r>
        <w:t xml:space="preserve">Figure </w:t>
      </w:r>
      <w:r w:rsidR="00F74168">
        <w:t>41</w:t>
      </w:r>
      <w:r>
        <w:t>. Total Cases</w:t>
      </w:r>
    </w:p>
    <w:p w:rsidR="0084681D" w:rsidRPr="00440792" w:rsidRDefault="000C77D9" w:rsidP="0084681D">
      <w:r w:rsidRPr="000C77D9">
        <w:rPr>
          <w:noProof/>
        </w:rPr>
        <w:drawing>
          <wp:inline distT="0" distB="0" distL="0" distR="0" wp14:anchorId="39D113E6" wp14:editId="24F52E48">
            <wp:extent cx="5943600" cy="3155950"/>
            <wp:effectExtent l="0" t="0" r="0" b="6350"/>
            <wp:docPr id="14341" name="Chart 143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F65AB9" w:rsidRDefault="00F65AB9" w:rsidP="00FA2B61">
      <w:pPr>
        <w:pStyle w:val="Heading4"/>
      </w:pPr>
      <w:r>
        <w:t xml:space="preserve">Figure </w:t>
      </w:r>
      <w:r w:rsidR="00F74168">
        <w:t>42</w:t>
      </w:r>
      <w:r>
        <w:t>. CHINS Placements</w:t>
      </w:r>
    </w:p>
    <w:p w:rsidR="0084681D" w:rsidRPr="00440792" w:rsidRDefault="000C77D9" w:rsidP="0084681D">
      <w:r w:rsidRPr="000C77D9">
        <w:rPr>
          <w:noProof/>
        </w:rPr>
        <w:drawing>
          <wp:inline distT="0" distB="0" distL="0" distR="0" wp14:anchorId="6CFD3DD2" wp14:editId="4A398DEF">
            <wp:extent cx="5943600" cy="3282950"/>
            <wp:effectExtent l="0" t="0" r="0" b="12700"/>
            <wp:docPr id="14342" name="Chart 143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84681D" w:rsidRPr="00440792" w:rsidRDefault="0084681D" w:rsidP="0084681D">
      <w:r w:rsidRPr="00440792">
        <w:t>Since the beginning of the current iteration of the</w:t>
      </w:r>
      <w:r w:rsidRPr="00F65AB9">
        <w:t xml:space="preserve"> </w:t>
      </w:r>
      <w:r w:rsidR="00A5038C">
        <w:t>Waiver</w:t>
      </w:r>
      <w:r w:rsidRPr="00F65AB9">
        <w:t xml:space="preserve">, there has been a near doubling of the number of cases in the system.  Although this increase has seen substantial rise in the amount of children in the system, it has not seen a lot of variation in the breakdown of the placement </w:t>
      </w:r>
      <w:r w:rsidR="000C77D9">
        <w:t xml:space="preserve">types. </w:t>
      </w:r>
      <w:r w:rsidRPr="00F65AB9">
        <w:t>We see th</w:t>
      </w:r>
      <w:r w:rsidRPr="00440792">
        <w:t xml:space="preserve">at our system continues to operate within the same percentage of placement type during the </w:t>
      </w:r>
      <w:r w:rsidR="00A5038C">
        <w:t>Waiver</w:t>
      </w:r>
      <w:r w:rsidRPr="00440792">
        <w:t xml:space="preserve"> period.</w:t>
      </w:r>
      <w:r w:rsidR="000C77D9">
        <w:t xml:space="preserve"> Over the extension period, there was a slight decrease in the proportion of cases in-home, which may be due to the policy changes at DCS that addressed intervening with families </w:t>
      </w:r>
      <w:r w:rsidR="00A91703">
        <w:t xml:space="preserve">only </w:t>
      </w:r>
      <w:r w:rsidR="000C77D9">
        <w:t>when necessary.</w:t>
      </w:r>
    </w:p>
    <w:p w:rsidR="0084681D" w:rsidRPr="00440792" w:rsidRDefault="0084681D" w:rsidP="0084681D"/>
    <w:p w:rsidR="00F65AB9" w:rsidRDefault="00F65AB9" w:rsidP="00FA2B61">
      <w:pPr>
        <w:pStyle w:val="Heading4"/>
      </w:pPr>
      <w:r>
        <w:t xml:space="preserve">Figure </w:t>
      </w:r>
      <w:r w:rsidR="00F74168">
        <w:t>43</w:t>
      </w:r>
      <w:r>
        <w:t>. Breakdown of total cases</w:t>
      </w:r>
    </w:p>
    <w:p w:rsidR="00F65AB9" w:rsidRDefault="000C77D9" w:rsidP="0084681D">
      <w:r w:rsidRPr="000C77D9">
        <w:rPr>
          <w:noProof/>
        </w:rPr>
        <w:drawing>
          <wp:inline distT="0" distB="0" distL="0" distR="0" wp14:anchorId="1D06F25A" wp14:editId="2E8C2915">
            <wp:extent cx="5943600" cy="3142615"/>
            <wp:effectExtent l="0" t="0" r="0" b="635"/>
            <wp:docPr id="14343" name="Chart 143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F65AB9" w:rsidRDefault="00F65AB9" w:rsidP="00FA2B61">
      <w:pPr>
        <w:pStyle w:val="Heading4"/>
      </w:pPr>
      <w:r>
        <w:t xml:space="preserve">Figure </w:t>
      </w:r>
      <w:r w:rsidR="00F74168">
        <w:t>44</w:t>
      </w:r>
      <w:r>
        <w:t>. Breakdown of CHINS placements</w:t>
      </w:r>
    </w:p>
    <w:p w:rsidR="0084681D" w:rsidRPr="00440792" w:rsidRDefault="000C77D9" w:rsidP="0084681D">
      <w:r w:rsidRPr="000C77D9">
        <w:rPr>
          <w:noProof/>
        </w:rPr>
        <w:drawing>
          <wp:inline distT="0" distB="0" distL="0" distR="0" wp14:anchorId="5210E1EB" wp14:editId="6CB7E5A9">
            <wp:extent cx="5943600" cy="3501390"/>
            <wp:effectExtent l="0" t="0" r="0" b="3810"/>
            <wp:docPr id="14349" name="Chart 143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84681D" w:rsidRPr="00440792" w:rsidRDefault="0084681D" w:rsidP="0084681D">
      <w:r w:rsidRPr="00440792">
        <w:t xml:space="preserve">Other factors have come into play with the rising total cost of the agency. Indiana’s cases where parent drug abuse is indicated as a removal reason have increased by 153% between 2013 and 2017. Agency spend on substance abuse related services </w:t>
      </w:r>
      <w:r w:rsidR="008F3629">
        <w:t>increased</w:t>
      </w:r>
      <w:r w:rsidRPr="00440792">
        <w:t xml:space="preserve"> 45% between 2016 and 2017.</w:t>
      </w:r>
    </w:p>
    <w:p w:rsidR="00CE2773" w:rsidRDefault="00CE2773" w:rsidP="0084681D"/>
    <w:p w:rsidR="0084681D" w:rsidRPr="00440792" w:rsidRDefault="0084681D" w:rsidP="0084681D">
      <w:r w:rsidRPr="00440792">
        <w:t>As the spending has increased during this time period</w:t>
      </w:r>
      <w:r w:rsidR="00CE2773">
        <w:t>,</w:t>
      </w:r>
      <w:r w:rsidRPr="00440792">
        <w:t xml:space="preserve"> funding from non-</w:t>
      </w:r>
      <w:r w:rsidR="00A5038C">
        <w:t>Waiver</w:t>
      </w:r>
      <w:r w:rsidRPr="00440792">
        <w:t xml:space="preserve"> grants has remained </w:t>
      </w:r>
      <w:r w:rsidR="00EE5A4D">
        <w:t>generally consistent</w:t>
      </w:r>
      <w:r w:rsidRPr="00440792">
        <w:t xml:space="preserve">.  This means that as </w:t>
      </w:r>
      <w:r w:rsidR="00A91703">
        <w:t>overall</w:t>
      </w:r>
      <w:r w:rsidR="00A91703" w:rsidRPr="00440792">
        <w:t xml:space="preserve"> </w:t>
      </w:r>
      <w:r w:rsidRPr="00440792">
        <w:t>spending has increased</w:t>
      </w:r>
      <w:r w:rsidR="00A91703">
        <w:t>,</w:t>
      </w:r>
      <w:r w:rsidRPr="00440792">
        <w:t xml:space="preserve"> funding of those expenses </w:t>
      </w:r>
      <w:r w:rsidR="00A91703">
        <w:t>came from either the state general fund or</w:t>
      </w:r>
      <w:r w:rsidRPr="00440792">
        <w:t xml:space="preserve"> the Capped Allocation </w:t>
      </w:r>
      <w:r w:rsidR="00A5038C">
        <w:t>Waiver</w:t>
      </w:r>
      <w:r w:rsidRPr="00440792">
        <w:t xml:space="preserve">.  The state of Indiana works on a two year budget cycle which makes </w:t>
      </w:r>
      <w:r w:rsidR="00A91703">
        <w:t xml:space="preserve">state </w:t>
      </w:r>
      <w:r w:rsidRPr="00440792">
        <w:t xml:space="preserve">funding flexibility very difficult.  The increase in the amount of children and the Opioid epidemic pushed cost up so quickly that without the ability to move </w:t>
      </w:r>
      <w:r w:rsidR="00A5038C">
        <w:t>Waiver</w:t>
      </w:r>
      <w:r w:rsidRPr="00440792">
        <w:t xml:space="preserve"> funding forward, the state would have been unable to cover cost.  This can be seen in the 2016 funding chart.  Additionally, the state reduced its utilization of the </w:t>
      </w:r>
      <w:r w:rsidR="00A5038C">
        <w:t>Waiver</w:t>
      </w:r>
      <w:r w:rsidRPr="00440792">
        <w:t xml:space="preserve"> in 2017 and 2018 </w:t>
      </w:r>
      <w:r w:rsidR="00A91703">
        <w:t>to allow</w:t>
      </w:r>
      <w:r w:rsidRPr="00440792">
        <w:t xml:space="preserve"> it to remain cost neutral.  By the end of the current </w:t>
      </w:r>
      <w:r w:rsidR="00A5038C">
        <w:t>Waiver</w:t>
      </w:r>
      <w:r w:rsidRPr="00440792">
        <w:t xml:space="preserve"> Extension to March 31</w:t>
      </w:r>
      <w:r w:rsidRPr="00440792">
        <w:rPr>
          <w:vertAlign w:val="superscript"/>
        </w:rPr>
        <w:t>st</w:t>
      </w:r>
      <w:r w:rsidRPr="00440792">
        <w:t xml:space="preserve"> 2018 Indiana will only claim the amount of the allocation tables and no more.  </w:t>
      </w:r>
      <w:r w:rsidR="00A91703" w:rsidRPr="00440792">
        <w:t>Indiana was able to increase utilization during the middle of the period but then reduce in the following years to be able to remain neutral.</w:t>
      </w:r>
    </w:p>
    <w:p w:rsidR="00F65AB9" w:rsidRDefault="00F65AB9" w:rsidP="00FA2B61">
      <w:pPr>
        <w:pStyle w:val="Heading4"/>
      </w:pPr>
      <w:r>
        <w:t xml:space="preserve">Figure </w:t>
      </w:r>
      <w:r w:rsidR="00F74168">
        <w:t>45</w:t>
      </w:r>
      <w:r>
        <w:t>. Total DCS Funding</w:t>
      </w:r>
    </w:p>
    <w:p w:rsidR="0084681D" w:rsidRPr="00440792" w:rsidRDefault="000C77D9" w:rsidP="0084681D">
      <w:r w:rsidRPr="000C77D9">
        <w:rPr>
          <w:noProof/>
        </w:rPr>
        <w:drawing>
          <wp:inline distT="0" distB="0" distL="0" distR="0" wp14:anchorId="65F276CF" wp14:editId="21C4CB20">
            <wp:extent cx="5943600" cy="3867150"/>
            <wp:effectExtent l="0" t="0" r="0" b="0"/>
            <wp:docPr id="14350" name="Chart 14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84681D" w:rsidRPr="00440792" w:rsidRDefault="0084681D" w:rsidP="0084681D">
      <w:pPr>
        <w:ind w:firstLine="720"/>
      </w:pPr>
      <w:r w:rsidRPr="00440792">
        <w:tab/>
      </w:r>
    </w:p>
    <w:p w:rsidR="00AA7509" w:rsidRPr="00440792" w:rsidRDefault="0084681D" w:rsidP="00437A1E">
      <w:pPr>
        <w:ind w:firstLine="720"/>
        <w:rPr>
          <w:rFonts w:asciiTheme="majorHAnsi" w:eastAsiaTheme="majorEastAsia" w:hAnsiTheme="majorHAnsi" w:cstheme="majorBidi"/>
          <w:color w:val="2E74B5" w:themeColor="accent1" w:themeShade="BF"/>
          <w:sz w:val="32"/>
          <w:szCs w:val="32"/>
        </w:rPr>
      </w:pPr>
      <w:r w:rsidRPr="00440792">
        <w:t xml:space="preserve">During the period of the </w:t>
      </w:r>
      <w:r w:rsidR="00A91703">
        <w:t xml:space="preserve">original </w:t>
      </w:r>
      <w:r w:rsidRPr="00440792">
        <w:t xml:space="preserve">Capped </w:t>
      </w:r>
      <w:r w:rsidR="00EB7EC5">
        <w:t>A</w:t>
      </w:r>
      <w:r w:rsidR="00EB7EC5" w:rsidRPr="00440792">
        <w:t xml:space="preserve">llocation </w:t>
      </w:r>
      <w:r w:rsidR="00A5038C">
        <w:t>Waiver</w:t>
      </w:r>
      <w:r w:rsidRPr="00440792">
        <w:t xml:space="preserve">, Indiana and ACF </w:t>
      </w:r>
      <w:r w:rsidR="00A91703">
        <w:t xml:space="preserve">agreed to extend the </w:t>
      </w:r>
      <w:r w:rsidR="00CE2773">
        <w:t>W</w:t>
      </w:r>
      <w:r w:rsidR="00A91703">
        <w:t>aiver under the prior methodology</w:t>
      </w:r>
      <w:r w:rsidRPr="00440792">
        <w:t xml:space="preserve">.  </w:t>
      </w:r>
      <w:r w:rsidR="00E71C94">
        <w:t xml:space="preserve">This extension also allowed Indiana to prepare for the end of </w:t>
      </w:r>
      <w:r w:rsidR="00CE2773">
        <w:t>W</w:t>
      </w:r>
      <w:r w:rsidR="00E71C94">
        <w:t>aiver authority. Now that the Family First Prevention Services Act and then the Family First Transition Act were passed, Indiana is applying its learning from the waiver to continue improving how the state helps families stay safely together as well as understand the importance of community services to de-escalate situations and prevent unnecessary residential treatment</w:t>
      </w:r>
      <w:r w:rsidR="00E71C94">
        <w:t>.</w:t>
      </w:r>
    </w:p>
    <w:p w:rsidR="002D2433" w:rsidRPr="00440792" w:rsidRDefault="002D2433" w:rsidP="002D2433">
      <w:pPr>
        <w:pStyle w:val="Heading1"/>
      </w:pPr>
      <w:bookmarkStart w:id="23" w:name="_Toc43887885"/>
      <w:r w:rsidRPr="00440792">
        <w:t>Sub-Study</w:t>
      </w:r>
      <w:r w:rsidR="00515259" w:rsidRPr="00440792">
        <w:t>: Family Centered Treatment (FCT)</w:t>
      </w:r>
      <w:r w:rsidR="00B83B37">
        <w:rPr>
          <w:rStyle w:val="FootnoteReference"/>
        </w:rPr>
        <w:footnoteReference w:id="9"/>
      </w:r>
      <w:bookmarkEnd w:id="23"/>
    </w:p>
    <w:p w:rsidR="007C7DF4" w:rsidRPr="00440792" w:rsidRDefault="00251F8D" w:rsidP="00D06E11">
      <w:pPr>
        <w:pStyle w:val="Heading2"/>
      </w:pPr>
      <w:bookmarkStart w:id="24" w:name="_Toc43887886"/>
      <w:r w:rsidRPr="00440792">
        <w:t>F</w:t>
      </w:r>
      <w:r w:rsidR="007C7DF4" w:rsidRPr="00440792">
        <w:t>CT background</w:t>
      </w:r>
      <w:bookmarkEnd w:id="24"/>
    </w:p>
    <w:p w:rsidR="00B62CF2" w:rsidRPr="00440792" w:rsidRDefault="00B62CF2" w:rsidP="00D45DCE">
      <w:r w:rsidRPr="00440792">
        <w:t>Family Centered Treatment (FCT) is a home-based, family centered approach for family preservation. It is an intensive intervention with demonstrated positive outcomes for children in residential treatment as well as providing a way to divert children from residential treatment. It is an</w:t>
      </w:r>
      <w:r w:rsidR="00D70866" w:rsidRPr="00440792">
        <w:t xml:space="preserve"> evidence-based</w:t>
      </w:r>
      <w:r w:rsidRPr="00440792">
        <w:t xml:space="preserve"> practice with proven outcomes for the probation population as well as those children involved in the child welfare system. There are four phases in FCT: </w:t>
      </w:r>
    </w:p>
    <w:p w:rsidR="00881C6C" w:rsidRPr="00440792" w:rsidRDefault="00881C6C" w:rsidP="00881C6C">
      <w:r w:rsidRPr="00440792">
        <w:rPr>
          <w:noProof/>
        </w:rPr>
        <w:drawing>
          <wp:inline distT="0" distB="0" distL="0" distR="0" wp14:anchorId="15B161FF" wp14:editId="51091F2B">
            <wp:extent cx="5943600" cy="1234402"/>
            <wp:effectExtent l="0" t="0" r="0" b="4445"/>
            <wp:docPr id="225" name="Picture 225" descr="homepage method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page method pic.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1234402"/>
                    </a:xfrm>
                    <a:prstGeom prst="rect">
                      <a:avLst/>
                    </a:prstGeom>
                    <a:noFill/>
                    <a:ln>
                      <a:noFill/>
                    </a:ln>
                  </pic:spPr>
                </pic:pic>
              </a:graphicData>
            </a:graphic>
          </wp:inline>
        </w:drawing>
      </w:r>
    </w:p>
    <w:p w:rsidR="00881C6C" w:rsidRPr="00440792" w:rsidRDefault="00881C6C" w:rsidP="00881C6C">
      <w:pPr>
        <w:rPr>
          <w:sz w:val="18"/>
        </w:rPr>
      </w:pPr>
      <w:r w:rsidRPr="00440792">
        <w:rPr>
          <w:sz w:val="18"/>
        </w:rPr>
        <w:t>*Retrieved from</w:t>
      </w:r>
      <w:r w:rsidRPr="002E096D">
        <w:rPr>
          <w:sz w:val="18"/>
        </w:rPr>
        <w:t xml:space="preserve">: </w:t>
      </w:r>
      <w:hyperlink r:id="rId67" w:anchor="family-centered-treatment" w:history="1">
        <w:r w:rsidRPr="00440792">
          <w:rPr>
            <w:rStyle w:val="Hyperlink"/>
            <w:sz w:val="18"/>
          </w:rPr>
          <w:t>http://www.familycenteredtreatment.com/home/#family-centered-treatment</w:t>
        </w:r>
      </w:hyperlink>
    </w:p>
    <w:p w:rsidR="00881C6C" w:rsidRPr="00440792" w:rsidRDefault="00881C6C" w:rsidP="00881C6C">
      <w:r w:rsidRPr="00440792">
        <w:t xml:space="preserve">In addition, FCT </w:t>
      </w:r>
      <w:r w:rsidRPr="002E096D">
        <w:t xml:space="preserve">is often effective for families with very complex needs that have not responded to previous home-based services. </w:t>
      </w:r>
    </w:p>
    <w:p w:rsidR="00D45DCE" w:rsidRDefault="00D45DCE" w:rsidP="00D45DCE"/>
    <w:p w:rsidR="00881C6C" w:rsidRPr="00440792" w:rsidRDefault="00881C6C" w:rsidP="00D45DCE">
      <w:r w:rsidRPr="00440792">
        <w:t xml:space="preserve">FCT in Indiana is available statewide. </w:t>
      </w:r>
      <w:r w:rsidR="007D0525" w:rsidRPr="00440792">
        <w:t xml:space="preserve">There are five providers in Indiana: Centerpointe Community Based Services, Family Solutions, Ireland Home Based Services, Lifeline Youth and Family Services, and SCAN (Stop Child Abuse &amp; Neglect).  </w:t>
      </w:r>
      <w:r w:rsidRPr="00440792">
        <w:t xml:space="preserve">Each county aims to have one designated provider for FCT with the exception of Marion County (Indianapolis) which </w:t>
      </w:r>
      <w:r w:rsidR="00B62CF2" w:rsidRPr="00440792">
        <w:t>has</w:t>
      </w:r>
      <w:r w:rsidRPr="00440792">
        <w:t xml:space="preserve"> three. Estimated team sizes were calculated by considering the number of youth currently in residential treatment, those youth entering residential treatment, and families for which more than $16,000 of home based services have been provided.</w:t>
      </w:r>
    </w:p>
    <w:p w:rsidR="00881C6C" w:rsidRPr="00440792" w:rsidRDefault="00881C6C" w:rsidP="00D45DCE">
      <w:r w:rsidRPr="00440792">
        <w:t>Implementation of FCT began with trainings in September of 2013.</w:t>
      </w:r>
    </w:p>
    <w:p w:rsidR="00D45DCE" w:rsidRDefault="00D45DCE" w:rsidP="00D45DCE"/>
    <w:p w:rsidR="00BC1CD8" w:rsidRPr="00440792" w:rsidRDefault="00BC1CD8" w:rsidP="00D45DCE">
      <w:r w:rsidRPr="00440792">
        <w:t>The sub-study include</w:t>
      </w:r>
      <w:r w:rsidR="00C20687">
        <w:t>d</w:t>
      </w:r>
      <w:r w:rsidRPr="00440792">
        <w:t xml:space="preserve"> all of the newly opened cases for families enrolled in Family Centered Treatment </w:t>
      </w:r>
      <w:r w:rsidR="00881C6C" w:rsidRPr="00440792">
        <w:t>FCT</w:t>
      </w:r>
      <w:r w:rsidRPr="00440792">
        <w:t xml:space="preserve"> from January 1, 2015 until December 31, 2015.  Each focus child in the home will be matched to a child within DCS not receiving FCT.  Each focus child in the home will </w:t>
      </w:r>
      <w:r w:rsidR="00B62CF2" w:rsidRPr="00440792">
        <w:t>assessed</w:t>
      </w:r>
      <w:r w:rsidRPr="00440792">
        <w:t xml:space="preserve"> individually and as a member of the family group.  This will allow the evaluation to look within and between families in FCT.  </w:t>
      </w:r>
    </w:p>
    <w:p w:rsidR="00BC1CD8" w:rsidRPr="00440792" w:rsidRDefault="00BC1CD8" w:rsidP="00BC1CD8"/>
    <w:p w:rsidR="00B62CF2" w:rsidRPr="00440792" w:rsidRDefault="00B62CF2" w:rsidP="00D45DCE">
      <w:r w:rsidRPr="00440792">
        <w:t>Data on those who have entered FCT since Jan 1, 2015 was provided by DCS to the Evaluation Team in June 2016.  Data included CANS, risk/safety assessments, the case plan goals, placements, CFTMs, demographic characteristics, maltreatment type, removal reason and risk factor, Permanency and Practice Support Team (PPS) referrals, permanency round table, other services, and the fidelity tracker.  This report will provide key demographic information about the families in FCT during 2015.</w:t>
      </w:r>
    </w:p>
    <w:p w:rsidR="00BC1CD8" w:rsidRPr="00440792" w:rsidRDefault="00BC1CD8" w:rsidP="00983829"/>
    <w:p w:rsidR="00BC1CD8" w:rsidRPr="00440792" w:rsidRDefault="00C20687" w:rsidP="00D06E11">
      <w:pPr>
        <w:pStyle w:val="Heading2"/>
      </w:pPr>
      <w:bookmarkStart w:id="25" w:name="_Toc43887887"/>
      <w:r>
        <w:t>Research Questions</w:t>
      </w:r>
      <w:r w:rsidR="00BC1CD8" w:rsidRPr="00440792">
        <w:t>:</w:t>
      </w:r>
      <w:bookmarkEnd w:id="25"/>
    </w:p>
    <w:p w:rsidR="00BC1CD8" w:rsidRPr="00440792" w:rsidRDefault="00BC1CD8" w:rsidP="00BC1CD8">
      <w:pPr>
        <w:rPr>
          <w:b/>
          <w:u w:val="single"/>
        </w:rPr>
      </w:pPr>
      <w:r w:rsidRPr="00440792">
        <w:rPr>
          <w:b/>
          <w:u w:val="single"/>
        </w:rPr>
        <w:t>Safety</w:t>
      </w:r>
    </w:p>
    <w:p w:rsidR="00BC1CD8" w:rsidRPr="00440792" w:rsidRDefault="00BC1CD8" w:rsidP="0032600F">
      <w:pPr>
        <w:numPr>
          <w:ilvl w:val="0"/>
          <w:numId w:val="17"/>
        </w:numPr>
      </w:pPr>
      <w:r w:rsidRPr="00440792">
        <w:t>Do children who are placed in-home when treatment is initiated remain in-home throughout the treatment period and after treatment for FCT and non-FCT families?</w:t>
      </w:r>
    </w:p>
    <w:p w:rsidR="00BC1CD8" w:rsidRPr="00440792" w:rsidRDefault="00BC1CD8" w:rsidP="0032600F">
      <w:pPr>
        <w:numPr>
          <w:ilvl w:val="0"/>
          <w:numId w:val="17"/>
        </w:numPr>
      </w:pPr>
      <w:r w:rsidRPr="00440792">
        <w:t>Are families who participate in FCT less likely to have an incident of repeat maltreatment (substantiated abuse or neglect) than non-FCT families?</w:t>
      </w:r>
    </w:p>
    <w:p w:rsidR="00BC1CD8" w:rsidRPr="00440792" w:rsidRDefault="00BC1CD8" w:rsidP="0032600F">
      <w:pPr>
        <w:numPr>
          <w:ilvl w:val="0"/>
          <w:numId w:val="17"/>
        </w:numPr>
      </w:pPr>
      <w:r w:rsidRPr="00440792">
        <w:t>Are families who participate in FCT less likely to have an incident of re-entry into the DCS system than non-FCT families?</w:t>
      </w:r>
    </w:p>
    <w:p w:rsidR="00BC1CD8" w:rsidRPr="00440792" w:rsidRDefault="00BC1CD8" w:rsidP="00BC1CD8"/>
    <w:p w:rsidR="00BC1CD8" w:rsidRPr="00440792" w:rsidRDefault="00BC1CD8" w:rsidP="00BC1CD8">
      <w:pPr>
        <w:rPr>
          <w:b/>
          <w:u w:val="single"/>
        </w:rPr>
      </w:pPr>
      <w:r w:rsidRPr="00440792">
        <w:rPr>
          <w:b/>
          <w:u w:val="single"/>
        </w:rPr>
        <w:t>Permanency</w:t>
      </w:r>
    </w:p>
    <w:p w:rsidR="00BC1CD8" w:rsidRPr="00440792" w:rsidRDefault="00BC1CD8" w:rsidP="0032600F">
      <w:pPr>
        <w:numPr>
          <w:ilvl w:val="0"/>
          <w:numId w:val="18"/>
        </w:numPr>
      </w:pPr>
      <w:r w:rsidRPr="00440792">
        <w:t>Do families who participate in FCT achieve permanency more timely than non-FCT families?</w:t>
      </w:r>
    </w:p>
    <w:p w:rsidR="00BC1CD8" w:rsidRPr="00440792" w:rsidRDefault="00BC1CD8" w:rsidP="0032600F">
      <w:pPr>
        <w:numPr>
          <w:ilvl w:val="0"/>
          <w:numId w:val="18"/>
        </w:numPr>
      </w:pPr>
      <w:r w:rsidRPr="00440792">
        <w:t>Are families who participate in FCT more likely to have their children reunified than non-FCT families?</w:t>
      </w:r>
    </w:p>
    <w:p w:rsidR="00BC1CD8" w:rsidRPr="00440792" w:rsidRDefault="00BC1CD8" w:rsidP="0032600F">
      <w:pPr>
        <w:numPr>
          <w:ilvl w:val="0"/>
          <w:numId w:val="18"/>
        </w:numPr>
      </w:pPr>
      <w:r w:rsidRPr="00440792">
        <w:t>How much time elapses to case closure after treatment concludes for FCT and non-FCT families?</w:t>
      </w:r>
    </w:p>
    <w:p w:rsidR="00BC1CD8" w:rsidRPr="00440792" w:rsidRDefault="00BC1CD8" w:rsidP="00BC1CD8">
      <w:pPr>
        <w:ind w:hanging="180"/>
      </w:pPr>
    </w:p>
    <w:p w:rsidR="00BC1CD8" w:rsidRPr="00440792" w:rsidRDefault="00BC1CD8" w:rsidP="00BC1CD8">
      <w:pPr>
        <w:rPr>
          <w:b/>
          <w:u w:val="single"/>
        </w:rPr>
      </w:pPr>
      <w:r w:rsidRPr="00440792">
        <w:rPr>
          <w:b/>
          <w:u w:val="single"/>
        </w:rPr>
        <w:t>Well-being (related to family functioning)</w:t>
      </w:r>
    </w:p>
    <w:p w:rsidR="00BC1CD8" w:rsidRPr="00440792" w:rsidRDefault="00BC1CD8" w:rsidP="0032600F">
      <w:pPr>
        <w:numPr>
          <w:ilvl w:val="0"/>
          <w:numId w:val="19"/>
        </w:numPr>
      </w:pPr>
      <w:r w:rsidRPr="00440792">
        <w:t>Does family functioning improve for families who participate in FCT?</w:t>
      </w:r>
    </w:p>
    <w:p w:rsidR="00BC1CD8" w:rsidRPr="00440792" w:rsidRDefault="00BC1CD8" w:rsidP="0032600F">
      <w:pPr>
        <w:numPr>
          <w:ilvl w:val="0"/>
          <w:numId w:val="19"/>
        </w:numPr>
      </w:pPr>
      <w:r w:rsidRPr="00440792">
        <w:t>Do families who participate in FCT have greater improvement in family functioning than non-FCT families?</w:t>
      </w:r>
    </w:p>
    <w:p w:rsidR="00BC1CD8" w:rsidRPr="00440792" w:rsidRDefault="00BC1CD8" w:rsidP="00BC1CD8">
      <w:pPr>
        <w:ind w:left="720"/>
      </w:pPr>
    </w:p>
    <w:p w:rsidR="00BC1CD8" w:rsidRPr="00440792" w:rsidRDefault="00BC1CD8" w:rsidP="00BC1CD8">
      <w:pPr>
        <w:rPr>
          <w:b/>
          <w:u w:val="single"/>
        </w:rPr>
      </w:pPr>
      <w:r w:rsidRPr="00440792">
        <w:rPr>
          <w:b/>
          <w:u w:val="single"/>
        </w:rPr>
        <w:t>Cost</w:t>
      </w:r>
    </w:p>
    <w:p w:rsidR="00BC1CD8" w:rsidRPr="00440792" w:rsidRDefault="00BC1CD8" w:rsidP="0032600F">
      <w:pPr>
        <w:numPr>
          <w:ilvl w:val="0"/>
          <w:numId w:val="23"/>
        </w:numPr>
        <w:rPr>
          <w:rFonts w:cstheme="minorHAnsi"/>
        </w:rPr>
      </w:pPr>
      <w:r w:rsidRPr="00440792">
        <w:t>What are the costs associated with FCT and non-FCT families?</w:t>
      </w:r>
    </w:p>
    <w:p w:rsidR="00BC1CD8" w:rsidRPr="00440792" w:rsidRDefault="00BC1CD8" w:rsidP="00BC1CD8"/>
    <w:p w:rsidR="00D947FC" w:rsidRPr="00440792" w:rsidRDefault="00D947FC" w:rsidP="00D06E11">
      <w:pPr>
        <w:pStyle w:val="Heading2"/>
      </w:pPr>
      <w:bookmarkStart w:id="26" w:name="_Toc500508762"/>
      <w:bookmarkStart w:id="27" w:name="_Toc43887888"/>
      <w:r w:rsidRPr="00440792">
        <w:t>FCT comparison</w:t>
      </w:r>
      <w:bookmarkEnd w:id="26"/>
      <w:bookmarkEnd w:id="27"/>
    </w:p>
    <w:p w:rsidR="00D947FC" w:rsidRPr="00440792" w:rsidRDefault="00D947FC" w:rsidP="00DD2C6F">
      <w:r w:rsidRPr="00440792">
        <w:t>Propensity-score matching (PSM) was used to match children within DCS receiving FCT with children within DCS who did not receive FCT. Matching characteristics were age, gender, race, region, county, number of focus children, involvement status, permanency goal, cans score, and risk score. PSM uses the matching characteristics identified to determine the probability of receiving FCT. PSM then finds the child who did not receive FCT that has the exact same probability, using the same matching characteristics, as the child who received FCT. Once the probabilities are matched, a dataset of probability-matched children who received FCT and those that did not is created.</w:t>
      </w:r>
    </w:p>
    <w:p w:rsidR="00DD2C6F" w:rsidRDefault="00DD2C6F" w:rsidP="00DD2C6F"/>
    <w:p w:rsidR="00D947FC" w:rsidRPr="00440792" w:rsidRDefault="00D947FC" w:rsidP="00DD2C6F">
      <w:r w:rsidRPr="00440792">
        <w:t>Overall, 20,779 children were within DCS during January 1, 2015 and December 31, 2015. There were 230 children within DCS that received FCT and were not involved with juvenile detention. Matching characteristics (age, gender, race, region, county, number of focus children, involvement status, permanency goal, cans score, and risk score) were too restrictive and we were unable to obtain a sufficient amount of pairs to conduct analysis. Region and permanency goal were removed as they were the two characteristics restricting the matching. The final dataset included 187 children who received FCT and 187 children who did not receive FCT.</w:t>
      </w:r>
    </w:p>
    <w:p w:rsidR="00DD2C6F" w:rsidRDefault="00DD2C6F" w:rsidP="00DD2C6F"/>
    <w:p w:rsidR="00D947FC" w:rsidRPr="00440792" w:rsidRDefault="00D947FC" w:rsidP="00DD2C6F">
      <w:r w:rsidRPr="00440792">
        <w:t>PSM matches children on the probability of their chances of having FCT based on a collective score of their characteristics. Therefore, the children receiving FCT and those that did not receive FCT may not match exactly on characteristics, rather they match exactly on their probability of receiving FCT.</w:t>
      </w:r>
    </w:p>
    <w:p w:rsidR="00DD2C6F" w:rsidRDefault="00DD2C6F" w:rsidP="00DD2C6F"/>
    <w:p w:rsidR="00D947FC" w:rsidRDefault="00767B7E" w:rsidP="00D06E11">
      <w:pPr>
        <w:pStyle w:val="Heading2"/>
      </w:pPr>
      <w:bookmarkStart w:id="28" w:name="_Toc43887889"/>
      <w:r>
        <w:t>Extension Period Sub-study Activities</w:t>
      </w:r>
      <w:bookmarkEnd w:id="28"/>
    </w:p>
    <w:p w:rsidR="00767B7E" w:rsidRDefault="00767B7E" w:rsidP="00767B7E">
      <w:r>
        <w:t>During the extension period of the Waiver, the Evaluation Team provided data to other jurisdictions who were submitting FCT for transitional payments to the IV-E Clearinghouse.  Following the work, FCT was approved for use by all states during the transition period as a ‘well-supported’ evidence-based practice.</w:t>
      </w:r>
    </w:p>
    <w:p w:rsidR="00767B7E" w:rsidRPr="00767B7E" w:rsidRDefault="00767B7E" w:rsidP="00767B7E"/>
    <w:p w:rsidR="00D947FC" w:rsidRDefault="00D06E11" w:rsidP="00D06E11">
      <w:pPr>
        <w:pStyle w:val="Heading2"/>
      </w:pPr>
      <w:bookmarkStart w:id="29" w:name="_Toc43887890"/>
      <w:r>
        <w:t>Updated Sub-study Analyses</w:t>
      </w:r>
      <w:bookmarkEnd w:id="29"/>
    </w:p>
    <w:p w:rsidR="00D91357" w:rsidRPr="00D91357" w:rsidRDefault="00D06E11" w:rsidP="00D91357">
      <w:pPr>
        <w:pStyle w:val="Heading3"/>
        <w:rPr>
          <w:b/>
          <w:color w:val="1F4E79"/>
        </w:rPr>
      </w:pPr>
      <w:r>
        <w:t>Services</w:t>
      </w:r>
    </w:p>
    <w:p w:rsidR="00D06E11" w:rsidRDefault="00D06E11" w:rsidP="00D06E11">
      <w:r>
        <w:t>Prior analyses for the effectiveness of Family Centered Treatment (FCT) focused on comparing youth that had received FCT to those that had not received FCT. The prior analyses did not examine which type of services Non-FCT youth had received during the same time period as FCT youth. The first section details which services Non-FCT youth were given and the frequency of those services.</w:t>
      </w:r>
    </w:p>
    <w:p w:rsidR="00F74168" w:rsidRDefault="00F74168" w:rsidP="00D06E11"/>
    <w:p w:rsidR="00D06E11" w:rsidRPr="00F74168" w:rsidRDefault="00F74168" w:rsidP="00D06E11">
      <w:pPr>
        <w:pStyle w:val="Heading4"/>
      </w:pPr>
      <w:r>
        <w:t>Table 3</w:t>
      </w:r>
      <w:r w:rsidR="007D3CB0">
        <w:t>7</w:t>
      </w:r>
      <w:r>
        <w:t>. Types and frequency of services provided to Non-FCT youth.</w:t>
      </w:r>
      <w:r>
        <w:rPr>
          <w:vertAlign w:val="superscript"/>
        </w:rPr>
        <w:t>a</w:t>
      </w:r>
    </w:p>
    <w:tbl>
      <w:tblPr>
        <w:tblStyle w:val="GridTable4-Accent1"/>
        <w:tblW w:w="5000" w:type="pct"/>
        <w:tblLook w:val="04A0" w:firstRow="1" w:lastRow="0" w:firstColumn="1" w:lastColumn="0" w:noHBand="0" w:noVBand="1"/>
      </w:tblPr>
      <w:tblGrid>
        <w:gridCol w:w="5395"/>
        <w:gridCol w:w="3955"/>
      </w:tblGrid>
      <w:tr w:rsidR="00D06E11" w:rsidTr="00CB7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5" w:type="pct"/>
            <w:vAlign w:val="center"/>
          </w:tcPr>
          <w:p w:rsidR="00D06E11" w:rsidRPr="00746BA5" w:rsidRDefault="00D06E11" w:rsidP="00D06E11">
            <w:pPr>
              <w:rPr>
                <w:sz w:val="24"/>
              </w:rPr>
            </w:pPr>
            <w:r>
              <w:t>Service Offered</w:t>
            </w:r>
          </w:p>
        </w:tc>
        <w:tc>
          <w:tcPr>
            <w:tcW w:w="2115" w:type="pct"/>
            <w:vAlign w:val="center"/>
          </w:tcPr>
          <w:p w:rsidR="00D06E11" w:rsidRDefault="00D06E11" w:rsidP="00D06E11">
            <w:pPr>
              <w:cnfStyle w:val="100000000000" w:firstRow="1" w:lastRow="0" w:firstColumn="0" w:lastColumn="0" w:oddVBand="0" w:evenVBand="0" w:oddHBand="0" w:evenHBand="0" w:firstRowFirstColumn="0" w:firstRowLastColumn="0" w:lastRowFirstColumn="0" w:lastRowLastColumn="0"/>
              <w:rPr>
                <w:b w:val="0"/>
                <w:bCs w:val="0"/>
              </w:rPr>
            </w:pPr>
            <w:r w:rsidRPr="00770103">
              <w:t>Non-FC</w:t>
            </w:r>
            <w:r>
              <w:t>T youth</w:t>
            </w:r>
          </w:p>
          <w:p w:rsidR="00D06E11" w:rsidRPr="00770103" w:rsidRDefault="00D06E11" w:rsidP="00D06E11">
            <w:pPr>
              <w:cnfStyle w:val="100000000000" w:firstRow="1" w:lastRow="0" w:firstColumn="0" w:lastColumn="0" w:oddVBand="0" w:evenVBand="0" w:oddHBand="0" w:evenHBand="0" w:firstRowFirstColumn="0" w:firstRowLastColumn="0" w:lastRowFirstColumn="0" w:lastRowLastColumn="0"/>
              <w:rPr>
                <w:sz w:val="24"/>
              </w:rPr>
            </w:pPr>
            <w:r>
              <w:rPr>
                <w:sz w:val="24"/>
              </w:rPr>
              <w:t>Number of times services offered (%)</w:t>
            </w:r>
          </w:p>
        </w:tc>
      </w:tr>
      <w:tr w:rsidR="00D06E11" w:rsidTr="00CB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5" w:type="pct"/>
          </w:tcPr>
          <w:p w:rsidR="00D06E11" w:rsidRPr="00E012B0" w:rsidRDefault="00D06E11" w:rsidP="00D06E11">
            <w:pPr>
              <w:rPr>
                <w:b w:val="0"/>
              </w:rPr>
            </w:pPr>
            <w:r>
              <w:rPr>
                <w:b w:val="0"/>
              </w:rPr>
              <w:t>BX Health Services</w:t>
            </w:r>
          </w:p>
        </w:tc>
        <w:tc>
          <w:tcPr>
            <w:tcW w:w="2115" w:type="pct"/>
            <w:vAlign w:val="center"/>
          </w:tcPr>
          <w:p w:rsidR="00D06E11" w:rsidRPr="00E012B0" w:rsidRDefault="00D06E11" w:rsidP="00D06E11">
            <w:pPr>
              <w:cnfStyle w:val="000000100000" w:firstRow="0" w:lastRow="0" w:firstColumn="0" w:lastColumn="0" w:oddVBand="0" w:evenVBand="0" w:oddHBand="1" w:evenHBand="0" w:firstRowFirstColumn="0" w:firstRowLastColumn="0" w:lastRowFirstColumn="0" w:lastRowLastColumn="0"/>
            </w:pPr>
            <w:r>
              <w:t>670 (1.5)</w:t>
            </w:r>
          </w:p>
        </w:tc>
      </w:tr>
      <w:tr w:rsidR="00D06E11" w:rsidTr="00CB7B3D">
        <w:tc>
          <w:tcPr>
            <w:cnfStyle w:val="001000000000" w:firstRow="0" w:lastRow="0" w:firstColumn="1" w:lastColumn="0" w:oddVBand="0" w:evenVBand="0" w:oddHBand="0" w:evenHBand="0" w:firstRowFirstColumn="0" w:firstRowLastColumn="0" w:lastRowFirstColumn="0" w:lastRowLastColumn="0"/>
            <w:tcW w:w="2885" w:type="pct"/>
          </w:tcPr>
          <w:p w:rsidR="00D06E11" w:rsidRPr="00E012B0" w:rsidRDefault="00D06E11" w:rsidP="00D06E11">
            <w:pPr>
              <w:rPr>
                <w:b w:val="0"/>
              </w:rPr>
            </w:pPr>
            <w:r>
              <w:rPr>
                <w:b w:val="0"/>
              </w:rPr>
              <w:t>Child Caring Institutions</w:t>
            </w:r>
          </w:p>
        </w:tc>
        <w:tc>
          <w:tcPr>
            <w:tcW w:w="2115" w:type="pct"/>
            <w:vAlign w:val="center"/>
          </w:tcPr>
          <w:p w:rsidR="00D06E11" w:rsidRPr="00E012B0" w:rsidRDefault="00D06E11" w:rsidP="00D06E11">
            <w:pPr>
              <w:cnfStyle w:val="000000000000" w:firstRow="0" w:lastRow="0" w:firstColumn="0" w:lastColumn="0" w:oddVBand="0" w:evenVBand="0" w:oddHBand="0" w:evenHBand="0" w:firstRowFirstColumn="0" w:firstRowLastColumn="0" w:lastRowFirstColumn="0" w:lastRowLastColumn="0"/>
            </w:pPr>
            <w:r>
              <w:t>706 (1.6)</w:t>
            </w:r>
          </w:p>
        </w:tc>
      </w:tr>
      <w:tr w:rsidR="00D06E11" w:rsidTr="00CB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5" w:type="pct"/>
          </w:tcPr>
          <w:p w:rsidR="00D06E11" w:rsidRPr="00042130" w:rsidRDefault="00D06E11" w:rsidP="00D06E11">
            <w:r w:rsidRPr="00042130">
              <w:t>4. Comprehensive Home-based Solutions</w:t>
            </w:r>
          </w:p>
        </w:tc>
        <w:tc>
          <w:tcPr>
            <w:tcW w:w="2115" w:type="pct"/>
            <w:vAlign w:val="center"/>
          </w:tcPr>
          <w:p w:rsidR="00D06E11" w:rsidRPr="007554A1" w:rsidRDefault="00D06E11" w:rsidP="00D06E11">
            <w:pPr>
              <w:cnfStyle w:val="000000100000" w:firstRow="0" w:lastRow="0" w:firstColumn="0" w:lastColumn="0" w:oddVBand="0" w:evenVBand="0" w:oddHBand="1" w:evenHBand="0" w:firstRowFirstColumn="0" w:firstRowLastColumn="0" w:lastRowFirstColumn="0" w:lastRowLastColumn="0"/>
            </w:pPr>
            <w:r w:rsidRPr="007554A1">
              <w:t>2996 (6.8)</w:t>
            </w:r>
          </w:p>
        </w:tc>
      </w:tr>
      <w:tr w:rsidR="00D06E11" w:rsidTr="00CB7B3D">
        <w:tc>
          <w:tcPr>
            <w:cnfStyle w:val="001000000000" w:firstRow="0" w:lastRow="0" w:firstColumn="1" w:lastColumn="0" w:oddVBand="0" w:evenVBand="0" w:oddHBand="0" w:evenHBand="0" w:firstRowFirstColumn="0" w:firstRowLastColumn="0" w:lastRowFirstColumn="0" w:lastRowLastColumn="0"/>
            <w:tcW w:w="2885" w:type="pct"/>
          </w:tcPr>
          <w:p w:rsidR="00D06E11" w:rsidRPr="00E012B0" w:rsidRDefault="00D06E11" w:rsidP="00D06E11">
            <w:pPr>
              <w:rPr>
                <w:b w:val="0"/>
              </w:rPr>
            </w:pPr>
            <w:r>
              <w:rPr>
                <w:b w:val="0"/>
              </w:rPr>
              <w:t>Counseling</w:t>
            </w:r>
          </w:p>
        </w:tc>
        <w:tc>
          <w:tcPr>
            <w:tcW w:w="2115" w:type="pct"/>
            <w:vAlign w:val="center"/>
          </w:tcPr>
          <w:p w:rsidR="00D06E11" w:rsidRPr="00E012B0" w:rsidRDefault="00D06E11" w:rsidP="00D06E11">
            <w:pPr>
              <w:cnfStyle w:val="000000000000" w:firstRow="0" w:lastRow="0" w:firstColumn="0" w:lastColumn="0" w:oddVBand="0" w:evenVBand="0" w:oddHBand="0" w:evenHBand="0" w:firstRowFirstColumn="0" w:firstRowLastColumn="0" w:lastRowFirstColumn="0" w:lastRowLastColumn="0"/>
            </w:pPr>
            <w:r>
              <w:t>1754 (4.0)</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E012B0" w:rsidRDefault="00D06E11" w:rsidP="00D06E11">
            <w:pPr>
              <w:rPr>
                <w:b w:val="0"/>
              </w:rPr>
            </w:pPr>
            <w:r>
              <w:rPr>
                <w:b w:val="0"/>
              </w:rPr>
              <w:t>Cross-System Care Coordination</w:t>
            </w:r>
          </w:p>
        </w:tc>
        <w:tc>
          <w:tcPr>
            <w:tcW w:w="2115" w:type="pct"/>
            <w:vAlign w:val="center"/>
          </w:tcPr>
          <w:p w:rsidR="00D06E11" w:rsidRPr="00E012B0" w:rsidRDefault="00D06E11" w:rsidP="00D06E11">
            <w:pPr>
              <w:cnfStyle w:val="000000100000" w:firstRow="0" w:lastRow="0" w:firstColumn="0" w:lastColumn="0" w:oddVBand="0" w:evenVBand="0" w:oddHBand="1" w:evenHBand="0" w:firstRowFirstColumn="0" w:firstRowLastColumn="0" w:lastRowFirstColumn="0" w:lastRowLastColumn="0"/>
            </w:pPr>
            <w:r>
              <w:t>137 (0.3)</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E012B0" w:rsidRDefault="00D06E11" w:rsidP="00D06E11">
            <w:pPr>
              <w:rPr>
                <w:b w:val="0"/>
              </w:rPr>
            </w:pPr>
            <w:r>
              <w:rPr>
                <w:b w:val="0"/>
              </w:rPr>
              <w:t>Day Treatment</w:t>
            </w:r>
          </w:p>
        </w:tc>
        <w:tc>
          <w:tcPr>
            <w:tcW w:w="2115" w:type="pct"/>
            <w:vAlign w:val="center"/>
          </w:tcPr>
          <w:p w:rsidR="00D06E11" w:rsidRPr="00E012B0" w:rsidRDefault="00D06E11" w:rsidP="00D06E11">
            <w:pPr>
              <w:cnfStyle w:val="000000000000" w:firstRow="0" w:lastRow="0" w:firstColumn="0" w:lastColumn="0" w:oddVBand="0" w:evenVBand="0" w:oddHBand="0" w:evenHBand="0" w:firstRowFirstColumn="0" w:firstRowLastColumn="0" w:lastRowFirstColumn="0" w:lastRowLastColumn="0"/>
            </w:pPr>
            <w:r>
              <w:t>426 (1.0)</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E012B0" w:rsidRDefault="00D06E11" w:rsidP="00D06E11">
            <w:pPr>
              <w:rPr>
                <w:b w:val="0"/>
              </w:rPr>
            </w:pPr>
            <w:r>
              <w:rPr>
                <w:b w:val="0"/>
              </w:rPr>
              <w:t>DCS Foster Home</w:t>
            </w:r>
          </w:p>
        </w:tc>
        <w:tc>
          <w:tcPr>
            <w:tcW w:w="2115" w:type="pct"/>
            <w:vAlign w:val="center"/>
          </w:tcPr>
          <w:p w:rsidR="00D06E11" w:rsidRPr="00E012B0" w:rsidRDefault="00D06E11" w:rsidP="00D06E11">
            <w:pPr>
              <w:cnfStyle w:val="000000100000" w:firstRow="0" w:lastRow="0" w:firstColumn="0" w:lastColumn="0" w:oddVBand="0" w:evenVBand="0" w:oddHBand="1" w:evenHBand="0" w:firstRowFirstColumn="0" w:firstRowLastColumn="0" w:lastRowFirstColumn="0" w:lastRowLastColumn="0"/>
            </w:pPr>
            <w:r>
              <w:t>1896 (4.3)</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E012B0" w:rsidRDefault="00D06E11" w:rsidP="00D06E11">
            <w:pPr>
              <w:rPr>
                <w:b w:val="0"/>
              </w:rPr>
            </w:pPr>
            <w:r>
              <w:rPr>
                <w:b w:val="0"/>
              </w:rPr>
              <w:t>Detoxification Services</w:t>
            </w:r>
          </w:p>
        </w:tc>
        <w:tc>
          <w:tcPr>
            <w:tcW w:w="2115" w:type="pct"/>
            <w:vAlign w:val="center"/>
          </w:tcPr>
          <w:p w:rsidR="00D06E11" w:rsidRPr="00E012B0" w:rsidRDefault="00D06E11" w:rsidP="00D06E11">
            <w:pPr>
              <w:cnfStyle w:val="000000000000" w:firstRow="0" w:lastRow="0" w:firstColumn="0" w:lastColumn="0" w:oddVBand="0" w:evenVBand="0" w:oddHBand="0" w:evenHBand="0" w:firstRowFirstColumn="0" w:firstRowLastColumn="0" w:lastRowFirstColumn="0" w:lastRowLastColumn="0"/>
            </w:pPr>
            <w:r>
              <w:t>33 (0.1)</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E012B0" w:rsidRDefault="00D06E11" w:rsidP="00D06E11">
            <w:pPr>
              <w:rPr>
                <w:b w:val="0"/>
              </w:rPr>
            </w:pPr>
            <w:r>
              <w:rPr>
                <w:b w:val="0"/>
              </w:rPr>
              <w:t>Diagnostic and Evaluation Services</w:t>
            </w:r>
          </w:p>
        </w:tc>
        <w:tc>
          <w:tcPr>
            <w:tcW w:w="2115" w:type="pct"/>
            <w:vAlign w:val="center"/>
          </w:tcPr>
          <w:p w:rsidR="00D06E11" w:rsidRPr="00E012B0" w:rsidRDefault="00D06E11" w:rsidP="00D06E11">
            <w:pPr>
              <w:cnfStyle w:val="000000100000" w:firstRow="0" w:lastRow="0" w:firstColumn="0" w:lastColumn="0" w:oddVBand="0" w:evenVBand="0" w:oddHBand="1" w:evenHBand="0" w:firstRowFirstColumn="0" w:firstRowLastColumn="0" w:lastRowFirstColumn="0" w:lastRowLastColumn="0"/>
            </w:pPr>
            <w:r>
              <w:t>334 (0.8)</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E012B0" w:rsidRDefault="00D06E11" w:rsidP="00D06E11">
            <w:pPr>
              <w:rPr>
                <w:b w:val="0"/>
              </w:rPr>
            </w:pPr>
            <w:r>
              <w:rPr>
                <w:b w:val="0"/>
              </w:rPr>
              <w:t>Domestic Violence Batterers</w:t>
            </w:r>
          </w:p>
        </w:tc>
        <w:tc>
          <w:tcPr>
            <w:tcW w:w="2115" w:type="pct"/>
            <w:vAlign w:val="center"/>
          </w:tcPr>
          <w:p w:rsidR="00D06E11" w:rsidRPr="00E012B0" w:rsidRDefault="00D06E11" w:rsidP="00D06E11">
            <w:pPr>
              <w:cnfStyle w:val="000000000000" w:firstRow="0" w:lastRow="0" w:firstColumn="0" w:lastColumn="0" w:oddVBand="0" w:evenVBand="0" w:oddHBand="0" w:evenHBand="0" w:firstRowFirstColumn="0" w:firstRowLastColumn="0" w:lastRowFirstColumn="0" w:lastRowLastColumn="0"/>
            </w:pPr>
            <w:r>
              <w:t>229 (0.5)</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E012B0" w:rsidRDefault="00D06E11" w:rsidP="00D06E11">
            <w:pPr>
              <w:rPr>
                <w:b w:val="0"/>
              </w:rPr>
            </w:pPr>
            <w:r>
              <w:rPr>
                <w:b w:val="0"/>
              </w:rPr>
              <w:t>Domestic Violence Victim and Child</w:t>
            </w:r>
          </w:p>
        </w:tc>
        <w:tc>
          <w:tcPr>
            <w:tcW w:w="2115" w:type="pct"/>
            <w:vAlign w:val="center"/>
          </w:tcPr>
          <w:p w:rsidR="00D06E11" w:rsidRPr="00E012B0" w:rsidRDefault="00D06E11" w:rsidP="00D06E11">
            <w:pPr>
              <w:cnfStyle w:val="000000100000" w:firstRow="0" w:lastRow="0" w:firstColumn="0" w:lastColumn="0" w:oddVBand="0" w:evenVBand="0" w:oddHBand="1" w:evenHBand="0" w:firstRowFirstColumn="0" w:firstRowLastColumn="0" w:lastRowFirstColumn="0" w:lastRowLastColumn="0"/>
            </w:pPr>
            <w:r>
              <w:t>123 (0.3)</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E012B0" w:rsidRDefault="00D06E11" w:rsidP="00D06E11">
            <w:pPr>
              <w:rPr>
                <w:b w:val="0"/>
              </w:rPr>
            </w:pPr>
            <w:r>
              <w:rPr>
                <w:b w:val="0"/>
              </w:rPr>
              <w:t>Drug Testing and Supplies</w:t>
            </w:r>
          </w:p>
        </w:tc>
        <w:tc>
          <w:tcPr>
            <w:tcW w:w="2115" w:type="pct"/>
            <w:vAlign w:val="center"/>
          </w:tcPr>
          <w:p w:rsidR="00D06E11" w:rsidRPr="00E012B0" w:rsidRDefault="00D06E11" w:rsidP="00D06E11">
            <w:pPr>
              <w:cnfStyle w:val="000000000000" w:firstRow="0" w:lastRow="0" w:firstColumn="0" w:lastColumn="0" w:oddVBand="0" w:evenVBand="0" w:oddHBand="0" w:evenHBand="0" w:firstRowFirstColumn="0" w:firstRowLastColumn="0" w:lastRowFirstColumn="0" w:lastRowLastColumn="0"/>
            </w:pPr>
            <w:r>
              <w:t>257 (0.6)</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E012B0" w:rsidRDefault="00D06E11" w:rsidP="00D06E11">
            <w:pPr>
              <w:rPr>
                <w:b w:val="0"/>
              </w:rPr>
            </w:pPr>
            <w:r>
              <w:rPr>
                <w:b w:val="0"/>
              </w:rPr>
              <w:t>Father Engagement Programs</w:t>
            </w:r>
          </w:p>
        </w:tc>
        <w:tc>
          <w:tcPr>
            <w:tcW w:w="2115" w:type="pct"/>
            <w:vAlign w:val="center"/>
          </w:tcPr>
          <w:p w:rsidR="00D06E11" w:rsidRPr="00E012B0" w:rsidRDefault="00D06E11" w:rsidP="00D06E11">
            <w:pPr>
              <w:cnfStyle w:val="000000100000" w:firstRow="0" w:lastRow="0" w:firstColumn="0" w:lastColumn="0" w:oddVBand="0" w:evenVBand="0" w:oddHBand="1" w:evenHBand="0" w:firstRowFirstColumn="0" w:firstRowLastColumn="0" w:lastRowFirstColumn="0" w:lastRowLastColumn="0"/>
            </w:pPr>
            <w:r>
              <w:t>1159 (2.6)</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E012B0" w:rsidRDefault="00D06E11" w:rsidP="00D06E11">
            <w:pPr>
              <w:rPr>
                <w:b w:val="0"/>
              </w:rPr>
            </w:pPr>
            <w:r>
              <w:rPr>
                <w:b w:val="0"/>
              </w:rPr>
              <w:t>Functional Family Therapy</w:t>
            </w:r>
          </w:p>
        </w:tc>
        <w:tc>
          <w:tcPr>
            <w:tcW w:w="2115" w:type="pct"/>
            <w:vAlign w:val="center"/>
          </w:tcPr>
          <w:p w:rsidR="00D06E11" w:rsidRPr="00E012B0" w:rsidRDefault="00D06E11" w:rsidP="00D06E11">
            <w:pPr>
              <w:cnfStyle w:val="000000000000" w:firstRow="0" w:lastRow="0" w:firstColumn="0" w:lastColumn="0" w:oddVBand="0" w:evenVBand="0" w:oddHBand="0" w:evenHBand="0" w:firstRowFirstColumn="0" w:firstRowLastColumn="0" w:lastRowFirstColumn="0" w:lastRowLastColumn="0"/>
            </w:pPr>
            <w:r>
              <w:t>75 (0.2)</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E012B0" w:rsidRDefault="00D06E11" w:rsidP="00D06E11">
            <w:pPr>
              <w:rPr>
                <w:b w:val="0"/>
              </w:rPr>
            </w:pPr>
            <w:r>
              <w:rPr>
                <w:b w:val="0"/>
              </w:rPr>
              <w:t>General Products</w:t>
            </w:r>
          </w:p>
        </w:tc>
        <w:tc>
          <w:tcPr>
            <w:tcW w:w="2115" w:type="pct"/>
            <w:vAlign w:val="center"/>
          </w:tcPr>
          <w:p w:rsidR="00D06E11" w:rsidRPr="00E012B0" w:rsidRDefault="00D06E11" w:rsidP="00D06E11">
            <w:pPr>
              <w:cnfStyle w:val="000000100000" w:firstRow="0" w:lastRow="0" w:firstColumn="0" w:lastColumn="0" w:oddVBand="0" w:evenVBand="0" w:oddHBand="1" w:evenHBand="0" w:firstRowFirstColumn="0" w:firstRowLastColumn="0" w:lastRowFirstColumn="0" w:lastRowLastColumn="0"/>
            </w:pPr>
            <w:r>
              <w:t>882 (2.0)</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E012B0" w:rsidRDefault="00D06E11" w:rsidP="00D06E11">
            <w:pPr>
              <w:rPr>
                <w:b w:val="0"/>
              </w:rPr>
            </w:pPr>
            <w:r>
              <w:rPr>
                <w:b w:val="0"/>
              </w:rPr>
              <w:t>Group Home</w:t>
            </w:r>
          </w:p>
        </w:tc>
        <w:tc>
          <w:tcPr>
            <w:tcW w:w="2115" w:type="pct"/>
            <w:vAlign w:val="center"/>
          </w:tcPr>
          <w:p w:rsidR="00D06E11" w:rsidRPr="00E012B0" w:rsidRDefault="00D06E11" w:rsidP="00D06E11">
            <w:pPr>
              <w:cnfStyle w:val="000000000000" w:firstRow="0" w:lastRow="0" w:firstColumn="0" w:lastColumn="0" w:oddVBand="0" w:evenVBand="0" w:oddHBand="0" w:evenHBand="0" w:firstRowFirstColumn="0" w:firstRowLastColumn="0" w:lastRowFirstColumn="0" w:lastRowLastColumn="0"/>
            </w:pPr>
            <w:r>
              <w:t>156 (0.4)</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A173F6" w:rsidRDefault="00D06E11" w:rsidP="00D06E11">
            <w:r w:rsidRPr="00A173F6">
              <w:t>2. Homemaker/Parental Aid</w:t>
            </w:r>
          </w:p>
        </w:tc>
        <w:tc>
          <w:tcPr>
            <w:tcW w:w="2115" w:type="pct"/>
            <w:vAlign w:val="center"/>
          </w:tcPr>
          <w:p w:rsidR="00D06E11" w:rsidRPr="007554A1" w:rsidRDefault="00D06E11" w:rsidP="00D06E11">
            <w:pPr>
              <w:cnfStyle w:val="000000100000" w:firstRow="0" w:lastRow="0" w:firstColumn="0" w:lastColumn="0" w:oddVBand="0" w:evenVBand="0" w:oddHBand="1" w:evenHBand="0" w:firstRowFirstColumn="0" w:firstRowLastColumn="0" w:lastRowFirstColumn="0" w:lastRowLastColumn="0"/>
            </w:pPr>
            <w:r w:rsidRPr="007554A1">
              <w:t>4926 (11.2)</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A173F6" w:rsidRDefault="00D06E11" w:rsidP="00D06E11">
            <w:r w:rsidRPr="00A173F6">
              <w:t>3. LCPA Foster Home</w:t>
            </w:r>
          </w:p>
        </w:tc>
        <w:tc>
          <w:tcPr>
            <w:tcW w:w="2115" w:type="pct"/>
            <w:vAlign w:val="center"/>
          </w:tcPr>
          <w:p w:rsidR="00D06E11" w:rsidRPr="007554A1" w:rsidRDefault="00D06E11" w:rsidP="00D06E11">
            <w:pPr>
              <w:cnfStyle w:val="000000000000" w:firstRow="0" w:lastRow="0" w:firstColumn="0" w:lastColumn="0" w:oddVBand="0" w:evenVBand="0" w:oddHBand="0" w:evenHBand="0" w:firstRowFirstColumn="0" w:firstRowLastColumn="0" w:lastRowFirstColumn="0" w:lastRowLastColumn="0"/>
            </w:pPr>
            <w:r w:rsidRPr="007554A1">
              <w:t>4491 (10.2)</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Default="00D06E11" w:rsidP="00D06E11">
            <w:pPr>
              <w:rPr>
                <w:b w:val="0"/>
              </w:rPr>
            </w:pPr>
            <w:r>
              <w:rPr>
                <w:b w:val="0"/>
              </w:rPr>
              <w:t>Material Assistance</w:t>
            </w:r>
          </w:p>
        </w:tc>
        <w:tc>
          <w:tcPr>
            <w:tcW w:w="2115" w:type="pct"/>
            <w:vAlign w:val="center"/>
          </w:tcPr>
          <w:p w:rsidR="00D06E11" w:rsidRPr="00E012B0" w:rsidRDefault="00D06E11" w:rsidP="00D06E11">
            <w:pPr>
              <w:cnfStyle w:val="000000100000" w:firstRow="0" w:lastRow="0" w:firstColumn="0" w:lastColumn="0" w:oddVBand="0" w:evenVBand="0" w:oddHBand="1" w:evenHBand="0" w:firstRowFirstColumn="0" w:firstRowLastColumn="0" w:lastRowFirstColumn="0" w:lastRowLastColumn="0"/>
            </w:pPr>
            <w:r>
              <w:t>1697 (3.9)</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Default="00D06E11" w:rsidP="00D06E11">
            <w:pPr>
              <w:rPr>
                <w:b w:val="0"/>
              </w:rPr>
            </w:pPr>
            <w:r>
              <w:rPr>
                <w:b w:val="0"/>
              </w:rPr>
              <w:t>OYS- IL Services</w:t>
            </w:r>
          </w:p>
        </w:tc>
        <w:tc>
          <w:tcPr>
            <w:tcW w:w="2115" w:type="pct"/>
            <w:vAlign w:val="center"/>
          </w:tcPr>
          <w:p w:rsidR="00D06E11" w:rsidRPr="00E012B0" w:rsidRDefault="00D06E11" w:rsidP="00D06E11">
            <w:pPr>
              <w:cnfStyle w:val="000000000000" w:firstRow="0" w:lastRow="0" w:firstColumn="0" w:lastColumn="0" w:oddVBand="0" w:evenVBand="0" w:oddHBand="0" w:evenHBand="0" w:firstRowFirstColumn="0" w:firstRowLastColumn="0" w:lastRowFirstColumn="0" w:lastRowLastColumn="0"/>
            </w:pPr>
            <w:r>
              <w:t>69 (0.2)</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Default="00D06E11" w:rsidP="00D06E11">
            <w:pPr>
              <w:rPr>
                <w:b w:val="0"/>
              </w:rPr>
            </w:pPr>
            <w:r>
              <w:rPr>
                <w:b w:val="0"/>
              </w:rPr>
              <w:t>Parent Education</w:t>
            </w:r>
          </w:p>
        </w:tc>
        <w:tc>
          <w:tcPr>
            <w:tcW w:w="2115" w:type="pct"/>
            <w:vAlign w:val="center"/>
          </w:tcPr>
          <w:p w:rsidR="00D06E11" w:rsidRPr="00E012B0" w:rsidRDefault="00D06E11" w:rsidP="00D06E11">
            <w:pPr>
              <w:cnfStyle w:val="000000100000" w:firstRow="0" w:lastRow="0" w:firstColumn="0" w:lastColumn="0" w:oddVBand="0" w:evenVBand="0" w:oddHBand="1" w:evenHBand="0" w:firstRowFirstColumn="0" w:firstRowLastColumn="0" w:lastRowFirstColumn="0" w:lastRowLastColumn="0"/>
            </w:pPr>
            <w:r>
              <w:t>733 (1.7)</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Default="00D06E11" w:rsidP="00D06E11">
            <w:pPr>
              <w:rPr>
                <w:b w:val="0"/>
              </w:rPr>
            </w:pPr>
            <w:r>
              <w:rPr>
                <w:b w:val="0"/>
              </w:rPr>
              <w:t>Parenting/Family Functioning Assessment</w:t>
            </w:r>
          </w:p>
        </w:tc>
        <w:tc>
          <w:tcPr>
            <w:tcW w:w="2115" w:type="pct"/>
            <w:vAlign w:val="center"/>
          </w:tcPr>
          <w:p w:rsidR="00D06E11" w:rsidRPr="00E012B0" w:rsidRDefault="00D06E11" w:rsidP="00D06E11">
            <w:pPr>
              <w:cnfStyle w:val="000000000000" w:firstRow="0" w:lastRow="0" w:firstColumn="0" w:lastColumn="0" w:oddVBand="0" w:evenVBand="0" w:oddHBand="0" w:evenHBand="0" w:firstRowFirstColumn="0" w:firstRowLastColumn="0" w:lastRowFirstColumn="0" w:lastRowLastColumn="0"/>
            </w:pPr>
            <w:r>
              <w:t>157 (0.4)</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Default="00D06E11" w:rsidP="00D06E11">
            <w:pPr>
              <w:rPr>
                <w:b w:val="0"/>
              </w:rPr>
            </w:pPr>
            <w:r>
              <w:rPr>
                <w:b w:val="0"/>
              </w:rPr>
              <w:t>Personal Allowance</w:t>
            </w:r>
          </w:p>
        </w:tc>
        <w:tc>
          <w:tcPr>
            <w:tcW w:w="2115" w:type="pct"/>
            <w:vAlign w:val="center"/>
          </w:tcPr>
          <w:p w:rsidR="00D06E11" w:rsidRPr="00E012B0" w:rsidRDefault="00D06E11" w:rsidP="00D06E11">
            <w:pPr>
              <w:cnfStyle w:val="000000100000" w:firstRow="0" w:lastRow="0" w:firstColumn="0" w:lastColumn="0" w:oddVBand="0" w:evenVBand="0" w:oddHBand="1" w:evenHBand="0" w:firstRowFirstColumn="0" w:firstRowLastColumn="0" w:lastRowFirstColumn="0" w:lastRowLastColumn="0"/>
            </w:pPr>
            <w:r>
              <w:t>397 (0.9)</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Default="00D06E11" w:rsidP="00D06E11">
            <w:pPr>
              <w:rPr>
                <w:b w:val="0"/>
              </w:rPr>
            </w:pPr>
            <w:r>
              <w:rPr>
                <w:b w:val="0"/>
              </w:rPr>
              <w:t>Private Secure</w:t>
            </w:r>
          </w:p>
        </w:tc>
        <w:tc>
          <w:tcPr>
            <w:tcW w:w="2115" w:type="pct"/>
            <w:vAlign w:val="center"/>
          </w:tcPr>
          <w:p w:rsidR="00D06E11" w:rsidRPr="00E012B0" w:rsidRDefault="00D06E11" w:rsidP="00D06E11">
            <w:pPr>
              <w:cnfStyle w:val="000000000000" w:firstRow="0" w:lastRow="0" w:firstColumn="0" w:lastColumn="0" w:oddVBand="0" w:evenVBand="0" w:oddHBand="0" w:evenHBand="0" w:firstRowFirstColumn="0" w:firstRowLastColumn="0" w:lastRowFirstColumn="0" w:lastRowLastColumn="0"/>
            </w:pPr>
            <w:r>
              <w:t>472 (1.1)</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042130" w:rsidRDefault="00D06E11" w:rsidP="00D06E11">
            <w:r w:rsidRPr="00042130">
              <w:t>5. Random Drug Testing</w:t>
            </w:r>
          </w:p>
        </w:tc>
        <w:tc>
          <w:tcPr>
            <w:tcW w:w="2115" w:type="pct"/>
            <w:vAlign w:val="center"/>
          </w:tcPr>
          <w:p w:rsidR="00D06E11" w:rsidRPr="007554A1" w:rsidRDefault="00D06E11" w:rsidP="00D06E11">
            <w:pPr>
              <w:cnfStyle w:val="000000100000" w:firstRow="0" w:lastRow="0" w:firstColumn="0" w:lastColumn="0" w:oddVBand="0" w:evenVBand="0" w:oddHBand="1" w:evenHBand="0" w:firstRowFirstColumn="0" w:firstRowLastColumn="0" w:lastRowFirstColumn="0" w:lastRowLastColumn="0"/>
            </w:pPr>
            <w:r w:rsidRPr="007554A1">
              <w:t>2466 (5.6)</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Default="00D06E11" w:rsidP="00D06E11">
            <w:pPr>
              <w:rPr>
                <w:b w:val="0"/>
              </w:rPr>
            </w:pPr>
            <w:r>
              <w:rPr>
                <w:b w:val="0"/>
              </w:rPr>
              <w:t>Residential Substance Use Treatment</w:t>
            </w:r>
          </w:p>
        </w:tc>
        <w:tc>
          <w:tcPr>
            <w:tcW w:w="2115" w:type="pct"/>
            <w:vAlign w:val="center"/>
          </w:tcPr>
          <w:p w:rsidR="00D06E11" w:rsidRPr="00E012B0" w:rsidRDefault="00D06E11" w:rsidP="00D06E11">
            <w:pPr>
              <w:cnfStyle w:val="000000000000" w:firstRow="0" w:lastRow="0" w:firstColumn="0" w:lastColumn="0" w:oddVBand="0" w:evenVBand="0" w:oddHBand="0" w:evenHBand="0" w:firstRowFirstColumn="0" w:firstRowLastColumn="0" w:lastRowFirstColumn="0" w:lastRowLastColumn="0"/>
            </w:pPr>
            <w:r>
              <w:t>120 (0.3)</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Default="00D06E11" w:rsidP="00D06E11">
            <w:pPr>
              <w:rPr>
                <w:b w:val="0"/>
              </w:rPr>
            </w:pPr>
            <w:r>
              <w:rPr>
                <w:b w:val="0"/>
              </w:rPr>
              <w:t>Specialized Services</w:t>
            </w:r>
          </w:p>
        </w:tc>
        <w:tc>
          <w:tcPr>
            <w:tcW w:w="2115" w:type="pct"/>
            <w:vAlign w:val="center"/>
          </w:tcPr>
          <w:p w:rsidR="00D06E11" w:rsidRPr="00E012B0" w:rsidRDefault="00D06E11" w:rsidP="00D06E11">
            <w:pPr>
              <w:cnfStyle w:val="000000100000" w:firstRow="0" w:lastRow="0" w:firstColumn="0" w:lastColumn="0" w:oddVBand="0" w:evenVBand="0" w:oddHBand="1" w:evenHBand="0" w:firstRowFirstColumn="0" w:firstRowLastColumn="0" w:lastRowFirstColumn="0" w:lastRowLastColumn="0"/>
            </w:pPr>
            <w:r>
              <w:t>54 (0.1)</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Default="00D06E11" w:rsidP="00D06E11">
            <w:pPr>
              <w:rPr>
                <w:b w:val="0"/>
              </w:rPr>
            </w:pPr>
            <w:r>
              <w:rPr>
                <w:b w:val="0"/>
              </w:rPr>
              <w:t>Substance Use Disorder Assessment</w:t>
            </w:r>
          </w:p>
        </w:tc>
        <w:tc>
          <w:tcPr>
            <w:tcW w:w="2115" w:type="pct"/>
            <w:vAlign w:val="center"/>
          </w:tcPr>
          <w:p w:rsidR="00D06E11" w:rsidRPr="00E012B0" w:rsidRDefault="00D06E11" w:rsidP="00D06E11">
            <w:pPr>
              <w:cnfStyle w:val="000000000000" w:firstRow="0" w:lastRow="0" w:firstColumn="0" w:lastColumn="0" w:oddVBand="0" w:evenVBand="0" w:oddHBand="0" w:evenHBand="0" w:firstRowFirstColumn="0" w:firstRowLastColumn="0" w:lastRowFirstColumn="0" w:lastRowLastColumn="0"/>
            </w:pPr>
            <w:r>
              <w:t>235 (0.5)</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Default="00D06E11" w:rsidP="00D06E11">
            <w:pPr>
              <w:rPr>
                <w:b w:val="0"/>
              </w:rPr>
            </w:pPr>
            <w:r>
              <w:rPr>
                <w:b w:val="0"/>
              </w:rPr>
              <w:t>Substance Use Outpatient Treatment</w:t>
            </w:r>
          </w:p>
        </w:tc>
        <w:tc>
          <w:tcPr>
            <w:tcW w:w="2115" w:type="pct"/>
            <w:vAlign w:val="center"/>
          </w:tcPr>
          <w:p w:rsidR="00D06E11" w:rsidRPr="00E012B0" w:rsidRDefault="00D06E11" w:rsidP="00D06E11">
            <w:pPr>
              <w:cnfStyle w:val="000000100000" w:firstRow="0" w:lastRow="0" w:firstColumn="0" w:lastColumn="0" w:oddVBand="0" w:evenVBand="0" w:oddHBand="1" w:evenHBand="0" w:firstRowFirstColumn="0" w:firstRowLastColumn="0" w:lastRowFirstColumn="0" w:lastRowLastColumn="0"/>
            </w:pPr>
            <w:r>
              <w:t>2435 (5.5)</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Default="00D06E11" w:rsidP="00D06E11">
            <w:pPr>
              <w:rPr>
                <w:b w:val="0"/>
              </w:rPr>
            </w:pPr>
            <w:r>
              <w:rPr>
                <w:b w:val="0"/>
              </w:rPr>
              <w:t>Transition from Restrictive Placement</w:t>
            </w:r>
          </w:p>
        </w:tc>
        <w:tc>
          <w:tcPr>
            <w:tcW w:w="2115" w:type="pct"/>
            <w:vAlign w:val="center"/>
          </w:tcPr>
          <w:p w:rsidR="00D06E11" w:rsidRPr="00E012B0" w:rsidRDefault="00D06E11" w:rsidP="00D06E11">
            <w:pPr>
              <w:cnfStyle w:val="000000000000" w:firstRow="0" w:lastRow="0" w:firstColumn="0" w:lastColumn="0" w:oddVBand="0" w:evenVBand="0" w:oddHBand="0" w:evenHBand="0" w:firstRowFirstColumn="0" w:firstRowLastColumn="0" w:lastRowFirstColumn="0" w:lastRowLastColumn="0"/>
            </w:pPr>
            <w:r>
              <w:t>27 (0.1)</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Default="00D06E11" w:rsidP="00D06E11">
            <w:pPr>
              <w:rPr>
                <w:b w:val="0"/>
              </w:rPr>
            </w:pPr>
            <w:r>
              <w:rPr>
                <w:b w:val="0"/>
              </w:rPr>
              <w:t>Tutoring/Literacy Classes</w:t>
            </w:r>
          </w:p>
        </w:tc>
        <w:tc>
          <w:tcPr>
            <w:tcW w:w="2115" w:type="pct"/>
            <w:vAlign w:val="center"/>
          </w:tcPr>
          <w:p w:rsidR="00D06E11" w:rsidRPr="00E012B0" w:rsidRDefault="00D06E11" w:rsidP="00D06E11">
            <w:pPr>
              <w:cnfStyle w:val="000000100000" w:firstRow="0" w:lastRow="0" w:firstColumn="0" w:lastColumn="0" w:oddVBand="0" w:evenVBand="0" w:oddHBand="1" w:evenHBand="0" w:firstRowFirstColumn="0" w:firstRowLastColumn="0" w:lastRowFirstColumn="0" w:lastRowLastColumn="0"/>
            </w:pPr>
            <w:r>
              <w:t>(2.1)</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885" w:type="pct"/>
          </w:tcPr>
          <w:p w:rsidR="00D06E11" w:rsidRPr="00A173F6" w:rsidRDefault="00D06E11" w:rsidP="00D06E11">
            <w:r w:rsidRPr="00A173F6">
              <w:t>1.Visitation Facilitation – Parent/Child/Sibling</w:t>
            </w:r>
          </w:p>
        </w:tc>
        <w:tc>
          <w:tcPr>
            <w:tcW w:w="2115" w:type="pct"/>
            <w:vAlign w:val="center"/>
          </w:tcPr>
          <w:p w:rsidR="00D06E11" w:rsidRPr="007554A1" w:rsidRDefault="00D06E11" w:rsidP="00D06E11">
            <w:pPr>
              <w:cnfStyle w:val="000000000000" w:firstRow="0" w:lastRow="0" w:firstColumn="0" w:lastColumn="0" w:oddVBand="0" w:evenVBand="0" w:oddHBand="0" w:evenHBand="0" w:firstRowFirstColumn="0" w:firstRowLastColumn="0" w:lastRowFirstColumn="0" w:lastRowLastColumn="0"/>
            </w:pPr>
            <w:r w:rsidRPr="007554A1">
              <w:t>12934 (29.4)</w:t>
            </w:r>
          </w:p>
        </w:tc>
      </w:tr>
    </w:tbl>
    <w:p w:rsidR="00D06E11" w:rsidRPr="00D91357" w:rsidRDefault="00D06E11" w:rsidP="00D06E11">
      <w:pPr>
        <w:pStyle w:val="ListParagraph"/>
        <w:ind w:left="0"/>
        <w:rPr>
          <w:rFonts w:asciiTheme="minorHAnsi" w:hAnsiTheme="minorHAnsi"/>
          <w:sz w:val="16"/>
        </w:rPr>
      </w:pPr>
      <w:r w:rsidRPr="00D91357">
        <w:rPr>
          <w:rFonts w:asciiTheme="minorHAnsi" w:hAnsiTheme="minorHAnsi"/>
          <w:sz w:val="16"/>
          <w:vertAlign w:val="superscript"/>
        </w:rPr>
        <w:t>a</w:t>
      </w:r>
      <w:r w:rsidRPr="00D91357">
        <w:rPr>
          <w:rFonts w:asciiTheme="minorHAnsi" w:hAnsiTheme="minorHAnsi"/>
          <w:sz w:val="16"/>
        </w:rPr>
        <w:t>Omits any services offered twenty times or fewer because these are less than 1/10</w:t>
      </w:r>
      <w:r w:rsidRPr="00D91357">
        <w:rPr>
          <w:rFonts w:asciiTheme="minorHAnsi" w:hAnsiTheme="minorHAnsi"/>
          <w:sz w:val="16"/>
          <w:vertAlign w:val="superscript"/>
        </w:rPr>
        <w:t>th</w:t>
      </w:r>
      <w:r w:rsidRPr="00D91357">
        <w:rPr>
          <w:rFonts w:asciiTheme="minorHAnsi" w:hAnsiTheme="minorHAnsi"/>
          <w:sz w:val="16"/>
        </w:rPr>
        <w:t xml:space="preserve"> of a percent of the total services provided</w:t>
      </w:r>
    </w:p>
    <w:p w:rsidR="00D06E11" w:rsidRDefault="00D06E11" w:rsidP="00D06E11">
      <w:r>
        <w:t xml:space="preserve">Non-FCT youth were provided 42 different types of services from 2015 – 2017. The five most frequently provided services include: 1. Visitation Facilitation – Parent/Child/Sibling (n = 12934 [29.4]); 2. Homemaker/ Parental Aid (n = 4926 [11.2]); 3. LCPA Foster Home (n = 4491 [10.2]); 4. Comprehensive Home-based Solutions (n = 2996 [6.8]); and 5. Random Drug Testing (n = 2466 [ 5.6]). The full list of services is provided in Table </w:t>
      </w:r>
      <w:r w:rsidR="00F74168">
        <w:t>3</w:t>
      </w:r>
      <w:r w:rsidR="007D3CB0">
        <w:t>6</w:t>
      </w:r>
      <w:r w:rsidR="00E97D26">
        <w:t xml:space="preserve"> above</w:t>
      </w:r>
      <w:r w:rsidR="00F74168">
        <w:t>.</w:t>
      </w:r>
    </w:p>
    <w:p w:rsidR="00D06E11" w:rsidRDefault="00D06E11" w:rsidP="00D06E11"/>
    <w:p w:rsidR="00D06E11" w:rsidRDefault="00D06E11" w:rsidP="00D06E11">
      <w:r>
        <w:t>Several services were provided to Non-FCT youth and provided so infrequently that they comprised less than a tenth of a percent of the overall services provided. These are listed below.</w:t>
      </w:r>
    </w:p>
    <w:p w:rsidR="00D06E11" w:rsidRDefault="00D06E11" w:rsidP="00D06E11"/>
    <w:p w:rsidR="00D06E11" w:rsidRDefault="00D06E11" w:rsidP="00D06E11">
      <w:r>
        <w:t xml:space="preserve">Services offered twenty times or fewer from 2015-2017: </w:t>
      </w:r>
    </w:p>
    <w:p w:rsidR="00D06E11" w:rsidRPr="00D06E11" w:rsidRDefault="00D06E11" w:rsidP="0032600F">
      <w:pPr>
        <w:pStyle w:val="ListParagraph"/>
        <w:numPr>
          <w:ilvl w:val="0"/>
          <w:numId w:val="34"/>
        </w:numPr>
        <w:spacing w:after="0" w:line="240" w:lineRule="auto"/>
        <w:rPr>
          <w:rFonts w:asciiTheme="minorHAnsi" w:hAnsiTheme="minorHAnsi"/>
          <w:sz w:val="22"/>
        </w:rPr>
      </w:pPr>
      <w:r w:rsidRPr="00D06E11">
        <w:rPr>
          <w:rFonts w:asciiTheme="minorHAnsi" w:hAnsiTheme="minorHAnsi"/>
          <w:sz w:val="22"/>
        </w:rPr>
        <w:t>BX Counseling</w:t>
      </w:r>
    </w:p>
    <w:p w:rsidR="00D06E11" w:rsidRPr="00D06E11" w:rsidRDefault="00D06E11" w:rsidP="0032600F">
      <w:pPr>
        <w:pStyle w:val="ListParagraph"/>
        <w:numPr>
          <w:ilvl w:val="0"/>
          <w:numId w:val="34"/>
        </w:numPr>
        <w:spacing w:after="0" w:line="240" w:lineRule="auto"/>
        <w:rPr>
          <w:rFonts w:asciiTheme="minorHAnsi" w:hAnsiTheme="minorHAnsi"/>
          <w:sz w:val="22"/>
        </w:rPr>
      </w:pPr>
      <w:r w:rsidRPr="00D06E11">
        <w:rPr>
          <w:rFonts w:asciiTheme="minorHAnsi" w:hAnsiTheme="minorHAnsi"/>
          <w:sz w:val="22"/>
        </w:rPr>
        <w:t>Collaborative Care Host Home</w:t>
      </w:r>
    </w:p>
    <w:p w:rsidR="00D06E11" w:rsidRPr="00D06E11" w:rsidRDefault="00D06E11" w:rsidP="0032600F">
      <w:pPr>
        <w:pStyle w:val="ListParagraph"/>
        <w:numPr>
          <w:ilvl w:val="0"/>
          <w:numId w:val="34"/>
        </w:numPr>
        <w:spacing w:after="0" w:line="240" w:lineRule="auto"/>
        <w:rPr>
          <w:rFonts w:asciiTheme="minorHAnsi" w:hAnsiTheme="minorHAnsi"/>
          <w:sz w:val="22"/>
        </w:rPr>
      </w:pPr>
      <w:r w:rsidRPr="00D06E11">
        <w:rPr>
          <w:rFonts w:asciiTheme="minorHAnsi" w:hAnsiTheme="minorHAnsi"/>
          <w:sz w:val="22"/>
        </w:rPr>
        <w:t>Court Ordered Paid Placement</w:t>
      </w:r>
    </w:p>
    <w:p w:rsidR="00D06E11" w:rsidRPr="00D06E11" w:rsidRDefault="00D06E11" w:rsidP="0032600F">
      <w:pPr>
        <w:pStyle w:val="ListParagraph"/>
        <w:numPr>
          <w:ilvl w:val="0"/>
          <w:numId w:val="34"/>
        </w:numPr>
        <w:spacing w:after="0" w:line="240" w:lineRule="auto"/>
        <w:rPr>
          <w:rFonts w:asciiTheme="minorHAnsi" w:hAnsiTheme="minorHAnsi"/>
          <w:sz w:val="22"/>
        </w:rPr>
      </w:pPr>
      <w:r w:rsidRPr="00D06E11">
        <w:rPr>
          <w:rFonts w:asciiTheme="minorHAnsi" w:hAnsiTheme="minorHAnsi"/>
          <w:sz w:val="22"/>
        </w:rPr>
        <w:t>Med Assessment for MRO</w:t>
      </w:r>
    </w:p>
    <w:p w:rsidR="00D06E11" w:rsidRPr="00D06E11" w:rsidRDefault="00D06E11" w:rsidP="0032600F">
      <w:pPr>
        <w:pStyle w:val="ListParagraph"/>
        <w:numPr>
          <w:ilvl w:val="0"/>
          <w:numId w:val="34"/>
        </w:numPr>
        <w:spacing w:after="0" w:line="240" w:lineRule="auto"/>
        <w:rPr>
          <w:rFonts w:asciiTheme="minorHAnsi" w:hAnsiTheme="minorHAnsi"/>
          <w:sz w:val="22"/>
        </w:rPr>
      </w:pPr>
      <w:r w:rsidRPr="00D06E11">
        <w:rPr>
          <w:rFonts w:asciiTheme="minorHAnsi" w:hAnsiTheme="minorHAnsi"/>
          <w:sz w:val="22"/>
        </w:rPr>
        <w:t>NRAE Services</w:t>
      </w:r>
    </w:p>
    <w:p w:rsidR="00D06E11" w:rsidRPr="00D06E11" w:rsidRDefault="00D06E11" w:rsidP="0032600F">
      <w:pPr>
        <w:pStyle w:val="ListParagraph"/>
        <w:numPr>
          <w:ilvl w:val="0"/>
          <w:numId w:val="34"/>
        </w:numPr>
        <w:spacing w:after="0" w:line="240" w:lineRule="auto"/>
        <w:rPr>
          <w:rFonts w:asciiTheme="minorHAnsi" w:hAnsiTheme="minorHAnsi"/>
          <w:sz w:val="22"/>
        </w:rPr>
      </w:pPr>
      <w:r w:rsidRPr="00D06E11">
        <w:rPr>
          <w:rFonts w:asciiTheme="minorHAnsi" w:hAnsiTheme="minorHAnsi"/>
          <w:sz w:val="22"/>
        </w:rPr>
        <w:t>Residential detoxification</w:t>
      </w:r>
    </w:p>
    <w:p w:rsidR="00D06E11" w:rsidRPr="00D06E11" w:rsidRDefault="00D06E11" w:rsidP="0032600F">
      <w:pPr>
        <w:pStyle w:val="ListParagraph"/>
        <w:numPr>
          <w:ilvl w:val="0"/>
          <w:numId w:val="34"/>
        </w:numPr>
        <w:spacing w:after="0" w:line="240" w:lineRule="auto"/>
        <w:rPr>
          <w:rFonts w:asciiTheme="minorHAnsi" w:hAnsiTheme="minorHAnsi"/>
          <w:sz w:val="22"/>
        </w:rPr>
      </w:pPr>
      <w:r w:rsidRPr="00D06E11">
        <w:rPr>
          <w:rFonts w:asciiTheme="minorHAnsi" w:hAnsiTheme="minorHAnsi"/>
          <w:sz w:val="22"/>
        </w:rPr>
        <w:t>Sex Offender Treatment</w:t>
      </w:r>
    </w:p>
    <w:p w:rsidR="00D06E11" w:rsidRPr="00D06E11" w:rsidRDefault="00D06E11" w:rsidP="0032600F">
      <w:pPr>
        <w:pStyle w:val="ListParagraph"/>
        <w:numPr>
          <w:ilvl w:val="0"/>
          <w:numId w:val="34"/>
        </w:numPr>
        <w:spacing w:after="0" w:line="240" w:lineRule="auto"/>
        <w:rPr>
          <w:rFonts w:asciiTheme="minorHAnsi" w:hAnsiTheme="minorHAnsi"/>
          <w:sz w:val="22"/>
        </w:rPr>
      </w:pPr>
      <w:r w:rsidRPr="00D06E11">
        <w:rPr>
          <w:rFonts w:asciiTheme="minorHAnsi" w:hAnsiTheme="minorHAnsi"/>
          <w:sz w:val="22"/>
        </w:rPr>
        <w:t>Specialized Youth Career Training Program</w:t>
      </w:r>
    </w:p>
    <w:p w:rsidR="00D06E11" w:rsidRPr="00D06E11" w:rsidRDefault="00D06E11" w:rsidP="0032600F">
      <w:pPr>
        <w:pStyle w:val="ListParagraph"/>
        <w:numPr>
          <w:ilvl w:val="0"/>
          <w:numId w:val="34"/>
        </w:numPr>
        <w:spacing w:after="0" w:line="240" w:lineRule="auto"/>
        <w:rPr>
          <w:rFonts w:asciiTheme="minorHAnsi" w:hAnsiTheme="minorHAnsi"/>
          <w:sz w:val="22"/>
        </w:rPr>
      </w:pPr>
      <w:r w:rsidRPr="00D06E11">
        <w:rPr>
          <w:rFonts w:asciiTheme="minorHAnsi" w:hAnsiTheme="minorHAnsi"/>
          <w:sz w:val="22"/>
        </w:rPr>
        <w:t>Start Treatment Program</w:t>
      </w:r>
    </w:p>
    <w:p w:rsidR="00D06E11" w:rsidRPr="00D06E11" w:rsidRDefault="00D06E11" w:rsidP="0032600F">
      <w:pPr>
        <w:pStyle w:val="ListParagraph"/>
        <w:numPr>
          <w:ilvl w:val="0"/>
          <w:numId w:val="34"/>
        </w:numPr>
        <w:spacing w:after="0" w:line="240" w:lineRule="auto"/>
        <w:rPr>
          <w:rFonts w:asciiTheme="minorHAnsi" w:hAnsiTheme="minorHAnsi"/>
          <w:sz w:val="22"/>
        </w:rPr>
      </w:pPr>
      <w:r w:rsidRPr="00D06E11">
        <w:rPr>
          <w:rFonts w:asciiTheme="minorHAnsi" w:hAnsiTheme="minorHAnsi"/>
          <w:sz w:val="22"/>
        </w:rPr>
        <w:t>Substance Abuse Assessment, Treatment, &amp; Monitoring</w:t>
      </w:r>
    </w:p>
    <w:p w:rsidR="00D06E11" w:rsidRDefault="00D06E11" w:rsidP="00D06E11">
      <w:pPr>
        <w:rPr>
          <w:sz w:val="20"/>
        </w:rPr>
      </w:pPr>
    </w:p>
    <w:p w:rsidR="00D91357" w:rsidRPr="00D91357" w:rsidRDefault="00D91357" w:rsidP="00D91357">
      <w:pPr>
        <w:pStyle w:val="Heading3"/>
      </w:pPr>
      <w:r w:rsidRPr="00D91357">
        <w:t>Services and cost of services provided to youth</w:t>
      </w:r>
    </w:p>
    <w:p w:rsidR="00D91357" w:rsidRPr="00D91357" w:rsidRDefault="00D91357" w:rsidP="00D91357">
      <w:pPr>
        <w:rPr>
          <w:rFonts w:ascii="Calibri" w:eastAsia="Malgun Gothic" w:hAnsi="Calibri" w:cs="Times New Roman"/>
        </w:rPr>
      </w:pPr>
      <w:r w:rsidRPr="00D91357">
        <w:rPr>
          <w:rFonts w:ascii="Calibri" w:eastAsia="Malgun Gothic" w:hAnsi="Calibri" w:cs="Times New Roman"/>
        </w:rPr>
        <w:t xml:space="preserve">From 2015 to 2017, youth in FCT had 13,093 instances of a service being provided to them and/or their family and non-FCT youth had 13,475 instances of a service being provided to them and/or their family. The average cost of services provided to youth in FCT was $270.46, while the average cost of services provided to youth not in FCT was $210.40. FCT youth had a significantly higher cost in services than non-FCT youth </w:t>
      </w:r>
      <m:oMath>
        <m:r>
          <w:rPr>
            <w:rFonts w:ascii="Cambria Math" w:eastAsia="Malgun Gothic" w:hAnsi="Cambria Math" w:cs="Times New Roman"/>
          </w:rPr>
          <m:t>(t</m:t>
        </m:r>
        <m:d>
          <m:dPr>
            <m:begChr m:val="["/>
            <m:endChr m:val="]"/>
            <m:ctrlPr>
              <w:rPr>
                <w:rFonts w:ascii="Cambria Math" w:eastAsia="Malgun Gothic" w:hAnsi="Cambria Math" w:cs="Times New Roman"/>
                <w:i/>
              </w:rPr>
            </m:ctrlPr>
          </m:dPr>
          <m:e>
            <m:r>
              <w:rPr>
                <w:rFonts w:ascii="Cambria Math" w:eastAsia="Malgun Gothic" w:hAnsi="Cambria Math" w:cs="Times New Roman"/>
              </w:rPr>
              <m:t>df</m:t>
            </m:r>
          </m:e>
        </m:d>
        <m:r>
          <w:rPr>
            <w:rFonts w:ascii="Cambria Math" w:eastAsia="Malgun Gothic" w:hAnsi="Cambria Math" w:cs="Times New Roman"/>
          </w:rPr>
          <m:t xml:space="preserve">= -5.41 </m:t>
        </m:r>
        <m:d>
          <m:dPr>
            <m:begChr m:val="["/>
            <m:endChr m:val="]"/>
            <m:ctrlPr>
              <w:rPr>
                <w:rFonts w:ascii="Cambria Math" w:eastAsia="Malgun Gothic" w:hAnsi="Cambria Math" w:cs="Times New Roman"/>
                <w:i/>
              </w:rPr>
            </m:ctrlPr>
          </m:dPr>
          <m:e>
            <m:r>
              <w:rPr>
                <w:rFonts w:ascii="Cambria Math" w:eastAsia="Malgun Gothic" w:hAnsi="Cambria Math" w:cs="Times New Roman"/>
              </w:rPr>
              <m:t>26566</m:t>
            </m:r>
          </m:e>
        </m:d>
        <m:r>
          <w:rPr>
            <w:rFonts w:ascii="Cambria Math" w:eastAsia="Malgun Gothic" w:hAnsi="Cambria Math" w:cs="Times New Roman"/>
          </w:rPr>
          <m:t>, p&lt; .001)</m:t>
        </m:r>
      </m:oMath>
      <w:r w:rsidRPr="00D91357">
        <w:rPr>
          <w:rFonts w:ascii="Calibri" w:eastAsia="Malgun Gothic" w:hAnsi="Calibri" w:cs="Times New Roman"/>
        </w:rPr>
        <w:t xml:space="preserve">. </w:t>
      </w:r>
    </w:p>
    <w:p w:rsidR="00D91357" w:rsidRPr="00D91357" w:rsidRDefault="00D91357" w:rsidP="00D91357">
      <w:pPr>
        <w:rPr>
          <w:rFonts w:ascii="Calibri" w:eastAsia="Malgun Gothic" w:hAnsi="Calibri" w:cs="Times New Roman"/>
        </w:rPr>
      </w:pPr>
    </w:p>
    <w:p w:rsidR="00D91357" w:rsidRPr="00D91357" w:rsidRDefault="00D91357" w:rsidP="00D91357">
      <w:pPr>
        <w:rPr>
          <w:rFonts w:ascii="Calibri" w:eastAsia="Malgun Gothic" w:hAnsi="Calibri" w:cs="Times New Roman"/>
        </w:rPr>
      </w:pPr>
      <w:r w:rsidRPr="00D91357">
        <w:rPr>
          <w:rFonts w:ascii="Calibri" w:eastAsia="Malgun Gothic" w:hAnsi="Calibri" w:cs="Times New Roman"/>
        </w:rPr>
        <w:t xml:space="preserve">FCT youth were significantly less likely to receive services classified as preservation services (n=10,539 vs. 9,256) and care of wards in foster homes (n=1,556 vs. 1,139) than non-FCT youth. FCT youth were significantly more likely to receive miscellaneous costs for wards (n=973 vs. 324) and care of wards in institutions (n=1,522 vs. 762) than non-FCT youth </w:t>
      </w:r>
      <m:oMath>
        <m:r>
          <w:rPr>
            <w:rFonts w:ascii="Cambria Math" w:eastAsia="Malgun Gothic" w:hAnsi="Cambria Math" w:cs="Times New Roman"/>
          </w:rPr>
          <m:t>(</m:t>
        </m:r>
        <m:sSup>
          <m:sSupPr>
            <m:ctrlPr>
              <w:rPr>
                <w:rFonts w:ascii="Cambria Math" w:eastAsia="Malgun Gothic" w:hAnsi="Cambria Math" w:cs="Times New Roman"/>
                <w:i/>
              </w:rPr>
            </m:ctrlPr>
          </m:sSupPr>
          <m:e>
            <m:r>
              <w:rPr>
                <w:rFonts w:ascii="Cambria Math" w:eastAsia="Malgun Gothic" w:hAnsi="Cambria Math" w:cs="Times New Roman"/>
              </w:rPr>
              <m:t>χ</m:t>
            </m:r>
          </m:e>
          <m:sup>
            <m:r>
              <w:rPr>
                <w:rFonts w:ascii="Cambria Math" w:eastAsia="Malgun Gothic" w:hAnsi="Cambria Math" w:cs="Times New Roman"/>
              </w:rPr>
              <m:t>2</m:t>
            </m:r>
          </m:sup>
        </m:sSup>
        <m:d>
          <m:dPr>
            <m:begChr m:val="["/>
            <m:endChr m:val="]"/>
            <m:ctrlPr>
              <w:rPr>
                <w:rFonts w:ascii="Cambria Math" w:eastAsia="Malgun Gothic" w:hAnsi="Cambria Math" w:cs="Times New Roman"/>
                <w:i/>
              </w:rPr>
            </m:ctrlPr>
          </m:dPr>
          <m:e>
            <m:r>
              <w:rPr>
                <w:rFonts w:ascii="Cambria Math" w:eastAsia="Malgun Gothic" w:hAnsi="Cambria Math" w:cs="Times New Roman"/>
              </w:rPr>
              <m:t>df</m:t>
            </m:r>
          </m:e>
        </m:d>
        <m:r>
          <w:rPr>
            <w:rFonts w:ascii="Cambria Math" w:eastAsia="Malgun Gothic" w:hAnsi="Cambria Math" w:cs="Times New Roman"/>
          </w:rPr>
          <m:t xml:space="preserve">=738.76 </m:t>
        </m:r>
        <m:d>
          <m:dPr>
            <m:begChr m:val="["/>
            <m:endChr m:val="]"/>
            <m:ctrlPr>
              <w:rPr>
                <w:rFonts w:ascii="Cambria Math" w:eastAsia="Malgun Gothic" w:hAnsi="Cambria Math" w:cs="Times New Roman"/>
                <w:i/>
              </w:rPr>
            </m:ctrlPr>
          </m:dPr>
          <m:e>
            <m:r>
              <w:rPr>
                <w:rFonts w:ascii="Cambria Math" w:eastAsia="Malgun Gothic" w:hAnsi="Cambria Math" w:cs="Times New Roman"/>
              </w:rPr>
              <m:t>6</m:t>
            </m:r>
          </m:e>
        </m:d>
        <m:r>
          <w:rPr>
            <w:rFonts w:ascii="Cambria Math" w:eastAsia="Malgun Gothic" w:hAnsi="Cambria Math" w:cs="Times New Roman"/>
          </w:rPr>
          <m:t>, p&lt; .001)</m:t>
        </m:r>
      </m:oMath>
      <w:r w:rsidRPr="00D91357">
        <w:rPr>
          <w:rFonts w:ascii="Calibri" w:eastAsia="Malgun Gothic" w:hAnsi="Calibri" w:cs="Times New Roman"/>
        </w:rPr>
        <w:t xml:space="preserve">. FCT youth received approximately 70 instances of provided services and non-FCT youth received approximately 72 instances of provided services, on average. The number of services provided, by classification is provided in figure </w:t>
      </w:r>
      <w:r w:rsidR="00E97D26">
        <w:rPr>
          <w:rFonts w:ascii="Calibri" w:eastAsia="Malgun Gothic" w:hAnsi="Calibri" w:cs="Times New Roman"/>
        </w:rPr>
        <w:t>46</w:t>
      </w:r>
      <w:r w:rsidRPr="00D91357">
        <w:rPr>
          <w:rFonts w:ascii="Calibri" w:eastAsia="Malgun Gothic" w:hAnsi="Calibri" w:cs="Times New Roman"/>
        </w:rPr>
        <w:t xml:space="preserve"> and the number of services provided by the description of the service is provided in figures </w:t>
      </w:r>
      <w:r w:rsidR="00E97D26">
        <w:rPr>
          <w:rFonts w:ascii="Calibri" w:eastAsia="Malgun Gothic" w:hAnsi="Calibri" w:cs="Times New Roman"/>
        </w:rPr>
        <w:t>47</w:t>
      </w:r>
      <w:r w:rsidRPr="00D91357">
        <w:rPr>
          <w:rFonts w:ascii="Calibri" w:eastAsia="Malgun Gothic" w:hAnsi="Calibri" w:cs="Times New Roman"/>
        </w:rPr>
        <w:t xml:space="preserve"> and </w:t>
      </w:r>
      <w:r w:rsidR="00E97D26">
        <w:rPr>
          <w:rFonts w:ascii="Calibri" w:eastAsia="Malgun Gothic" w:hAnsi="Calibri" w:cs="Times New Roman"/>
        </w:rPr>
        <w:t>48</w:t>
      </w:r>
      <w:r w:rsidRPr="00D91357">
        <w:rPr>
          <w:rFonts w:ascii="Calibri" w:eastAsia="Malgun Gothic" w:hAnsi="Calibri" w:cs="Times New Roman"/>
        </w:rPr>
        <w:t>.</w:t>
      </w:r>
    </w:p>
    <w:p w:rsidR="00D91357" w:rsidRPr="00D91357" w:rsidRDefault="00D91357" w:rsidP="00D91357">
      <w:pPr>
        <w:keepNext/>
        <w:keepLines/>
        <w:spacing w:before="40"/>
        <w:outlineLvl w:val="3"/>
        <w:rPr>
          <w:rFonts w:ascii="Calibri" w:eastAsia="Malgun Gothic" w:hAnsi="Calibri" w:cs="Times New Roman"/>
          <w:i/>
          <w:iCs/>
          <w:color w:val="365F91"/>
        </w:rPr>
      </w:pPr>
      <w:r w:rsidRPr="00D91357">
        <w:rPr>
          <w:rFonts w:ascii="Calibri" w:eastAsia="Malgun Gothic" w:hAnsi="Calibri" w:cs="Times New Roman"/>
          <w:i/>
          <w:iCs/>
          <w:color w:val="365F91"/>
        </w:rPr>
        <w:t xml:space="preserve">Figure </w:t>
      </w:r>
      <w:r w:rsidR="00E97D26">
        <w:rPr>
          <w:rFonts w:ascii="Calibri" w:eastAsia="Malgun Gothic" w:hAnsi="Calibri" w:cs="Times New Roman"/>
          <w:i/>
          <w:iCs/>
          <w:color w:val="365F91"/>
        </w:rPr>
        <w:t>46</w:t>
      </w:r>
      <w:r w:rsidRPr="00D91357">
        <w:rPr>
          <w:rFonts w:ascii="Calibri" w:eastAsia="Malgun Gothic" w:hAnsi="Calibri" w:cs="Times New Roman"/>
          <w:i/>
          <w:iCs/>
          <w:color w:val="365F91"/>
        </w:rPr>
        <w:t>. Type of Service Provided to Youth</w:t>
      </w:r>
    </w:p>
    <w:p w:rsidR="00D91357" w:rsidRPr="00D91357" w:rsidRDefault="00D91357" w:rsidP="00D91357">
      <w:pPr>
        <w:rPr>
          <w:rFonts w:ascii="Calibri" w:eastAsia="Malgun Gothic" w:hAnsi="Calibri" w:cs="Times New Roman"/>
        </w:rPr>
      </w:pPr>
      <w:r w:rsidRPr="00D91357">
        <w:rPr>
          <w:rFonts w:ascii="Calibri" w:eastAsia="Malgun Gothic" w:hAnsi="Calibri" w:cs="Times New Roman"/>
          <w:noProof/>
        </w:rPr>
        <w:drawing>
          <wp:inline distT="0" distB="0" distL="0" distR="0" wp14:anchorId="65FDA2EA" wp14:editId="4E5FD33C">
            <wp:extent cx="5648325" cy="3352800"/>
            <wp:effectExtent l="0" t="0" r="9525" b="0"/>
            <wp:docPr id="14344" name="Chart 14344">
              <a:extLst xmlns:a="http://schemas.openxmlformats.org/drawingml/2006/main">
                <a:ext uri="{FF2B5EF4-FFF2-40B4-BE49-F238E27FC236}">
                  <a16:creationId xmlns:a16="http://schemas.microsoft.com/office/drawing/2014/main" id="{E97669B6-7ECC-4B0D-95E6-A4F3DB456A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D91357" w:rsidRPr="00D91357" w:rsidRDefault="00D91357" w:rsidP="00D91357">
      <w:pPr>
        <w:rPr>
          <w:rFonts w:ascii="Calibri" w:eastAsia="Malgun Gothic" w:hAnsi="Calibri" w:cs="Times New Roman"/>
        </w:rPr>
      </w:pPr>
    </w:p>
    <w:p w:rsidR="00D91357" w:rsidRPr="00D91357" w:rsidRDefault="00D91357" w:rsidP="00D91357">
      <w:pPr>
        <w:keepNext/>
        <w:keepLines/>
        <w:spacing w:before="40"/>
        <w:outlineLvl w:val="3"/>
        <w:rPr>
          <w:rFonts w:ascii="Calibri" w:eastAsia="Malgun Gothic" w:hAnsi="Calibri" w:cs="Times New Roman"/>
          <w:i/>
          <w:iCs/>
          <w:color w:val="365F91"/>
        </w:rPr>
      </w:pPr>
      <w:r w:rsidRPr="00D91357">
        <w:rPr>
          <w:rFonts w:ascii="Calibri" w:eastAsia="Malgun Gothic" w:hAnsi="Calibri" w:cs="Times New Roman"/>
          <w:i/>
          <w:iCs/>
          <w:color w:val="365F91"/>
        </w:rPr>
        <w:t xml:space="preserve">Figure </w:t>
      </w:r>
      <w:r w:rsidR="00E97D26">
        <w:rPr>
          <w:rFonts w:ascii="Calibri" w:eastAsia="Malgun Gothic" w:hAnsi="Calibri" w:cs="Times New Roman"/>
          <w:i/>
          <w:iCs/>
          <w:color w:val="365F91"/>
        </w:rPr>
        <w:t>47</w:t>
      </w:r>
      <w:r w:rsidRPr="00D91357">
        <w:rPr>
          <w:rFonts w:ascii="Calibri" w:eastAsia="Malgun Gothic" w:hAnsi="Calibri" w:cs="Times New Roman"/>
          <w:i/>
          <w:iCs/>
          <w:color w:val="365F91"/>
        </w:rPr>
        <w:t>. Description of the Service Provided to Youth (1)</w:t>
      </w:r>
    </w:p>
    <w:p w:rsidR="00D91357" w:rsidRPr="00D91357" w:rsidRDefault="00D91357" w:rsidP="00D91357">
      <w:pPr>
        <w:spacing w:after="200" w:line="276" w:lineRule="auto"/>
        <w:rPr>
          <w:rFonts w:ascii="Calibri" w:eastAsia="Malgun Gothic" w:hAnsi="Calibri" w:cs="Times New Roman"/>
        </w:rPr>
      </w:pPr>
      <w:r w:rsidRPr="00D91357">
        <w:rPr>
          <w:rFonts w:ascii="Calibri" w:eastAsia="Malgun Gothic" w:hAnsi="Calibri" w:cs="Times New Roman"/>
          <w:noProof/>
        </w:rPr>
        <w:drawing>
          <wp:inline distT="0" distB="0" distL="0" distR="0" wp14:anchorId="4D3771AC" wp14:editId="6310BB42">
            <wp:extent cx="6457950" cy="3724275"/>
            <wp:effectExtent l="0" t="0" r="0" b="9525"/>
            <wp:docPr id="14345" name="Chart 14345">
              <a:extLst xmlns:a="http://schemas.openxmlformats.org/drawingml/2006/main">
                <a:ext uri="{FF2B5EF4-FFF2-40B4-BE49-F238E27FC236}">
                  <a16:creationId xmlns:a16="http://schemas.microsoft.com/office/drawing/2014/main" id="{DF452D4B-50BB-4E39-BA18-275CC057DE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D91357" w:rsidRPr="00D91357" w:rsidRDefault="00D91357" w:rsidP="00D91357">
      <w:pPr>
        <w:keepNext/>
        <w:keepLines/>
        <w:spacing w:before="40"/>
        <w:outlineLvl w:val="3"/>
        <w:rPr>
          <w:rFonts w:ascii="Calibri" w:eastAsia="Malgun Gothic" w:hAnsi="Calibri" w:cs="Times New Roman"/>
          <w:i/>
          <w:iCs/>
          <w:color w:val="365F91"/>
        </w:rPr>
      </w:pPr>
      <w:r w:rsidRPr="00D91357">
        <w:rPr>
          <w:rFonts w:ascii="Calibri" w:eastAsia="Malgun Gothic" w:hAnsi="Calibri" w:cs="Times New Roman"/>
          <w:i/>
          <w:iCs/>
          <w:color w:val="365F91"/>
        </w:rPr>
        <w:t xml:space="preserve">Figure </w:t>
      </w:r>
      <w:r w:rsidR="00E97D26">
        <w:rPr>
          <w:rFonts w:ascii="Calibri" w:eastAsia="Malgun Gothic" w:hAnsi="Calibri" w:cs="Times New Roman"/>
          <w:i/>
          <w:iCs/>
          <w:color w:val="365F91"/>
        </w:rPr>
        <w:t>48</w:t>
      </w:r>
      <w:r w:rsidRPr="00D91357">
        <w:rPr>
          <w:rFonts w:ascii="Calibri" w:eastAsia="Malgun Gothic" w:hAnsi="Calibri" w:cs="Times New Roman"/>
          <w:i/>
          <w:iCs/>
          <w:color w:val="365F91"/>
        </w:rPr>
        <w:t>. Description of the Service Provided to Youth (2)</w:t>
      </w:r>
    </w:p>
    <w:p w:rsidR="00D91357" w:rsidRPr="00D91357" w:rsidRDefault="00D91357" w:rsidP="00D91357">
      <w:pPr>
        <w:rPr>
          <w:rFonts w:ascii="Calibri" w:eastAsia="Malgun Gothic" w:hAnsi="Calibri" w:cs="Times New Roman"/>
        </w:rPr>
      </w:pPr>
      <w:r w:rsidRPr="00D91357">
        <w:rPr>
          <w:rFonts w:ascii="Calibri" w:eastAsia="Malgun Gothic" w:hAnsi="Calibri" w:cs="Times New Roman"/>
          <w:noProof/>
        </w:rPr>
        <w:drawing>
          <wp:inline distT="0" distB="0" distL="0" distR="0" wp14:anchorId="13ECC2C6" wp14:editId="7CF8D9B4">
            <wp:extent cx="6638925" cy="4000500"/>
            <wp:effectExtent l="0" t="0" r="9525" b="0"/>
            <wp:docPr id="14346" name="Chart 14346">
              <a:extLst xmlns:a="http://schemas.openxmlformats.org/drawingml/2006/main">
                <a:ext uri="{FF2B5EF4-FFF2-40B4-BE49-F238E27FC236}">
                  <a16:creationId xmlns:a16="http://schemas.microsoft.com/office/drawing/2014/main" id="{AA2A1C8A-8ACF-4D4C-9413-1CEB71677E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D91357" w:rsidRPr="00D91357" w:rsidRDefault="00D91357" w:rsidP="00D91357">
      <w:pPr>
        <w:rPr>
          <w:rFonts w:ascii="Calibri" w:eastAsia="Malgun Gothic" w:hAnsi="Calibri" w:cs="Times New Roman"/>
        </w:rPr>
      </w:pPr>
    </w:p>
    <w:p w:rsidR="00D91357" w:rsidRDefault="00D91357" w:rsidP="00D06E11">
      <w:pPr>
        <w:rPr>
          <w:sz w:val="20"/>
        </w:rPr>
      </w:pPr>
    </w:p>
    <w:p w:rsidR="00D91357" w:rsidRDefault="00D91357" w:rsidP="00D91357">
      <w:pPr>
        <w:pStyle w:val="Heading3"/>
      </w:pPr>
      <w:r>
        <w:t>Safety</w:t>
      </w:r>
      <w:r w:rsidR="00611630">
        <w:t xml:space="preserve"> and Risk</w:t>
      </w:r>
    </w:p>
    <w:p w:rsidR="00D91357" w:rsidRPr="0061167F" w:rsidRDefault="00D91357" w:rsidP="00D91357">
      <w:pPr>
        <w:rPr>
          <w:b/>
        </w:rPr>
      </w:pPr>
      <w:r w:rsidRPr="0061167F">
        <w:rPr>
          <w:b/>
        </w:rPr>
        <w:t>Risk assessment:</w:t>
      </w:r>
    </w:p>
    <w:p w:rsidR="00D91357" w:rsidRDefault="00D91357" w:rsidP="00D91357">
      <w:r>
        <w:t xml:space="preserve">FCT youth were significantly more likely to have high risk assessment at first visit </w:t>
      </w:r>
      <m:oMath>
        <m:r>
          <w:rPr>
            <w:rFonts w:ascii="Cambria Math" w:hAnsi="Cambria Math"/>
          </w:rPr>
          <m:t>(</m:t>
        </m:r>
        <m:sSup>
          <m:sSupPr>
            <m:ctrlPr>
              <w:rPr>
                <w:rFonts w:ascii="Cambria Math" w:hAnsi="Cambria Math"/>
                <w:i/>
              </w:rPr>
            </m:ctrlPr>
          </m:sSupPr>
          <m:e>
            <m:r>
              <w:rPr>
                <w:rFonts w:ascii="Cambria Math" w:hAnsi="Cambria Math"/>
              </w:rPr>
              <m:t>χ</m:t>
            </m:r>
          </m:e>
          <m:sup>
            <m:r>
              <w:rPr>
                <w:rFonts w:ascii="Cambria Math" w:hAnsi="Cambria Math"/>
              </w:rPr>
              <m:t>2</m:t>
            </m:r>
          </m:sup>
        </m:sSup>
        <m:d>
          <m:dPr>
            <m:begChr m:val="["/>
            <m:endChr m:val="]"/>
            <m:ctrlPr>
              <w:rPr>
                <w:rFonts w:ascii="Cambria Math" w:hAnsi="Cambria Math"/>
                <w:i/>
              </w:rPr>
            </m:ctrlPr>
          </m:dPr>
          <m:e>
            <m:r>
              <w:rPr>
                <w:rFonts w:ascii="Cambria Math" w:hAnsi="Cambria Math"/>
              </w:rPr>
              <m:t>df</m:t>
            </m:r>
          </m:e>
        </m:d>
        <m:r>
          <w:rPr>
            <w:rFonts w:ascii="Cambria Math" w:hAnsi="Cambria Math"/>
          </w:rPr>
          <m:t xml:space="preserve">=80.83 </m:t>
        </m:r>
        <m:d>
          <m:dPr>
            <m:begChr m:val="["/>
            <m:endChr m:val="]"/>
            <m:ctrlPr>
              <w:rPr>
                <w:rFonts w:ascii="Cambria Math" w:hAnsi="Cambria Math"/>
                <w:i/>
              </w:rPr>
            </m:ctrlPr>
          </m:dPr>
          <m:e>
            <m:r>
              <w:rPr>
                <w:rFonts w:ascii="Cambria Math" w:hAnsi="Cambria Math"/>
              </w:rPr>
              <m:t>3</m:t>
            </m:r>
          </m:e>
        </m:d>
        <m:r>
          <w:rPr>
            <w:rFonts w:ascii="Cambria Math" w:hAnsi="Cambria Math"/>
          </w:rPr>
          <m:t>, p&lt; .001)</m:t>
        </m:r>
      </m:oMath>
      <w:r>
        <w:t xml:space="preserve"> and at last visit </w:t>
      </w:r>
      <m:oMath>
        <m:r>
          <w:rPr>
            <w:rFonts w:ascii="Cambria Math" w:hAnsi="Cambria Math"/>
          </w:rPr>
          <m:t>(</m:t>
        </m:r>
        <m:sSup>
          <m:sSupPr>
            <m:ctrlPr>
              <w:rPr>
                <w:rFonts w:ascii="Cambria Math" w:hAnsi="Cambria Math"/>
                <w:i/>
              </w:rPr>
            </m:ctrlPr>
          </m:sSupPr>
          <m:e>
            <m:r>
              <w:rPr>
                <w:rFonts w:ascii="Cambria Math" w:hAnsi="Cambria Math"/>
              </w:rPr>
              <m:t>χ</m:t>
            </m:r>
          </m:e>
          <m:sup>
            <m:r>
              <w:rPr>
                <w:rFonts w:ascii="Cambria Math" w:hAnsi="Cambria Math"/>
              </w:rPr>
              <m:t>2</m:t>
            </m:r>
          </m:sup>
        </m:sSup>
        <m:d>
          <m:dPr>
            <m:begChr m:val="["/>
            <m:endChr m:val="]"/>
            <m:ctrlPr>
              <w:rPr>
                <w:rFonts w:ascii="Cambria Math" w:hAnsi="Cambria Math"/>
                <w:i/>
              </w:rPr>
            </m:ctrlPr>
          </m:dPr>
          <m:e>
            <m:r>
              <w:rPr>
                <w:rFonts w:ascii="Cambria Math" w:hAnsi="Cambria Math"/>
              </w:rPr>
              <m:t>df</m:t>
            </m:r>
          </m:e>
        </m:d>
        <m:r>
          <w:rPr>
            <w:rFonts w:ascii="Cambria Math" w:hAnsi="Cambria Math"/>
          </w:rPr>
          <m:t xml:space="preserve">=70.74 </m:t>
        </m:r>
        <m:d>
          <m:dPr>
            <m:begChr m:val="["/>
            <m:endChr m:val="]"/>
            <m:ctrlPr>
              <w:rPr>
                <w:rFonts w:ascii="Cambria Math" w:hAnsi="Cambria Math"/>
                <w:i/>
              </w:rPr>
            </m:ctrlPr>
          </m:dPr>
          <m:e>
            <m:r>
              <w:rPr>
                <w:rFonts w:ascii="Cambria Math" w:hAnsi="Cambria Math"/>
              </w:rPr>
              <m:t>3</m:t>
            </m:r>
          </m:e>
        </m:d>
        <m:r>
          <w:rPr>
            <w:rFonts w:ascii="Cambria Math" w:hAnsi="Cambria Math"/>
          </w:rPr>
          <m:t>, p&lt; .001)</m:t>
        </m:r>
      </m:oMath>
      <w:r>
        <w:t xml:space="preserve"> than non-FCT youth. FCT youth had a median score of “high risk” while non-FCT youth had a median score of “moderate risk” at first visit. FCT youth had a median score of “moderate risk” at the last visit and non-FCT youth also had a median score of “moderate risk” at the last visit. FCT youth had 4.61 higher odds of having a higher risk level a</w:t>
      </w:r>
      <w:r w:rsidR="00E97D26">
        <w:t>t last visit than non-FCT youth (Table 3</w:t>
      </w:r>
      <w:r w:rsidR="007D3CB0">
        <w:t>8</w:t>
      </w:r>
      <w:r w:rsidR="00E97D26">
        <w:t>).</w:t>
      </w:r>
    </w:p>
    <w:p w:rsidR="00D91357" w:rsidRDefault="00D91357" w:rsidP="00D91357"/>
    <w:p w:rsidR="00D91357" w:rsidRDefault="00D91357" w:rsidP="00D91357">
      <w:pPr>
        <w:pStyle w:val="Heading4"/>
        <w:rPr>
          <w:rFonts w:eastAsiaTheme="minorEastAsia"/>
        </w:rPr>
      </w:pPr>
      <w:r>
        <w:t xml:space="preserve">Table </w:t>
      </w:r>
      <w:r w:rsidR="00E97D26">
        <w:t>3</w:t>
      </w:r>
      <w:r w:rsidR="007D3CB0">
        <w:t>8</w:t>
      </w:r>
      <w:r>
        <w:t>. Difference in risk assessment score from first visit to last visit</w:t>
      </w:r>
    </w:p>
    <w:tbl>
      <w:tblPr>
        <w:tblStyle w:val="GridTable4-Accent1"/>
        <w:tblW w:w="5000" w:type="pct"/>
        <w:tblLook w:val="04A0" w:firstRow="1" w:lastRow="0" w:firstColumn="1" w:lastColumn="0" w:noHBand="0" w:noVBand="1"/>
      </w:tblPr>
      <w:tblGrid>
        <w:gridCol w:w="1870"/>
        <w:gridCol w:w="1870"/>
        <w:gridCol w:w="1870"/>
        <w:gridCol w:w="1870"/>
        <w:gridCol w:w="1870"/>
      </w:tblGrid>
      <w:tr w:rsidR="00D91357" w:rsidTr="00CB7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vMerge w:val="restart"/>
            <w:shd w:val="clear" w:color="auto" w:fill="auto"/>
          </w:tcPr>
          <w:p w:rsidR="00D91357" w:rsidRDefault="00D91357" w:rsidP="00CB7B3D"/>
        </w:tc>
        <w:tc>
          <w:tcPr>
            <w:tcW w:w="2000" w:type="pct"/>
            <w:gridSpan w:val="2"/>
          </w:tcPr>
          <w:p w:rsidR="00D91357" w:rsidRDefault="00D91357" w:rsidP="00CB7B3D">
            <w:pPr>
              <w:jc w:val="center"/>
              <w:cnfStyle w:val="100000000000" w:firstRow="1" w:lastRow="0" w:firstColumn="0" w:lastColumn="0" w:oddVBand="0" w:evenVBand="0" w:oddHBand="0" w:evenHBand="0" w:firstRowFirstColumn="0" w:firstRowLastColumn="0" w:lastRowFirstColumn="0" w:lastRowLastColumn="0"/>
            </w:pPr>
            <w:r>
              <w:t>First Visit</w:t>
            </w:r>
          </w:p>
        </w:tc>
        <w:tc>
          <w:tcPr>
            <w:tcW w:w="2001" w:type="pct"/>
            <w:gridSpan w:val="2"/>
          </w:tcPr>
          <w:p w:rsidR="00D91357" w:rsidRDefault="00D91357" w:rsidP="00CB7B3D">
            <w:pPr>
              <w:jc w:val="center"/>
              <w:cnfStyle w:val="100000000000" w:firstRow="1" w:lastRow="0" w:firstColumn="0" w:lastColumn="0" w:oddVBand="0" w:evenVBand="0" w:oddHBand="0" w:evenHBand="0" w:firstRowFirstColumn="0" w:firstRowLastColumn="0" w:lastRowFirstColumn="0" w:lastRowLastColumn="0"/>
            </w:pPr>
            <w:r>
              <w:t>Last Visit</w:t>
            </w:r>
          </w:p>
        </w:tc>
      </w:tr>
      <w:tr w:rsidR="00D91357" w:rsidTr="00CB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vMerge/>
            <w:shd w:val="clear" w:color="auto" w:fill="auto"/>
          </w:tcPr>
          <w:p w:rsidR="00D91357" w:rsidRDefault="00D91357" w:rsidP="00CB7B3D"/>
        </w:tc>
        <w:tc>
          <w:tcPr>
            <w:tcW w:w="1000" w:type="pct"/>
            <w:shd w:val="clear" w:color="auto" w:fill="5B9BD5" w:themeFill="accent1"/>
          </w:tcPr>
          <w:p w:rsidR="00D91357" w:rsidRPr="0061167F" w:rsidRDefault="00D91357" w:rsidP="00CB7B3D">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61167F">
              <w:rPr>
                <w:b/>
                <w:color w:val="FFFFFF" w:themeColor="background1"/>
              </w:rPr>
              <w:t>FCT</w:t>
            </w:r>
          </w:p>
        </w:tc>
        <w:tc>
          <w:tcPr>
            <w:tcW w:w="1000" w:type="pct"/>
            <w:shd w:val="clear" w:color="auto" w:fill="5B9BD5" w:themeFill="accent1"/>
          </w:tcPr>
          <w:p w:rsidR="00D91357" w:rsidRPr="0061167F" w:rsidRDefault="00D91357" w:rsidP="00CB7B3D">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61167F">
              <w:rPr>
                <w:b/>
                <w:color w:val="FFFFFF" w:themeColor="background1"/>
              </w:rPr>
              <w:t>Non-FCT</w:t>
            </w:r>
          </w:p>
        </w:tc>
        <w:tc>
          <w:tcPr>
            <w:tcW w:w="1000" w:type="pct"/>
            <w:shd w:val="clear" w:color="auto" w:fill="5B9BD5" w:themeFill="accent1"/>
          </w:tcPr>
          <w:p w:rsidR="00D91357" w:rsidRPr="0061167F" w:rsidRDefault="00D91357" w:rsidP="00CB7B3D">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61167F">
              <w:rPr>
                <w:b/>
                <w:color w:val="FFFFFF" w:themeColor="background1"/>
              </w:rPr>
              <w:t>FCT</w:t>
            </w:r>
          </w:p>
        </w:tc>
        <w:tc>
          <w:tcPr>
            <w:tcW w:w="1000" w:type="pct"/>
            <w:shd w:val="clear" w:color="auto" w:fill="5B9BD5" w:themeFill="accent1"/>
          </w:tcPr>
          <w:p w:rsidR="00D91357" w:rsidRPr="0061167F" w:rsidRDefault="00D91357" w:rsidP="00CB7B3D">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61167F">
              <w:rPr>
                <w:b/>
                <w:color w:val="FFFFFF" w:themeColor="background1"/>
              </w:rPr>
              <w:t>Non-FCT</w:t>
            </w:r>
          </w:p>
        </w:tc>
      </w:tr>
      <w:tr w:rsidR="00D91357" w:rsidTr="00CB7B3D">
        <w:tc>
          <w:tcPr>
            <w:cnfStyle w:val="001000000000" w:firstRow="0" w:lastRow="0" w:firstColumn="1" w:lastColumn="0" w:oddVBand="0" w:evenVBand="0" w:oddHBand="0" w:evenHBand="0" w:firstRowFirstColumn="0" w:firstRowLastColumn="0" w:lastRowFirstColumn="0" w:lastRowLastColumn="0"/>
            <w:tcW w:w="1000" w:type="pct"/>
          </w:tcPr>
          <w:p w:rsidR="00D91357" w:rsidRDefault="00D91357" w:rsidP="00CB7B3D">
            <w:r>
              <w:t>Low</w:t>
            </w:r>
          </w:p>
        </w:tc>
        <w:tc>
          <w:tcPr>
            <w:tcW w:w="1000"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0 [0.00]</w:t>
            </w:r>
          </w:p>
        </w:tc>
        <w:tc>
          <w:tcPr>
            <w:tcW w:w="1000"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16 [12.03]</w:t>
            </w:r>
          </w:p>
        </w:tc>
        <w:tc>
          <w:tcPr>
            <w:tcW w:w="1000"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0 [0.00]</w:t>
            </w:r>
          </w:p>
        </w:tc>
        <w:tc>
          <w:tcPr>
            <w:tcW w:w="1000"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51 [38.35]</w:t>
            </w:r>
          </w:p>
        </w:tc>
      </w:tr>
      <w:tr w:rsidR="00D91357" w:rsidTr="00CB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D91357" w:rsidRDefault="00D91357" w:rsidP="00CB7B3D">
            <w:r>
              <w:t>Moderate</w:t>
            </w:r>
          </w:p>
        </w:tc>
        <w:tc>
          <w:tcPr>
            <w:tcW w:w="1000" w:type="pct"/>
          </w:tcPr>
          <w:p w:rsidR="00D91357" w:rsidRDefault="00D91357" w:rsidP="00CB7B3D">
            <w:pPr>
              <w:jc w:val="right"/>
              <w:cnfStyle w:val="000000100000" w:firstRow="0" w:lastRow="0" w:firstColumn="0" w:lastColumn="0" w:oddVBand="0" w:evenVBand="0" w:oddHBand="1" w:evenHBand="0" w:firstRowFirstColumn="0" w:firstRowLastColumn="0" w:lastRowFirstColumn="0" w:lastRowLastColumn="0"/>
            </w:pPr>
            <w:r>
              <w:t>32 [26.23]</w:t>
            </w:r>
          </w:p>
        </w:tc>
        <w:tc>
          <w:tcPr>
            <w:tcW w:w="1000" w:type="pct"/>
          </w:tcPr>
          <w:p w:rsidR="00D91357" w:rsidRDefault="00D91357" w:rsidP="00CB7B3D">
            <w:pPr>
              <w:jc w:val="right"/>
              <w:cnfStyle w:val="000000100000" w:firstRow="0" w:lastRow="0" w:firstColumn="0" w:lastColumn="0" w:oddVBand="0" w:evenVBand="0" w:oddHBand="1" w:evenHBand="0" w:firstRowFirstColumn="0" w:firstRowLastColumn="0" w:lastRowFirstColumn="0" w:lastRowLastColumn="0"/>
            </w:pPr>
            <w:r>
              <w:t>90 [67.67]</w:t>
            </w:r>
          </w:p>
        </w:tc>
        <w:tc>
          <w:tcPr>
            <w:tcW w:w="1000" w:type="pct"/>
          </w:tcPr>
          <w:p w:rsidR="00D91357" w:rsidRDefault="00D91357" w:rsidP="00CB7B3D">
            <w:pPr>
              <w:jc w:val="right"/>
              <w:cnfStyle w:val="000000100000" w:firstRow="0" w:lastRow="0" w:firstColumn="0" w:lastColumn="0" w:oddVBand="0" w:evenVBand="0" w:oddHBand="1" w:evenHBand="0" w:firstRowFirstColumn="0" w:firstRowLastColumn="0" w:lastRowFirstColumn="0" w:lastRowLastColumn="0"/>
            </w:pPr>
            <w:r>
              <w:t>96 [78.69]</w:t>
            </w:r>
          </w:p>
        </w:tc>
        <w:tc>
          <w:tcPr>
            <w:tcW w:w="1000" w:type="pct"/>
          </w:tcPr>
          <w:p w:rsidR="00D91357" w:rsidRDefault="00D91357" w:rsidP="00CB7B3D">
            <w:pPr>
              <w:jc w:val="right"/>
              <w:cnfStyle w:val="000000100000" w:firstRow="0" w:lastRow="0" w:firstColumn="0" w:lastColumn="0" w:oddVBand="0" w:evenVBand="0" w:oddHBand="1" w:evenHBand="0" w:firstRowFirstColumn="0" w:firstRowLastColumn="0" w:lastRowFirstColumn="0" w:lastRowLastColumn="0"/>
            </w:pPr>
            <w:r>
              <w:t>59 [44.36]</w:t>
            </w:r>
          </w:p>
        </w:tc>
      </w:tr>
      <w:tr w:rsidR="00D91357" w:rsidTr="00CB7B3D">
        <w:tc>
          <w:tcPr>
            <w:cnfStyle w:val="001000000000" w:firstRow="0" w:lastRow="0" w:firstColumn="1" w:lastColumn="0" w:oddVBand="0" w:evenVBand="0" w:oddHBand="0" w:evenHBand="0" w:firstRowFirstColumn="0" w:firstRowLastColumn="0" w:lastRowFirstColumn="0" w:lastRowLastColumn="0"/>
            <w:tcW w:w="1000" w:type="pct"/>
          </w:tcPr>
          <w:p w:rsidR="00D91357" w:rsidRDefault="00D91357" w:rsidP="00CB7B3D">
            <w:r>
              <w:t xml:space="preserve">High </w:t>
            </w:r>
          </w:p>
        </w:tc>
        <w:tc>
          <w:tcPr>
            <w:tcW w:w="1000"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75 [61.48]</w:t>
            </w:r>
          </w:p>
        </w:tc>
        <w:tc>
          <w:tcPr>
            <w:tcW w:w="1000"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27 [20.30]</w:t>
            </w:r>
          </w:p>
        </w:tc>
        <w:tc>
          <w:tcPr>
            <w:tcW w:w="1000"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16 [13.11]</w:t>
            </w:r>
          </w:p>
        </w:tc>
        <w:tc>
          <w:tcPr>
            <w:tcW w:w="1000"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23 [17.29]</w:t>
            </w:r>
          </w:p>
        </w:tc>
      </w:tr>
      <w:tr w:rsidR="00D91357" w:rsidTr="00CB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D91357" w:rsidRDefault="00D91357" w:rsidP="00CB7B3D">
            <w:r>
              <w:t>Very High</w:t>
            </w:r>
          </w:p>
        </w:tc>
        <w:tc>
          <w:tcPr>
            <w:tcW w:w="1000" w:type="pct"/>
          </w:tcPr>
          <w:p w:rsidR="00D91357" w:rsidRDefault="00D91357" w:rsidP="00CB7B3D">
            <w:pPr>
              <w:jc w:val="right"/>
              <w:cnfStyle w:val="000000100000" w:firstRow="0" w:lastRow="0" w:firstColumn="0" w:lastColumn="0" w:oddVBand="0" w:evenVBand="0" w:oddHBand="1" w:evenHBand="0" w:firstRowFirstColumn="0" w:firstRowLastColumn="0" w:lastRowFirstColumn="0" w:lastRowLastColumn="0"/>
            </w:pPr>
            <w:r>
              <w:t>15 [12.30]</w:t>
            </w:r>
          </w:p>
        </w:tc>
        <w:tc>
          <w:tcPr>
            <w:tcW w:w="1000" w:type="pct"/>
          </w:tcPr>
          <w:p w:rsidR="00D91357" w:rsidRDefault="00D91357" w:rsidP="00CB7B3D">
            <w:pPr>
              <w:jc w:val="right"/>
              <w:cnfStyle w:val="000000100000" w:firstRow="0" w:lastRow="0" w:firstColumn="0" w:lastColumn="0" w:oddVBand="0" w:evenVBand="0" w:oddHBand="1" w:evenHBand="0" w:firstRowFirstColumn="0" w:firstRowLastColumn="0" w:lastRowFirstColumn="0" w:lastRowLastColumn="0"/>
            </w:pPr>
            <w:r>
              <w:t>0 [0.00]</w:t>
            </w:r>
          </w:p>
        </w:tc>
        <w:tc>
          <w:tcPr>
            <w:tcW w:w="1000" w:type="pct"/>
          </w:tcPr>
          <w:p w:rsidR="00D91357" w:rsidRDefault="00D91357" w:rsidP="00CB7B3D">
            <w:pPr>
              <w:jc w:val="right"/>
              <w:cnfStyle w:val="000000100000" w:firstRow="0" w:lastRow="0" w:firstColumn="0" w:lastColumn="0" w:oddVBand="0" w:evenVBand="0" w:oddHBand="1" w:evenHBand="0" w:firstRowFirstColumn="0" w:firstRowLastColumn="0" w:lastRowFirstColumn="0" w:lastRowLastColumn="0"/>
            </w:pPr>
            <w:r>
              <w:t>10 [8.20]</w:t>
            </w:r>
          </w:p>
        </w:tc>
        <w:tc>
          <w:tcPr>
            <w:tcW w:w="1000" w:type="pct"/>
          </w:tcPr>
          <w:p w:rsidR="00D91357" w:rsidRDefault="00D91357" w:rsidP="00CB7B3D">
            <w:pPr>
              <w:jc w:val="right"/>
              <w:cnfStyle w:val="000000100000" w:firstRow="0" w:lastRow="0" w:firstColumn="0" w:lastColumn="0" w:oddVBand="0" w:evenVBand="0" w:oddHBand="1" w:evenHBand="0" w:firstRowFirstColumn="0" w:firstRowLastColumn="0" w:lastRowFirstColumn="0" w:lastRowLastColumn="0"/>
            </w:pPr>
            <w:r>
              <w:t>0 [0.00]</w:t>
            </w:r>
          </w:p>
        </w:tc>
      </w:tr>
    </w:tbl>
    <w:p w:rsidR="00D91357" w:rsidRDefault="00D91357" w:rsidP="00D91357"/>
    <w:p w:rsidR="002A6825" w:rsidRDefault="002A6825" w:rsidP="00D91357"/>
    <w:p w:rsidR="00D91357" w:rsidRPr="00614647" w:rsidRDefault="00D91357" w:rsidP="00D91357">
      <w:pPr>
        <w:rPr>
          <w:b/>
        </w:rPr>
      </w:pPr>
      <w:r w:rsidRPr="00614647">
        <w:rPr>
          <w:b/>
        </w:rPr>
        <w:t>Safety assessment:</w:t>
      </w:r>
    </w:p>
    <w:p w:rsidR="00D91357" w:rsidRDefault="002A6825" w:rsidP="00D91357">
      <w:r>
        <w:t xml:space="preserve">As seen in Table </w:t>
      </w:r>
      <w:r w:rsidR="007D3CB0">
        <w:t>39</w:t>
      </w:r>
      <w:r>
        <w:t xml:space="preserve">, </w:t>
      </w:r>
      <w:r w:rsidR="00D91357">
        <w:t xml:space="preserve">FCT youth were significantly more likely to have an unsafe assessment at first visit </w:t>
      </w:r>
      <m:oMath>
        <m:r>
          <w:rPr>
            <w:rFonts w:ascii="Cambria Math" w:hAnsi="Cambria Math"/>
          </w:rPr>
          <m:t>(</m:t>
        </m:r>
        <m:sSup>
          <m:sSupPr>
            <m:ctrlPr>
              <w:rPr>
                <w:rFonts w:ascii="Cambria Math" w:hAnsi="Cambria Math"/>
                <w:i/>
              </w:rPr>
            </m:ctrlPr>
          </m:sSupPr>
          <m:e>
            <m:r>
              <w:rPr>
                <w:rFonts w:ascii="Cambria Math" w:hAnsi="Cambria Math"/>
              </w:rPr>
              <m:t>χ</m:t>
            </m:r>
          </m:e>
          <m:sup>
            <m:r>
              <w:rPr>
                <w:rFonts w:ascii="Cambria Math" w:hAnsi="Cambria Math"/>
              </w:rPr>
              <m:t>2</m:t>
            </m:r>
          </m:sup>
        </m:sSup>
        <m:d>
          <m:dPr>
            <m:begChr m:val="["/>
            <m:endChr m:val="]"/>
            <m:ctrlPr>
              <w:rPr>
                <w:rFonts w:ascii="Cambria Math" w:hAnsi="Cambria Math"/>
                <w:i/>
              </w:rPr>
            </m:ctrlPr>
          </m:dPr>
          <m:e>
            <m:r>
              <w:rPr>
                <w:rFonts w:ascii="Cambria Math" w:hAnsi="Cambria Math"/>
              </w:rPr>
              <m:t>df</m:t>
            </m:r>
          </m:e>
        </m:d>
        <m:r>
          <w:rPr>
            <w:rFonts w:ascii="Cambria Math" w:hAnsi="Cambria Math"/>
          </w:rPr>
          <m:t xml:space="preserve">=29.66 </m:t>
        </m:r>
        <m:d>
          <m:dPr>
            <m:begChr m:val="["/>
            <m:endChr m:val="]"/>
            <m:ctrlPr>
              <w:rPr>
                <w:rFonts w:ascii="Cambria Math" w:hAnsi="Cambria Math"/>
                <w:i/>
              </w:rPr>
            </m:ctrlPr>
          </m:dPr>
          <m:e>
            <m:r>
              <w:rPr>
                <w:rFonts w:ascii="Cambria Math" w:hAnsi="Cambria Math"/>
              </w:rPr>
              <m:t>2</m:t>
            </m:r>
          </m:e>
        </m:d>
        <m:r>
          <w:rPr>
            <w:rFonts w:ascii="Cambria Math" w:hAnsi="Cambria Math"/>
          </w:rPr>
          <m:t>, p&lt; .001)</m:t>
        </m:r>
      </m:oMath>
      <w:r w:rsidR="00D91357">
        <w:t xml:space="preserve"> </w:t>
      </w:r>
      <w:r w:rsidR="008F3629">
        <w:t>than non-FCT youth. FCT youth were less likely to have an unsafe assessment at their</w:t>
      </w:r>
      <w:r w:rsidR="00D91357">
        <w:t xml:space="preserve"> last visit </w:t>
      </w:r>
      <m:oMath>
        <m:r>
          <w:rPr>
            <w:rFonts w:ascii="Cambria Math" w:hAnsi="Cambria Math"/>
          </w:rPr>
          <m:t>(</m:t>
        </m:r>
        <m:sSup>
          <m:sSupPr>
            <m:ctrlPr>
              <w:rPr>
                <w:rFonts w:ascii="Cambria Math" w:hAnsi="Cambria Math"/>
                <w:i/>
              </w:rPr>
            </m:ctrlPr>
          </m:sSupPr>
          <m:e>
            <m:r>
              <w:rPr>
                <w:rFonts w:ascii="Cambria Math" w:hAnsi="Cambria Math"/>
              </w:rPr>
              <m:t>χ</m:t>
            </m:r>
          </m:e>
          <m:sup>
            <m:r>
              <w:rPr>
                <w:rFonts w:ascii="Cambria Math" w:hAnsi="Cambria Math"/>
              </w:rPr>
              <m:t>2</m:t>
            </m:r>
          </m:sup>
        </m:sSup>
        <m:d>
          <m:dPr>
            <m:begChr m:val="["/>
            <m:endChr m:val="]"/>
            <m:ctrlPr>
              <w:rPr>
                <w:rFonts w:ascii="Cambria Math" w:hAnsi="Cambria Math"/>
                <w:i/>
              </w:rPr>
            </m:ctrlPr>
          </m:dPr>
          <m:e>
            <m:r>
              <w:rPr>
                <w:rFonts w:ascii="Cambria Math" w:hAnsi="Cambria Math"/>
              </w:rPr>
              <m:t>df</m:t>
            </m:r>
          </m:e>
        </m:d>
        <m:r>
          <w:rPr>
            <w:rFonts w:ascii="Cambria Math" w:hAnsi="Cambria Math"/>
          </w:rPr>
          <m:t xml:space="preserve">=92.41 </m:t>
        </m:r>
        <m:d>
          <m:dPr>
            <m:begChr m:val="["/>
            <m:endChr m:val="]"/>
            <m:ctrlPr>
              <w:rPr>
                <w:rFonts w:ascii="Cambria Math" w:hAnsi="Cambria Math"/>
                <w:i/>
              </w:rPr>
            </m:ctrlPr>
          </m:dPr>
          <m:e>
            <m:r>
              <w:rPr>
                <w:rFonts w:ascii="Cambria Math" w:hAnsi="Cambria Math"/>
              </w:rPr>
              <m:t>2</m:t>
            </m:r>
          </m:e>
        </m:d>
        <m:r>
          <w:rPr>
            <w:rFonts w:ascii="Cambria Math" w:hAnsi="Cambria Math"/>
          </w:rPr>
          <m:t>, p&lt; .001)</m:t>
        </m:r>
      </m:oMath>
      <w:r w:rsidR="00D91357">
        <w:t xml:space="preserve"> than non-FCT youth. The median safety level at first visit for FCT youth was “conditionally safe,” while the median safety level for non-FCT youth at first visit was safe. At last visit, the median safety level for FCT youth moved to “safe,” as well as the median safety level for non-FCT youth. FCT youth had 58.92 higher odds of having an unsafe level at</w:t>
      </w:r>
      <w:r w:rsidR="007D3CB0">
        <w:t xml:space="preserve"> first visit than non-FCT youth.</w:t>
      </w:r>
    </w:p>
    <w:p w:rsidR="00D91357" w:rsidRDefault="00D91357" w:rsidP="00D91357"/>
    <w:p w:rsidR="00D91357" w:rsidRDefault="00D91357" w:rsidP="00D91357">
      <w:pPr>
        <w:pStyle w:val="Heading4"/>
        <w:rPr>
          <w:rFonts w:eastAsiaTheme="minorEastAsia"/>
        </w:rPr>
      </w:pPr>
      <w:r>
        <w:t xml:space="preserve">Table </w:t>
      </w:r>
      <w:r w:rsidR="007D3CB0">
        <w:t>39</w:t>
      </w:r>
      <w:r>
        <w:t>. Difference in safety assessment score from first visit to last visit</w:t>
      </w:r>
    </w:p>
    <w:tbl>
      <w:tblPr>
        <w:tblStyle w:val="GridTable4-Accent1"/>
        <w:tblW w:w="5000" w:type="pct"/>
        <w:tblLook w:val="04A0" w:firstRow="1" w:lastRow="0" w:firstColumn="1" w:lastColumn="0" w:noHBand="0" w:noVBand="1"/>
      </w:tblPr>
      <w:tblGrid>
        <w:gridCol w:w="1934"/>
        <w:gridCol w:w="1853"/>
        <w:gridCol w:w="1855"/>
        <w:gridCol w:w="1855"/>
        <w:gridCol w:w="1853"/>
      </w:tblGrid>
      <w:tr w:rsidR="00D91357" w:rsidTr="00CB7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Merge w:val="restart"/>
            <w:shd w:val="clear" w:color="auto" w:fill="auto"/>
          </w:tcPr>
          <w:p w:rsidR="00D91357" w:rsidRDefault="00D91357" w:rsidP="00CB7B3D"/>
          <w:p w:rsidR="00D91357" w:rsidRDefault="00D91357" w:rsidP="00CB7B3D"/>
        </w:tc>
        <w:tc>
          <w:tcPr>
            <w:tcW w:w="1983" w:type="pct"/>
            <w:gridSpan w:val="2"/>
          </w:tcPr>
          <w:p w:rsidR="00D91357" w:rsidRDefault="00D91357" w:rsidP="00CB7B3D">
            <w:pPr>
              <w:jc w:val="center"/>
              <w:cnfStyle w:val="100000000000" w:firstRow="1" w:lastRow="0" w:firstColumn="0" w:lastColumn="0" w:oddVBand="0" w:evenVBand="0" w:oddHBand="0" w:evenHBand="0" w:firstRowFirstColumn="0" w:firstRowLastColumn="0" w:lastRowFirstColumn="0" w:lastRowLastColumn="0"/>
            </w:pPr>
            <w:r>
              <w:t>First Visit</w:t>
            </w:r>
          </w:p>
        </w:tc>
        <w:tc>
          <w:tcPr>
            <w:tcW w:w="1983" w:type="pct"/>
            <w:gridSpan w:val="2"/>
          </w:tcPr>
          <w:p w:rsidR="00D91357" w:rsidRDefault="00D91357" w:rsidP="00CB7B3D">
            <w:pPr>
              <w:jc w:val="center"/>
              <w:cnfStyle w:val="100000000000" w:firstRow="1" w:lastRow="0" w:firstColumn="0" w:lastColumn="0" w:oddVBand="0" w:evenVBand="0" w:oddHBand="0" w:evenHBand="0" w:firstRowFirstColumn="0" w:firstRowLastColumn="0" w:lastRowFirstColumn="0" w:lastRowLastColumn="0"/>
            </w:pPr>
            <w:r>
              <w:t>Last Visit</w:t>
            </w:r>
          </w:p>
        </w:tc>
      </w:tr>
      <w:tr w:rsidR="00D91357" w:rsidTr="00CB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Merge/>
            <w:shd w:val="clear" w:color="auto" w:fill="auto"/>
          </w:tcPr>
          <w:p w:rsidR="00D91357" w:rsidRDefault="00D91357" w:rsidP="00CB7B3D"/>
        </w:tc>
        <w:tc>
          <w:tcPr>
            <w:tcW w:w="991" w:type="pct"/>
            <w:shd w:val="clear" w:color="auto" w:fill="5B9BD5" w:themeFill="accent1"/>
          </w:tcPr>
          <w:p w:rsidR="00D91357" w:rsidRPr="00614647" w:rsidRDefault="00D91357" w:rsidP="00CB7B3D">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614647">
              <w:rPr>
                <w:b/>
                <w:color w:val="FFFFFF" w:themeColor="background1"/>
              </w:rPr>
              <w:t>FCT</w:t>
            </w:r>
          </w:p>
        </w:tc>
        <w:tc>
          <w:tcPr>
            <w:tcW w:w="992" w:type="pct"/>
            <w:shd w:val="clear" w:color="auto" w:fill="5B9BD5" w:themeFill="accent1"/>
          </w:tcPr>
          <w:p w:rsidR="00D91357" w:rsidRPr="00614647" w:rsidRDefault="00D91357" w:rsidP="00CB7B3D">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614647">
              <w:rPr>
                <w:b/>
                <w:color w:val="FFFFFF" w:themeColor="background1"/>
              </w:rPr>
              <w:t>Non-FCT</w:t>
            </w:r>
          </w:p>
        </w:tc>
        <w:tc>
          <w:tcPr>
            <w:tcW w:w="992" w:type="pct"/>
            <w:shd w:val="clear" w:color="auto" w:fill="5B9BD5" w:themeFill="accent1"/>
          </w:tcPr>
          <w:p w:rsidR="00D91357" w:rsidRPr="00614647" w:rsidRDefault="00D91357" w:rsidP="00CB7B3D">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614647">
              <w:rPr>
                <w:b/>
                <w:color w:val="FFFFFF" w:themeColor="background1"/>
              </w:rPr>
              <w:t>FCT</w:t>
            </w:r>
          </w:p>
        </w:tc>
        <w:tc>
          <w:tcPr>
            <w:tcW w:w="991" w:type="pct"/>
            <w:shd w:val="clear" w:color="auto" w:fill="5B9BD5" w:themeFill="accent1"/>
          </w:tcPr>
          <w:p w:rsidR="00D91357" w:rsidRPr="00614647" w:rsidRDefault="00D91357" w:rsidP="00CB7B3D">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614647">
              <w:rPr>
                <w:b/>
                <w:color w:val="FFFFFF" w:themeColor="background1"/>
              </w:rPr>
              <w:t>Non-FCT</w:t>
            </w:r>
          </w:p>
        </w:tc>
      </w:tr>
      <w:tr w:rsidR="00D91357" w:rsidTr="00CB7B3D">
        <w:tc>
          <w:tcPr>
            <w:cnfStyle w:val="001000000000" w:firstRow="0" w:lastRow="0" w:firstColumn="1" w:lastColumn="0" w:oddVBand="0" w:evenVBand="0" w:oddHBand="0" w:evenHBand="0" w:firstRowFirstColumn="0" w:firstRowLastColumn="0" w:lastRowFirstColumn="0" w:lastRowLastColumn="0"/>
            <w:tcW w:w="1034" w:type="pct"/>
          </w:tcPr>
          <w:p w:rsidR="00D91357" w:rsidRDefault="00D91357" w:rsidP="00CB7B3D">
            <w:r>
              <w:t>Safe</w:t>
            </w:r>
          </w:p>
        </w:tc>
        <w:tc>
          <w:tcPr>
            <w:tcW w:w="991"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21 [42.86]</w:t>
            </w:r>
          </w:p>
        </w:tc>
        <w:tc>
          <w:tcPr>
            <w:tcW w:w="992"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31 [56.36]</w:t>
            </w:r>
          </w:p>
        </w:tc>
        <w:tc>
          <w:tcPr>
            <w:tcW w:w="992"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38 [86.36]</w:t>
            </w:r>
          </w:p>
        </w:tc>
        <w:tc>
          <w:tcPr>
            <w:tcW w:w="991"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91 [84.26]</w:t>
            </w:r>
          </w:p>
        </w:tc>
      </w:tr>
      <w:tr w:rsidR="00D91357" w:rsidTr="00CB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tcPr>
          <w:p w:rsidR="00D91357" w:rsidRDefault="00D91357" w:rsidP="00CB7B3D">
            <w:r>
              <w:t>Conditionally Safe</w:t>
            </w:r>
          </w:p>
        </w:tc>
        <w:tc>
          <w:tcPr>
            <w:tcW w:w="991" w:type="pct"/>
          </w:tcPr>
          <w:p w:rsidR="00D91357" w:rsidRDefault="00D91357" w:rsidP="00CB7B3D">
            <w:pPr>
              <w:jc w:val="right"/>
              <w:cnfStyle w:val="000000100000" w:firstRow="0" w:lastRow="0" w:firstColumn="0" w:lastColumn="0" w:oddVBand="0" w:evenVBand="0" w:oddHBand="1" w:evenHBand="0" w:firstRowFirstColumn="0" w:firstRowLastColumn="0" w:lastRowFirstColumn="0" w:lastRowLastColumn="0"/>
            </w:pPr>
            <w:r>
              <w:t>2 [4.08]</w:t>
            </w:r>
          </w:p>
        </w:tc>
        <w:tc>
          <w:tcPr>
            <w:tcW w:w="992" w:type="pct"/>
          </w:tcPr>
          <w:p w:rsidR="00D91357" w:rsidRDefault="00D91357" w:rsidP="00CB7B3D">
            <w:pPr>
              <w:jc w:val="right"/>
              <w:cnfStyle w:val="000000100000" w:firstRow="0" w:lastRow="0" w:firstColumn="0" w:lastColumn="0" w:oddVBand="0" w:evenVBand="0" w:oddHBand="1" w:evenHBand="0" w:firstRowFirstColumn="0" w:firstRowLastColumn="0" w:lastRowFirstColumn="0" w:lastRowLastColumn="0"/>
            </w:pPr>
            <w:r>
              <w:t>19 [34.55]</w:t>
            </w:r>
          </w:p>
        </w:tc>
        <w:tc>
          <w:tcPr>
            <w:tcW w:w="992" w:type="pct"/>
          </w:tcPr>
          <w:p w:rsidR="00D91357" w:rsidRDefault="00D91357" w:rsidP="00CB7B3D">
            <w:pPr>
              <w:jc w:val="right"/>
              <w:cnfStyle w:val="000000100000" w:firstRow="0" w:lastRow="0" w:firstColumn="0" w:lastColumn="0" w:oddVBand="0" w:evenVBand="0" w:oddHBand="1" w:evenHBand="0" w:firstRowFirstColumn="0" w:firstRowLastColumn="0" w:lastRowFirstColumn="0" w:lastRowLastColumn="0"/>
            </w:pPr>
            <w:r>
              <w:t>6 [13.64]</w:t>
            </w:r>
          </w:p>
        </w:tc>
        <w:tc>
          <w:tcPr>
            <w:tcW w:w="991" w:type="pct"/>
          </w:tcPr>
          <w:p w:rsidR="00D91357" w:rsidRDefault="00D91357" w:rsidP="00CB7B3D">
            <w:pPr>
              <w:jc w:val="right"/>
              <w:cnfStyle w:val="000000100000" w:firstRow="0" w:lastRow="0" w:firstColumn="0" w:lastColumn="0" w:oddVBand="0" w:evenVBand="0" w:oddHBand="1" w:evenHBand="0" w:firstRowFirstColumn="0" w:firstRowLastColumn="0" w:lastRowFirstColumn="0" w:lastRowLastColumn="0"/>
            </w:pPr>
            <w:r>
              <w:t>2 [1.85]</w:t>
            </w:r>
          </w:p>
        </w:tc>
      </w:tr>
      <w:tr w:rsidR="00D91357" w:rsidTr="00CB7B3D">
        <w:tc>
          <w:tcPr>
            <w:cnfStyle w:val="001000000000" w:firstRow="0" w:lastRow="0" w:firstColumn="1" w:lastColumn="0" w:oddVBand="0" w:evenVBand="0" w:oddHBand="0" w:evenHBand="0" w:firstRowFirstColumn="0" w:firstRowLastColumn="0" w:lastRowFirstColumn="0" w:lastRowLastColumn="0"/>
            <w:tcW w:w="1034" w:type="pct"/>
          </w:tcPr>
          <w:p w:rsidR="00D91357" w:rsidRDefault="00D91357" w:rsidP="00CB7B3D">
            <w:r>
              <w:t xml:space="preserve">Unsafe </w:t>
            </w:r>
          </w:p>
        </w:tc>
        <w:tc>
          <w:tcPr>
            <w:tcW w:w="991"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26 [53.06]</w:t>
            </w:r>
          </w:p>
        </w:tc>
        <w:tc>
          <w:tcPr>
            <w:tcW w:w="992"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5 [9.09]</w:t>
            </w:r>
          </w:p>
        </w:tc>
        <w:tc>
          <w:tcPr>
            <w:tcW w:w="992"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0 [0.00]</w:t>
            </w:r>
          </w:p>
        </w:tc>
        <w:tc>
          <w:tcPr>
            <w:tcW w:w="991" w:type="pct"/>
          </w:tcPr>
          <w:p w:rsidR="00D91357" w:rsidRDefault="00D91357" w:rsidP="00CB7B3D">
            <w:pPr>
              <w:jc w:val="right"/>
              <w:cnfStyle w:val="000000000000" w:firstRow="0" w:lastRow="0" w:firstColumn="0" w:lastColumn="0" w:oddVBand="0" w:evenVBand="0" w:oddHBand="0" w:evenHBand="0" w:firstRowFirstColumn="0" w:firstRowLastColumn="0" w:lastRowFirstColumn="0" w:lastRowLastColumn="0"/>
            </w:pPr>
            <w:r>
              <w:t>15 [13.89]</w:t>
            </w:r>
          </w:p>
        </w:tc>
      </w:tr>
    </w:tbl>
    <w:p w:rsidR="00D91357" w:rsidRDefault="00D91357" w:rsidP="00D91357"/>
    <w:p w:rsidR="00D91357" w:rsidRPr="00D91357" w:rsidRDefault="00611630" w:rsidP="00D91357">
      <w:pPr>
        <w:pStyle w:val="Heading3"/>
      </w:pPr>
      <w:r>
        <w:t xml:space="preserve">Well-being: </w:t>
      </w:r>
      <w:r w:rsidR="00D91357" w:rsidRPr="00D91357">
        <w:t>CANS score overtime</w:t>
      </w:r>
    </w:p>
    <w:p w:rsidR="00D91357" w:rsidRPr="00D91357" w:rsidRDefault="00D91357" w:rsidP="00D91357">
      <w:pPr>
        <w:rPr>
          <w:rFonts w:ascii="Calibri" w:eastAsia="Malgun Gothic" w:hAnsi="Calibri" w:cs="Times New Roman"/>
        </w:rPr>
      </w:pPr>
      <w:r w:rsidRPr="00D91357">
        <w:rPr>
          <w:rFonts w:ascii="Calibri" w:eastAsia="Malgun Gothic" w:hAnsi="Calibri" w:cs="Times New Roman"/>
        </w:rPr>
        <w:t xml:space="preserve">Those youth in non-FCT services trended steadily upward in their CANS score over time (2015 – 2017) meaning they had more needs over time, while those not in FCT trended slightly downward in their CANS score overtime. However, neither of these trends were </w:t>
      </w:r>
      <w:r w:rsidR="008F3629">
        <w:rPr>
          <w:rFonts w:ascii="Calibri" w:eastAsia="Malgun Gothic" w:hAnsi="Calibri" w:cs="Times New Roman"/>
        </w:rPr>
        <w:t xml:space="preserve">statistically </w:t>
      </w:r>
      <w:r w:rsidRPr="00D91357">
        <w:rPr>
          <w:rFonts w:ascii="Calibri" w:eastAsia="Malgun Gothic" w:hAnsi="Calibri" w:cs="Times New Roman"/>
        </w:rPr>
        <w:t xml:space="preserve">significant (Figure </w:t>
      </w:r>
      <w:r w:rsidR="00FB1ECA">
        <w:rPr>
          <w:rFonts w:ascii="Calibri" w:eastAsia="Malgun Gothic" w:hAnsi="Calibri" w:cs="Times New Roman"/>
        </w:rPr>
        <w:t>49</w:t>
      </w:r>
      <w:r w:rsidRPr="00D91357">
        <w:rPr>
          <w:rFonts w:ascii="Calibri" w:eastAsia="Malgun Gothic" w:hAnsi="Calibri" w:cs="Times New Roman"/>
        </w:rPr>
        <w:t>).</w:t>
      </w:r>
    </w:p>
    <w:p w:rsidR="00D91357" w:rsidRPr="00D91357" w:rsidRDefault="00D91357" w:rsidP="00D91357">
      <w:pPr>
        <w:rPr>
          <w:rFonts w:ascii="Calibri" w:eastAsia="Malgun Gothic" w:hAnsi="Calibri" w:cs="Times New Roman"/>
        </w:rPr>
      </w:pPr>
    </w:p>
    <w:p w:rsidR="00D91357" w:rsidRDefault="00D91357" w:rsidP="00D91357">
      <w:pPr>
        <w:keepNext/>
        <w:keepLines/>
        <w:spacing w:before="40"/>
        <w:outlineLvl w:val="3"/>
        <w:rPr>
          <w:rFonts w:ascii="Calibri" w:eastAsia="Malgun Gothic" w:hAnsi="Calibri" w:cs="Times New Roman"/>
          <w:i/>
          <w:iCs/>
          <w:color w:val="365F91"/>
        </w:rPr>
      </w:pPr>
      <w:r w:rsidRPr="00D91357">
        <w:rPr>
          <w:rFonts w:ascii="Calibri" w:eastAsia="Malgun Gothic" w:hAnsi="Calibri" w:cs="Times New Roman"/>
          <w:i/>
          <w:iCs/>
          <w:color w:val="365F91"/>
        </w:rPr>
        <w:t xml:space="preserve">Figure </w:t>
      </w:r>
      <w:r w:rsidR="00FB1ECA">
        <w:rPr>
          <w:rFonts w:ascii="Calibri" w:eastAsia="Malgun Gothic" w:hAnsi="Calibri" w:cs="Times New Roman"/>
          <w:i/>
          <w:iCs/>
          <w:color w:val="365F91"/>
        </w:rPr>
        <w:t>49</w:t>
      </w:r>
      <w:r w:rsidRPr="00D91357">
        <w:rPr>
          <w:rFonts w:ascii="Calibri" w:eastAsia="Malgun Gothic" w:hAnsi="Calibri" w:cs="Times New Roman"/>
          <w:i/>
          <w:iCs/>
          <w:color w:val="365F91"/>
        </w:rPr>
        <w:t>. CANS score trends over time</w:t>
      </w:r>
    </w:p>
    <w:p w:rsidR="00611630" w:rsidRPr="00D91357" w:rsidRDefault="00611630" w:rsidP="00611630">
      <w:r>
        <w:rPr>
          <w:noProof/>
        </w:rPr>
        <w:drawing>
          <wp:inline distT="0" distB="0" distL="0" distR="0" wp14:anchorId="71C4BBEF" wp14:editId="236AAF3F">
            <wp:extent cx="5943600" cy="3080385"/>
            <wp:effectExtent l="0" t="0" r="0" b="5715"/>
            <wp:docPr id="14347" name="Chart 14347">
              <a:extLst xmlns:a="http://schemas.openxmlformats.org/drawingml/2006/main">
                <a:ext uri="{FF2B5EF4-FFF2-40B4-BE49-F238E27FC236}">
                  <a16:creationId xmlns:a16="http://schemas.microsoft.com/office/drawing/2014/main" id="{3DD97BBB-CB1C-4DD8-9744-5C98BCD2A9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91357" w:rsidRDefault="00D91357" w:rsidP="00D91357"/>
    <w:p w:rsidR="00FB1ECA" w:rsidRDefault="00FB1ECA" w:rsidP="00D91357"/>
    <w:p w:rsidR="00FB1ECA" w:rsidRPr="00D91357" w:rsidRDefault="00FB1ECA" w:rsidP="00D91357"/>
    <w:p w:rsidR="00D06E11" w:rsidRDefault="00611630" w:rsidP="00D06E11">
      <w:pPr>
        <w:pStyle w:val="Heading3"/>
      </w:pPr>
      <w:r>
        <w:t xml:space="preserve">Well-being: </w:t>
      </w:r>
      <w:r w:rsidR="00D06E11">
        <w:t>Family Functioning</w:t>
      </w:r>
    </w:p>
    <w:p w:rsidR="00D06E11" w:rsidRDefault="00D06E11" w:rsidP="00D06E11">
      <w:r>
        <w:t xml:space="preserve">We analyzed the trend of the family functioning score from January 2015 – December 2017 for both Non-FCT youth and FCT youth. FCT youth started with a significantly lower family functioning score (using the CANS scoring tool) than Non-FCT youth. It took nearly two years for FCT youths’ family functioning scores to catch up to Non-FCT youth. This suggests that FCT youth begin with a </w:t>
      </w:r>
      <w:r w:rsidR="00FB1ECA">
        <w:t xml:space="preserve">higher </w:t>
      </w:r>
      <w:r w:rsidR="007D3CB0">
        <w:t>risk than Non-FCT youth (Table 40</w:t>
      </w:r>
      <w:r w:rsidR="00FB1ECA">
        <w:t>)</w:t>
      </w:r>
    </w:p>
    <w:p w:rsidR="00D06E11" w:rsidRDefault="00D06E11" w:rsidP="00D06E11"/>
    <w:p w:rsidR="00D06E11" w:rsidRDefault="00D06E11" w:rsidP="00D06E11">
      <w:r>
        <w:t>However, FCT youths’ family functioning climbed at a statistically significantly higher rate than Non-FCT youth over time, whereas Non-FCT youths’ scores climbed at a slower rate</w:t>
      </w:r>
      <w:r w:rsidR="00FB1ECA">
        <w:t xml:space="preserve"> (Figure 50)</w:t>
      </w:r>
      <w:r>
        <w:t>. It appears that about at the three year mark a shift in family functioning scores. Thus, FCT appears to be more effective in increasing the overall family functioning over time for youth.</w:t>
      </w:r>
    </w:p>
    <w:p w:rsidR="00FB1ECA" w:rsidRDefault="00FB1ECA" w:rsidP="00FB1ECA">
      <w:pPr>
        <w:spacing w:after="160" w:line="259" w:lineRule="auto"/>
      </w:pPr>
    </w:p>
    <w:p w:rsidR="00D06E11" w:rsidRDefault="00D06E11" w:rsidP="00FB1ECA">
      <w:pPr>
        <w:pStyle w:val="Heading4"/>
      </w:pPr>
      <w:r>
        <w:t xml:space="preserve">Table </w:t>
      </w:r>
      <w:r w:rsidR="007D3CB0">
        <w:t>40</w:t>
      </w:r>
      <w:r>
        <w:t>. Effectiveness of FCT on Family Functioning (FF) from January 2015 – December 2017.</w:t>
      </w:r>
    </w:p>
    <w:tbl>
      <w:tblPr>
        <w:tblStyle w:val="GridTable4-Accent1"/>
        <w:tblW w:w="5000" w:type="pct"/>
        <w:tblLook w:val="04A0" w:firstRow="1" w:lastRow="0" w:firstColumn="1" w:lastColumn="0" w:noHBand="0" w:noVBand="1"/>
      </w:tblPr>
      <w:tblGrid>
        <w:gridCol w:w="3865"/>
        <w:gridCol w:w="1171"/>
        <w:gridCol w:w="1081"/>
        <w:gridCol w:w="1079"/>
        <w:gridCol w:w="1081"/>
        <w:gridCol w:w="1073"/>
      </w:tblGrid>
      <w:tr w:rsidR="00D06E11" w:rsidTr="00CB7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pct"/>
          </w:tcPr>
          <w:p w:rsidR="00D06E11" w:rsidRPr="00746BA5" w:rsidRDefault="00D06E11" w:rsidP="00CB7B3D">
            <w:pPr>
              <w:autoSpaceDE w:val="0"/>
              <w:autoSpaceDN w:val="0"/>
              <w:adjustRightInd w:val="0"/>
              <w:spacing w:line="400" w:lineRule="atLeast"/>
              <w:rPr>
                <w:rFonts w:cstheme="minorHAnsi"/>
                <w:sz w:val="24"/>
                <w:szCs w:val="24"/>
              </w:rPr>
            </w:pPr>
          </w:p>
        </w:tc>
        <w:tc>
          <w:tcPr>
            <w:tcW w:w="626" w:type="pct"/>
          </w:tcPr>
          <w:p w:rsidR="00D06E11" w:rsidRPr="00770103" w:rsidRDefault="00D06E11" w:rsidP="00CB7B3D">
            <w:pPr>
              <w:autoSpaceDE w:val="0"/>
              <w:autoSpaceDN w:val="0"/>
              <w:adjustRightInd w:val="0"/>
              <w:spacing w:line="400" w:lineRule="atLeast"/>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Cs w:val="24"/>
              </w:rPr>
              <w:t>Overall</w:t>
            </w:r>
          </w:p>
        </w:tc>
        <w:tc>
          <w:tcPr>
            <w:tcW w:w="1155" w:type="pct"/>
            <w:gridSpan w:val="2"/>
          </w:tcPr>
          <w:p w:rsidR="00D06E11" w:rsidRPr="00452DBD" w:rsidRDefault="00D06E11" w:rsidP="00CB7B3D">
            <w:pPr>
              <w:autoSpaceDE w:val="0"/>
              <w:autoSpaceDN w:val="0"/>
              <w:adjustRightInd w:val="0"/>
              <w:spacing w:line="400" w:lineRule="atLeast"/>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Non-FCT</w:t>
            </w:r>
          </w:p>
        </w:tc>
        <w:tc>
          <w:tcPr>
            <w:tcW w:w="1152" w:type="pct"/>
            <w:gridSpan w:val="2"/>
          </w:tcPr>
          <w:p w:rsidR="00D06E11" w:rsidRDefault="00D06E11" w:rsidP="00CB7B3D">
            <w:pPr>
              <w:autoSpaceDE w:val="0"/>
              <w:autoSpaceDN w:val="0"/>
              <w:adjustRightInd w:val="0"/>
              <w:spacing w:line="400" w:lineRule="atLeast"/>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FCT</w:t>
            </w:r>
          </w:p>
        </w:tc>
      </w:tr>
      <w:tr w:rsidR="00D06E11" w:rsidTr="00CB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pct"/>
          </w:tcPr>
          <w:p w:rsidR="00D06E11" w:rsidRDefault="00D06E11" w:rsidP="00CB7B3D">
            <w:pPr>
              <w:rPr>
                <w:i/>
              </w:rPr>
            </w:pPr>
          </w:p>
        </w:tc>
        <w:tc>
          <w:tcPr>
            <w:tcW w:w="626" w:type="pct"/>
            <w:vAlign w:val="center"/>
          </w:tcPr>
          <w:p w:rsidR="00D06E11" w:rsidRPr="00EF7E2B" w:rsidRDefault="00D06E11" w:rsidP="00CB7B3D">
            <w:pPr>
              <w:jc w:val="center"/>
              <w:cnfStyle w:val="000000100000" w:firstRow="0" w:lastRow="0" w:firstColumn="0" w:lastColumn="0" w:oddVBand="0" w:evenVBand="0" w:oddHBand="1" w:evenHBand="0" w:firstRowFirstColumn="0" w:firstRowLastColumn="0" w:lastRowFirstColumn="0" w:lastRowLastColumn="0"/>
            </w:pPr>
            <w:r w:rsidRPr="00EF7E2B">
              <w:t>Exp (B)</w:t>
            </w:r>
          </w:p>
        </w:tc>
        <w:tc>
          <w:tcPr>
            <w:tcW w:w="578" w:type="pct"/>
          </w:tcPr>
          <w:p w:rsidR="00D06E11" w:rsidRPr="00EF7E2B" w:rsidRDefault="00D06E11" w:rsidP="00CB7B3D">
            <w:pPr>
              <w:jc w:val="center"/>
              <w:cnfStyle w:val="000000100000" w:firstRow="0" w:lastRow="0" w:firstColumn="0" w:lastColumn="0" w:oddVBand="0" w:evenVBand="0" w:oddHBand="1" w:evenHBand="0" w:firstRowFirstColumn="0" w:firstRowLastColumn="0" w:lastRowFirstColumn="0" w:lastRowLastColumn="0"/>
            </w:pPr>
            <w:r w:rsidRPr="00EF7E2B">
              <w:t xml:space="preserve">Mean </w:t>
            </w:r>
          </w:p>
        </w:tc>
        <w:tc>
          <w:tcPr>
            <w:tcW w:w="577" w:type="pct"/>
            <w:vAlign w:val="center"/>
          </w:tcPr>
          <w:p w:rsidR="00D06E11" w:rsidRPr="00EF7E2B" w:rsidRDefault="00D06E11" w:rsidP="00CB7B3D">
            <w:pPr>
              <w:jc w:val="center"/>
              <w:cnfStyle w:val="000000100000" w:firstRow="0" w:lastRow="0" w:firstColumn="0" w:lastColumn="0" w:oddVBand="0" w:evenVBand="0" w:oddHBand="1" w:evenHBand="0" w:firstRowFirstColumn="0" w:firstRowLastColumn="0" w:lastRowFirstColumn="0" w:lastRowLastColumn="0"/>
            </w:pPr>
            <w:r w:rsidRPr="00EF7E2B">
              <w:t>Exp (B)</w:t>
            </w:r>
          </w:p>
        </w:tc>
        <w:tc>
          <w:tcPr>
            <w:tcW w:w="578" w:type="pct"/>
          </w:tcPr>
          <w:p w:rsidR="00D06E11" w:rsidRPr="00EF7E2B" w:rsidRDefault="00D06E11" w:rsidP="00CB7B3D">
            <w:pPr>
              <w:jc w:val="center"/>
              <w:cnfStyle w:val="000000100000" w:firstRow="0" w:lastRow="0" w:firstColumn="0" w:lastColumn="0" w:oddVBand="0" w:evenVBand="0" w:oddHBand="1" w:evenHBand="0" w:firstRowFirstColumn="0" w:firstRowLastColumn="0" w:lastRowFirstColumn="0" w:lastRowLastColumn="0"/>
            </w:pPr>
            <w:r w:rsidRPr="00EF7E2B">
              <w:t xml:space="preserve">Mean </w:t>
            </w:r>
          </w:p>
        </w:tc>
        <w:tc>
          <w:tcPr>
            <w:tcW w:w="574" w:type="pct"/>
            <w:vAlign w:val="center"/>
          </w:tcPr>
          <w:p w:rsidR="00D06E11" w:rsidRPr="00EF7E2B" w:rsidRDefault="00D06E11" w:rsidP="00CB7B3D">
            <w:pPr>
              <w:jc w:val="center"/>
              <w:cnfStyle w:val="000000100000" w:firstRow="0" w:lastRow="0" w:firstColumn="0" w:lastColumn="0" w:oddVBand="0" w:evenVBand="0" w:oddHBand="1" w:evenHBand="0" w:firstRowFirstColumn="0" w:firstRowLastColumn="0" w:lastRowFirstColumn="0" w:lastRowLastColumn="0"/>
            </w:pPr>
            <w:r w:rsidRPr="00EF7E2B">
              <w:t>Exp (B)</w:t>
            </w:r>
          </w:p>
        </w:tc>
      </w:tr>
      <w:tr w:rsidR="00D06E11" w:rsidTr="00CB7B3D">
        <w:tc>
          <w:tcPr>
            <w:cnfStyle w:val="001000000000" w:firstRow="0" w:lastRow="0" w:firstColumn="1" w:lastColumn="0" w:oddVBand="0" w:evenVBand="0" w:oddHBand="0" w:evenHBand="0" w:firstRowFirstColumn="0" w:firstRowLastColumn="0" w:lastRowFirstColumn="0" w:lastRowLastColumn="0"/>
            <w:tcW w:w="2067" w:type="pct"/>
          </w:tcPr>
          <w:p w:rsidR="00D06E11" w:rsidRPr="00770103" w:rsidRDefault="00D06E11" w:rsidP="00CB7B3D">
            <w:pPr>
              <w:rPr>
                <w:i/>
              </w:rPr>
            </w:pPr>
            <w:r>
              <w:rPr>
                <w:i/>
              </w:rPr>
              <w:t>FCT Treatment (Yes)</w:t>
            </w:r>
          </w:p>
        </w:tc>
        <w:tc>
          <w:tcPr>
            <w:tcW w:w="626" w:type="pct"/>
            <w:vAlign w:val="center"/>
          </w:tcPr>
          <w:p w:rsidR="00D06E11" w:rsidRPr="0077010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Pr>
                <w:b/>
                <w:i/>
              </w:rPr>
              <w:t>.151***</w:t>
            </w:r>
          </w:p>
        </w:tc>
        <w:tc>
          <w:tcPr>
            <w:tcW w:w="578" w:type="pct"/>
            <w:vAlign w:val="center"/>
          </w:tcPr>
          <w:p w:rsidR="00D06E11"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p>
        </w:tc>
        <w:tc>
          <w:tcPr>
            <w:tcW w:w="577" w:type="pct"/>
            <w:vAlign w:val="center"/>
          </w:tcPr>
          <w:p w:rsidR="00D06E11" w:rsidRPr="0077010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Pr>
                <w:b/>
                <w:i/>
              </w:rPr>
              <w:t>-</w:t>
            </w:r>
          </w:p>
        </w:tc>
        <w:tc>
          <w:tcPr>
            <w:tcW w:w="578" w:type="pct"/>
            <w:vAlign w:val="center"/>
          </w:tcPr>
          <w:p w:rsidR="00D06E11"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p>
        </w:tc>
        <w:tc>
          <w:tcPr>
            <w:tcW w:w="574" w:type="pct"/>
            <w:vAlign w:val="center"/>
          </w:tcPr>
          <w:p w:rsidR="00D06E11" w:rsidRPr="0077010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Pr>
                <w:b/>
                <w:i/>
              </w:rPr>
              <w:t>-</w:t>
            </w:r>
          </w:p>
        </w:tc>
      </w:tr>
      <w:tr w:rsidR="00D06E11" w:rsidTr="00CB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pct"/>
          </w:tcPr>
          <w:p w:rsidR="00D06E11" w:rsidRPr="00770103" w:rsidRDefault="00D06E11" w:rsidP="00CB7B3D">
            <w:pPr>
              <w:rPr>
                <w:b w:val="0"/>
              </w:rPr>
            </w:pPr>
          </w:p>
        </w:tc>
        <w:tc>
          <w:tcPr>
            <w:tcW w:w="626" w:type="pct"/>
            <w:vAlign w:val="center"/>
          </w:tcPr>
          <w:p w:rsidR="00D06E11" w:rsidRPr="00FE7D30" w:rsidRDefault="00D06E11" w:rsidP="00CB7B3D">
            <w:pPr>
              <w:jc w:val="center"/>
              <w:cnfStyle w:val="000000100000" w:firstRow="0" w:lastRow="0" w:firstColumn="0" w:lastColumn="0" w:oddVBand="0" w:evenVBand="0" w:oddHBand="1" w:evenHBand="0" w:firstRowFirstColumn="0" w:firstRowLastColumn="0" w:lastRowFirstColumn="0" w:lastRowLastColumn="0"/>
            </w:pPr>
          </w:p>
        </w:tc>
        <w:tc>
          <w:tcPr>
            <w:tcW w:w="578" w:type="pct"/>
            <w:vAlign w:val="center"/>
          </w:tcPr>
          <w:p w:rsidR="00D06E11" w:rsidRPr="00FE7D30" w:rsidRDefault="00D06E11" w:rsidP="00CB7B3D">
            <w:pPr>
              <w:jc w:val="center"/>
              <w:cnfStyle w:val="000000100000" w:firstRow="0" w:lastRow="0" w:firstColumn="0" w:lastColumn="0" w:oddVBand="0" w:evenVBand="0" w:oddHBand="1" w:evenHBand="0" w:firstRowFirstColumn="0" w:firstRowLastColumn="0" w:lastRowFirstColumn="0" w:lastRowLastColumn="0"/>
            </w:pPr>
          </w:p>
        </w:tc>
        <w:tc>
          <w:tcPr>
            <w:tcW w:w="577" w:type="pct"/>
            <w:vAlign w:val="center"/>
          </w:tcPr>
          <w:p w:rsidR="00D06E11" w:rsidRPr="00FE7D30" w:rsidRDefault="00D06E11" w:rsidP="00CB7B3D">
            <w:pPr>
              <w:jc w:val="center"/>
              <w:cnfStyle w:val="000000100000" w:firstRow="0" w:lastRow="0" w:firstColumn="0" w:lastColumn="0" w:oddVBand="0" w:evenVBand="0" w:oddHBand="1" w:evenHBand="0" w:firstRowFirstColumn="0" w:firstRowLastColumn="0" w:lastRowFirstColumn="0" w:lastRowLastColumn="0"/>
            </w:pPr>
          </w:p>
        </w:tc>
        <w:tc>
          <w:tcPr>
            <w:tcW w:w="578" w:type="pct"/>
            <w:vAlign w:val="center"/>
          </w:tcPr>
          <w:p w:rsidR="00D06E11" w:rsidRPr="00FE7D30" w:rsidRDefault="00D06E11" w:rsidP="00CB7B3D">
            <w:pPr>
              <w:jc w:val="center"/>
              <w:cnfStyle w:val="000000100000" w:firstRow="0" w:lastRow="0" w:firstColumn="0" w:lastColumn="0" w:oddVBand="0" w:evenVBand="0" w:oddHBand="1" w:evenHBand="0" w:firstRowFirstColumn="0" w:firstRowLastColumn="0" w:lastRowFirstColumn="0" w:lastRowLastColumn="0"/>
            </w:pPr>
          </w:p>
        </w:tc>
        <w:tc>
          <w:tcPr>
            <w:tcW w:w="574" w:type="pct"/>
            <w:vAlign w:val="center"/>
          </w:tcPr>
          <w:p w:rsidR="00D06E11" w:rsidRPr="00FE7D30" w:rsidRDefault="00D06E11" w:rsidP="00CB7B3D">
            <w:pPr>
              <w:jc w:val="center"/>
              <w:cnfStyle w:val="000000100000" w:firstRow="0" w:lastRow="0" w:firstColumn="0" w:lastColumn="0" w:oddVBand="0" w:evenVBand="0" w:oddHBand="1" w:evenHBand="0" w:firstRowFirstColumn="0" w:firstRowLastColumn="0" w:lastRowFirstColumn="0" w:lastRowLastColumn="0"/>
            </w:pPr>
          </w:p>
        </w:tc>
      </w:tr>
      <w:tr w:rsidR="00D06E11" w:rsidTr="00CB7B3D">
        <w:tc>
          <w:tcPr>
            <w:cnfStyle w:val="001000000000" w:firstRow="0" w:lastRow="0" w:firstColumn="1" w:lastColumn="0" w:oddVBand="0" w:evenVBand="0" w:oddHBand="0" w:evenHBand="0" w:firstRowFirstColumn="0" w:firstRowLastColumn="0" w:lastRowFirstColumn="0" w:lastRowLastColumn="0"/>
            <w:tcW w:w="2067" w:type="pct"/>
          </w:tcPr>
          <w:p w:rsidR="00D06E11" w:rsidRPr="00EF7E2B" w:rsidRDefault="00D06E11" w:rsidP="00CB7B3D">
            <w:pPr>
              <w:rPr>
                <w:i/>
              </w:rPr>
            </w:pPr>
            <w:r w:rsidRPr="00EF7E2B">
              <w:rPr>
                <w:i/>
              </w:rPr>
              <w:t xml:space="preserve">Timepoint of average </w:t>
            </w:r>
            <w:r>
              <w:rPr>
                <w:i/>
              </w:rPr>
              <w:t xml:space="preserve">FF </w:t>
            </w:r>
            <w:r w:rsidRPr="00EF7E2B">
              <w:rPr>
                <w:i/>
              </w:rPr>
              <w:t>score</w:t>
            </w:r>
          </w:p>
        </w:tc>
        <w:tc>
          <w:tcPr>
            <w:tcW w:w="626" w:type="pct"/>
            <w:vAlign w:val="center"/>
          </w:tcPr>
          <w:p w:rsidR="00D06E11" w:rsidRPr="00FE7D30" w:rsidRDefault="00D06E11" w:rsidP="00CB7B3D">
            <w:pPr>
              <w:jc w:val="center"/>
              <w:cnfStyle w:val="000000000000" w:firstRow="0" w:lastRow="0" w:firstColumn="0" w:lastColumn="0" w:oddVBand="0" w:evenVBand="0" w:oddHBand="0" w:evenHBand="0" w:firstRowFirstColumn="0" w:firstRowLastColumn="0" w:lastRowFirstColumn="0" w:lastRowLastColumn="0"/>
            </w:pPr>
          </w:p>
        </w:tc>
        <w:tc>
          <w:tcPr>
            <w:tcW w:w="578" w:type="pct"/>
            <w:vAlign w:val="center"/>
          </w:tcPr>
          <w:p w:rsidR="00D06E11" w:rsidRPr="00FE7D30" w:rsidRDefault="00D06E11" w:rsidP="00CB7B3D">
            <w:pPr>
              <w:jc w:val="center"/>
              <w:cnfStyle w:val="000000000000" w:firstRow="0" w:lastRow="0" w:firstColumn="0" w:lastColumn="0" w:oddVBand="0" w:evenVBand="0" w:oddHBand="0" w:evenHBand="0" w:firstRowFirstColumn="0" w:firstRowLastColumn="0" w:lastRowFirstColumn="0" w:lastRowLastColumn="0"/>
            </w:pPr>
          </w:p>
        </w:tc>
        <w:tc>
          <w:tcPr>
            <w:tcW w:w="577" w:type="pct"/>
            <w:vAlign w:val="center"/>
          </w:tcPr>
          <w:p w:rsidR="00D06E11" w:rsidRPr="00FE7D30" w:rsidRDefault="00D06E11" w:rsidP="00CB7B3D">
            <w:pPr>
              <w:jc w:val="center"/>
              <w:cnfStyle w:val="000000000000" w:firstRow="0" w:lastRow="0" w:firstColumn="0" w:lastColumn="0" w:oddVBand="0" w:evenVBand="0" w:oddHBand="0" w:evenHBand="0" w:firstRowFirstColumn="0" w:firstRowLastColumn="0" w:lastRowFirstColumn="0" w:lastRowLastColumn="0"/>
            </w:pPr>
          </w:p>
        </w:tc>
        <w:tc>
          <w:tcPr>
            <w:tcW w:w="578" w:type="pct"/>
            <w:vAlign w:val="center"/>
          </w:tcPr>
          <w:p w:rsidR="00D06E11" w:rsidRPr="00FE7D30" w:rsidRDefault="00D06E11" w:rsidP="00CB7B3D">
            <w:pPr>
              <w:jc w:val="center"/>
              <w:cnfStyle w:val="000000000000" w:firstRow="0" w:lastRow="0" w:firstColumn="0" w:lastColumn="0" w:oddVBand="0" w:evenVBand="0" w:oddHBand="0" w:evenHBand="0" w:firstRowFirstColumn="0" w:firstRowLastColumn="0" w:lastRowFirstColumn="0" w:lastRowLastColumn="0"/>
            </w:pPr>
          </w:p>
        </w:tc>
        <w:tc>
          <w:tcPr>
            <w:tcW w:w="574" w:type="pct"/>
            <w:vAlign w:val="center"/>
          </w:tcPr>
          <w:p w:rsidR="00D06E11" w:rsidRPr="00FE7D30" w:rsidRDefault="00D06E11" w:rsidP="00CB7B3D">
            <w:pPr>
              <w:jc w:val="center"/>
              <w:cnfStyle w:val="000000000000" w:firstRow="0" w:lastRow="0" w:firstColumn="0" w:lastColumn="0" w:oddVBand="0" w:evenVBand="0" w:oddHBand="0" w:evenHBand="0" w:firstRowFirstColumn="0" w:firstRowLastColumn="0" w:lastRowFirstColumn="0" w:lastRowLastColumn="0"/>
            </w:pPr>
          </w:p>
        </w:tc>
      </w:tr>
      <w:tr w:rsidR="00D06E11" w:rsidTr="00CB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pct"/>
          </w:tcPr>
          <w:p w:rsidR="00D06E11" w:rsidRPr="007554A1" w:rsidRDefault="00D06E11" w:rsidP="00CB7B3D">
            <w:pPr>
              <w:rPr>
                <w:bCs w:val="0"/>
              </w:rPr>
            </w:pPr>
            <w:r>
              <w:rPr>
                <w:b w:val="0"/>
              </w:rPr>
              <w:t>Time 1</w:t>
            </w:r>
            <w:r>
              <w:t xml:space="preserve"> </w:t>
            </w:r>
            <w:r w:rsidRPr="000258E2">
              <w:rPr>
                <w:b w:val="0"/>
              </w:rPr>
              <w:t xml:space="preserve">(Jan – Mar, 2015) </w:t>
            </w:r>
            <w:r w:rsidRPr="000258E2">
              <w:rPr>
                <w:i/>
              </w:rPr>
              <w:t>REFERENT</w:t>
            </w:r>
          </w:p>
        </w:tc>
        <w:tc>
          <w:tcPr>
            <w:tcW w:w="626" w:type="pct"/>
            <w:vAlign w:val="center"/>
          </w:tcPr>
          <w:p w:rsidR="00D06E11" w:rsidRPr="000258E2" w:rsidRDefault="00D06E11" w:rsidP="00CB7B3D">
            <w:pPr>
              <w:jc w:val="center"/>
              <w:cnfStyle w:val="000000100000" w:firstRow="0" w:lastRow="0" w:firstColumn="0" w:lastColumn="0" w:oddVBand="0" w:evenVBand="0" w:oddHBand="1" w:evenHBand="0" w:firstRowFirstColumn="0" w:firstRowLastColumn="0" w:lastRowFirstColumn="0" w:lastRowLastColumn="0"/>
            </w:pPr>
            <w:r>
              <w:t>-</w:t>
            </w:r>
          </w:p>
        </w:tc>
        <w:tc>
          <w:tcPr>
            <w:tcW w:w="578" w:type="pct"/>
            <w:vAlign w:val="center"/>
          </w:tcPr>
          <w:p w:rsidR="00D06E11" w:rsidRDefault="00D06E11" w:rsidP="00CB7B3D">
            <w:pPr>
              <w:jc w:val="center"/>
              <w:cnfStyle w:val="000000100000" w:firstRow="0" w:lastRow="0" w:firstColumn="0" w:lastColumn="0" w:oddVBand="0" w:evenVBand="0" w:oddHBand="1" w:evenHBand="0" w:firstRowFirstColumn="0" w:firstRowLastColumn="0" w:lastRowFirstColumn="0" w:lastRowLastColumn="0"/>
            </w:pPr>
            <w:r>
              <w:t>1.51</w:t>
            </w:r>
          </w:p>
        </w:tc>
        <w:tc>
          <w:tcPr>
            <w:tcW w:w="577" w:type="pct"/>
            <w:vAlign w:val="center"/>
          </w:tcPr>
          <w:p w:rsidR="00D06E11" w:rsidRPr="000258E2" w:rsidRDefault="00D06E11" w:rsidP="00CB7B3D">
            <w:pPr>
              <w:jc w:val="center"/>
              <w:cnfStyle w:val="000000100000" w:firstRow="0" w:lastRow="0" w:firstColumn="0" w:lastColumn="0" w:oddVBand="0" w:evenVBand="0" w:oddHBand="1" w:evenHBand="0" w:firstRowFirstColumn="0" w:firstRowLastColumn="0" w:lastRowFirstColumn="0" w:lastRowLastColumn="0"/>
            </w:pPr>
            <w:r>
              <w:t>-</w:t>
            </w:r>
          </w:p>
        </w:tc>
        <w:tc>
          <w:tcPr>
            <w:tcW w:w="578" w:type="pct"/>
            <w:vAlign w:val="center"/>
          </w:tcPr>
          <w:p w:rsidR="00D06E11" w:rsidRDefault="00D06E11" w:rsidP="00CB7B3D">
            <w:pPr>
              <w:jc w:val="center"/>
              <w:cnfStyle w:val="000000100000" w:firstRow="0" w:lastRow="0" w:firstColumn="0" w:lastColumn="0" w:oddVBand="0" w:evenVBand="0" w:oddHBand="1" w:evenHBand="0" w:firstRowFirstColumn="0" w:firstRowLastColumn="0" w:lastRowFirstColumn="0" w:lastRowLastColumn="0"/>
            </w:pPr>
            <w:r>
              <w:t>0.53</w:t>
            </w:r>
          </w:p>
        </w:tc>
        <w:tc>
          <w:tcPr>
            <w:tcW w:w="574" w:type="pct"/>
            <w:vAlign w:val="center"/>
          </w:tcPr>
          <w:p w:rsidR="00D06E11" w:rsidRPr="000258E2" w:rsidRDefault="00D06E11" w:rsidP="00CB7B3D">
            <w:pPr>
              <w:jc w:val="center"/>
              <w:cnfStyle w:val="000000100000" w:firstRow="0" w:lastRow="0" w:firstColumn="0" w:lastColumn="0" w:oddVBand="0" w:evenVBand="0" w:oddHBand="1" w:evenHBand="0" w:firstRowFirstColumn="0" w:firstRowLastColumn="0" w:lastRowFirstColumn="0" w:lastRowLastColumn="0"/>
            </w:pPr>
            <w:r>
              <w:t>-</w:t>
            </w:r>
          </w:p>
        </w:tc>
      </w:tr>
      <w:tr w:rsidR="00D06E11" w:rsidTr="00CB7B3D">
        <w:tc>
          <w:tcPr>
            <w:cnfStyle w:val="001000000000" w:firstRow="0" w:lastRow="0" w:firstColumn="1" w:lastColumn="0" w:oddVBand="0" w:evenVBand="0" w:oddHBand="0" w:evenHBand="0" w:firstRowFirstColumn="0" w:firstRowLastColumn="0" w:lastRowFirstColumn="0" w:lastRowLastColumn="0"/>
            <w:tcW w:w="2067" w:type="pct"/>
          </w:tcPr>
          <w:p w:rsidR="00D06E11" w:rsidRPr="007554A1" w:rsidRDefault="00D06E11" w:rsidP="00CB7B3D">
            <w:pPr>
              <w:rPr>
                <w:bCs w:val="0"/>
              </w:rPr>
            </w:pPr>
            <w:r>
              <w:rPr>
                <w:b w:val="0"/>
              </w:rPr>
              <w:t>Time 2</w:t>
            </w:r>
            <w:r>
              <w:t xml:space="preserve"> </w:t>
            </w:r>
            <w:r>
              <w:rPr>
                <w:b w:val="0"/>
              </w:rPr>
              <w:t>(</w:t>
            </w:r>
            <w:r w:rsidRPr="000258E2">
              <w:rPr>
                <w:b w:val="0"/>
              </w:rPr>
              <w:t>Apr – Jun, 2015)</w:t>
            </w:r>
          </w:p>
        </w:tc>
        <w:tc>
          <w:tcPr>
            <w:tcW w:w="626" w:type="pct"/>
            <w:vAlign w:val="center"/>
          </w:tcPr>
          <w:p w:rsidR="00D06E11" w:rsidRPr="00340BF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sidRPr="00340BF3">
              <w:rPr>
                <w:b/>
                <w:i/>
              </w:rPr>
              <w:t>.225***</w:t>
            </w:r>
          </w:p>
        </w:tc>
        <w:tc>
          <w:tcPr>
            <w:tcW w:w="578" w:type="pct"/>
            <w:vAlign w:val="center"/>
          </w:tcPr>
          <w:p w:rsidR="00D06E11" w:rsidRDefault="00D06E11" w:rsidP="00CB7B3D">
            <w:pPr>
              <w:jc w:val="center"/>
              <w:cnfStyle w:val="000000000000" w:firstRow="0" w:lastRow="0" w:firstColumn="0" w:lastColumn="0" w:oddVBand="0" w:evenVBand="0" w:oddHBand="0" w:evenHBand="0" w:firstRowFirstColumn="0" w:firstRowLastColumn="0" w:lastRowFirstColumn="0" w:lastRowLastColumn="0"/>
            </w:pPr>
            <w:r>
              <w:t>1.52</w:t>
            </w:r>
          </w:p>
        </w:tc>
        <w:tc>
          <w:tcPr>
            <w:tcW w:w="577" w:type="pct"/>
            <w:vAlign w:val="center"/>
          </w:tcPr>
          <w:p w:rsidR="00D06E11" w:rsidRPr="000258E2" w:rsidRDefault="00D06E11" w:rsidP="00CB7B3D">
            <w:pPr>
              <w:jc w:val="center"/>
              <w:cnfStyle w:val="000000000000" w:firstRow="0" w:lastRow="0" w:firstColumn="0" w:lastColumn="0" w:oddVBand="0" w:evenVBand="0" w:oddHBand="0" w:evenHBand="0" w:firstRowFirstColumn="0" w:firstRowLastColumn="0" w:lastRowFirstColumn="0" w:lastRowLastColumn="0"/>
            </w:pPr>
            <w:r>
              <w:t>.009</w:t>
            </w:r>
          </w:p>
        </w:tc>
        <w:tc>
          <w:tcPr>
            <w:tcW w:w="578" w:type="pct"/>
            <w:vAlign w:val="center"/>
          </w:tcPr>
          <w:p w:rsidR="00D06E11" w:rsidRDefault="00D06E11" w:rsidP="00CB7B3D">
            <w:pPr>
              <w:jc w:val="center"/>
              <w:cnfStyle w:val="000000000000" w:firstRow="0" w:lastRow="0" w:firstColumn="0" w:lastColumn="0" w:oddVBand="0" w:evenVBand="0" w:oddHBand="0" w:evenHBand="0" w:firstRowFirstColumn="0" w:firstRowLastColumn="0" w:lastRowFirstColumn="0" w:lastRowLastColumn="0"/>
            </w:pPr>
            <w:r>
              <w:t>1.02</w:t>
            </w:r>
          </w:p>
        </w:tc>
        <w:tc>
          <w:tcPr>
            <w:tcW w:w="574" w:type="pct"/>
            <w:vAlign w:val="center"/>
          </w:tcPr>
          <w:p w:rsidR="00D06E11" w:rsidRPr="00340BF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sidRPr="00340BF3">
              <w:rPr>
                <w:b/>
                <w:i/>
              </w:rPr>
              <w:t>.486***</w:t>
            </w:r>
          </w:p>
        </w:tc>
      </w:tr>
      <w:tr w:rsidR="00D06E11" w:rsidTr="00CB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pct"/>
          </w:tcPr>
          <w:p w:rsidR="00D06E11" w:rsidRPr="007554A1" w:rsidRDefault="00D06E11" w:rsidP="00CB7B3D">
            <w:pPr>
              <w:rPr>
                <w:bCs w:val="0"/>
              </w:rPr>
            </w:pPr>
            <w:r>
              <w:rPr>
                <w:b w:val="0"/>
              </w:rPr>
              <w:t>Time 3</w:t>
            </w:r>
            <w:r>
              <w:t xml:space="preserve"> </w:t>
            </w:r>
            <w:r>
              <w:rPr>
                <w:b w:val="0"/>
              </w:rPr>
              <w:t>(</w:t>
            </w:r>
            <w:r w:rsidRPr="000258E2">
              <w:rPr>
                <w:b w:val="0"/>
              </w:rPr>
              <w:t>Jul – Sep, 2015)</w:t>
            </w:r>
          </w:p>
        </w:tc>
        <w:tc>
          <w:tcPr>
            <w:tcW w:w="626" w:type="pct"/>
            <w:vAlign w:val="center"/>
          </w:tcPr>
          <w:p w:rsidR="00D06E11" w:rsidRPr="000258E2" w:rsidRDefault="00D06E11" w:rsidP="00CB7B3D">
            <w:pPr>
              <w:jc w:val="center"/>
              <w:cnfStyle w:val="000000100000" w:firstRow="0" w:lastRow="0" w:firstColumn="0" w:lastColumn="0" w:oddVBand="0" w:evenVBand="0" w:oddHBand="1" w:evenHBand="0" w:firstRowFirstColumn="0" w:firstRowLastColumn="0" w:lastRowFirstColumn="0" w:lastRowLastColumn="0"/>
            </w:pPr>
            <w:r>
              <w:t>-.043</w:t>
            </w:r>
          </w:p>
        </w:tc>
        <w:tc>
          <w:tcPr>
            <w:tcW w:w="578" w:type="pct"/>
            <w:vAlign w:val="center"/>
          </w:tcPr>
          <w:p w:rsidR="00D06E11" w:rsidRDefault="00D06E11" w:rsidP="00CB7B3D">
            <w:pPr>
              <w:jc w:val="center"/>
              <w:cnfStyle w:val="000000100000" w:firstRow="0" w:lastRow="0" w:firstColumn="0" w:lastColumn="0" w:oddVBand="0" w:evenVBand="0" w:oddHBand="1" w:evenHBand="0" w:firstRowFirstColumn="0" w:firstRowLastColumn="0" w:lastRowFirstColumn="0" w:lastRowLastColumn="0"/>
            </w:pPr>
            <w:r>
              <w:t>1.14</w:t>
            </w:r>
          </w:p>
        </w:tc>
        <w:tc>
          <w:tcPr>
            <w:tcW w:w="577" w:type="pct"/>
            <w:vAlign w:val="center"/>
          </w:tcPr>
          <w:p w:rsidR="00D06E11" w:rsidRPr="00340BF3" w:rsidRDefault="00D06E11" w:rsidP="00CB7B3D">
            <w:pPr>
              <w:jc w:val="center"/>
              <w:cnfStyle w:val="000000100000" w:firstRow="0" w:lastRow="0" w:firstColumn="0" w:lastColumn="0" w:oddVBand="0" w:evenVBand="0" w:oddHBand="1" w:evenHBand="0" w:firstRowFirstColumn="0" w:firstRowLastColumn="0" w:lastRowFirstColumn="0" w:lastRowLastColumn="0"/>
              <w:rPr>
                <w:b/>
                <w:i/>
              </w:rPr>
            </w:pPr>
            <w:r w:rsidRPr="00340BF3">
              <w:rPr>
                <w:b/>
                <w:i/>
              </w:rPr>
              <w:t>-.367***</w:t>
            </w:r>
          </w:p>
        </w:tc>
        <w:tc>
          <w:tcPr>
            <w:tcW w:w="578" w:type="pct"/>
            <w:vAlign w:val="center"/>
          </w:tcPr>
          <w:p w:rsidR="00D06E11" w:rsidRDefault="00D06E11" w:rsidP="00CB7B3D">
            <w:pPr>
              <w:jc w:val="center"/>
              <w:cnfStyle w:val="000000100000" w:firstRow="0" w:lastRow="0" w:firstColumn="0" w:lastColumn="0" w:oddVBand="0" w:evenVBand="0" w:oddHBand="1" w:evenHBand="0" w:firstRowFirstColumn="0" w:firstRowLastColumn="0" w:lastRowFirstColumn="0" w:lastRowLastColumn="0"/>
            </w:pPr>
            <w:r>
              <w:t>0.80</w:t>
            </w:r>
          </w:p>
        </w:tc>
        <w:tc>
          <w:tcPr>
            <w:tcW w:w="574" w:type="pct"/>
            <w:vAlign w:val="center"/>
          </w:tcPr>
          <w:p w:rsidR="00D06E11" w:rsidRPr="00340BF3" w:rsidRDefault="00D06E11" w:rsidP="00CB7B3D">
            <w:pPr>
              <w:jc w:val="center"/>
              <w:cnfStyle w:val="000000100000" w:firstRow="0" w:lastRow="0" w:firstColumn="0" w:lastColumn="0" w:oddVBand="0" w:evenVBand="0" w:oddHBand="1" w:evenHBand="0" w:firstRowFirstColumn="0" w:firstRowLastColumn="0" w:lastRowFirstColumn="0" w:lastRowLastColumn="0"/>
              <w:rPr>
                <w:b/>
                <w:i/>
              </w:rPr>
            </w:pPr>
            <w:r w:rsidRPr="00340BF3">
              <w:rPr>
                <w:b/>
                <w:i/>
              </w:rPr>
              <w:t>.273***</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067" w:type="pct"/>
          </w:tcPr>
          <w:p w:rsidR="00D06E11" w:rsidRPr="007554A1" w:rsidRDefault="00D06E11" w:rsidP="00CB7B3D">
            <w:pPr>
              <w:rPr>
                <w:bCs w:val="0"/>
              </w:rPr>
            </w:pPr>
            <w:r>
              <w:rPr>
                <w:b w:val="0"/>
              </w:rPr>
              <w:t>Time 4</w:t>
            </w:r>
            <w:r>
              <w:t xml:space="preserve"> </w:t>
            </w:r>
            <w:r w:rsidRPr="000258E2">
              <w:rPr>
                <w:b w:val="0"/>
              </w:rPr>
              <w:t>(Oct – Dec, 2015)</w:t>
            </w:r>
          </w:p>
        </w:tc>
        <w:tc>
          <w:tcPr>
            <w:tcW w:w="626" w:type="pct"/>
            <w:vAlign w:val="center"/>
          </w:tcPr>
          <w:p w:rsidR="00D06E11" w:rsidRPr="00340BF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sidRPr="00340BF3">
              <w:rPr>
                <w:b/>
                <w:i/>
              </w:rPr>
              <w:t>.138***</w:t>
            </w:r>
          </w:p>
        </w:tc>
        <w:tc>
          <w:tcPr>
            <w:tcW w:w="578" w:type="pct"/>
            <w:vAlign w:val="center"/>
          </w:tcPr>
          <w:p w:rsidR="00D06E11" w:rsidRDefault="00D06E11" w:rsidP="00CB7B3D">
            <w:pPr>
              <w:jc w:val="center"/>
              <w:cnfStyle w:val="000000000000" w:firstRow="0" w:lastRow="0" w:firstColumn="0" w:lastColumn="0" w:oddVBand="0" w:evenVBand="0" w:oddHBand="0" w:evenHBand="0" w:firstRowFirstColumn="0" w:firstRowLastColumn="0" w:lastRowFirstColumn="0" w:lastRowLastColumn="0"/>
            </w:pPr>
            <w:r>
              <w:t>1.03</w:t>
            </w:r>
          </w:p>
        </w:tc>
        <w:tc>
          <w:tcPr>
            <w:tcW w:w="577" w:type="pct"/>
            <w:vAlign w:val="center"/>
          </w:tcPr>
          <w:p w:rsidR="00D06E11" w:rsidRPr="00340BF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sidRPr="00340BF3">
              <w:rPr>
                <w:b/>
                <w:i/>
              </w:rPr>
              <w:t>-.476***</w:t>
            </w:r>
          </w:p>
        </w:tc>
        <w:tc>
          <w:tcPr>
            <w:tcW w:w="578" w:type="pct"/>
            <w:vAlign w:val="center"/>
          </w:tcPr>
          <w:p w:rsidR="00D06E11" w:rsidRDefault="00D06E11" w:rsidP="00CB7B3D">
            <w:pPr>
              <w:jc w:val="center"/>
              <w:cnfStyle w:val="000000000000" w:firstRow="0" w:lastRow="0" w:firstColumn="0" w:lastColumn="0" w:oddVBand="0" w:evenVBand="0" w:oddHBand="0" w:evenHBand="0" w:firstRowFirstColumn="0" w:firstRowLastColumn="0" w:lastRowFirstColumn="0" w:lastRowLastColumn="0"/>
            </w:pPr>
            <w:r>
              <w:t>1.21</w:t>
            </w:r>
          </w:p>
        </w:tc>
        <w:tc>
          <w:tcPr>
            <w:tcW w:w="574" w:type="pct"/>
            <w:vAlign w:val="center"/>
          </w:tcPr>
          <w:p w:rsidR="00D06E11" w:rsidRPr="00340BF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sidRPr="00340BF3">
              <w:rPr>
                <w:b/>
                <w:i/>
              </w:rPr>
              <w:t>.676***</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067" w:type="pct"/>
          </w:tcPr>
          <w:p w:rsidR="00D06E11" w:rsidRPr="007554A1" w:rsidRDefault="00D06E11" w:rsidP="00CB7B3D">
            <w:pPr>
              <w:rPr>
                <w:bCs w:val="0"/>
              </w:rPr>
            </w:pPr>
            <w:r>
              <w:rPr>
                <w:b w:val="0"/>
              </w:rPr>
              <w:t>Time 5</w:t>
            </w:r>
            <w:r>
              <w:t xml:space="preserve"> </w:t>
            </w:r>
            <w:r w:rsidRPr="000258E2">
              <w:rPr>
                <w:b w:val="0"/>
              </w:rPr>
              <w:t xml:space="preserve">(Jan – Mar, 2016) </w:t>
            </w:r>
          </w:p>
        </w:tc>
        <w:tc>
          <w:tcPr>
            <w:tcW w:w="626" w:type="pct"/>
            <w:vAlign w:val="center"/>
          </w:tcPr>
          <w:p w:rsidR="00D06E11" w:rsidRPr="00340BF3" w:rsidRDefault="00D06E11" w:rsidP="00CB7B3D">
            <w:pPr>
              <w:jc w:val="center"/>
              <w:cnfStyle w:val="000000100000" w:firstRow="0" w:lastRow="0" w:firstColumn="0" w:lastColumn="0" w:oddVBand="0" w:evenVBand="0" w:oddHBand="1" w:evenHBand="0" w:firstRowFirstColumn="0" w:firstRowLastColumn="0" w:lastRowFirstColumn="0" w:lastRowLastColumn="0"/>
              <w:rPr>
                <w:b/>
                <w:i/>
              </w:rPr>
            </w:pPr>
            <w:r w:rsidRPr="00340BF3">
              <w:rPr>
                <w:b/>
                <w:i/>
              </w:rPr>
              <w:t>.183***</w:t>
            </w:r>
          </w:p>
        </w:tc>
        <w:tc>
          <w:tcPr>
            <w:tcW w:w="578" w:type="pct"/>
            <w:vAlign w:val="center"/>
          </w:tcPr>
          <w:p w:rsidR="00D06E11" w:rsidRDefault="00D06E11" w:rsidP="00CB7B3D">
            <w:pPr>
              <w:jc w:val="center"/>
              <w:cnfStyle w:val="000000100000" w:firstRow="0" w:lastRow="0" w:firstColumn="0" w:lastColumn="0" w:oddVBand="0" w:evenVBand="0" w:oddHBand="1" w:evenHBand="0" w:firstRowFirstColumn="0" w:firstRowLastColumn="0" w:lastRowFirstColumn="0" w:lastRowLastColumn="0"/>
            </w:pPr>
            <w:r>
              <w:t>1.31</w:t>
            </w:r>
          </w:p>
        </w:tc>
        <w:tc>
          <w:tcPr>
            <w:tcW w:w="577" w:type="pct"/>
            <w:vAlign w:val="center"/>
          </w:tcPr>
          <w:p w:rsidR="00D06E11" w:rsidRPr="00340BF3" w:rsidRDefault="00D06E11" w:rsidP="00CB7B3D">
            <w:pPr>
              <w:jc w:val="center"/>
              <w:cnfStyle w:val="000000100000" w:firstRow="0" w:lastRow="0" w:firstColumn="0" w:lastColumn="0" w:oddVBand="0" w:evenVBand="0" w:oddHBand="1" w:evenHBand="0" w:firstRowFirstColumn="0" w:firstRowLastColumn="0" w:lastRowFirstColumn="0" w:lastRowLastColumn="0"/>
              <w:rPr>
                <w:b/>
                <w:i/>
              </w:rPr>
            </w:pPr>
            <w:r w:rsidRPr="00340BF3">
              <w:rPr>
                <w:b/>
                <w:i/>
              </w:rPr>
              <w:t>-.192***</w:t>
            </w:r>
          </w:p>
        </w:tc>
        <w:tc>
          <w:tcPr>
            <w:tcW w:w="578" w:type="pct"/>
            <w:vAlign w:val="center"/>
          </w:tcPr>
          <w:p w:rsidR="00D06E11" w:rsidRDefault="00D06E11" w:rsidP="00CB7B3D">
            <w:pPr>
              <w:jc w:val="center"/>
              <w:cnfStyle w:val="000000100000" w:firstRow="0" w:lastRow="0" w:firstColumn="0" w:lastColumn="0" w:oddVBand="0" w:evenVBand="0" w:oddHBand="1" w:evenHBand="0" w:firstRowFirstColumn="0" w:firstRowLastColumn="0" w:lastRowFirstColumn="0" w:lastRowLastColumn="0"/>
            </w:pPr>
            <w:r>
              <w:t>1.08</w:t>
            </w:r>
          </w:p>
        </w:tc>
        <w:tc>
          <w:tcPr>
            <w:tcW w:w="574" w:type="pct"/>
            <w:vAlign w:val="center"/>
          </w:tcPr>
          <w:p w:rsidR="00D06E11" w:rsidRPr="00340BF3" w:rsidRDefault="00D06E11" w:rsidP="00CB7B3D">
            <w:pPr>
              <w:jc w:val="center"/>
              <w:cnfStyle w:val="000000100000" w:firstRow="0" w:lastRow="0" w:firstColumn="0" w:lastColumn="0" w:oddVBand="0" w:evenVBand="0" w:oddHBand="1" w:evenHBand="0" w:firstRowFirstColumn="0" w:firstRowLastColumn="0" w:lastRowFirstColumn="0" w:lastRowLastColumn="0"/>
              <w:rPr>
                <w:b/>
                <w:i/>
              </w:rPr>
            </w:pPr>
            <w:r w:rsidRPr="00340BF3">
              <w:rPr>
                <w:b/>
                <w:i/>
              </w:rPr>
              <w:t>.547***</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067" w:type="pct"/>
          </w:tcPr>
          <w:p w:rsidR="00D06E11" w:rsidRPr="007554A1" w:rsidRDefault="00D06E11" w:rsidP="00CB7B3D">
            <w:pPr>
              <w:rPr>
                <w:bCs w:val="0"/>
              </w:rPr>
            </w:pPr>
            <w:r>
              <w:rPr>
                <w:b w:val="0"/>
              </w:rPr>
              <w:t>Time 6</w:t>
            </w:r>
            <w:r>
              <w:t xml:space="preserve"> </w:t>
            </w:r>
            <w:r w:rsidRPr="000258E2">
              <w:rPr>
                <w:b w:val="0"/>
              </w:rPr>
              <w:t>(Apr – Jun, 201</w:t>
            </w:r>
            <w:r>
              <w:rPr>
                <w:b w:val="0"/>
              </w:rPr>
              <w:t>6</w:t>
            </w:r>
            <w:r w:rsidRPr="000258E2">
              <w:rPr>
                <w:b w:val="0"/>
              </w:rPr>
              <w:t>)</w:t>
            </w:r>
          </w:p>
        </w:tc>
        <w:tc>
          <w:tcPr>
            <w:tcW w:w="626" w:type="pct"/>
            <w:vAlign w:val="center"/>
          </w:tcPr>
          <w:p w:rsidR="00D06E11" w:rsidRPr="00340BF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sidRPr="00340BF3">
              <w:rPr>
                <w:b/>
                <w:i/>
              </w:rPr>
              <w:t>.206***</w:t>
            </w:r>
          </w:p>
        </w:tc>
        <w:tc>
          <w:tcPr>
            <w:tcW w:w="578" w:type="pct"/>
            <w:vAlign w:val="center"/>
          </w:tcPr>
          <w:p w:rsidR="00D06E11" w:rsidRDefault="00D06E11" w:rsidP="00CB7B3D">
            <w:pPr>
              <w:jc w:val="center"/>
              <w:cnfStyle w:val="000000000000" w:firstRow="0" w:lastRow="0" w:firstColumn="0" w:lastColumn="0" w:oddVBand="0" w:evenVBand="0" w:oddHBand="0" w:evenHBand="0" w:firstRowFirstColumn="0" w:firstRowLastColumn="0" w:lastRowFirstColumn="0" w:lastRowLastColumn="0"/>
            </w:pPr>
            <w:r>
              <w:t>1.44</w:t>
            </w:r>
          </w:p>
        </w:tc>
        <w:tc>
          <w:tcPr>
            <w:tcW w:w="577" w:type="pct"/>
            <w:vAlign w:val="center"/>
          </w:tcPr>
          <w:p w:rsidR="00D06E11" w:rsidRPr="000258E2" w:rsidRDefault="00D06E11" w:rsidP="00CB7B3D">
            <w:pPr>
              <w:jc w:val="center"/>
              <w:cnfStyle w:val="000000000000" w:firstRow="0" w:lastRow="0" w:firstColumn="0" w:lastColumn="0" w:oddVBand="0" w:evenVBand="0" w:oddHBand="0" w:evenHBand="0" w:firstRowFirstColumn="0" w:firstRowLastColumn="0" w:lastRowFirstColumn="0" w:lastRowLastColumn="0"/>
            </w:pPr>
            <w:r>
              <w:t>-.064</w:t>
            </w:r>
          </w:p>
        </w:tc>
        <w:tc>
          <w:tcPr>
            <w:tcW w:w="578" w:type="pct"/>
            <w:vAlign w:val="center"/>
          </w:tcPr>
          <w:p w:rsidR="00D06E11" w:rsidRDefault="00D06E11" w:rsidP="00CB7B3D">
            <w:pPr>
              <w:jc w:val="center"/>
              <w:cnfStyle w:val="000000000000" w:firstRow="0" w:lastRow="0" w:firstColumn="0" w:lastColumn="0" w:oddVBand="0" w:evenVBand="0" w:oddHBand="0" w:evenHBand="0" w:firstRowFirstColumn="0" w:firstRowLastColumn="0" w:lastRowFirstColumn="0" w:lastRowLastColumn="0"/>
            </w:pPr>
            <w:r>
              <w:t>0.97</w:t>
            </w:r>
          </w:p>
        </w:tc>
        <w:tc>
          <w:tcPr>
            <w:tcW w:w="574" w:type="pct"/>
            <w:vAlign w:val="center"/>
          </w:tcPr>
          <w:p w:rsidR="00D06E11" w:rsidRPr="00340BF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sidRPr="00340BF3">
              <w:rPr>
                <w:b/>
                <w:i/>
              </w:rPr>
              <w:t>.441***</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067" w:type="pct"/>
          </w:tcPr>
          <w:p w:rsidR="00D06E11" w:rsidRPr="007554A1" w:rsidRDefault="00D06E11" w:rsidP="00CB7B3D">
            <w:pPr>
              <w:rPr>
                <w:bCs w:val="0"/>
              </w:rPr>
            </w:pPr>
            <w:r>
              <w:rPr>
                <w:b w:val="0"/>
              </w:rPr>
              <w:t>Time 7</w:t>
            </w:r>
            <w:r>
              <w:t xml:space="preserve"> </w:t>
            </w:r>
            <w:r w:rsidRPr="000258E2">
              <w:rPr>
                <w:b w:val="0"/>
              </w:rPr>
              <w:t>(Jul – Sep</w:t>
            </w:r>
            <w:r>
              <w:rPr>
                <w:b w:val="0"/>
              </w:rPr>
              <w:t>1.15</w:t>
            </w:r>
            <w:r w:rsidRPr="000258E2">
              <w:rPr>
                <w:b w:val="0"/>
              </w:rPr>
              <w:t>, 201</w:t>
            </w:r>
            <w:r>
              <w:rPr>
                <w:b w:val="0"/>
              </w:rPr>
              <w:t>6</w:t>
            </w:r>
            <w:r w:rsidRPr="000258E2">
              <w:rPr>
                <w:b w:val="0"/>
              </w:rPr>
              <w:t>)</w:t>
            </w:r>
          </w:p>
        </w:tc>
        <w:tc>
          <w:tcPr>
            <w:tcW w:w="626" w:type="pct"/>
            <w:vAlign w:val="center"/>
          </w:tcPr>
          <w:p w:rsidR="00D06E11" w:rsidRPr="00340BF3" w:rsidRDefault="00D06E11" w:rsidP="00CB7B3D">
            <w:pPr>
              <w:jc w:val="center"/>
              <w:cnfStyle w:val="000000100000" w:firstRow="0" w:lastRow="0" w:firstColumn="0" w:lastColumn="0" w:oddVBand="0" w:evenVBand="0" w:oddHBand="1" w:evenHBand="0" w:firstRowFirstColumn="0" w:firstRowLastColumn="0" w:lastRowFirstColumn="0" w:lastRowLastColumn="0"/>
              <w:rPr>
                <w:b/>
                <w:i/>
              </w:rPr>
            </w:pPr>
            <w:r w:rsidRPr="00340BF3">
              <w:rPr>
                <w:b/>
                <w:i/>
              </w:rPr>
              <w:t>.363***</w:t>
            </w:r>
          </w:p>
        </w:tc>
        <w:tc>
          <w:tcPr>
            <w:tcW w:w="578" w:type="pct"/>
            <w:vAlign w:val="center"/>
          </w:tcPr>
          <w:p w:rsidR="00D06E11" w:rsidRDefault="00D06E11" w:rsidP="00CB7B3D">
            <w:pPr>
              <w:jc w:val="center"/>
              <w:cnfStyle w:val="000000100000" w:firstRow="0" w:lastRow="0" w:firstColumn="0" w:lastColumn="0" w:oddVBand="0" w:evenVBand="0" w:oddHBand="1" w:evenHBand="0" w:firstRowFirstColumn="0" w:firstRowLastColumn="0" w:lastRowFirstColumn="0" w:lastRowLastColumn="0"/>
            </w:pPr>
            <w:r>
              <w:t>1.63</w:t>
            </w:r>
          </w:p>
        </w:tc>
        <w:tc>
          <w:tcPr>
            <w:tcW w:w="577" w:type="pct"/>
            <w:vAlign w:val="center"/>
          </w:tcPr>
          <w:p w:rsidR="00D06E11" w:rsidRPr="00340BF3" w:rsidRDefault="00D06E11" w:rsidP="00CB7B3D">
            <w:pPr>
              <w:jc w:val="center"/>
              <w:cnfStyle w:val="000000100000" w:firstRow="0" w:lastRow="0" w:firstColumn="0" w:lastColumn="0" w:oddVBand="0" w:evenVBand="0" w:oddHBand="1" w:evenHBand="0" w:firstRowFirstColumn="0" w:firstRowLastColumn="0" w:lastRowFirstColumn="0" w:lastRowLastColumn="0"/>
              <w:rPr>
                <w:b/>
                <w:i/>
              </w:rPr>
            </w:pPr>
            <w:r w:rsidRPr="00340BF3">
              <w:rPr>
                <w:b/>
                <w:i/>
              </w:rPr>
              <w:t>.126**</w:t>
            </w:r>
          </w:p>
        </w:tc>
        <w:tc>
          <w:tcPr>
            <w:tcW w:w="578" w:type="pct"/>
            <w:vAlign w:val="center"/>
          </w:tcPr>
          <w:p w:rsidR="00D06E11" w:rsidRDefault="00D06E11" w:rsidP="00CB7B3D">
            <w:pPr>
              <w:jc w:val="center"/>
              <w:cnfStyle w:val="000000100000" w:firstRow="0" w:lastRow="0" w:firstColumn="0" w:lastColumn="0" w:oddVBand="0" w:evenVBand="0" w:oddHBand="1" w:evenHBand="0" w:firstRowFirstColumn="0" w:firstRowLastColumn="0" w:lastRowFirstColumn="0" w:lastRowLastColumn="0"/>
            </w:pPr>
            <w:r>
              <w:t>1.09</w:t>
            </w:r>
          </w:p>
        </w:tc>
        <w:tc>
          <w:tcPr>
            <w:tcW w:w="574" w:type="pct"/>
            <w:vAlign w:val="center"/>
          </w:tcPr>
          <w:p w:rsidR="00D06E11" w:rsidRPr="00340BF3" w:rsidRDefault="00D06E11" w:rsidP="00CB7B3D">
            <w:pPr>
              <w:jc w:val="center"/>
              <w:cnfStyle w:val="000000100000" w:firstRow="0" w:lastRow="0" w:firstColumn="0" w:lastColumn="0" w:oddVBand="0" w:evenVBand="0" w:oddHBand="1" w:evenHBand="0" w:firstRowFirstColumn="0" w:firstRowLastColumn="0" w:lastRowFirstColumn="0" w:lastRowLastColumn="0"/>
              <w:rPr>
                <w:b/>
                <w:i/>
              </w:rPr>
            </w:pPr>
            <w:r w:rsidRPr="00340BF3">
              <w:rPr>
                <w:b/>
                <w:i/>
              </w:rPr>
              <w:t>.558***</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067" w:type="pct"/>
          </w:tcPr>
          <w:p w:rsidR="00D06E11" w:rsidRPr="007554A1" w:rsidRDefault="00D06E11" w:rsidP="00CB7B3D">
            <w:pPr>
              <w:rPr>
                <w:bCs w:val="0"/>
              </w:rPr>
            </w:pPr>
            <w:r>
              <w:rPr>
                <w:b w:val="0"/>
              </w:rPr>
              <w:t>Time 8</w:t>
            </w:r>
            <w:r w:rsidRPr="000258E2">
              <w:rPr>
                <w:b w:val="0"/>
              </w:rPr>
              <w:t xml:space="preserve"> (Oct – Dec, 201</w:t>
            </w:r>
            <w:r>
              <w:rPr>
                <w:b w:val="0"/>
              </w:rPr>
              <w:t>6</w:t>
            </w:r>
            <w:r w:rsidRPr="000258E2">
              <w:rPr>
                <w:b w:val="0"/>
              </w:rPr>
              <w:t>)</w:t>
            </w:r>
          </w:p>
        </w:tc>
        <w:tc>
          <w:tcPr>
            <w:tcW w:w="626" w:type="pct"/>
            <w:vAlign w:val="center"/>
          </w:tcPr>
          <w:p w:rsidR="00D06E11" w:rsidRPr="00340BF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sidRPr="00340BF3">
              <w:rPr>
                <w:b/>
                <w:i/>
              </w:rPr>
              <w:t>.656***</w:t>
            </w:r>
          </w:p>
        </w:tc>
        <w:tc>
          <w:tcPr>
            <w:tcW w:w="578" w:type="pct"/>
            <w:vAlign w:val="center"/>
          </w:tcPr>
          <w:p w:rsidR="00D06E11" w:rsidRDefault="00D06E11" w:rsidP="00CB7B3D">
            <w:pPr>
              <w:jc w:val="center"/>
              <w:cnfStyle w:val="000000000000" w:firstRow="0" w:lastRow="0" w:firstColumn="0" w:lastColumn="0" w:oddVBand="0" w:evenVBand="0" w:oddHBand="0" w:evenHBand="0" w:firstRowFirstColumn="0" w:firstRowLastColumn="0" w:lastRowFirstColumn="0" w:lastRowLastColumn="0"/>
            </w:pPr>
            <w:r>
              <w:t>1.45</w:t>
            </w:r>
          </w:p>
        </w:tc>
        <w:tc>
          <w:tcPr>
            <w:tcW w:w="577" w:type="pct"/>
            <w:vAlign w:val="center"/>
          </w:tcPr>
          <w:p w:rsidR="00D06E11" w:rsidRPr="000258E2" w:rsidRDefault="00D06E11" w:rsidP="00CB7B3D">
            <w:pPr>
              <w:jc w:val="center"/>
              <w:cnfStyle w:val="000000000000" w:firstRow="0" w:lastRow="0" w:firstColumn="0" w:lastColumn="0" w:oddVBand="0" w:evenVBand="0" w:oddHBand="0" w:evenHBand="0" w:firstRowFirstColumn="0" w:firstRowLastColumn="0" w:lastRowFirstColumn="0" w:lastRowLastColumn="0"/>
            </w:pPr>
            <w:r>
              <w:t>-.054</w:t>
            </w:r>
          </w:p>
        </w:tc>
        <w:tc>
          <w:tcPr>
            <w:tcW w:w="578" w:type="pct"/>
            <w:vAlign w:val="center"/>
          </w:tcPr>
          <w:p w:rsidR="00D06E11" w:rsidRDefault="00D06E11" w:rsidP="00CB7B3D">
            <w:pPr>
              <w:jc w:val="center"/>
              <w:cnfStyle w:val="000000000000" w:firstRow="0" w:lastRow="0" w:firstColumn="0" w:lastColumn="0" w:oddVBand="0" w:evenVBand="0" w:oddHBand="0" w:evenHBand="0" w:firstRowFirstColumn="0" w:firstRowLastColumn="0" w:lastRowFirstColumn="0" w:lastRowLastColumn="0"/>
            </w:pPr>
            <w:r>
              <w:t>2.08</w:t>
            </w:r>
          </w:p>
        </w:tc>
        <w:tc>
          <w:tcPr>
            <w:tcW w:w="574" w:type="pct"/>
            <w:vAlign w:val="center"/>
          </w:tcPr>
          <w:p w:rsidR="00D06E11" w:rsidRPr="00340BF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sidRPr="00340BF3">
              <w:rPr>
                <w:b/>
                <w:i/>
              </w:rPr>
              <w:t>1.54***</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067" w:type="pct"/>
          </w:tcPr>
          <w:p w:rsidR="00D06E11" w:rsidRPr="007554A1" w:rsidRDefault="00D06E11" w:rsidP="00CB7B3D">
            <w:pPr>
              <w:rPr>
                <w:bCs w:val="0"/>
              </w:rPr>
            </w:pPr>
            <w:r>
              <w:rPr>
                <w:b w:val="0"/>
              </w:rPr>
              <w:t>Time 9</w:t>
            </w:r>
            <w:r>
              <w:t xml:space="preserve"> </w:t>
            </w:r>
            <w:r w:rsidRPr="000258E2">
              <w:rPr>
                <w:b w:val="0"/>
              </w:rPr>
              <w:t>(Jan – Mar, 201</w:t>
            </w:r>
            <w:r>
              <w:rPr>
                <w:b w:val="0"/>
              </w:rPr>
              <w:t>7</w:t>
            </w:r>
            <w:r w:rsidRPr="000258E2">
              <w:rPr>
                <w:b w:val="0"/>
              </w:rPr>
              <w:t xml:space="preserve">) </w:t>
            </w:r>
          </w:p>
        </w:tc>
        <w:tc>
          <w:tcPr>
            <w:tcW w:w="626" w:type="pct"/>
            <w:vAlign w:val="center"/>
          </w:tcPr>
          <w:p w:rsidR="00D06E11" w:rsidRPr="00340BF3" w:rsidRDefault="00D06E11" w:rsidP="00CB7B3D">
            <w:pPr>
              <w:jc w:val="center"/>
              <w:cnfStyle w:val="000000100000" w:firstRow="0" w:lastRow="0" w:firstColumn="0" w:lastColumn="0" w:oddVBand="0" w:evenVBand="0" w:oddHBand="1" w:evenHBand="0" w:firstRowFirstColumn="0" w:firstRowLastColumn="0" w:lastRowFirstColumn="0" w:lastRowLastColumn="0"/>
              <w:rPr>
                <w:b/>
                <w:i/>
              </w:rPr>
            </w:pPr>
            <w:r w:rsidRPr="00340BF3">
              <w:rPr>
                <w:b/>
                <w:i/>
              </w:rPr>
              <w:t>.212***</w:t>
            </w:r>
          </w:p>
        </w:tc>
        <w:tc>
          <w:tcPr>
            <w:tcW w:w="578" w:type="pct"/>
            <w:vAlign w:val="center"/>
          </w:tcPr>
          <w:p w:rsidR="00D06E11" w:rsidRDefault="00D06E11" w:rsidP="00CB7B3D">
            <w:pPr>
              <w:jc w:val="center"/>
              <w:cnfStyle w:val="000000100000" w:firstRow="0" w:lastRow="0" w:firstColumn="0" w:lastColumn="0" w:oddVBand="0" w:evenVBand="0" w:oddHBand="1" w:evenHBand="0" w:firstRowFirstColumn="0" w:firstRowLastColumn="0" w:lastRowFirstColumn="0" w:lastRowLastColumn="0"/>
            </w:pPr>
            <w:r>
              <w:t>1.30</w:t>
            </w:r>
          </w:p>
        </w:tc>
        <w:tc>
          <w:tcPr>
            <w:tcW w:w="577" w:type="pct"/>
            <w:vAlign w:val="center"/>
          </w:tcPr>
          <w:p w:rsidR="00D06E11" w:rsidRPr="00340BF3" w:rsidRDefault="00D06E11" w:rsidP="00CB7B3D">
            <w:pPr>
              <w:jc w:val="center"/>
              <w:cnfStyle w:val="000000100000" w:firstRow="0" w:lastRow="0" w:firstColumn="0" w:lastColumn="0" w:oddVBand="0" w:evenVBand="0" w:oddHBand="1" w:evenHBand="0" w:firstRowFirstColumn="0" w:firstRowLastColumn="0" w:lastRowFirstColumn="0" w:lastRowLastColumn="0"/>
              <w:rPr>
                <w:b/>
                <w:i/>
              </w:rPr>
            </w:pPr>
            <w:r w:rsidRPr="00340BF3">
              <w:rPr>
                <w:b/>
                <w:i/>
              </w:rPr>
              <w:t>-.207***</w:t>
            </w:r>
          </w:p>
        </w:tc>
        <w:tc>
          <w:tcPr>
            <w:tcW w:w="578" w:type="pct"/>
            <w:vAlign w:val="center"/>
          </w:tcPr>
          <w:p w:rsidR="00D06E11" w:rsidRDefault="00D06E11" w:rsidP="00CB7B3D">
            <w:pPr>
              <w:jc w:val="center"/>
              <w:cnfStyle w:val="000000100000" w:firstRow="0" w:lastRow="0" w:firstColumn="0" w:lastColumn="0" w:oddVBand="0" w:evenVBand="0" w:oddHBand="1" w:evenHBand="0" w:firstRowFirstColumn="0" w:firstRowLastColumn="0" w:lastRowFirstColumn="0" w:lastRowLastColumn="0"/>
            </w:pPr>
            <w:r>
              <w:t>1.15</w:t>
            </w:r>
          </w:p>
        </w:tc>
        <w:tc>
          <w:tcPr>
            <w:tcW w:w="574" w:type="pct"/>
            <w:vAlign w:val="center"/>
          </w:tcPr>
          <w:p w:rsidR="00D06E11" w:rsidRPr="00340BF3" w:rsidRDefault="00D06E11" w:rsidP="00CB7B3D">
            <w:pPr>
              <w:jc w:val="center"/>
              <w:cnfStyle w:val="000000100000" w:firstRow="0" w:lastRow="0" w:firstColumn="0" w:lastColumn="0" w:oddVBand="0" w:evenVBand="0" w:oddHBand="1" w:evenHBand="0" w:firstRowFirstColumn="0" w:firstRowLastColumn="0" w:lastRowFirstColumn="0" w:lastRowLastColumn="0"/>
              <w:rPr>
                <w:b/>
                <w:i/>
              </w:rPr>
            </w:pPr>
            <w:r w:rsidRPr="00340BF3">
              <w:rPr>
                <w:b/>
                <w:i/>
              </w:rPr>
              <w:t>.623***</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067" w:type="pct"/>
          </w:tcPr>
          <w:p w:rsidR="00D06E11" w:rsidRPr="007554A1" w:rsidRDefault="00D06E11" w:rsidP="00CB7B3D">
            <w:pPr>
              <w:rPr>
                <w:bCs w:val="0"/>
              </w:rPr>
            </w:pPr>
            <w:r>
              <w:rPr>
                <w:b w:val="0"/>
              </w:rPr>
              <w:t>Time 10</w:t>
            </w:r>
            <w:r>
              <w:t xml:space="preserve"> </w:t>
            </w:r>
            <w:r w:rsidRPr="000258E2">
              <w:rPr>
                <w:b w:val="0"/>
              </w:rPr>
              <w:t>(Apr – Jun, 201</w:t>
            </w:r>
            <w:r>
              <w:rPr>
                <w:b w:val="0"/>
              </w:rPr>
              <w:t>7</w:t>
            </w:r>
            <w:r w:rsidRPr="000258E2">
              <w:rPr>
                <w:b w:val="0"/>
              </w:rPr>
              <w:t>)</w:t>
            </w:r>
          </w:p>
        </w:tc>
        <w:tc>
          <w:tcPr>
            <w:tcW w:w="626" w:type="pct"/>
            <w:vAlign w:val="center"/>
          </w:tcPr>
          <w:p w:rsidR="00D06E11" w:rsidRPr="00340BF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sidRPr="00340BF3">
              <w:rPr>
                <w:b/>
                <w:i/>
              </w:rPr>
              <w:t>1.39***</w:t>
            </w:r>
          </w:p>
        </w:tc>
        <w:tc>
          <w:tcPr>
            <w:tcW w:w="578" w:type="pct"/>
            <w:vAlign w:val="center"/>
          </w:tcPr>
          <w:p w:rsidR="00D06E11" w:rsidRDefault="00D06E11" w:rsidP="00CB7B3D">
            <w:pPr>
              <w:jc w:val="center"/>
              <w:cnfStyle w:val="000000000000" w:firstRow="0" w:lastRow="0" w:firstColumn="0" w:lastColumn="0" w:oddVBand="0" w:evenVBand="0" w:oddHBand="0" w:evenHBand="0" w:firstRowFirstColumn="0" w:firstRowLastColumn="0" w:lastRowFirstColumn="0" w:lastRowLastColumn="0"/>
            </w:pPr>
            <w:r>
              <w:t>1.78</w:t>
            </w:r>
          </w:p>
        </w:tc>
        <w:tc>
          <w:tcPr>
            <w:tcW w:w="577" w:type="pct"/>
            <w:vAlign w:val="center"/>
          </w:tcPr>
          <w:p w:rsidR="00D06E11" w:rsidRPr="00340BF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sidRPr="00340BF3">
              <w:rPr>
                <w:b/>
                <w:i/>
              </w:rPr>
              <w:t>.277***</w:t>
            </w:r>
          </w:p>
        </w:tc>
        <w:tc>
          <w:tcPr>
            <w:tcW w:w="578" w:type="pct"/>
            <w:vAlign w:val="center"/>
          </w:tcPr>
          <w:p w:rsidR="00D06E11" w:rsidRDefault="00D06E11" w:rsidP="00CB7B3D">
            <w:pPr>
              <w:jc w:val="center"/>
              <w:cnfStyle w:val="000000000000" w:firstRow="0" w:lastRow="0" w:firstColumn="0" w:lastColumn="0" w:oddVBand="0" w:evenVBand="0" w:oddHBand="0" w:evenHBand="0" w:firstRowFirstColumn="0" w:firstRowLastColumn="0" w:lastRowFirstColumn="0" w:lastRowLastColumn="0"/>
            </w:pPr>
            <w:r>
              <w:t>2.97</w:t>
            </w:r>
          </w:p>
        </w:tc>
        <w:tc>
          <w:tcPr>
            <w:tcW w:w="574" w:type="pct"/>
            <w:vAlign w:val="center"/>
          </w:tcPr>
          <w:p w:rsidR="00D06E11" w:rsidRPr="00340BF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sidRPr="00340BF3">
              <w:rPr>
                <w:b/>
                <w:i/>
              </w:rPr>
              <w:t>2.43***</w:t>
            </w:r>
          </w:p>
        </w:tc>
      </w:tr>
      <w:tr w:rsidR="00D06E11" w:rsidTr="00CB7B3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067" w:type="pct"/>
          </w:tcPr>
          <w:p w:rsidR="00D06E11" w:rsidRPr="007554A1" w:rsidRDefault="00D06E11" w:rsidP="00CB7B3D">
            <w:pPr>
              <w:rPr>
                <w:bCs w:val="0"/>
              </w:rPr>
            </w:pPr>
            <w:r>
              <w:rPr>
                <w:b w:val="0"/>
              </w:rPr>
              <w:t>Time 11</w:t>
            </w:r>
            <w:r w:rsidRPr="000258E2">
              <w:rPr>
                <w:b w:val="0"/>
              </w:rPr>
              <w:t xml:space="preserve"> (Jul – Sep, 201</w:t>
            </w:r>
            <w:r>
              <w:rPr>
                <w:b w:val="0"/>
              </w:rPr>
              <w:t>7</w:t>
            </w:r>
            <w:r w:rsidRPr="000258E2">
              <w:rPr>
                <w:b w:val="0"/>
              </w:rPr>
              <w:t>)</w:t>
            </w:r>
          </w:p>
        </w:tc>
        <w:tc>
          <w:tcPr>
            <w:tcW w:w="626" w:type="pct"/>
            <w:vAlign w:val="center"/>
          </w:tcPr>
          <w:p w:rsidR="00D06E11" w:rsidRPr="00340BF3" w:rsidRDefault="00D06E11" w:rsidP="00CB7B3D">
            <w:pPr>
              <w:jc w:val="center"/>
              <w:cnfStyle w:val="000000100000" w:firstRow="0" w:lastRow="0" w:firstColumn="0" w:lastColumn="0" w:oddVBand="0" w:evenVBand="0" w:oddHBand="1" w:evenHBand="0" w:firstRowFirstColumn="0" w:firstRowLastColumn="0" w:lastRowFirstColumn="0" w:lastRowLastColumn="0"/>
              <w:rPr>
                <w:b/>
                <w:i/>
              </w:rPr>
            </w:pPr>
            <w:r w:rsidRPr="00340BF3">
              <w:rPr>
                <w:b/>
                <w:i/>
              </w:rPr>
              <w:t>1.50***</w:t>
            </w:r>
          </w:p>
        </w:tc>
        <w:tc>
          <w:tcPr>
            <w:tcW w:w="578" w:type="pct"/>
            <w:vAlign w:val="center"/>
          </w:tcPr>
          <w:p w:rsidR="00D06E11" w:rsidRDefault="00D06E11" w:rsidP="00CB7B3D">
            <w:pPr>
              <w:jc w:val="center"/>
              <w:cnfStyle w:val="000000100000" w:firstRow="0" w:lastRow="0" w:firstColumn="0" w:lastColumn="0" w:oddVBand="0" w:evenVBand="0" w:oddHBand="1" w:evenHBand="0" w:firstRowFirstColumn="0" w:firstRowLastColumn="0" w:lastRowFirstColumn="0" w:lastRowLastColumn="0"/>
            </w:pPr>
            <w:r>
              <w:t>2.4</w:t>
            </w:r>
          </w:p>
        </w:tc>
        <w:tc>
          <w:tcPr>
            <w:tcW w:w="577" w:type="pct"/>
            <w:vAlign w:val="center"/>
          </w:tcPr>
          <w:p w:rsidR="00D06E11" w:rsidRPr="00340BF3" w:rsidRDefault="00D06E11" w:rsidP="00CB7B3D">
            <w:pPr>
              <w:jc w:val="center"/>
              <w:cnfStyle w:val="000000100000" w:firstRow="0" w:lastRow="0" w:firstColumn="0" w:lastColumn="0" w:oddVBand="0" w:evenVBand="0" w:oddHBand="1" w:evenHBand="0" w:firstRowFirstColumn="0" w:firstRowLastColumn="0" w:lastRowFirstColumn="0" w:lastRowLastColumn="0"/>
              <w:rPr>
                <w:b/>
                <w:i/>
              </w:rPr>
            </w:pPr>
            <w:r w:rsidRPr="00340BF3">
              <w:rPr>
                <w:b/>
                <w:i/>
              </w:rPr>
              <w:t>.889***</w:t>
            </w:r>
          </w:p>
        </w:tc>
        <w:tc>
          <w:tcPr>
            <w:tcW w:w="578" w:type="pct"/>
            <w:vAlign w:val="center"/>
          </w:tcPr>
          <w:p w:rsidR="00D06E11" w:rsidRDefault="00D06E11" w:rsidP="00CB7B3D">
            <w:pPr>
              <w:jc w:val="center"/>
              <w:cnfStyle w:val="000000100000" w:firstRow="0" w:lastRow="0" w:firstColumn="0" w:lastColumn="0" w:oddVBand="0" w:evenVBand="0" w:oddHBand="1" w:evenHBand="0" w:firstRowFirstColumn="0" w:firstRowLastColumn="0" w:lastRowFirstColumn="0" w:lastRowLastColumn="0"/>
            </w:pPr>
            <w:r>
              <w:t>2.76</w:t>
            </w:r>
          </w:p>
        </w:tc>
        <w:tc>
          <w:tcPr>
            <w:tcW w:w="574" w:type="pct"/>
            <w:vAlign w:val="center"/>
          </w:tcPr>
          <w:p w:rsidR="00D06E11" w:rsidRPr="00340BF3" w:rsidRDefault="00D06E11" w:rsidP="00CB7B3D">
            <w:pPr>
              <w:jc w:val="center"/>
              <w:cnfStyle w:val="000000100000" w:firstRow="0" w:lastRow="0" w:firstColumn="0" w:lastColumn="0" w:oddVBand="0" w:evenVBand="0" w:oddHBand="1" w:evenHBand="0" w:firstRowFirstColumn="0" w:firstRowLastColumn="0" w:lastRowFirstColumn="0" w:lastRowLastColumn="0"/>
              <w:rPr>
                <w:b/>
                <w:i/>
              </w:rPr>
            </w:pPr>
            <w:r w:rsidRPr="00340BF3">
              <w:rPr>
                <w:b/>
                <w:i/>
              </w:rPr>
              <w:t>2.22***</w:t>
            </w:r>
          </w:p>
        </w:tc>
      </w:tr>
      <w:tr w:rsidR="00D06E11" w:rsidTr="00CB7B3D">
        <w:trPr>
          <w:trHeight w:val="278"/>
        </w:trPr>
        <w:tc>
          <w:tcPr>
            <w:cnfStyle w:val="001000000000" w:firstRow="0" w:lastRow="0" w:firstColumn="1" w:lastColumn="0" w:oddVBand="0" w:evenVBand="0" w:oddHBand="0" w:evenHBand="0" w:firstRowFirstColumn="0" w:firstRowLastColumn="0" w:lastRowFirstColumn="0" w:lastRowLastColumn="0"/>
            <w:tcW w:w="2067" w:type="pct"/>
          </w:tcPr>
          <w:p w:rsidR="00D06E11" w:rsidRPr="007554A1" w:rsidRDefault="00D06E11" w:rsidP="00CB7B3D">
            <w:pPr>
              <w:rPr>
                <w:bCs w:val="0"/>
              </w:rPr>
            </w:pPr>
            <w:r>
              <w:rPr>
                <w:b w:val="0"/>
              </w:rPr>
              <w:t>Time 12</w:t>
            </w:r>
            <w:r>
              <w:t xml:space="preserve"> </w:t>
            </w:r>
            <w:r w:rsidRPr="000258E2">
              <w:rPr>
                <w:b w:val="0"/>
              </w:rPr>
              <w:t>(Oct – Dec, 201</w:t>
            </w:r>
            <w:r>
              <w:rPr>
                <w:b w:val="0"/>
              </w:rPr>
              <w:t>7</w:t>
            </w:r>
            <w:r w:rsidRPr="000258E2">
              <w:rPr>
                <w:b w:val="0"/>
              </w:rPr>
              <w:t>)</w:t>
            </w:r>
          </w:p>
        </w:tc>
        <w:tc>
          <w:tcPr>
            <w:tcW w:w="626" w:type="pct"/>
            <w:vAlign w:val="center"/>
          </w:tcPr>
          <w:p w:rsidR="00D06E11" w:rsidRPr="00340BF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sidRPr="00340BF3">
              <w:rPr>
                <w:b/>
                <w:i/>
              </w:rPr>
              <w:t>1.71***</w:t>
            </w:r>
          </w:p>
        </w:tc>
        <w:tc>
          <w:tcPr>
            <w:tcW w:w="578" w:type="pct"/>
            <w:vAlign w:val="center"/>
          </w:tcPr>
          <w:p w:rsidR="00D06E11" w:rsidRDefault="00D06E11" w:rsidP="00CB7B3D">
            <w:pPr>
              <w:jc w:val="center"/>
              <w:cnfStyle w:val="000000000000" w:firstRow="0" w:lastRow="0" w:firstColumn="0" w:lastColumn="0" w:oddVBand="0" w:evenVBand="0" w:oddHBand="0" w:evenHBand="0" w:firstRowFirstColumn="0" w:firstRowLastColumn="0" w:lastRowFirstColumn="0" w:lastRowLastColumn="0"/>
            </w:pPr>
            <w:r>
              <w:t>2.82</w:t>
            </w:r>
          </w:p>
        </w:tc>
        <w:tc>
          <w:tcPr>
            <w:tcW w:w="577" w:type="pct"/>
            <w:vAlign w:val="center"/>
          </w:tcPr>
          <w:p w:rsidR="00D06E11" w:rsidRPr="00340BF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sidRPr="00340BF3">
              <w:rPr>
                <w:b/>
                <w:i/>
              </w:rPr>
              <w:t>1.31***</w:t>
            </w:r>
          </w:p>
        </w:tc>
        <w:tc>
          <w:tcPr>
            <w:tcW w:w="578" w:type="pct"/>
            <w:vAlign w:val="center"/>
          </w:tcPr>
          <w:p w:rsidR="00D06E11" w:rsidRDefault="00D06E11" w:rsidP="00CB7B3D">
            <w:pPr>
              <w:jc w:val="center"/>
              <w:cnfStyle w:val="000000000000" w:firstRow="0" w:lastRow="0" w:firstColumn="0" w:lastColumn="0" w:oddVBand="0" w:evenVBand="0" w:oddHBand="0" w:evenHBand="0" w:firstRowFirstColumn="0" w:firstRowLastColumn="0" w:lastRowFirstColumn="0" w:lastRowLastColumn="0"/>
            </w:pPr>
            <w:r>
              <w:t>2.52</w:t>
            </w:r>
          </w:p>
        </w:tc>
        <w:tc>
          <w:tcPr>
            <w:tcW w:w="574" w:type="pct"/>
            <w:vAlign w:val="center"/>
          </w:tcPr>
          <w:p w:rsidR="00D06E11" w:rsidRPr="00340BF3" w:rsidRDefault="00D06E11" w:rsidP="00CB7B3D">
            <w:pPr>
              <w:jc w:val="center"/>
              <w:cnfStyle w:val="000000000000" w:firstRow="0" w:lastRow="0" w:firstColumn="0" w:lastColumn="0" w:oddVBand="0" w:evenVBand="0" w:oddHBand="0" w:evenHBand="0" w:firstRowFirstColumn="0" w:firstRowLastColumn="0" w:lastRowFirstColumn="0" w:lastRowLastColumn="0"/>
              <w:rPr>
                <w:b/>
                <w:i/>
              </w:rPr>
            </w:pPr>
            <w:r w:rsidRPr="00340BF3">
              <w:rPr>
                <w:b/>
                <w:i/>
              </w:rPr>
              <w:t>1.99***</w:t>
            </w:r>
          </w:p>
        </w:tc>
      </w:tr>
    </w:tbl>
    <w:p w:rsidR="00D06E11" w:rsidRDefault="00D06E11" w:rsidP="00D06E11">
      <w:pPr>
        <w:spacing w:after="200" w:line="276" w:lineRule="auto"/>
      </w:pPr>
      <w:r>
        <w:t>**p &lt; .01; ***p &lt; .001</w:t>
      </w:r>
    </w:p>
    <w:p w:rsidR="00C20687" w:rsidRDefault="00D06E11" w:rsidP="00D06E11">
      <w:pPr>
        <w:pStyle w:val="Heading4"/>
      </w:pPr>
      <w:r>
        <w:t xml:space="preserve">Figure </w:t>
      </w:r>
      <w:r w:rsidR="00FB1ECA">
        <w:t>50</w:t>
      </w:r>
      <w:r>
        <w:t>. Trends of family functioning scores from January 2015 – December 2017.</w:t>
      </w:r>
    </w:p>
    <w:p w:rsidR="00FB1ECA" w:rsidRDefault="00D91357" w:rsidP="00D06E11">
      <w:r w:rsidRPr="00D91357">
        <w:rPr>
          <w:noProof/>
        </w:rPr>
        <w:drawing>
          <wp:inline distT="0" distB="0" distL="0" distR="0" wp14:anchorId="4ED1BB42" wp14:editId="5F09B5BB">
            <wp:extent cx="5943600" cy="3241675"/>
            <wp:effectExtent l="0" t="0" r="0" b="15875"/>
            <wp:docPr id="14340" name="Chart 143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FB1ECA" w:rsidRDefault="00FB1ECA">
      <w:pPr>
        <w:spacing w:after="160" w:line="259" w:lineRule="auto"/>
      </w:pPr>
      <w:r>
        <w:br w:type="page"/>
      </w:r>
    </w:p>
    <w:p w:rsidR="00B534F0" w:rsidRPr="00654938" w:rsidRDefault="00B534F0" w:rsidP="00FA2B61">
      <w:pPr>
        <w:pStyle w:val="Heading1"/>
      </w:pPr>
      <w:bookmarkStart w:id="30" w:name="_Toc43887891"/>
      <w:r w:rsidRPr="00654938">
        <w:t>Summary and Conclusions</w:t>
      </w:r>
      <w:bookmarkEnd w:id="30"/>
    </w:p>
    <w:p w:rsidR="00B534F0" w:rsidRPr="00440792" w:rsidRDefault="00B534F0" w:rsidP="00C70927">
      <w:pPr>
        <w:ind w:firstLine="720"/>
      </w:pPr>
      <w:r w:rsidRPr="00440792">
        <w:t xml:space="preserve">This report serves as the final report for the Indiana Title IV-E </w:t>
      </w:r>
      <w:r w:rsidR="00BF795F">
        <w:t>Waiver Demonstration</w:t>
      </w:r>
      <w:r w:rsidRPr="00440792">
        <w:t xml:space="preserve"> project. </w:t>
      </w:r>
      <w:r w:rsidR="001D47D0" w:rsidRPr="00440792">
        <w:t xml:space="preserve">The Indiana Title IV-E </w:t>
      </w:r>
      <w:r w:rsidR="00A5038C">
        <w:t>Waiver</w:t>
      </w:r>
      <w:r w:rsidR="001D47D0" w:rsidRPr="00440792">
        <w:t xml:space="preserve"> project was implemented statewide in order to spend federal dollars to expand services and invest in evidence-based services for Hoosier children and families. This evaluation involved four studies: outcome; process; cost; and a sub-study, which evaluated Family Centered Treatment. Overall, there were some successes and some areas for improvement</w:t>
      </w:r>
      <w:r w:rsidR="00BF795F">
        <w:t xml:space="preserve"> within the Department. As the Federal Government moves to implement the FFPSA, Indiana continues to invest in data driven approaches to best serve the children and families in Indiana.</w:t>
      </w:r>
    </w:p>
    <w:p w:rsidR="001D47D0" w:rsidRPr="00FA2B61" w:rsidRDefault="001D47D0" w:rsidP="00FA2B61">
      <w:pPr>
        <w:pStyle w:val="Heading3"/>
      </w:pPr>
      <w:r w:rsidRPr="00654938">
        <w:t>Outcome Study</w:t>
      </w:r>
    </w:p>
    <w:p w:rsidR="000B242A" w:rsidRDefault="008F3629" w:rsidP="00C72525">
      <w:pPr>
        <w:ind w:firstLine="720"/>
      </w:pPr>
      <w:r>
        <w:t xml:space="preserve">The outcome study during the extension </w:t>
      </w:r>
      <w:r w:rsidR="00CD3938">
        <w:t xml:space="preserve">investigated key findings of the initial final report: re-entries in care over the Waiver period, relative placements, the impact of concrete service use on outcomes, </w:t>
      </w:r>
      <w:r w:rsidR="00C72525">
        <w:t xml:space="preserve">and </w:t>
      </w:r>
      <w:r w:rsidR="00CD3938">
        <w:t xml:space="preserve">the impact </w:t>
      </w:r>
      <w:r w:rsidR="00C72525">
        <w:t xml:space="preserve">of substance abuse on outcomes. Care should be taken for older children entering the system to avoid re-entry. Children who spent more time out of the home also had more re-entries.  Closure of cases for older children and those with longer placements may need to facilitate connections to community-based organizations to aid in the prevention of those at high risk for re-entries.  </w:t>
      </w:r>
    </w:p>
    <w:p w:rsidR="00C72525" w:rsidRDefault="00C72525" w:rsidP="00C72525">
      <w:pPr>
        <w:ind w:firstLine="720"/>
      </w:pPr>
      <w:r>
        <w:t xml:space="preserve">The licensure of relatives were associated with </w:t>
      </w:r>
      <w:r w:rsidR="005D019F">
        <w:t>fewer</w:t>
      </w:r>
      <w:r>
        <w:t xml:space="preserve"> placements.  Caregivers who were able to manage the child’s stress and had a significant network were more likely to have licenses.  Efforts should be made to extend caregivers’ networks of support by connecting them with support groups or community </w:t>
      </w:r>
      <w:r w:rsidR="000B242A">
        <w:t>partners. In</w:t>
      </w:r>
      <w:r>
        <w:t xml:space="preserve"> the QSR data, relative care was a good alternative to in-home care with trying to re-unify families. Relative placements were better suited to maintain family relationships and support child well-being.</w:t>
      </w:r>
    </w:p>
    <w:p w:rsidR="000B242A" w:rsidRDefault="000B242A" w:rsidP="00C72525">
      <w:pPr>
        <w:ind w:firstLine="720"/>
      </w:pPr>
      <w:r>
        <w:t xml:space="preserve">Substance abuse affected many of the QSR cases.  While the substance abuse of a caregiver did not impact the child’s safety or permanency in the QSR, it did impact the child’s well-being. Of importance, those with parents who had substance use, maintaining relationships positively impacted well-being and teaming negatively impacted well-being.  Maintaining relationships was more impactful to well-being when the parent suffers from substance abuse. Alternatively, </w:t>
      </w:r>
      <w:r w:rsidR="003E7351">
        <w:t>teaming with families where a parent if suffering from substance abuse can have a negative impact on the child’s well-being. Special care should be taken for those children around the teaming process to minimize the impact of conflict on the child.</w:t>
      </w:r>
    </w:p>
    <w:p w:rsidR="00E439E5" w:rsidRDefault="00E439E5" w:rsidP="00C72525">
      <w:pPr>
        <w:ind w:firstLine="720"/>
      </w:pPr>
      <w:r>
        <w:t>QSR Stability increased over time for those who used concrete services and decreased for those who did not use concrete services. Overall, the use of concrete services was associated with increases in stability for children at a higher level of need and this is particularly important for those at a higher level of placement instability. Concrete services can be an effective way to increase placement stability for children.</w:t>
      </w:r>
    </w:p>
    <w:p w:rsidR="00C72525" w:rsidRPr="00440792" w:rsidRDefault="00C72525" w:rsidP="00C72525">
      <w:pPr>
        <w:ind w:firstLine="720"/>
      </w:pPr>
    </w:p>
    <w:p w:rsidR="0020283E" w:rsidRPr="00FA2B61" w:rsidRDefault="0020283E" w:rsidP="00FA2B61">
      <w:pPr>
        <w:pStyle w:val="Heading3"/>
      </w:pPr>
      <w:r w:rsidRPr="00654938">
        <w:t>Process Study</w:t>
      </w:r>
      <w:r w:rsidRPr="00FA2B61">
        <w:t xml:space="preserve"> </w:t>
      </w:r>
    </w:p>
    <w:p w:rsidR="00D63B96" w:rsidRDefault="00D63B96" w:rsidP="00C70927">
      <w:pPr>
        <w:ind w:firstLine="720"/>
      </w:pPr>
      <w:r>
        <w:t>During the extension period, Indiana has invested in more case managers, evaluation, and data</w:t>
      </w:r>
      <w:r w:rsidR="0020283E" w:rsidRPr="00440792">
        <w:t>.</w:t>
      </w:r>
      <w:r w:rsidR="00FD12D4">
        <w:t xml:space="preserve">  These investments have seen a cultural </w:t>
      </w:r>
      <w:r w:rsidR="001E48E5">
        <w:t xml:space="preserve">shift within the agency.  With the hiring of many new case managers, the FCM survey demonstrated a decrease in CFTM fidelity, which may impact child well-being as seen in the results. It is also important to keep the turnover of FCMs down. Some of the mechanisms found in the survey were distributive justice, or the idea that </w:t>
      </w:r>
      <w:r w:rsidR="001E48E5" w:rsidRPr="001E48E5">
        <w:t xml:space="preserve">distribution of outcomes regarding evaluations, pay, rewards, promotions, job assignments, and other tasks at their </w:t>
      </w:r>
      <w:r w:rsidR="0051430C">
        <w:t>agency is fair. Efforts should remain and possibly increase to address secondary traumatic stress for FCMs, particularly for those who work on CHINS and collaborative care cases and those who were older.  Effective tools include emotional supervision, which had a larger impact on the intent to stay in child welfare on those who were older.</w:t>
      </w:r>
    </w:p>
    <w:p w:rsidR="00D63B96" w:rsidRDefault="0051430C" w:rsidP="00C70927">
      <w:pPr>
        <w:ind w:firstLine="720"/>
      </w:pPr>
      <w:r>
        <w:t>Perceptions of recently opened and recently closed cases followed the initial hypotheses of the evaluators that safety, permanency, and well-being indicators would decrease over time for the most recently opened cases and increase for the most recently-closed cases.  The hypotheses were made under the assumption that flexible funding would be able to front load services, expand the service array, and increase investments in community partners to keep children out of care who did not need it and to better serve those that did need intervening.</w:t>
      </w:r>
    </w:p>
    <w:p w:rsidR="001D47D0" w:rsidRPr="00440792" w:rsidRDefault="0020283E" w:rsidP="00C70927">
      <w:pPr>
        <w:ind w:firstLine="720"/>
      </w:pPr>
      <w:r w:rsidRPr="00440792">
        <w:t xml:space="preserve"> </w:t>
      </w:r>
    </w:p>
    <w:p w:rsidR="009C7D6E" w:rsidRPr="00F65AB9" w:rsidRDefault="00C70927" w:rsidP="00FA2B61">
      <w:pPr>
        <w:pStyle w:val="Heading3"/>
      </w:pPr>
      <w:r w:rsidRPr="00654938">
        <w:t>Cost Study</w:t>
      </w:r>
    </w:p>
    <w:p w:rsidR="00C70927" w:rsidRPr="00440792" w:rsidRDefault="00C70927" w:rsidP="00D947FC">
      <w:r w:rsidRPr="00440792">
        <w:tab/>
      </w:r>
      <w:r w:rsidR="00751103" w:rsidRPr="00440792">
        <w:t xml:space="preserve">During the period of the current Capped allocation </w:t>
      </w:r>
      <w:r w:rsidR="00A5038C">
        <w:t>Waiver</w:t>
      </w:r>
      <w:r w:rsidR="00751103" w:rsidRPr="00440792">
        <w:t>, Indiana and ACF renegotiated the amounts of the capped allocations because Indiana showed an increase in IV-E eligible cost.  Indiana has shown that an increase in the amount of children and the Opioid epidemic has contributed to risin</w:t>
      </w:r>
      <w:r w:rsidR="00D63B96">
        <w:t xml:space="preserve">g IV-E Foster Care cost. </w:t>
      </w:r>
      <w:r w:rsidR="00751103" w:rsidRPr="00440792">
        <w:t xml:space="preserve">These factors have gone to negative the impact of the </w:t>
      </w:r>
      <w:r w:rsidR="00A5038C">
        <w:t>Waiver</w:t>
      </w:r>
      <w:r w:rsidR="00751103" w:rsidRPr="00440792">
        <w:t xml:space="preserve"> shifting funding to services whose goal is to prevent entry into the foster care system.  Indiana continues to review the traditional IV-E eligible Foster Care cost and sees that they outpace the Capped allocations by year.  This shows that the </w:t>
      </w:r>
      <w:r w:rsidR="00A5038C">
        <w:t>Waiver</w:t>
      </w:r>
      <w:r w:rsidR="00751103" w:rsidRPr="00440792">
        <w:t xml:space="preserve"> has a lower cost than traditional.  Overall, </w:t>
      </w:r>
      <w:r w:rsidR="00A5038C">
        <w:t>Waiver</w:t>
      </w:r>
      <w:r w:rsidR="00751103" w:rsidRPr="00440792">
        <w:t xml:space="preserve"> funding has remained cost neutral and funds saved by reducing more expensive services utilization were shifted to early intervention service delivery – a major goal of </w:t>
      </w:r>
      <w:r w:rsidR="00A5038C">
        <w:t>Waiver</w:t>
      </w:r>
      <w:r w:rsidR="00751103" w:rsidRPr="00440792">
        <w:t xml:space="preserve"> funding.</w:t>
      </w:r>
    </w:p>
    <w:p w:rsidR="009C7D6E" w:rsidRPr="00F65AB9" w:rsidRDefault="009C7D6E" w:rsidP="00FA2B61">
      <w:pPr>
        <w:pStyle w:val="Heading3"/>
      </w:pPr>
      <w:r w:rsidRPr="00654938">
        <w:t>Sub-study</w:t>
      </w:r>
    </w:p>
    <w:p w:rsidR="0007595A" w:rsidRPr="00440792" w:rsidRDefault="00D63B96" w:rsidP="00751103">
      <w:r>
        <w:tab/>
        <w:t xml:space="preserve">The extension period provided the Evaluation Team to further examine the differences between the FCT families and the non-FCT families matched with Propensity Score Matching. Of note, family functioning and CANS scores were positively affected during the sub-study.  In fact, their </w:t>
      </w:r>
      <w:r w:rsidR="0051430C">
        <w:t xml:space="preserve">family functioning </w:t>
      </w:r>
      <w:r>
        <w:t>scores were worse off than the non-FCT group at case opening and progressed to better scores at the end of the year.</w:t>
      </w:r>
    </w:p>
    <w:p w:rsidR="00260400" w:rsidRPr="00FA2B61" w:rsidRDefault="009C7D6E" w:rsidP="00FA2B61">
      <w:pPr>
        <w:pStyle w:val="Heading3"/>
      </w:pPr>
      <w:r w:rsidRPr="00654938">
        <w:t>Limitations</w:t>
      </w:r>
    </w:p>
    <w:p w:rsidR="009C7D6E" w:rsidRPr="00440792" w:rsidRDefault="009C7D6E" w:rsidP="00751103">
      <w:pPr>
        <w:ind w:firstLine="720"/>
      </w:pPr>
      <w:r w:rsidRPr="00440792">
        <w:t xml:space="preserve">Overall, the </w:t>
      </w:r>
      <w:r w:rsidR="00A5038C">
        <w:t>Waiver</w:t>
      </w:r>
      <w:r w:rsidRPr="00440792">
        <w:t xml:space="preserve"> evaluation team experienced some difficulty obtaining data over time. </w:t>
      </w:r>
      <w:r w:rsidR="00260400" w:rsidRPr="00440792">
        <w:t xml:space="preserve">The initial message that the </w:t>
      </w:r>
      <w:r w:rsidR="00A5038C">
        <w:t>Waiver</w:t>
      </w:r>
      <w:r w:rsidR="00260400" w:rsidRPr="00440792">
        <w:t xml:space="preserve"> is “simply a fiscal mechanism” initially sold the potential of the </w:t>
      </w:r>
      <w:r w:rsidR="00A5038C">
        <w:t>Waiver</w:t>
      </w:r>
      <w:r w:rsidR="00260400" w:rsidRPr="00440792">
        <w:t xml:space="preserve"> opportunity short. Once Casey Family Programs intervened </w:t>
      </w:r>
      <w:r w:rsidR="0051430C">
        <w:t xml:space="preserve">in 2013, </w:t>
      </w:r>
      <w:r w:rsidR="00260400" w:rsidRPr="00440792">
        <w:t xml:space="preserve">data sharing and messaging improved. Since this </w:t>
      </w:r>
      <w:r w:rsidR="00A5038C">
        <w:t>Waiver</w:t>
      </w:r>
      <w:r w:rsidR="00260400" w:rsidRPr="00440792">
        <w:t xml:space="preserve"> involved statewide implementation there was no opportunity to use random assignment as a sampling technique. </w:t>
      </w:r>
      <w:r w:rsidR="0051430C">
        <w:t>The Evaluation Team is encouraged by the investments by DCS in their own evolutions and their dedication to improving and expanding the service array</w:t>
      </w:r>
      <w:r w:rsidR="00CF2B84" w:rsidRPr="00440792">
        <w:t>.</w:t>
      </w:r>
    </w:p>
    <w:p w:rsidR="00260400" w:rsidRPr="00FA2B61" w:rsidRDefault="00260400" w:rsidP="00FA2B61">
      <w:pPr>
        <w:pStyle w:val="Heading3"/>
      </w:pPr>
      <w:r w:rsidRPr="00654938">
        <w:t>Opportunities</w:t>
      </w:r>
    </w:p>
    <w:p w:rsidR="00260400" w:rsidRDefault="00260400" w:rsidP="00751103">
      <w:pPr>
        <w:ind w:firstLine="720"/>
      </w:pPr>
      <w:r w:rsidRPr="00440792">
        <w:t xml:space="preserve">Use of formative evaluation strategies by </w:t>
      </w:r>
      <w:r w:rsidR="00A5038C">
        <w:t>Waiver</w:t>
      </w:r>
      <w:r w:rsidRPr="00440792">
        <w:t xml:space="preserve"> evaluation teams may provide child welfare agencies with the opportunity to learn to use data more effectively in their day-to-day practice. </w:t>
      </w:r>
      <w:r w:rsidR="0051430C">
        <w:t>Of great importance and potential is the Evaluation Team and DCS workin</w:t>
      </w:r>
      <w:r w:rsidR="00B0572C">
        <w:t>g on providing manuscripts on the effectiveness of concrete service use in the hope of submitting them to the IV-E Clearinghouse.</w:t>
      </w:r>
    </w:p>
    <w:p w:rsidR="00A9310F" w:rsidRDefault="00A9310F">
      <w:r>
        <w:br w:type="page"/>
      </w:r>
    </w:p>
    <w:p w:rsidR="00A9310F" w:rsidRPr="00440792" w:rsidRDefault="00A9310F" w:rsidP="004B56CF">
      <w:pPr>
        <w:pStyle w:val="Heading1"/>
      </w:pPr>
      <w:bookmarkStart w:id="31" w:name="_Toc418840316"/>
      <w:bookmarkStart w:id="32" w:name="_Toc43887892"/>
      <w:r>
        <w:t xml:space="preserve">Appendix A: </w:t>
      </w:r>
      <w:r w:rsidRPr="00440792">
        <w:t xml:space="preserve"> QSR Outcome</w:t>
      </w:r>
      <w:r>
        <w:t xml:space="preserve"> and Practice</w:t>
      </w:r>
      <w:r w:rsidRPr="00440792">
        <w:t xml:space="preserve"> Indicator Scoring and Definitions</w:t>
      </w:r>
      <w:bookmarkEnd w:id="31"/>
      <w:bookmarkEnd w:id="32"/>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368"/>
        <w:gridCol w:w="6744"/>
      </w:tblGrid>
      <w:tr w:rsidR="00A9310F" w:rsidRPr="00440792" w:rsidTr="00892C2C">
        <w:trPr>
          <w:jc w:val="center"/>
        </w:trPr>
        <w:tc>
          <w:tcPr>
            <w:tcW w:w="1507" w:type="dxa"/>
          </w:tcPr>
          <w:p w:rsidR="00A9310F" w:rsidRPr="00440792" w:rsidRDefault="00A9310F" w:rsidP="006B1A5A">
            <w:pPr>
              <w:spacing w:before="120" w:after="120"/>
              <w:rPr>
                <w:rFonts w:ascii="Calibri" w:eastAsia="Malgun Gothic" w:hAnsi="Calibri" w:cs="Times New Roman"/>
                <w:sz w:val="20"/>
                <w:szCs w:val="20"/>
              </w:rPr>
            </w:pPr>
            <w:r w:rsidRPr="00440792">
              <w:rPr>
                <w:rFonts w:ascii="Calibri" w:eastAsia="Malgun Gothic" w:hAnsi="Calibri" w:cs="Times New Roman"/>
                <w:sz w:val="20"/>
                <w:szCs w:val="20"/>
              </w:rPr>
              <w:t>Outcome</w:t>
            </w:r>
          </w:p>
        </w:tc>
        <w:tc>
          <w:tcPr>
            <w:tcW w:w="1368" w:type="dxa"/>
          </w:tcPr>
          <w:p w:rsidR="00A9310F" w:rsidRPr="00440792" w:rsidRDefault="00A9310F" w:rsidP="006B1A5A">
            <w:pPr>
              <w:spacing w:before="120" w:after="120"/>
              <w:rPr>
                <w:rFonts w:ascii="Calibri" w:eastAsia="Malgun Gothic" w:hAnsi="Calibri" w:cs="Times New Roman"/>
                <w:sz w:val="20"/>
                <w:szCs w:val="20"/>
              </w:rPr>
            </w:pPr>
            <w:r w:rsidRPr="00440792">
              <w:rPr>
                <w:rFonts w:ascii="Calibri" w:eastAsia="Malgun Gothic" w:hAnsi="Calibri" w:cs="Times New Roman"/>
                <w:sz w:val="20"/>
                <w:szCs w:val="20"/>
              </w:rPr>
              <w:t>Range</w:t>
            </w:r>
          </w:p>
        </w:tc>
        <w:tc>
          <w:tcPr>
            <w:tcW w:w="6744" w:type="dxa"/>
          </w:tcPr>
          <w:p w:rsidR="00A9310F" w:rsidRPr="00440792" w:rsidRDefault="00A9310F" w:rsidP="006B1A5A">
            <w:pPr>
              <w:spacing w:before="120" w:after="120"/>
              <w:rPr>
                <w:rFonts w:ascii="Calibri" w:eastAsia="Malgun Gothic" w:hAnsi="Calibri" w:cs="Times New Roman"/>
                <w:sz w:val="20"/>
                <w:szCs w:val="20"/>
              </w:rPr>
            </w:pPr>
            <w:r w:rsidRPr="00440792">
              <w:rPr>
                <w:rFonts w:ascii="Calibri" w:eastAsia="Malgun Gothic" w:hAnsi="Calibri" w:cs="Times New Roman"/>
                <w:sz w:val="20"/>
                <w:szCs w:val="20"/>
              </w:rPr>
              <w:t>Definition</w:t>
            </w:r>
          </w:p>
        </w:tc>
      </w:tr>
      <w:tr w:rsidR="00A9310F" w:rsidRPr="00440792" w:rsidTr="00892C2C">
        <w:trPr>
          <w:jc w:val="center"/>
        </w:trPr>
        <w:tc>
          <w:tcPr>
            <w:tcW w:w="9619" w:type="dxa"/>
            <w:gridSpan w:val="3"/>
            <w:shd w:val="clear" w:color="auto" w:fill="EEECE1"/>
          </w:tcPr>
          <w:p w:rsidR="00A9310F" w:rsidRPr="00440792" w:rsidRDefault="00A9310F" w:rsidP="006B1A5A">
            <w:pPr>
              <w:autoSpaceDE w:val="0"/>
              <w:autoSpaceDN w:val="0"/>
              <w:adjustRightInd w:val="0"/>
              <w:spacing w:before="120" w:after="120"/>
              <w:jc w:val="center"/>
              <w:rPr>
                <w:rFonts w:ascii="Calibri" w:eastAsia="Malgun Gothic" w:hAnsi="Calibri" w:cs="Times New Roman"/>
                <w:b/>
                <w:i/>
                <w:sz w:val="20"/>
                <w:szCs w:val="20"/>
              </w:rPr>
            </w:pPr>
            <w:r w:rsidRPr="00440792">
              <w:rPr>
                <w:rFonts w:ascii="Calibri" w:eastAsia="Malgun Gothic" w:hAnsi="Calibri" w:cs="Times New Roman"/>
                <w:b/>
                <w:i/>
                <w:sz w:val="20"/>
                <w:szCs w:val="20"/>
              </w:rPr>
              <w:t>Safety</w:t>
            </w:r>
          </w:p>
        </w:tc>
      </w:tr>
      <w:tr w:rsidR="00A9310F" w:rsidRPr="00440792" w:rsidTr="00892C2C">
        <w:trPr>
          <w:jc w:val="center"/>
        </w:trPr>
        <w:tc>
          <w:tcPr>
            <w:tcW w:w="1507"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Safety</w:t>
            </w:r>
          </w:p>
        </w:tc>
        <w:tc>
          <w:tcPr>
            <w:tcW w:w="1368"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High Safety Risk – 6 Optimal</w:t>
            </w:r>
          </w:p>
        </w:tc>
        <w:tc>
          <w:tcPr>
            <w:tcW w:w="6744" w:type="dxa"/>
          </w:tcPr>
          <w:p w:rsidR="00A9310F" w:rsidRPr="00440792" w:rsidRDefault="00A9310F" w:rsidP="006B1A5A">
            <w:pPr>
              <w:autoSpaceDE w:val="0"/>
              <w:autoSpaceDN w:val="0"/>
              <w:adjustRightInd w:val="0"/>
              <w:spacing w:after="12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 xml:space="preserve">The degree to which: The child is free of abuse, </w:t>
            </w:r>
            <w:r w:rsidRPr="00440792">
              <w:rPr>
                <w:rFonts w:ascii="Calibri" w:eastAsia="Malgun Gothic" w:hAnsi="Calibri" w:cs="Times New Roman"/>
                <w:bCs/>
                <w:i/>
                <w:sz w:val="18"/>
                <w:szCs w:val="18"/>
              </w:rPr>
              <w:t>neglect, and exploitation by others in his/her place of residence and other daily settings. • The child free from injury caused by others in his/her daily home, school, and community settings. • Parents and caregivers provide the attention, actions, and supports necessary to protect the child from known risks of harm in the home. [past 30 days]</w:t>
            </w:r>
          </w:p>
        </w:tc>
      </w:tr>
      <w:tr w:rsidR="00A9310F" w:rsidRPr="00440792" w:rsidTr="00892C2C">
        <w:trPr>
          <w:jc w:val="center"/>
        </w:trPr>
        <w:tc>
          <w:tcPr>
            <w:tcW w:w="1507"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Behavioral Risk (Age 3 and Older)</w:t>
            </w:r>
          </w:p>
        </w:tc>
        <w:tc>
          <w:tcPr>
            <w:tcW w:w="1368" w:type="dxa"/>
          </w:tcPr>
          <w:p w:rsidR="00A9310F" w:rsidRPr="00440792" w:rsidRDefault="00A9310F" w:rsidP="006B1A5A">
            <w:pPr>
              <w:spacing w:after="120" w:line="276" w:lineRule="auto"/>
              <w:rPr>
                <w:rFonts w:ascii="Calibri" w:eastAsia="Malgun Gothic" w:hAnsi="Calibri" w:cs="Times New Roman"/>
                <w:sz w:val="18"/>
                <w:szCs w:val="18"/>
              </w:rPr>
            </w:pPr>
            <w:r w:rsidRPr="00440792">
              <w:rPr>
                <w:rFonts w:ascii="Calibri" w:eastAsia="Malgun Gothic" w:hAnsi="Calibri" w:cs="Times New Roman"/>
                <w:sz w:val="18"/>
                <w:szCs w:val="18"/>
              </w:rPr>
              <w:t>1 Serious and Worsening – 6 Optimal &amp; N/A</w:t>
            </w:r>
          </w:p>
        </w:tc>
        <w:tc>
          <w:tcPr>
            <w:tcW w:w="6744" w:type="dxa"/>
          </w:tcPr>
          <w:p w:rsidR="00A9310F" w:rsidRPr="00440792" w:rsidRDefault="00A9310F" w:rsidP="006B1A5A">
            <w:pPr>
              <w:autoSpaceDE w:val="0"/>
              <w:autoSpaceDN w:val="0"/>
              <w:adjustRightInd w:val="0"/>
              <w:spacing w:after="120" w:line="276" w:lineRule="auto"/>
              <w:rPr>
                <w:rFonts w:ascii="Calibri" w:eastAsia="Malgun Gothic" w:hAnsi="Calibri" w:cs="Times New Roman"/>
                <w:i/>
                <w:sz w:val="18"/>
                <w:szCs w:val="18"/>
              </w:rPr>
            </w:pPr>
            <w:r w:rsidRPr="00440792">
              <w:rPr>
                <w:rFonts w:ascii="Calibri" w:eastAsia="Malgun Gothic" w:hAnsi="Calibri" w:cs="Times New Roman"/>
                <w:bCs/>
                <w:i/>
                <w:sz w:val="18"/>
                <w:szCs w:val="18"/>
              </w:rPr>
              <w:t>The degree to which the child/youth consistently avoiding self-endangerment situations and refraining from using behaviors that may put him/herself or others at risk of harm. [past 30 days]</w:t>
            </w:r>
          </w:p>
        </w:tc>
      </w:tr>
      <w:tr w:rsidR="00A9310F" w:rsidRPr="00440792" w:rsidTr="00892C2C">
        <w:trPr>
          <w:jc w:val="center"/>
        </w:trPr>
        <w:tc>
          <w:tcPr>
            <w:tcW w:w="9619" w:type="dxa"/>
            <w:gridSpan w:val="3"/>
            <w:shd w:val="clear" w:color="auto" w:fill="EEECE1"/>
          </w:tcPr>
          <w:p w:rsidR="00A9310F" w:rsidRPr="00440792" w:rsidRDefault="00A9310F" w:rsidP="006B1A5A">
            <w:pPr>
              <w:autoSpaceDE w:val="0"/>
              <w:autoSpaceDN w:val="0"/>
              <w:adjustRightInd w:val="0"/>
              <w:spacing w:before="120" w:after="120"/>
              <w:jc w:val="center"/>
              <w:rPr>
                <w:rFonts w:ascii="Calibri" w:eastAsia="Malgun Gothic" w:hAnsi="Calibri" w:cs="Times New Roman"/>
                <w:b/>
                <w:i/>
                <w:sz w:val="20"/>
                <w:szCs w:val="20"/>
              </w:rPr>
            </w:pPr>
            <w:r w:rsidRPr="00440792">
              <w:rPr>
                <w:rFonts w:ascii="Calibri" w:eastAsia="Malgun Gothic" w:hAnsi="Calibri" w:cs="Times New Roman"/>
                <w:b/>
                <w:i/>
                <w:sz w:val="20"/>
                <w:szCs w:val="20"/>
              </w:rPr>
              <w:t>Permanency</w:t>
            </w:r>
          </w:p>
        </w:tc>
      </w:tr>
      <w:tr w:rsidR="00A9310F" w:rsidRPr="00440792" w:rsidTr="00892C2C">
        <w:trPr>
          <w:jc w:val="center"/>
        </w:trPr>
        <w:tc>
          <w:tcPr>
            <w:tcW w:w="1507"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Stability</w:t>
            </w:r>
          </w:p>
        </w:tc>
        <w:tc>
          <w:tcPr>
            <w:tcW w:w="1368"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Adverse – 6 Optimal</w:t>
            </w:r>
          </w:p>
        </w:tc>
        <w:tc>
          <w:tcPr>
            <w:tcW w:w="6744" w:type="dxa"/>
          </w:tcPr>
          <w:p w:rsidR="00A9310F" w:rsidRPr="00440792" w:rsidRDefault="00A9310F" w:rsidP="006B1A5A">
            <w:pPr>
              <w:autoSpaceDE w:val="0"/>
              <w:autoSpaceDN w:val="0"/>
              <w:adjustRightInd w:val="0"/>
              <w:spacing w:after="120" w:line="276" w:lineRule="auto"/>
              <w:rPr>
                <w:rFonts w:ascii="Calibri" w:eastAsia="Malgun Gothic" w:hAnsi="Calibri" w:cs="Times New Roman"/>
                <w:i/>
                <w:sz w:val="18"/>
                <w:szCs w:val="18"/>
              </w:rPr>
            </w:pPr>
            <w:r w:rsidRPr="00440792">
              <w:rPr>
                <w:rFonts w:ascii="Calibri" w:eastAsia="Malgun Gothic" w:hAnsi="Calibri" w:cs="Times New Roman"/>
                <w:bCs/>
                <w:i/>
                <w:sz w:val="18"/>
                <w:szCs w:val="18"/>
              </w:rPr>
              <w:t>The degree to which: The child’s daily living, learning, and work arrangements are stable and free from risk of disruption. • The child’s daily settings, routines, and relationships consistent. • Known risks being managed to achieve stability and reduce the probability of future disruption. [Timeframe: past 12 months and next 6 months]</w:t>
            </w:r>
          </w:p>
        </w:tc>
      </w:tr>
      <w:tr w:rsidR="00A9310F" w:rsidRPr="00440792" w:rsidTr="00892C2C">
        <w:trPr>
          <w:jc w:val="center"/>
        </w:trPr>
        <w:tc>
          <w:tcPr>
            <w:tcW w:w="1507"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Permanency</w:t>
            </w:r>
          </w:p>
        </w:tc>
        <w:tc>
          <w:tcPr>
            <w:tcW w:w="1368"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Adverse – 6 Optimal</w:t>
            </w:r>
          </w:p>
        </w:tc>
        <w:tc>
          <w:tcPr>
            <w:tcW w:w="6744" w:type="dxa"/>
          </w:tcPr>
          <w:p w:rsidR="00A9310F" w:rsidRPr="00440792" w:rsidRDefault="00A9310F" w:rsidP="006B1A5A">
            <w:pPr>
              <w:autoSpaceDE w:val="0"/>
              <w:autoSpaceDN w:val="0"/>
              <w:adjustRightInd w:val="0"/>
              <w:spacing w:after="120" w:line="276" w:lineRule="auto"/>
              <w:rPr>
                <w:rFonts w:ascii="Calibri" w:eastAsia="Malgun Gothic" w:hAnsi="Calibri" w:cs="Times New Roman"/>
                <w:bCs/>
                <w:i/>
                <w:sz w:val="18"/>
                <w:szCs w:val="18"/>
              </w:rPr>
            </w:pPr>
            <w:r w:rsidRPr="00440792">
              <w:rPr>
                <w:rFonts w:ascii="Calibri" w:eastAsia="Malgun Gothic" w:hAnsi="Calibri" w:cs="Times New Roman"/>
                <w:bCs/>
                <w:i/>
                <w:sz w:val="18"/>
                <w:szCs w:val="18"/>
              </w:rPr>
              <w:t>The child/youth is living with parents or out-of-home caregivers that the child, parents or out-of-home caregivers, and other stakeholders believe will sustain until the child reaches adulthood and continue onward to provide family connections and supports. • If not, the permanency efforts presently being implemented on a timely basis that will ensure that the child/youth soon will be enveloped in enduring relationships that provide a sense of family, stability, and belonging. [Consistent with requirements for sustainable, safe case closure] [past 30 days]</w:t>
            </w:r>
          </w:p>
        </w:tc>
      </w:tr>
      <w:tr w:rsidR="00A9310F" w:rsidRPr="00440792" w:rsidTr="00892C2C">
        <w:trPr>
          <w:jc w:val="center"/>
        </w:trPr>
        <w:tc>
          <w:tcPr>
            <w:tcW w:w="9619" w:type="dxa"/>
            <w:gridSpan w:val="3"/>
            <w:shd w:val="clear" w:color="auto" w:fill="EEECE1"/>
          </w:tcPr>
          <w:p w:rsidR="00A9310F" w:rsidRPr="00440792" w:rsidRDefault="00A9310F" w:rsidP="006B1A5A">
            <w:pPr>
              <w:autoSpaceDE w:val="0"/>
              <w:autoSpaceDN w:val="0"/>
              <w:adjustRightInd w:val="0"/>
              <w:spacing w:before="120" w:after="120"/>
              <w:jc w:val="center"/>
              <w:rPr>
                <w:rFonts w:ascii="Calibri" w:eastAsia="Malgun Gothic" w:hAnsi="Calibri" w:cs="Times New Roman"/>
                <w:b/>
                <w:bCs/>
                <w:i/>
                <w:sz w:val="20"/>
                <w:szCs w:val="20"/>
              </w:rPr>
            </w:pPr>
            <w:r w:rsidRPr="00440792">
              <w:rPr>
                <w:rFonts w:ascii="Calibri" w:eastAsia="Malgun Gothic" w:hAnsi="Calibri" w:cs="Times New Roman"/>
                <w:b/>
                <w:bCs/>
                <w:i/>
                <w:sz w:val="20"/>
                <w:szCs w:val="20"/>
              </w:rPr>
              <w:t>Well-Being</w:t>
            </w:r>
          </w:p>
        </w:tc>
      </w:tr>
      <w:tr w:rsidR="00A9310F" w:rsidRPr="00440792" w:rsidTr="00892C2C">
        <w:trPr>
          <w:jc w:val="center"/>
        </w:trPr>
        <w:tc>
          <w:tcPr>
            <w:tcW w:w="1507"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Appropriate Living Arrangement</w:t>
            </w:r>
          </w:p>
        </w:tc>
        <w:tc>
          <w:tcPr>
            <w:tcW w:w="1368"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Adverse – 6 Optimal</w:t>
            </w:r>
          </w:p>
        </w:tc>
        <w:tc>
          <w:tcPr>
            <w:tcW w:w="6744" w:type="dxa"/>
          </w:tcPr>
          <w:p w:rsidR="00A9310F" w:rsidRPr="00440792" w:rsidRDefault="00A9310F" w:rsidP="006B1A5A">
            <w:pPr>
              <w:autoSpaceDE w:val="0"/>
              <w:autoSpaceDN w:val="0"/>
              <w:adjustRightInd w:val="0"/>
              <w:spacing w:after="120" w:line="276" w:lineRule="auto"/>
              <w:rPr>
                <w:rFonts w:ascii="Calibri" w:eastAsia="Malgun Gothic" w:hAnsi="Calibri" w:cs="Times New Roman"/>
                <w:bCs/>
                <w:i/>
                <w:sz w:val="18"/>
                <w:szCs w:val="18"/>
              </w:rPr>
            </w:pPr>
            <w:r w:rsidRPr="00440792">
              <w:rPr>
                <w:rFonts w:ascii="Calibri" w:eastAsia="Malgun Gothic" w:hAnsi="Calibri" w:cs="Times New Roman"/>
                <w:bCs/>
                <w:i/>
                <w:sz w:val="18"/>
                <w:szCs w:val="18"/>
              </w:rPr>
              <w:t>The degree to which: The child in the most appropriate/least restrictive living arrangement, consistent with needs for family relationships, social connections, age, ability, special needs, education, and positive peer group affiliation. • The child is in temporary out-of-home care, does the living arrangement meet the child's needs to be connected to his or her language and culture, community, faith, extended family, tribe, social activities, and peer group. [past 30 days]</w:t>
            </w:r>
          </w:p>
        </w:tc>
      </w:tr>
      <w:tr w:rsidR="00A9310F" w:rsidRPr="00440792" w:rsidTr="00892C2C">
        <w:trPr>
          <w:jc w:val="center"/>
        </w:trPr>
        <w:tc>
          <w:tcPr>
            <w:tcW w:w="1507"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Physical Health</w:t>
            </w:r>
          </w:p>
        </w:tc>
        <w:tc>
          <w:tcPr>
            <w:tcW w:w="1368"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Worsening – 6 Optimal</w:t>
            </w:r>
          </w:p>
        </w:tc>
        <w:tc>
          <w:tcPr>
            <w:tcW w:w="6744" w:type="dxa"/>
          </w:tcPr>
          <w:p w:rsidR="00A9310F" w:rsidRPr="00440792" w:rsidRDefault="00A9310F" w:rsidP="006B1A5A">
            <w:pPr>
              <w:autoSpaceDE w:val="0"/>
              <w:autoSpaceDN w:val="0"/>
              <w:adjustRightInd w:val="0"/>
              <w:spacing w:after="120" w:line="276" w:lineRule="auto"/>
              <w:rPr>
                <w:rFonts w:ascii="Calibri" w:eastAsia="Malgun Gothic" w:hAnsi="Calibri" w:cs="Times New Roman"/>
                <w:bCs/>
                <w:i/>
                <w:sz w:val="18"/>
                <w:szCs w:val="18"/>
              </w:rPr>
            </w:pPr>
            <w:r w:rsidRPr="00440792">
              <w:rPr>
                <w:rFonts w:ascii="Calibri" w:eastAsia="Malgun Gothic" w:hAnsi="Calibri" w:cs="Times New Roman"/>
                <w:bCs/>
                <w:i/>
                <w:sz w:val="18"/>
                <w:szCs w:val="18"/>
              </w:rPr>
              <w:t>The degree to which: The child achieving and maintaining his/her optimum health status. • The child has a serious or chronic physical illness, is the child achieving his/her best attainable health status given the disease diagnosis and prognosis. [past 30 days]</w:t>
            </w:r>
          </w:p>
        </w:tc>
      </w:tr>
      <w:tr w:rsidR="00A9310F" w:rsidRPr="00440792" w:rsidTr="00892C2C">
        <w:trPr>
          <w:jc w:val="center"/>
        </w:trPr>
        <w:tc>
          <w:tcPr>
            <w:tcW w:w="1507"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rPr>
              <w:br w:type="page"/>
            </w:r>
            <w:r w:rsidRPr="00440792">
              <w:rPr>
                <w:rFonts w:ascii="Calibri" w:eastAsia="Malgun Gothic" w:hAnsi="Calibri" w:cs="Times New Roman"/>
                <w:sz w:val="18"/>
                <w:szCs w:val="18"/>
              </w:rPr>
              <w:t>Emotional Status (Age 3 and Older)</w:t>
            </w:r>
          </w:p>
        </w:tc>
        <w:tc>
          <w:tcPr>
            <w:tcW w:w="1368"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Adverse – 6 Optimal</w:t>
            </w:r>
          </w:p>
        </w:tc>
        <w:tc>
          <w:tcPr>
            <w:tcW w:w="6744" w:type="dxa"/>
          </w:tcPr>
          <w:p w:rsidR="00A9310F" w:rsidRPr="00440792" w:rsidRDefault="00A9310F" w:rsidP="006B1A5A">
            <w:pPr>
              <w:autoSpaceDE w:val="0"/>
              <w:autoSpaceDN w:val="0"/>
              <w:adjustRightInd w:val="0"/>
              <w:spacing w:after="120" w:line="276" w:lineRule="auto"/>
              <w:rPr>
                <w:rFonts w:ascii="Calibri" w:eastAsia="Malgun Gothic" w:hAnsi="Calibri" w:cs="Times New Roman"/>
                <w:bCs/>
                <w:i/>
                <w:sz w:val="18"/>
                <w:szCs w:val="18"/>
              </w:rPr>
            </w:pPr>
            <w:r w:rsidRPr="00440792">
              <w:rPr>
                <w:rFonts w:ascii="Calibri" w:eastAsia="Malgun Gothic" w:hAnsi="Calibri" w:cs="Times New Roman"/>
                <w:bCs/>
                <w:i/>
                <w:sz w:val="18"/>
                <w:szCs w:val="18"/>
              </w:rPr>
              <w:t>The degree to which: The child presenting age-appropriate emotional development, adjustment, attachment, coping skills, and self-control. • The child achieving and maintaining an adequate level of behavioral functioning in daily settings and activities, consistent with age and ability. [past 30 days]</w:t>
            </w:r>
          </w:p>
        </w:tc>
      </w:tr>
      <w:tr w:rsidR="00A9310F" w:rsidRPr="00440792" w:rsidTr="00892C2C">
        <w:trPr>
          <w:jc w:val="center"/>
        </w:trPr>
        <w:tc>
          <w:tcPr>
            <w:tcW w:w="1507" w:type="dxa"/>
          </w:tcPr>
          <w:p w:rsidR="00A9310F" w:rsidRPr="00440792" w:rsidRDefault="00A9310F" w:rsidP="006B1A5A">
            <w:pPr>
              <w:spacing w:after="120" w:line="276" w:lineRule="auto"/>
              <w:rPr>
                <w:rFonts w:ascii="Calibri" w:eastAsia="Malgun Gothic" w:hAnsi="Calibri" w:cs="Times New Roman"/>
                <w:sz w:val="18"/>
                <w:szCs w:val="18"/>
              </w:rPr>
            </w:pPr>
            <w:r w:rsidRPr="00440792">
              <w:rPr>
                <w:rFonts w:ascii="Calibri" w:eastAsia="Malgun Gothic" w:hAnsi="Calibri" w:cs="Times New Roman"/>
                <w:sz w:val="18"/>
                <w:szCs w:val="18"/>
              </w:rPr>
              <w:t>Learning and Development (Under age 5)</w:t>
            </w:r>
          </w:p>
        </w:tc>
        <w:tc>
          <w:tcPr>
            <w:tcW w:w="1368"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Adverse – 6 Optimal</w:t>
            </w:r>
          </w:p>
        </w:tc>
        <w:tc>
          <w:tcPr>
            <w:tcW w:w="6744" w:type="dxa"/>
          </w:tcPr>
          <w:p w:rsidR="00A9310F" w:rsidRPr="00440792" w:rsidRDefault="00A9310F" w:rsidP="006B1A5A">
            <w:pPr>
              <w:autoSpaceDE w:val="0"/>
              <w:autoSpaceDN w:val="0"/>
              <w:adjustRightInd w:val="0"/>
              <w:spacing w:after="120" w:line="276" w:lineRule="auto"/>
              <w:rPr>
                <w:rFonts w:ascii="Calibri" w:eastAsia="Malgun Gothic" w:hAnsi="Calibri" w:cs="Times New Roman"/>
                <w:bCs/>
                <w:sz w:val="18"/>
                <w:szCs w:val="18"/>
              </w:rPr>
            </w:pPr>
            <w:r w:rsidRPr="00440792">
              <w:rPr>
                <w:rFonts w:ascii="Calibri" w:eastAsia="Malgun Gothic" w:hAnsi="Calibri" w:cs="Times New Roman"/>
                <w:bCs/>
                <w:i/>
                <w:sz w:val="18"/>
                <w:szCs w:val="18"/>
              </w:rPr>
              <w:t>The degree to which: The young child’s developmental status commensurate with his/her age and developmental capacities• The child’s developmental status in key domains consistent with age-appropriate expectations. [past 30 days]</w:t>
            </w:r>
          </w:p>
        </w:tc>
      </w:tr>
      <w:tr w:rsidR="00A9310F" w:rsidRPr="00440792" w:rsidTr="00892C2C">
        <w:trPr>
          <w:jc w:val="center"/>
        </w:trPr>
        <w:tc>
          <w:tcPr>
            <w:tcW w:w="1507"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rPr>
              <w:br w:type="page"/>
            </w:r>
            <w:r w:rsidRPr="00440792">
              <w:rPr>
                <w:rFonts w:ascii="Calibri" w:eastAsia="Malgun Gothic" w:hAnsi="Calibri" w:cs="Times New Roman"/>
                <w:sz w:val="18"/>
                <w:szCs w:val="18"/>
              </w:rPr>
              <w:t>Learning and Development (Age 5 and older)</w:t>
            </w:r>
          </w:p>
        </w:tc>
        <w:tc>
          <w:tcPr>
            <w:tcW w:w="1368"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Adverse – 6 Optimal</w:t>
            </w:r>
          </w:p>
        </w:tc>
        <w:tc>
          <w:tcPr>
            <w:tcW w:w="6744" w:type="dxa"/>
          </w:tcPr>
          <w:p w:rsidR="00A9310F" w:rsidRPr="00440792" w:rsidRDefault="00A9310F" w:rsidP="006B1A5A">
            <w:pPr>
              <w:autoSpaceDE w:val="0"/>
              <w:autoSpaceDN w:val="0"/>
              <w:adjustRightInd w:val="0"/>
              <w:spacing w:after="120" w:line="276" w:lineRule="auto"/>
              <w:rPr>
                <w:rFonts w:ascii="Calibri" w:eastAsia="Malgun Gothic" w:hAnsi="Calibri" w:cs="Times New Roman"/>
                <w:bCs/>
                <w:sz w:val="18"/>
                <w:szCs w:val="18"/>
              </w:rPr>
            </w:pPr>
            <w:r w:rsidRPr="00440792">
              <w:rPr>
                <w:rFonts w:ascii="Calibri" w:eastAsia="Malgun Gothic" w:hAnsi="Calibri" w:cs="Times New Roman"/>
                <w:bCs/>
                <w:i/>
                <w:sz w:val="18"/>
                <w:szCs w:val="18"/>
              </w:rPr>
              <w:t>The child [according to age and ability] is: (1) regularly attending school, (2) in a grade level consistent with age, (3) actively engaged in instructional activities, (4) reading at grade level or IEP expectation, and (5) meeting requirements for annual promotion and course completion leading to a high school diploma or equivalent. [past 30 days]</w:t>
            </w:r>
          </w:p>
        </w:tc>
      </w:tr>
      <w:tr w:rsidR="00A9310F" w:rsidRPr="00440792" w:rsidTr="00892C2C">
        <w:trPr>
          <w:jc w:val="center"/>
        </w:trPr>
        <w:tc>
          <w:tcPr>
            <w:tcW w:w="1507"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Pathway to Independence (Older youth)</w:t>
            </w:r>
          </w:p>
        </w:tc>
        <w:tc>
          <w:tcPr>
            <w:tcW w:w="1368"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No development – 6 Optimal</w:t>
            </w:r>
          </w:p>
        </w:tc>
        <w:tc>
          <w:tcPr>
            <w:tcW w:w="6744" w:type="dxa"/>
          </w:tcPr>
          <w:p w:rsidR="00A9310F" w:rsidRPr="00440792" w:rsidRDefault="00A9310F" w:rsidP="006B1A5A">
            <w:pPr>
              <w:autoSpaceDE w:val="0"/>
              <w:autoSpaceDN w:val="0"/>
              <w:adjustRightInd w:val="0"/>
              <w:spacing w:after="200" w:line="276" w:lineRule="auto"/>
              <w:rPr>
                <w:rFonts w:ascii="Calibri" w:eastAsia="Malgun Gothic" w:hAnsi="Calibri" w:cs="Times New Roman"/>
                <w:bCs/>
                <w:i/>
                <w:sz w:val="18"/>
                <w:szCs w:val="18"/>
              </w:rPr>
            </w:pPr>
            <w:r w:rsidRPr="00440792">
              <w:rPr>
                <w:rFonts w:ascii="Calibri" w:eastAsia="Malgun Gothic" w:hAnsi="Calibri" w:cs="Times New Roman"/>
                <w:bCs/>
                <w:i/>
                <w:sz w:val="18"/>
                <w:szCs w:val="18"/>
              </w:rPr>
              <w:t xml:space="preserve">The degree to which: The youth gaining skills, education, work experience, </w:t>
            </w:r>
          </w:p>
          <w:p w:rsidR="00A9310F" w:rsidRPr="00440792" w:rsidRDefault="00A9310F" w:rsidP="006B1A5A">
            <w:pPr>
              <w:autoSpaceDE w:val="0"/>
              <w:autoSpaceDN w:val="0"/>
              <w:adjustRightInd w:val="0"/>
              <w:spacing w:after="120" w:line="276" w:lineRule="auto"/>
              <w:rPr>
                <w:rFonts w:ascii="Calibri" w:eastAsia="Malgun Gothic" w:hAnsi="Calibri" w:cs="Times New Roman"/>
                <w:bCs/>
                <w:i/>
                <w:sz w:val="18"/>
                <w:szCs w:val="18"/>
              </w:rPr>
            </w:pPr>
            <w:r w:rsidRPr="00440792">
              <w:rPr>
                <w:rFonts w:ascii="Calibri" w:eastAsia="Malgun Gothic" w:hAnsi="Calibri" w:cs="Times New Roman"/>
                <w:bCs/>
                <w:i/>
                <w:sz w:val="18"/>
                <w:szCs w:val="18"/>
              </w:rPr>
              <w:t>connections, relationships, income, housing, and necessary capacities for living safely and functioning successfully independent of agency services, as appropriate to age and ability. • The youth developing long-term connections and informal supports that will support him/her into adulthood. [past 30 days]</w:t>
            </w:r>
          </w:p>
        </w:tc>
      </w:tr>
      <w:tr w:rsidR="00A9310F" w:rsidRPr="00440792" w:rsidTr="00892C2C">
        <w:trPr>
          <w:jc w:val="center"/>
        </w:trPr>
        <w:tc>
          <w:tcPr>
            <w:tcW w:w="1507"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Overall Child Status</w:t>
            </w:r>
          </w:p>
        </w:tc>
        <w:tc>
          <w:tcPr>
            <w:tcW w:w="1368" w:type="dxa"/>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Adverse – 6 Optimal</w:t>
            </w:r>
          </w:p>
        </w:tc>
        <w:tc>
          <w:tcPr>
            <w:tcW w:w="6744" w:type="dxa"/>
          </w:tcPr>
          <w:p w:rsidR="00A9310F" w:rsidRPr="00440792" w:rsidRDefault="00A9310F" w:rsidP="006B1A5A">
            <w:pPr>
              <w:autoSpaceDE w:val="0"/>
              <w:autoSpaceDN w:val="0"/>
              <w:adjustRightInd w:val="0"/>
              <w:spacing w:after="120" w:line="276" w:lineRule="auto"/>
              <w:rPr>
                <w:rFonts w:ascii="Calibri" w:eastAsia="Malgun Gothic" w:hAnsi="Calibri" w:cs="Times New Roman"/>
                <w:bCs/>
                <w:i/>
                <w:sz w:val="18"/>
                <w:szCs w:val="18"/>
              </w:rPr>
            </w:pPr>
            <w:r w:rsidRPr="00440792">
              <w:rPr>
                <w:rFonts w:ascii="Calibri" w:eastAsia="Malgun Gothic" w:hAnsi="Calibri" w:cs="Times New Roman"/>
                <w:bCs/>
                <w:i/>
                <w:sz w:val="18"/>
                <w:szCs w:val="18"/>
              </w:rPr>
              <w:t>If the child’s safety score is in the concerted action needed area (1, 2, 3), then the Overall Child status rating would be equal to the safety score. Give weight to stability and permanency when they score in concerted action needed and all other indicators are in the refine and maintain area.</w:t>
            </w:r>
          </w:p>
        </w:tc>
      </w:tr>
    </w:tbl>
    <w:p w:rsidR="00A9310F" w:rsidRPr="00654938" w:rsidRDefault="00A9310F" w:rsidP="00A9310F"/>
    <w:p w:rsidR="00A9310F" w:rsidRPr="00320E1E" w:rsidRDefault="00A9310F" w:rsidP="00A9310F">
      <w:pPr>
        <w:pStyle w:val="Heading4"/>
        <w:rPr>
          <w:rFonts w:eastAsia="Malgun Gothic"/>
        </w:rPr>
      </w:pPr>
      <w:r>
        <w:rPr>
          <w:rFonts w:eastAsia="Malgun Gothic"/>
        </w:rPr>
        <w:t>Process Indicators</w:t>
      </w:r>
    </w:p>
    <w:tbl>
      <w:tblPr>
        <w:tblW w:w="9648" w:type="dxa"/>
        <w:tblLook w:val="04A0" w:firstRow="1" w:lastRow="0" w:firstColumn="1" w:lastColumn="0" w:noHBand="0" w:noVBand="1"/>
      </w:tblPr>
      <w:tblGrid>
        <w:gridCol w:w="1548"/>
        <w:gridCol w:w="1530"/>
        <w:gridCol w:w="6570"/>
      </w:tblGrid>
      <w:tr w:rsidR="00A9310F" w:rsidRPr="00440792" w:rsidTr="00777386">
        <w:tc>
          <w:tcPr>
            <w:tcW w:w="1548"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before="120" w:after="120"/>
              <w:rPr>
                <w:rFonts w:ascii="Calibri" w:eastAsia="Malgun Gothic" w:hAnsi="Calibri" w:cs="Times New Roman"/>
                <w:sz w:val="20"/>
                <w:szCs w:val="20"/>
              </w:rPr>
            </w:pPr>
            <w:r w:rsidRPr="00440792">
              <w:rPr>
                <w:rFonts w:ascii="Calibri" w:eastAsia="Malgun Gothic" w:hAnsi="Calibri" w:cs="Times New Roman"/>
                <w:sz w:val="20"/>
                <w:szCs w:val="20"/>
              </w:rPr>
              <w:t>Outcome</w:t>
            </w:r>
          </w:p>
        </w:tc>
        <w:tc>
          <w:tcPr>
            <w:tcW w:w="153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before="120" w:after="120"/>
              <w:rPr>
                <w:rFonts w:ascii="Calibri" w:eastAsia="Malgun Gothic" w:hAnsi="Calibri" w:cs="Times New Roman"/>
                <w:sz w:val="20"/>
                <w:szCs w:val="20"/>
              </w:rPr>
            </w:pPr>
            <w:r w:rsidRPr="00440792">
              <w:rPr>
                <w:rFonts w:ascii="Calibri" w:eastAsia="Malgun Gothic" w:hAnsi="Calibri" w:cs="Times New Roman"/>
                <w:sz w:val="20"/>
                <w:szCs w:val="20"/>
              </w:rPr>
              <w:t>Range</w:t>
            </w:r>
          </w:p>
        </w:tc>
        <w:tc>
          <w:tcPr>
            <w:tcW w:w="657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before="120" w:after="120"/>
              <w:rPr>
                <w:rFonts w:ascii="Calibri" w:eastAsia="Malgun Gothic" w:hAnsi="Calibri" w:cs="Times New Roman"/>
                <w:sz w:val="20"/>
                <w:szCs w:val="20"/>
              </w:rPr>
            </w:pPr>
            <w:r w:rsidRPr="00440792">
              <w:rPr>
                <w:rFonts w:ascii="Calibri" w:eastAsia="Malgun Gothic" w:hAnsi="Calibri" w:cs="Times New Roman"/>
                <w:sz w:val="20"/>
                <w:szCs w:val="20"/>
              </w:rPr>
              <w:t>Definition</w:t>
            </w:r>
          </w:p>
        </w:tc>
      </w:tr>
      <w:tr w:rsidR="00A9310F" w:rsidRPr="00440792" w:rsidTr="00777386">
        <w:tc>
          <w:tcPr>
            <w:tcW w:w="9648" w:type="dxa"/>
            <w:gridSpan w:val="3"/>
            <w:tcBorders>
              <w:top w:val="single" w:sz="4" w:space="0" w:color="auto"/>
              <w:left w:val="single" w:sz="4" w:space="0" w:color="auto"/>
              <w:bottom w:val="single" w:sz="4" w:space="0" w:color="auto"/>
              <w:right w:val="single" w:sz="4" w:space="0" w:color="auto"/>
            </w:tcBorders>
            <w:shd w:val="clear" w:color="auto" w:fill="EEECE1"/>
          </w:tcPr>
          <w:p w:rsidR="00A9310F" w:rsidRPr="00440792" w:rsidRDefault="00A9310F" w:rsidP="006B1A5A">
            <w:pPr>
              <w:tabs>
                <w:tab w:val="left" w:pos="854"/>
                <w:tab w:val="center" w:pos="4716"/>
              </w:tabs>
              <w:autoSpaceDE w:val="0"/>
              <w:autoSpaceDN w:val="0"/>
              <w:adjustRightInd w:val="0"/>
              <w:spacing w:before="120" w:after="120"/>
              <w:rPr>
                <w:rFonts w:ascii="Calibri" w:eastAsia="Malgun Gothic" w:hAnsi="Calibri" w:cs="Times New Roman"/>
                <w:b/>
                <w:i/>
                <w:sz w:val="20"/>
                <w:szCs w:val="20"/>
              </w:rPr>
            </w:pPr>
            <w:r w:rsidRPr="00440792">
              <w:rPr>
                <w:rFonts w:ascii="Calibri" w:eastAsia="Malgun Gothic" w:hAnsi="Calibri" w:cs="Times New Roman"/>
                <w:b/>
                <w:i/>
                <w:sz w:val="20"/>
                <w:szCs w:val="20"/>
              </w:rPr>
              <w:tab/>
            </w:r>
            <w:r w:rsidRPr="00440792">
              <w:rPr>
                <w:rFonts w:ascii="Calibri" w:eastAsia="Malgun Gothic" w:hAnsi="Calibri" w:cs="Times New Roman"/>
                <w:b/>
                <w:i/>
                <w:sz w:val="20"/>
                <w:szCs w:val="20"/>
              </w:rPr>
              <w:tab/>
              <w:t>Engaging</w:t>
            </w:r>
          </w:p>
        </w:tc>
      </w:tr>
      <w:tr w:rsidR="00A9310F" w:rsidRPr="00440792" w:rsidTr="00777386">
        <w:tc>
          <w:tcPr>
            <w:tcW w:w="1548"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Role and Voice of family members (mother, father, child, other)</w:t>
            </w:r>
          </w:p>
        </w:tc>
        <w:tc>
          <w:tcPr>
            <w:tcW w:w="153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Absent or Adverse – 6 Optimal &amp; N/A</w:t>
            </w:r>
          </w:p>
        </w:tc>
        <w:tc>
          <w:tcPr>
            <w:tcW w:w="657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autoSpaceDE w:val="0"/>
              <w:autoSpaceDN w:val="0"/>
              <w:adjustRightInd w:val="0"/>
              <w:spacing w:after="20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The degree to which family members with whom the child is living and/or will be reunited, active ongoing participants (e.g., having a significant role, voice, influence) in decisions made about child/family change strategies, services, and results. [Role and voice in recent meetings] They are active participants in the plans and services they identified. A trust-based relationship exists between all team members.</w:t>
            </w:r>
          </w:p>
        </w:tc>
      </w:tr>
      <w:tr w:rsidR="00A9310F" w:rsidRPr="00440792" w:rsidTr="00777386">
        <w:tc>
          <w:tcPr>
            <w:tcW w:w="9648" w:type="dxa"/>
            <w:gridSpan w:val="3"/>
            <w:tcBorders>
              <w:top w:val="single" w:sz="4" w:space="0" w:color="auto"/>
              <w:left w:val="single" w:sz="4" w:space="0" w:color="auto"/>
              <w:bottom w:val="single" w:sz="4" w:space="0" w:color="auto"/>
              <w:right w:val="single" w:sz="4" w:space="0" w:color="auto"/>
            </w:tcBorders>
            <w:shd w:val="clear" w:color="auto" w:fill="EEECE1"/>
          </w:tcPr>
          <w:p w:rsidR="00A9310F" w:rsidRPr="00440792" w:rsidRDefault="00A9310F" w:rsidP="006B1A5A">
            <w:pPr>
              <w:autoSpaceDE w:val="0"/>
              <w:autoSpaceDN w:val="0"/>
              <w:adjustRightInd w:val="0"/>
              <w:spacing w:before="120" w:after="120"/>
              <w:jc w:val="center"/>
              <w:rPr>
                <w:rFonts w:ascii="Calibri" w:eastAsia="Malgun Gothic" w:hAnsi="Calibri" w:cs="Times New Roman"/>
                <w:b/>
                <w:i/>
                <w:sz w:val="20"/>
                <w:szCs w:val="20"/>
              </w:rPr>
            </w:pPr>
            <w:r w:rsidRPr="00440792">
              <w:rPr>
                <w:rFonts w:ascii="Calibri" w:eastAsia="Malgun Gothic" w:hAnsi="Calibri" w:cs="Times New Roman"/>
                <w:b/>
                <w:i/>
                <w:sz w:val="20"/>
                <w:szCs w:val="20"/>
              </w:rPr>
              <w:t>Teaming</w:t>
            </w:r>
          </w:p>
        </w:tc>
      </w:tr>
      <w:tr w:rsidR="00A9310F" w:rsidRPr="00440792" w:rsidTr="00777386">
        <w:tc>
          <w:tcPr>
            <w:tcW w:w="1548"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Team Formation</w:t>
            </w:r>
          </w:p>
        </w:tc>
        <w:tc>
          <w:tcPr>
            <w:tcW w:w="153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Absent or Adverse – 6 Optimal</w:t>
            </w:r>
          </w:p>
        </w:tc>
        <w:tc>
          <w:tcPr>
            <w:tcW w:w="657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autoSpaceDE w:val="0"/>
              <w:autoSpaceDN w:val="0"/>
              <w:adjustRightInd w:val="0"/>
              <w:spacing w:after="20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The degree to which: The people who provide support and services for this child and family have been identified and formed into a working team • The team has the skills, family knowledge, and abilities necessary to organize effective services for a child and family of this complexity and cultural background.</w:t>
            </w:r>
          </w:p>
        </w:tc>
      </w:tr>
      <w:tr w:rsidR="00A9310F" w:rsidRPr="00440792" w:rsidTr="00777386">
        <w:tc>
          <w:tcPr>
            <w:tcW w:w="1548"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Team Functioning</w:t>
            </w:r>
          </w:p>
        </w:tc>
        <w:tc>
          <w:tcPr>
            <w:tcW w:w="153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Absent or Adverse – 6 Optimal &amp; N/A</w:t>
            </w:r>
          </w:p>
        </w:tc>
        <w:tc>
          <w:tcPr>
            <w:tcW w:w="657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autoSpaceDE w:val="0"/>
              <w:autoSpaceDN w:val="0"/>
              <w:adjustRightInd w:val="0"/>
              <w:spacing w:after="20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The degree to which: Members of the family team collectively function as a unified and coordinated team in planning services and evaluating results. • Actions of the family team reflect a coherent pattern of effective teamwork and collaborative problem solving that benefits the child and family.</w:t>
            </w:r>
          </w:p>
        </w:tc>
      </w:tr>
      <w:tr w:rsidR="00A9310F" w:rsidRPr="00440792" w:rsidTr="00777386">
        <w:tc>
          <w:tcPr>
            <w:tcW w:w="9648" w:type="dxa"/>
            <w:gridSpan w:val="3"/>
            <w:tcBorders>
              <w:top w:val="single" w:sz="4" w:space="0" w:color="auto"/>
              <w:left w:val="single" w:sz="4" w:space="0" w:color="auto"/>
              <w:bottom w:val="single" w:sz="4" w:space="0" w:color="auto"/>
              <w:right w:val="single" w:sz="4" w:space="0" w:color="auto"/>
            </w:tcBorders>
            <w:shd w:val="clear" w:color="auto" w:fill="EEECE1"/>
          </w:tcPr>
          <w:p w:rsidR="00A9310F" w:rsidRPr="00440792" w:rsidRDefault="00A9310F" w:rsidP="006B1A5A">
            <w:pPr>
              <w:autoSpaceDE w:val="0"/>
              <w:autoSpaceDN w:val="0"/>
              <w:adjustRightInd w:val="0"/>
              <w:spacing w:before="120" w:after="120"/>
              <w:jc w:val="center"/>
              <w:rPr>
                <w:rFonts w:ascii="Calibri" w:eastAsia="Malgun Gothic" w:hAnsi="Calibri" w:cs="Times New Roman"/>
                <w:b/>
                <w:i/>
                <w:sz w:val="20"/>
                <w:szCs w:val="20"/>
              </w:rPr>
            </w:pPr>
            <w:r w:rsidRPr="00440792">
              <w:rPr>
                <w:rFonts w:ascii="Calibri" w:eastAsia="Malgun Gothic" w:hAnsi="Calibri" w:cs="Times New Roman"/>
                <w:b/>
                <w:i/>
                <w:sz w:val="20"/>
                <w:szCs w:val="20"/>
              </w:rPr>
              <w:t>Assessing</w:t>
            </w:r>
          </w:p>
        </w:tc>
      </w:tr>
      <w:tr w:rsidR="00A9310F" w:rsidRPr="00440792" w:rsidTr="00777386">
        <w:tc>
          <w:tcPr>
            <w:tcW w:w="1548"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Cultural Recognition</w:t>
            </w:r>
          </w:p>
        </w:tc>
        <w:tc>
          <w:tcPr>
            <w:tcW w:w="153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Adverse – 6 Optimal</w:t>
            </w:r>
          </w:p>
        </w:tc>
        <w:tc>
          <w:tcPr>
            <w:tcW w:w="657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autoSpaceDE w:val="0"/>
              <w:autoSpaceDN w:val="0"/>
              <w:adjustRightInd w:val="0"/>
              <w:spacing w:after="20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How well any significant cultural issues, family beliefs, and customs of the child and family have been identified and addressed in practice (e.g., culture of poverty, domestic violence, mental illness or incest). • The natural, cultural, or community supports are appropriate for this child and family being provided. • The degree to which the necessary supports and services are provided being made culturally appropriate in the family engagement, assessment, planning, and service delivery processes. • The degree to which family values and beliefs are recognized when developing plans for sustainable, safe case closure. Plans to address the family’s maladaptive behaviors, values, and beliefs should not adversely affect the child’s safety, permanency, and well-being.</w:t>
            </w:r>
          </w:p>
        </w:tc>
      </w:tr>
      <w:tr w:rsidR="00A9310F" w:rsidRPr="00440792" w:rsidTr="00777386">
        <w:tc>
          <w:tcPr>
            <w:tcW w:w="1548"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Assessing &amp; Understanding (the child, the family)</w:t>
            </w:r>
          </w:p>
        </w:tc>
        <w:tc>
          <w:tcPr>
            <w:tcW w:w="153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Absent, Incorrect or Adverse – 6 Optimal &amp; N/A for family</w:t>
            </w:r>
          </w:p>
        </w:tc>
        <w:tc>
          <w:tcPr>
            <w:tcW w:w="657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autoSpaceDE w:val="0"/>
              <w:autoSpaceDN w:val="0"/>
              <w:adjustRightInd w:val="0"/>
              <w:spacing w:after="20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The degree to which: The team has a shared, big picture understanding of the child and family's underlying issues, needs, strengths, protective capacities, hopes, and safety risks that must change for the child to live safely and permanently with the family of origin or adoptive family without agency supervision. •These understandings are reflected in the family change process used for helping the family achieve safety, permanency, and well-being. • Ongoing situational awareness of the child and family is being maintained throughout the child and family change process.</w:t>
            </w:r>
          </w:p>
        </w:tc>
      </w:tr>
      <w:tr w:rsidR="00A9310F" w:rsidRPr="00440792" w:rsidTr="00777386">
        <w:tc>
          <w:tcPr>
            <w:tcW w:w="9648" w:type="dxa"/>
            <w:gridSpan w:val="3"/>
            <w:tcBorders>
              <w:top w:val="single" w:sz="4" w:space="0" w:color="auto"/>
              <w:left w:val="single" w:sz="4" w:space="0" w:color="auto"/>
              <w:bottom w:val="single" w:sz="4" w:space="0" w:color="auto"/>
              <w:right w:val="single" w:sz="4" w:space="0" w:color="auto"/>
            </w:tcBorders>
            <w:shd w:val="clear" w:color="auto" w:fill="EEECE1"/>
          </w:tcPr>
          <w:p w:rsidR="00A9310F" w:rsidRPr="00440792" w:rsidRDefault="00A9310F" w:rsidP="006B1A5A">
            <w:pPr>
              <w:autoSpaceDE w:val="0"/>
              <w:autoSpaceDN w:val="0"/>
              <w:adjustRightInd w:val="0"/>
              <w:spacing w:before="120" w:after="120"/>
              <w:jc w:val="center"/>
              <w:rPr>
                <w:rFonts w:ascii="Calibri" w:eastAsia="Malgun Gothic" w:hAnsi="Calibri" w:cs="Times New Roman"/>
                <w:b/>
                <w:i/>
                <w:sz w:val="20"/>
                <w:szCs w:val="20"/>
              </w:rPr>
            </w:pPr>
            <w:r w:rsidRPr="00440792">
              <w:rPr>
                <w:rFonts w:ascii="Calibri" w:eastAsia="Malgun Gothic" w:hAnsi="Calibri" w:cs="Times New Roman"/>
                <w:b/>
                <w:i/>
                <w:sz w:val="20"/>
                <w:szCs w:val="20"/>
              </w:rPr>
              <w:t>Planning</w:t>
            </w:r>
          </w:p>
        </w:tc>
      </w:tr>
      <w:tr w:rsidR="00A9310F" w:rsidRPr="00440792" w:rsidTr="00777386">
        <w:tc>
          <w:tcPr>
            <w:tcW w:w="1548"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Long-term View</w:t>
            </w:r>
          </w:p>
        </w:tc>
        <w:tc>
          <w:tcPr>
            <w:tcW w:w="153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Absent or Adverse – 6 Optimal</w:t>
            </w:r>
          </w:p>
        </w:tc>
        <w:tc>
          <w:tcPr>
            <w:tcW w:w="657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autoSpaceDE w:val="0"/>
              <w:autoSpaceDN w:val="0"/>
              <w:adjustRightInd w:val="0"/>
              <w:spacing w:after="20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There is an explicit guiding view for the child and parents that should enable them to live safely and successfully without DCS supervision. • How well the LTV defines: (1) Permanency goals (primary and concurrent, if necessary) for the focus child. (2) Things that must change in the family’s situation. And 3) outcomes that must be achieved for sustainable, safe case closure.</w:t>
            </w:r>
          </w:p>
        </w:tc>
      </w:tr>
      <w:tr w:rsidR="00A9310F" w:rsidRPr="00440792" w:rsidTr="00777386">
        <w:tc>
          <w:tcPr>
            <w:tcW w:w="1548"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Child and Family Planning Process</w:t>
            </w:r>
          </w:p>
        </w:tc>
        <w:tc>
          <w:tcPr>
            <w:tcW w:w="153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Absent, Ambiguous or Adverse – 6 Optimal</w:t>
            </w:r>
          </w:p>
        </w:tc>
        <w:tc>
          <w:tcPr>
            <w:tcW w:w="657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autoSpaceDE w:val="0"/>
              <w:autoSpaceDN w:val="0"/>
              <w:adjustRightInd w:val="0"/>
              <w:spacing w:after="20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 xml:space="preserve">The planning process is individualized and relevant to needs and </w:t>
            </w:r>
          </w:p>
          <w:p w:rsidR="00A9310F" w:rsidRPr="00440792" w:rsidRDefault="00A9310F" w:rsidP="006B1A5A">
            <w:pPr>
              <w:autoSpaceDE w:val="0"/>
              <w:autoSpaceDN w:val="0"/>
              <w:adjustRightInd w:val="0"/>
              <w:spacing w:after="20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Goals. • Change strategies, interventions, and supports are organized into a holistic and coherent service process that provides a mix of elements uniquely matched to the child/family's situation and preferences. • The combination of strategies, interventions, and supports fit the child and family's situation so as to maximize potential results and minimize conflicts and inconveniences.</w:t>
            </w:r>
          </w:p>
        </w:tc>
      </w:tr>
      <w:tr w:rsidR="00A9310F" w:rsidRPr="00440792" w:rsidTr="00777386">
        <w:trPr>
          <w:trHeight w:val="2420"/>
        </w:trPr>
        <w:tc>
          <w:tcPr>
            <w:tcW w:w="1548"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Planning Transitions and Life Adjustments</w:t>
            </w:r>
          </w:p>
        </w:tc>
        <w:tc>
          <w:tcPr>
            <w:tcW w:w="153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Adverse – 6 Optimal &amp; N/A</w:t>
            </w:r>
          </w:p>
        </w:tc>
        <w:tc>
          <w:tcPr>
            <w:tcW w:w="657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autoSpaceDE w:val="0"/>
              <w:autoSpaceDN w:val="0"/>
              <w:adjustRightInd w:val="0"/>
              <w:spacing w:after="20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The degree to which: The current or next life change transition for the child is being planned, staged, and implemented to assure a timely, smooth, and successful adjustment for the child and family after the change occurs. • Transitional staging plans/arrangements are being made to assure a successful transition and life adjustment in daily settings • The child is returning home and to school following temporary placement in foster care, treatment, or detention, the transition and life adjustment sequence is working. • There is follow-along support for the adjustment period.</w:t>
            </w:r>
          </w:p>
        </w:tc>
      </w:tr>
      <w:tr w:rsidR="00A9310F" w:rsidRPr="00440792" w:rsidTr="00777386">
        <w:tc>
          <w:tcPr>
            <w:tcW w:w="9648" w:type="dxa"/>
            <w:gridSpan w:val="3"/>
            <w:tcBorders>
              <w:top w:val="single" w:sz="4" w:space="0" w:color="auto"/>
            </w:tcBorders>
            <w:shd w:val="clear" w:color="auto" w:fill="auto"/>
          </w:tcPr>
          <w:p w:rsidR="00A9310F" w:rsidRPr="00440792" w:rsidRDefault="00A9310F" w:rsidP="006B1A5A">
            <w:pPr>
              <w:pStyle w:val="Heading4"/>
            </w:pPr>
          </w:p>
          <w:p w:rsidR="00A9310F" w:rsidRPr="00440792" w:rsidRDefault="00A9310F" w:rsidP="006B1A5A">
            <w:pPr>
              <w:pStyle w:val="Heading4"/>
            </w:pPr>
            <w:r w:rsidRPr="00440792">
              <w:rPr>
                <w:rFonts w:ascii="Calibri" w:hAnsi="Calibri" w:cs="Times New Roman"/>
                <w:sz w:val="20"/>
                <w:szCs w:val="20"/>
              </w:rPr>
              <w:t xml:space="preserve">Table 13. </w:t>
            </w:r>
            <w:r w:rsidRPr="00440792">
              <w:t>QSR Practice Indicator Scoring and Definitions</w:t>
            </w:r>
          </w:p>
        </w:tc>
      </w:tr>
      <w:tr w:rsidR="00A9310F" w:rsidRPr="00440792" w:rsidTr="00777386">
        <w:tc>
          <w:tcPr>
            <w:tcW w:w="9648" w:type="dxa"/>
            <w:gridSpan w:val="3"/>
            <w:tcBorders>
              <w:top w:val="single" w:sz="4" w:space="0" w:color="auto"/>
              <w:left w:val="single" w:sz="4" w:space="0" w:color="auto"/>
              <w:bottom w:val="single" w:sz="4" w:space="0" w:color="auto"/>
              <w:right w:val="single" w:sz="4" w:space="0" w:color="auto"/>
            </w:tcBorders>
            <w:shd w:val="clear" w:color="auto" w:fill="EEECE1"/>
          </w:tcPr>
          <w:p w:rsidR="00A9310F" w:rsidRPr="00440792" w:rsidRDefault="00A9310F" w:rsidP="006B1A5A">
            <w:pPr>
              <w:autoSpaceDE w:val="0"/>
              <w:autoSpaceDN w:val="0"/>
              <w:adjustRightInd w:val="0"/>
              <w:spacing w:before="120" w:after="120"/>
              <w:jc w:val="center"/>
              <w:rPr>
                <w:rFonts w:ascii="Calibri" w:eastAsia="Malgun Gothic" w:hAnsi="Calibri" w:cs="Times New Roman"/>
                <w:b/>
                <w:i/>
                <w:sz w:val="20"/>
                <w:szCs w:val="20"/>
              </w:rPr>
            </w:pPr>
            <w:r w:rsidRPr="00440792">
              <w:rPr>
                <w:rFonts w:ascii="Calibri" w:eastAsia="Malgun Gothic" w:hAnsi="Calibri" w:cs="Times New Roman"/>
                <w:b/>
                <w:i/>
                <w:sz w:val="20"/>
                <w:szCs w:val="20"/>
              </w:rPr>
              <w:t>Intervening</w:t>
            </w:r>
          </w:p>
        </w:tc>
      </w:tr>
      <w:tr w:rsidR="00A9310F" w:rsidRPr="00440792" w:rsidTr="00777386">
        <w:tc>
          <w:tcPr>
            <w:tcW w:w="1548"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Intervention Adequacy</w:t>
            </w:r>
          </w:p>
        </w:tc>
        <w:tc>
          <w:tcPr>
            <w:tcW w:w="153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Absent or Adverse – 6 Optimal</w:t>
            </w:r>
          </w:p>
        </w:tc>
        <w:tc>
          <w:tcPr>
            <w:tcW w:w="657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autoSpaceDE w:val="0"/>
              <w:autoSpaceDN w:val="0"/>
              <w:adjustRightInd w:val="0"/>
              <w:spacing w:after="20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The degree to which the change-related interventions, actions, and resources are provided to the child and family of sufficient power (precision, intensity, duration, fidelity, and consistency) to produce desired results and make timely progress necessary to meet sustainable, safe case closure requirements and to sustain family independence from the service system following closure.</w:t>
            </w:r>
          </w:p>
        </w:tc>
      </w:tr>
      <w:tr w:rsidR="00A9310F" w:rsidRPr="00440792" w:rsidTr="00777386">
        <w:tc>
          <w:tcPr>
            <w:tcW w:w="1548"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Resource Availability</w:t>
            </w:r>
          </w:p>
        </w:tc>
        <w:tc>
          <w:tcPr>
            <w:tcW w:w="153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Absent or Adverse – 6 Optimal</w:t>
            </w:r>
          </w:p>
        </w:tc>
        <w:tc>
          <w:tcPr>
            <w:tcW w:w="657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autoSpaceDE w:val="0"/>
              <w:autoSpaceDN w:val="0"/>
              <w:adjustRightInd w:val="0"/>
              <w:spacing w:after="20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The degree to which formal supports, services, and resources are necessary to implement planned change strategies available as required (i.e., timeliness, fit to the situation, and change strategy used, intensity, duration, locally accessible) for use by the: (1) focus child, (2) the parent, and (3) the caregiver in meeting family change requirements and conditions for sustainable, safe case closure (and beyond).</w:t>
            </w:r>
          </w:p>
        </w:tc>
      </w:tr>
      <w:tr w:rsidR="00A9310F" w:rsidRPr="00440792" w:rsidTr="00777386">
        <w:tc>
          <w:tcPr>
            <w:tcW w:w="1548"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Maintaining Relationships (Birth mother, Birth father, Siblings, Extended family)</w:t>
            </w:r>
          </w:p>
        </w:tc>
        <w:tc>
          <w:tcPr>
            <w:tcW w:w="153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Absent, Fragmented, Declining in Quality or Frequency, or Inappropriate – 6 Optimal &amp; N/A</w:t>
            </w:r>
          </w:p>
        </w:tc>
        <w:tc>
          <w:tcPr>
            <w:tcW w:w="657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autoSpaceDE w:val="0"/>
              <w:autoSpaceDN w:val="0"/>
              <w:adjustRightInd w:val="0"/>
              <w:spacing w:after="20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 xml:space="preserve">When children and family members are living temporarily away from one another, specifically planned strategies and supports are working well to build and sustain family connections through appropriate visits and other means, unless compelling reasons exist for keeping them apart. • The degree to which strategies and efforts have been put into place to support the following between the child and his/her parents for: (1) </w:t>
            </w:r>
          </w:p>
          <w:p w:rsidR="00A9310F" w:rsidRPr="00440792" w:rsidRDefault="00A9310F" w:rsidP="006B1A5A">
            <w:pPr>
              <w:autoSpaceDE w:val="0"/>
              <w:autoSpaceDN w:val="0"/>
              <w:adjustRightInd w:val="0"/>
              <w:spacing w:after="20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Building and maintaining positive interactions. (2) Creating and using opportunities for providing emotional support. And (3) Using varied and creative opportunities for family members to nurture one another.</w:t>
            </w:r>
          </w:p>
        </w:tc>
      </w:tr>
      <w:tr w:rsidR="00A9310F" w:rsidRPr="00440792" w:rsidTr="00777386">
        <w:tc>
          <w:tcPr>
            <w:tcW w:w="1548"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Tracking and Adjusting</w:t>
            </w:r>
          </w:p>
        </w:tc>
        <w:tc>
          <w:tcPr>
            <w:tcW w:w="153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Absent, Adverse, or ineffective – 6 Optimal</w:t>
            </w:r>
          </w:p>
        </w:tc>
        <w:tc>
          <w:tcPr>
            <w:tcW w:w="657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autoSpaceDE w:val="0"/>
              <w:autoSpaceDN w:val="0"/>
              <w:adjustRightInd w:val="0"/>
              <w:spacing w:after="20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The team monitors the child and family’s progress, intervention process, changes results routinely, and makes the necessary adjustments. • Strategies and services are modified to respond to the changing needs and to apply knowledge gained about planned strategies and results to create a self-correcting service process for finding what works for the child and family.</w:t>
            </w:r>
          </w:p>
        </w:tc>
      </w:tr>
      <w:tr w:rsidR="00A9310F" w:rsidRPr="00440792" w:rsidTr="00777386">
        <w:tc>
          <w:tcPr>
            <w:tcW w:w="1548"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Overall Practice Performance</w:t>
            </w:r>
          </w:p>
        </w:tc>
        <w:tc>
          <w:tcPr>
            <w:tcW w:w="153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spacing w:after="200" w:line="276" w:lineRule="auto"/>
              <w:rPr>
                <w:rFonts w:ascii="Calibri" w:eastAsia="Malgun Gothic" w:hAnsi="Calibri" w:cs="Times New Roman"/>
                <w:sz w:val="18"/>
                <w:szCs w:val="18"/>
              </w:rPr>
            </w:pPr>
            <w:r w:rsidRPr="00440792">
              <w:rPr>
                <w:rFonts w:ascii="Calibri" w:eastAsia="Malgun Gothic" w:hAnsi="Calibri" w:cs="Times New Roman"/>
                <w:sz w:val="18"/>
                <w:szCs w:val="18"/>
              </w:rPr>
              <w:t>1 Adverse – 6 Optimal</w:t>
            </w:r>
          </w:p>
        </w:tc>
        <w:tc>
          <w:tcPr>
            <w:tcW w:w="6570" w:type="dxa"/>
            <w:tcBorders>
              <w:top w:val="single" w:sz="4" w:space="0" w:color="auto"/>
              <w:left w:val="single" w:sz="4" w:space="0" w:color="auto"/>
              <w:bottom w:val="single" w:sz="4" w:space="0" w:color="auto"/>
              <w:right w:val="single" w:sz="4" w:space="0" w:color="auto"/>
            </w:tcBorders>
          </w:tcPr>
          <w:p w:rsidR="00A9310F" w:rsidRPr="00440792" w:rsidRDefault="00A9310F" w:rsidP="006B1A5A">
            <w:pPr>
              <w:autoSpaceDE w:val="0"/>
              <w:autoSpaceDN w:val="0"/>
              <w:adjustRightInd w:val="0"/>
              <w:spacing w:after="200" w:line="276" w:lineRule="auto"/>
              <w:rPr>
                <w:rFonts w:ascii="Calibri" w:eastAsia="Malgun Gothic" w:hAnsi="Calibri" w:cs="Times New Roman"/>
                <w:i/>
                <w:sz w:val="18"/>
                <w:szCs w:val="18"/>
              </w:rPr>
            </w:pPr>
            <w:r w:rsidRPr="00440792">
              <w:rPr>
                <w:rFonts w:ascii="Calibri" w:eastAsia="Malgun Gothic" w:hAnsi="Calibri" w:cs="Times New Roman"/>
                <w:i/>
                <w:sz w:val="18"/>
                <w:szCs w:val="18"/>
              </w:rPr>
              <w:t>Give weight to those items judged to be most important in practice at this time for this child and family.</w:t>
            </w:r>
          </w:p>
        </w:tc>
      </w:tr>
    </w:tbl>
    <w:p w:rsidR="00A9310F" w:rsidRPr="00440792" w:rsidRDefault="00A9310F" w:rsidP="00A9310F">
      <w:pPr>
        <w:rPr>
          <w:rFonts w:ascii="Calibri" w:eastAsia="Malgun Gothic" w:hAnsi="Calibri" w:cs="Times New Roman"/>
        </w:rPr>
      </w:pPr>
    </w:p>
    <w:p w:rsidR="00A9310F" w:rsidRDefault="00A9310F" w:rsidP="007C7DF4"/>
    <w:sectPr w:rsidR="00A9310F" w:rsidSect="00251F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E83" w:rsidRDefault="00C11E83" w:rsidP="001E6064">
      <w:r>
        <w:separator/>
      </w:r>
    </w:p>
  </w:endnote>
  <w:endnote w:type="continuationSeparator" w:id="0">
    <w:p w:rsidR="00C11E83" w:rsidRDefault="00C11E83" w:rsidP="001E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2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257413"/>
      <w:docPartObj>
        <w:docPartGallery w:val="Page Numbers (Bottom of Page)"/>
        <w:docPartUnique/>
      </w:docPartObj>
    </w:sdtPr>
    <w:sdtContent>
      <w:p w:rsidR="00CE2773" w:rsidRDefault="00CE2773" w:rsidP="00456170">
        <w:pPr>
          <w:pStyle w:val="Footer"/>
          <w:jc w:val="right"/>
          <w:rPr>
            <w:rFonts w:eastAsiaTheme="minorHAnsi"/>
          </w:rPr>
        </w:pPr>
        <w:r w:rsidRPr="00F31EAD">
          <w:rPr>
            <w:sz w:val="20"/>
            <w:szCs w:val="20"/>
          </w:rPr>
          <w:t xml:space="preserve">Page | </w:t>
        </w:r>
        <w:r>
          <w:rPr>
            <w:sz w:val="20"/>
            <w:szCs w:val="20"/>
          </w:rPr>
          <w:fldChar w:fldCharType="begin"/>
        </w:r>
        <w:r>
          <w:rPr>
            <w:sz w:val="20"/>
            <w:szCs w:val="20"/>
          </w:rPr>
          <w:instrText xml:space="preserve"> PAGE   \* MERGEFORMAT </w:instrText>
        </w:r>
        <w:r>
          <w:rPr>
            <w:sz w:val="20"/>
            <w:szCs w:val="20"/>
          </w:rPr>
          <w:fldChar w:fldCharType="separate"/>
        </w:r>
        <w:r w:rsidR="004128DE">
          <w:rPr>
            <w:noProof/>
            <w:sz w:val="20"/>
            <w:szCs w:val="20"/>
          </w:rPr>
          <w:t>21</w:t>
        </w:r>
        <w:r>
          <w:rPr>
            <w:sz w:val="20"/>
            <w:szCs w:val="20"/>
          </w:rPr>
          <w:fldChar w:fldCharType="end"/>
        </w:r>
        <w:r>
          <w:t xml:space="preserve"> </w:t>
        </w:r>
      </w:p>
    </w:sdtContent>
  </w:sdt>
  <w:p w:rsidR="00CE2773" w:rsidRDefault="00CE2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3084320"/>
      <w:docPartObj>
        <w:docPartGallery w:val="Page Numbers (Bottom of Page)"/>
        <w:docPartUnique/>
      </w:docPartObj>
    </w:sdtPr>
    <w:sdtContent>
      <w:p w:rsidR="00CE2773" w:rsidRDefault="00CE2773" w:rsidP="00892C2C">
        <w:pPr>
          <w:pStyle w:val="Footer"/>
          <w:jc w:val="right"/>
        </w:pPr>
        <w:r w:rsidRPr="00F31EAD">
          <w:rPr>
            <w:sz w:val="20"/>
            <w:szCs w:val="20"/>
          </w:rPr>
          <w:t xml:space="preserve">Page | </w:t>
        </w:r>
        <w:r>
          <w:rPr>
            <w:sz w:val="20"/>
            <w:szCs w:val="20"/>
          </w:rPr>
          <w:fldChar w:fldCharType="begin"/>
        </w:r>
        <w:r>
          <w:rPr>
            <w:sz w:val="20"/>
            <w:szCs w:val="20"/>
          </w:rPr>
          <w:instrText xml:space="preserve"> PAGE   \* MERGEFORMAT </w:instrText>
        </w:r>
        <w:r>
          <w:rPr>
            <w:sz w:val="20"/>
            <w:szCs w:val="20"/>
          </w:rPr>
          <w:fldChar w:fldCharType="separate"/>
        </w:r>
        <w:r w:rsidR="00492F2C">
          <w:rPr>
            <w:noProof/>
            <w:sz w:val="20"/>
            <w:szCs w:val="20"/>
          </w:rPr>
          <w:t>120</w:t>
        </w:r>
        <w:r>
          <w:rPr>
            <w:sz w:val="20"/>
            <w:szCs w:val="20"/>
          </w:rPr>
          <w:fldChar w:fldCharType="end"/>
        </w:r>
        <w:r>
          <w:t xml:space="preserve"> </w:t>
        </w:r>
      </w:p>
    </w:sdtContent>
  </w:sdt>
  <w:p w:rsidR="00CE2773" w:rsidRDefault="00CE2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E83" w:rsidRDefault="00C11E83" w:rsidP="001E6064">
      <w:r>
        <w:separator/>
      </w:r>
    </w:p>
  </w:footnote>
  <w:footnote w:type="continuationSeparator" w:id="0">
    <w:p w:rsidR="00C11E83" w:rsidRDefault="00C11E83" w:rsidP="001E6064">
      <w:r>
        <w:continuationSeparator/>
      </w:r>
    </w:p>
  </w:footnote>
  <w:footnote w:id="1">
    <w:p w:rsidR="00CE2773" w:rsidRPr="004C397D" w:rsidRDefault="00CE2773" w:rsidP="00833EE9">
      <w:pPr>
        <w:pStyle w:val="FootnoteText"/>
        <w:rPr>
          <w:sz w:val="18"/>
        </w:rPr>
      </w:pPr>
      <w:r>
        <w:rPr>
          <w:rStyle w:val="FootnoteReference"/>
        </w:rPr>
        <w:footnoteRef/>
      </w:r>
      <w:r>
        <w:t xml:space="preserve"> </w:t>
      </w:r>
      <w:r w:rsidRPr="004C397D">
        <w:rPr>
          <w:sz w:val="18"/>
        </w:rPr>
        <w:t xml:space="preserve">Duwve J, Hancock S, Collier C, Halverson P. Report on the toll of opioid use in Indiana and Marion County. Available at: </w:t>
      </w:r>
      <w:hyperlink r:id="rId1" w:history="1">
        <w:r w:rsidRPr="004C397D">
          <w:rPr>
            <w:rStyle w:val="Hyperlink"/>
            <w:sz w:val="18"/>
          </w:rPr>
          <w:t>https://www.inphilanthropy.org/sites/default/files/Richard%20M.%20Fairbanks%20Opioid%20Report%20September%202016.pdf</w:t>
        </w:r>
      </w:hyperlink>
    </w:p>
  </w:footnote>
  <w:footnote w:id="2">
    <w:p w:rsidR="00CE2773" w:rsidRDefault="00CE2773" w:rsidP="00833EE9">
      <w:pPr>
        <w:pStyle w:val="FootnoteText"/>
      </w:pPr>
      <w:r w:rsidRPr="004C397D">
        <w:rPr>
          <w:rStyle w:val="FootnoteReference"/>
          <w:sz w:val="18"/>
        </w:rPr>
        <w:footnoteRef/>
      </w:r>
      <w:r w:rsidRPr="004C397D">
        <w:rPr>
          <w:sz w:val="18"/>
        </w:rPr>
        <w:t xml:space="preserve"> Rudd RA, Seth P, David F, Scholl L. Increases in Drug and Opioid-Involved Overdose Deaths — United States, 2010–2015. MMWR Morb Mortal Wkly Rep 2016;65:1445–1452. DOI: http://dx.doi.org/10.15585/mmwr.mm655051e1</w:t>
      </w:r>
    </w:p>
  </w:footnote>
  <w:footnote w:id="3">
    <w:p w:rsidR="00CE2773" w:rsidRDefault="00CE2773">
      <w:pPr>
        <w:pStyle w:val="FootnoteText"/>
      </w:pPr>
      <w:r>
        <w:rPr>
          <w:rStyle w:val="FootnoteReference"/>
        </w:rPr>
        <w:footnoteRef/>
      </w:r>
      <w:r>
        <w:t xml:space="preserve"> </w:t>
      </w:r>
      <w:r w:rsidRPr="00286DF9">
        <w:t>Imburgia TM, Armstrong-Richardson E, Winters DE, Pierce BJ. The Increase and Impact of Relative Placements on Safety, Permanency, and Well-Being during Indiana's IV-E Waiver. Oral symposium presented by Imburgia at the Society for Social Work and Research. Washington, DC in January, 2020.</w:t>
      </w:r>
    </w:p>
  </w:footnote>
  <w:footnote w:id="4">
    <w:p w:rsidR="00CE2773" w:rsidRDefault="00CE2773">
      <w:pPr>
        <w:pStyle w:val="FootnoteText"/>
      </w:pPr>
      <w:r>
        <w:rPr>
          <w:rStyle w:val="FootnoteReference"/>
        </w:rPr>
        <w:footnoteRef/>
      </w:r>
      <w:r>
        <w:t xml:space="preserve"> </w:t>
      </w:r>
      <w:r w:rsidRPr="00D70B74">
        <w:t>Imburgia TM, Hensel DJ, Pierce BJ, Armstrong-Richardson E, Hall JA. Strategies to improve adolescents’ status in caregiver substance abuse cases in the child welfare system. Society for Adolescent Health and Medicine Annual Meeting, Seattle, WA, March 2018.</w:t>
      </w:r>
    </w:p>
  </w:footnote>
  <w:footnote w:id="5">
    <w:p w:rsidR="00CE2773" w:rsidRDefault="00CE2773">
      <w:pPr>
        <w:pStyle w:val="FootnoteText"/>
      </w:pPr>
      <w:r>
        <w:rPr>
          <w:rStyle w:val="FootnoteReference"/>
        </w:rPr>
        <w:footnoteRef/>
      </w:r>
      <w:r>
        <w:t xml:space="preserve"> </w:t>
      </w:r>
      <w:r w:rsidRPr="00286DF9">
        <w:t>Winters DE, Imburgia TM, Armstrong-Richardson E, Pierce BJ. Effects of Concrete Service Spending on Stability for Youth Receiving Child Welfare Services. Oral symposium presented by Winters at the Society for Social Work and Research. Washington, DC in January, 2020.</w:t>
      </w:r>
    </w:p>
  </w:footnote>
  <w:footnote w:id="6">
    <w:p w:rsidR="00CE2773" w:rsidRDefault="00CE2773">
      <w:pPr>
        <w:pStyle w:val="FootnoteText"/>
      </w:pPr>
      <w:r>
        <w:rPr>
          <w:rStyle w:val="FootnoteReference"/>
        </w:rPr>
        <w:footnoteRef/>
      </w:r>
      <w:r>
        <w:t xml:space="preserve"> </w:t>
      </w:r>
      <w:r w:rsidRPr="00C34156">
        <w:t>Bloomquist KR, Pierce BJ. Transitions from the Title IV-E Waiver to Family First Prevention and Services Era: Regional Child Welfare Managers’ Perceptions and Experiences. 16th International Congress of Qualitative Inquiry. Urbana, IL, May 2020.</w:t>
      </w:r>
    </w:p>
  </w:footnote>
  <w:footnote w:id="7">
    <w:p w:rsidR="00CE2773" w:rsidRPr="000C32D0" w:rsidRDefault="00CE2773" w:rsidP="00975821">
      <w:pPr>
        <w:autoSpaceDE w:val="0"/>
        <w:autoSpaceDN w:val="0"/>
        <w:adjustRightInd w:val="0"/>
        <w:rPr>
          <w:rFonts w:cs="Arial"/>
          <w:sz w:val="20"/>
          <w:szCs w:val="20"/>
        </w:rPr>
      </w:pPr>
      <w:r w:rsidRPr="000C32D0">
        <w:rPr>
          <w:rStyle w:val="FootnoteReference"/>
        </w:rPr>
        <w:footnoteRef/>
      </w:r>
      <w:r w:rsidRPr="000C32D0">
        <w:rPr>
          <w:sz w:val="20"/>
          <w:szCs w:val="20"/>
        </w:rPr>
        <w:t xml:space="preserve"> </w:t>
      </w:r>
      <w:r w:rsidRPr="000C32D0">
        <w:rPr>
          <w:rFonts w:cs="Arial"/>
          <w:sz w:val="20"/>
          <w:szCs w:val="20"/>
        </w:rPr>
        <w:t xml:space="preserve">Davidson, P. L., Andersen, R. M., Wyn, R., &amp; Brown, E. R. (2004). A framework for evaluating safety-net and other community-level factors on access for low-income populations. </w:t>
      </w:r>
      <w:r w:rsidRPr="000C32D0">
        <w:rPr>
          <w:rFonts w:cs="Arial"/>
          <w:i/>
          <w:iCs/>
          <w:sz w:val="20"/>
          <w:szCs w:val="20"/>
        </w:rPr>
        <w:t>Inquiry, 41</w:t>
      </w:r>
      <w:r w:rsidRPr="000C32D0">
        <w:rPr>
          <w:rFonts w:cs="Arial"/>
          <w:sz w:val="20"/>
          <w:szCs w:val="20"/>
        </w:rPr>
        <w:t>(1), 21-38.</w:t>
      </w:r>
    </w:p>
  </w:footnote>
  <w:footnote w:id="8">
    <w:p w:rsidR="00CE2773" w:rsidRDefault="00CE2773">
      <w:pPr>
        <w:pStyle w:val="FootnoteText"/>
      </w:pPr>
      <w:r>
        <w:rPr>
          <w:rStyle w:val="FootnoteReference"/>
        </w:rPr>
        <w:footnoteRef/>
      </w:r>
      <w:r>
        <w:t xml:space="preserve"> </w:t>
      </w:r>
      <w:r w:rsidRPr="00C34156">
        <w:t>Kim J, Pierce BJ. Model fidelity and child well-being in family team conference: The moderation effect of racial matching. Presented by Kim at the Society for Social Work and Research, Washington, DC, January 2020.</w:t>
      </w:r>
    </w:p>
  </w:footnote>
  <w:footnote w:id="9">
    <w:p w:rsidR="00CE2773" w:rsidRDefault="00CE2773">
      <w:pPr>
        <w:pStyle w:val="FootnoteText"/>
      </w:pPr>
      <w:r>
        <w:rPr>
          <w:rStyle w:val="FootnoteReference"/>
        </w:rPr>
        <w:footnoteRef/>
      </w:r>
      <w:r>
        <w:t xml:space="preserve"> </w:t>
      </w:r>
      <w:r w:rsidRPr="00B83B37">
        <w:t>Muzzey FK, Imburgia TM, Pierce BJ. Effectiveness of Family Centered Treatment Using Propensity Score Matching in the Indiana IV-E Waiver Demonstration. Oral symposium presented by Muzzey at the Society for Social Work and Research. Washington, DC in January, 2020.</w:t>
      </w:r>
      <w:r>
        <w:t xml:space="preserve"> </w:t>
      </w:r>
    </w:p>
    <w:p w:rsidR="00CE2773" w:rsidRDefault="00CE2773">
      <w:pPr>
        <w:pStyle w:val="FootnoteText"/>
      </w:pPr>
      <w:r w:rsidRPr="00B83B37">
        <w:t>Muzzey FK, Imburgia TM, Pierce BJ. Effectiveness of Family Centered Treatment Using Propensity Score Matching in a Child Welfare Setting. National Child Welfare Evaluation Summit. Washington, DC, August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94"/>
      <w:gridCol w:w="1166"/>
    </w:tblGrid>
    <w:tr w:rsidR="00CE2773" w:rsidTr="00D92640">
      <w:trPr>
        <w:trHeight w:val="828"/>
      </w:trPr>
      <w:sdt>
        <w:sdtPr>
          <w:rPr>
            <w:rFonts w:eastAsiaTheme="majorEastAsia" w:cstheme="majorBidi"/>
            <w:sz w:val="24"/>
            <w:szCs w:val="24"/>
          </w:rPr>
          <w:alias w:val="Title"/>
          <w:id w:val="-1011376805"/>
          <w:dataBinding w:prefixMappings="xmlns:ns0='http://schemas.openxmlformats.org/package/2006/metadata/core-properties' xmlns:ns1='http://purl.org/dc/elements/1.1/'" w:xpath="/ns0:coreProperties[1]/ns1:title[1]" w:storeItemID="{6C3C8BC8-F283-45AE-878A-BAB7291924A1}"/>
          <w:text/>
        </w:sdtPr>
        <w:sdtContent>
          <w:tc>
            <w:tcPr>
              <w:tcW w:w="7765" w:type="dxa"/>
              <w:vAlign w:val="bottom"/>
            </w:tcPr>
            <w:p w:rsidR="00CE2773" w:rsidRDefault="00CE2773" w:rsidP="008B3B49">
              <w:pPr>
                <w:pStyle w:val="Header"/>
                <w:jc w:val="right"/>
                <w:rPr>
                  <w:rFonts w:asciiTheme="majorHAnsi" w:eastAsiaTheme="majorEastAsia" w:hAnsiTheme="majorHAnsi" w:cstheme="majorBidi"/>
                  <w:sz w:val="36"/>
                  <w:szCs w:val="36"/>
                </w:rPr>
              </w:pPr>
              <w:r w:rsidRPr="00E85EEC">
                <w:rPr>
                  <w:rFonts w:eastAsiaTheme="majorEastAsia" w:cstheme="majorBidi"/>
                  <w:sz w:val="24"/>
                  <w:szCs w:val="24"/>
                </w:rPr>
                <w:t xml:space="preserve">Indiana Department of Child Services                                                      </w:t>
              </w:r>
              <w:r>
                <w:rPr>
                  <w:rFonts w:eastAsiaTheme="majorEastAsia" w:cstheme="majorBidi"/>
                  <w:sz w:val="24"/>
                  <w:szCs w:val="24"/>
                </w:rPr>
                <w:t xml:space="preserve">  </w:t>
              </w:r>
              <w:r w:rsidRPr="00E85EEC">
                <w:rPr>
                  <w:rFonts w:eastAsiaTheme="majorEastAsia" w:cstheme="majorBidi"/>
                  <w:sz w:val="24"/>
                  <w:szCs w:val="24"/>
                </w:rPr>
                <w:t xml:space="preserve">                     </w:t>
              </w:r>
              <w:r>
                <w:rPr>
                  <w:rFonts w:eastAsiaTheme="majorEastAsia" w:cstheme="majorBidi"/>
                  <w:sz w:val="24"/>
                  <w:szCs w:val="24"/>
                </w:rPr>
                <w:t>Title IV-E Waiver Demonstration</w:t>
              </w:r>
            </w:p>
          </w:tc>
        </w:sdtContent>
      </w:sdt>
      <w:tc>
        <w:tcPr>
          <w:tcW w:w="1105" w:type="dxa"/>
          <w:vAlign w:val="bottom"/>
        </w:tcPr>
        <w:p w:rsidR="00CE2773" w:rsidRDefault="00CE2773" w:rsidP="00456170">
          <w:pPr>
            <w:pStyle w:val="Header"/>
            <w:jc w:val="right"/>
            <w:rPr>
              <w:rFonts w:asciiTheme="majorHAnsi" w:eastAsiaTheme="majorEastAsia" w:hAnsiTheme="majorHAnsi" w:cstheme="majorBidi"/>
              <w:b/>
              <w:bCs/>
              <w:color w:val="5B9BD5" w:themeColor="accent1"/>
              <w:sz w:val="36"/>
              <w:szCs w:val="36"/>
            </w:rPr>
          </w:pPr>
          <w:r>
            <w:rPr>
              <w:rFonts w:ascii="Arial" w:hAnsi="Arial" w:cs="Arial"/>
              <w:noProof/>
              <w:sz w:val="18"/>
              <w:szCs w:val="18"/>
            </w:rPr>
            <w:drawing>
              <wp:inline distT="0" distB="0" distL="0" distR="0" wp14:anchorId="30115D07" wp14:editId="252AA80A">
                <wp:extent cx="375861" cy="600380"/>
                <wp:effectExtent l="0" t="0" r="5715" b="0"/>
                <wp:docPr id="14359" name="Picture 1" descr="id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cs"/>
                        <pic:cNvPicPr>
                          <a:picLocks noChangeAspect="1" noChangeArrowheads="1"/>
                        </pic:cNvPicPr>
                      </pic:nvPicPr>
                      <pic:blipFill>
                        <a:blip r:embed="rId1"/>
                        <a:srcRect b="12663"/>
                        <a:stretch>
                          <a:fillRect/>
                        </a:stretch>
                      </pic:blipFill>
                      <pic:spPr bwMode="auto">
                        <a:xfrm>
                          <a:off x="0" y="0"/>
                          <a:ext cx="382106" cy="610355"/>
                        </a:xfrm>
                        <a:prstGeom prst="rect">
                          <a:avLst/>
                        </a:prstGeom>
                        <a:noFill/>
                      </pic:spPr>
                    </pic:pic>
                  </a:graphicData>
                </a:graphic>
              </wp:inline>
            </w:drawing>
          </w:r>
        </w:p>
      </w:tc>
    </w:tr>
  </w:tbl>
  <w:p w:rsidR="00CE2773" w:rsidRDefault="00CE27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94"/>
      <w:gridCol w:w="1166"/>
    </w:tblGrid>
    <w:tr w:rsidR="00CE2773" w:rsidTr="00892C2C">
      <w:trPr>
        <w:trHeight w:val="828"/>
      </w:trPr>
      <w:sdt>
        <w:sdtPr>
          <w:rPr>
            <w:rFonts w:eastAsiaTheme="majorEastAsia" w:cstheme="majorBidi"/>
            <w:sz w:val="24"/>
            <w:szCs w:val="24"/>
          </w:rPr>
          <w:alias w:val="Title"/>
          <w:id w:val="-2014596874"/>
          <w:dataBinding w:prefixMappings="xmlns:ns0='http://schemas.openxmlformats.org/package/2006/metadata/core-properties' xmlns:ns1='http://purl.org/dc/elements/1.1/'" w:xpath="/ns0:coreProperties[1]/ns1:title[1]" w:storeItemID="{6C3C8BC8-F283-45AE-878A-BAB7291924A1}"/>
          <w:text/>
        </w:sdtPr>
        <w:sdtContent>
          <w:tc>
            <w:tcPr>
              <w:tcW w:w="7765" w:type="dxa"/>
              <w:vAlign w:val="bottom"/>
            </w:tcPr>
            <w:p w:rsidR="00CE2773" w:rsidRDefault="00CE2773" w:rsidP="00892C2C">
              <w:pPr>
                <w:pStyle w:val="Header"/>
                <w:jc w:val="right"/>
                <w:rPr>
                  <w:rFonts w:asciiTheme="majorHAnsi" w:eastAsiaTheme="majorEastAsia" w:hAnsiTheme="majorHAnsi" w:cstheme="majorBidi"/>
                  <w:sz w:val="36"/>
                  <w:szCs w:val="36"/>
                </w:rPr>
              </w:pPr>
              <w:r>
                <w:rPr>
                  <w:rFonts w:eastAsiaTheme="majorEastAsia" w:cstheme="majorBidi"/>
                  <w:sz w:val="24"/>
                  <w:szCs w:val="24"/>
                </w:rPr>
                <w:t>Indiana Department of Child Services                                                                             Title IV-E Waiver Demonstration</w:t>
              </w:r>
            </w:p>
          </w:tc>
        </w:sdtContent>
      </w:sdt>
      <w:tc>
        <w:tcPr>
          <w:tcW w:w="1105" w:type="dxa"/>
          <w:vAlign w:val="bottom"/>
        </w:tcPr>
        <w:p w:rsidR="00CE2773" w:rsidRDefault="00CE2773" w:rsidP="00892C2C">
          <w:pPr>
            <w:pStyle w:val="Header"/>
            <w:jc w:val="right"/>
            <w:rPr>
              <w:rFonts w:asciiTheme="majorHAnsi" w:eastAsiaTheme="majorEastAsia" w:hAnsiTheme="majorHAnsi" w:cstheme="majorBidi"/>
              <w:b/>
              <w:bCs/>
              <w:color w:val="5B9BD5" w:themeColor="accent1"/>
              <w:sz w:val="36"/>
              <w:szCs w:val="36"/>
            </w:rPr>
          </w:pPr>
          <w:r>
            <w:rPr>
              <w:rFonts w:ascii="Arial" w:hAnsi="Arial" w:cs="Arial"/>
              <w:noProof/>
              <w:sz w:val="18"/>
              <w:szCs w:val="18"/>
            </w:rPr>
            <w:drawing>
              <wp:inline distT="0" distB="0" distL="0" distR="0" wp14:anchorId="707D60F2" wp14:editId="14FD118A">
                <wp:extent cx="375861" cy="600380"/>
                <wp:effectExtent l="0" t="0" r="5715" b="0"/>
                <wp:docPr id="14360" name="Picture 1" descr="id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cs"/>
                        <pic:cNvPicPr>
                          <a:picLocks noChangeAspect="1" noChangeArrowheads="1"/>
                        </pic:cNvPicPr>
                      </pic:nvPicPr>
                      <pic:blipFill>
                        <a:blip r:embed="rId1"/>
                        <a:srcRect b="12663"/>
                        <a:stretch>
                          <a:fillRect/>
                        </a:stretch>
                      </pic:blipFill>
                      <pic:spPr bwMode="auto">
                        <a:xfrm>
                          <a:off x="0" y="0"/>
                          <a:ext cx="382106" cy="610355"/>
                        </a:xfrm>
                        <a:prstGeom prst="rect">
                          <a:avLst/>
                        </a:prstGeom>
                        <a:noFill/>
                      </pic:spPr>
                    </pic:pic>
                  </a:graphicData>
                </a:graphic>
              </wp:inline>
            </w:drawing>
          </w:r>
        </w:p>
      </w:tc>
    </w:tr>
  </w:tbl>
  <w:p w:rsidR="00CE2773" w:rsidRPr="002D2433" w:rsidRDefault="00CE2773" w:rsidP="002D2433">
    <w:pPr>
      <w:pStyle w:val="Header"/>
      <w:rPr>
        <w:sz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360"/>
      <w:gridCol w:w="2000"/>
    </w:tblGrid>
    <w:tr w:rsidR="00CE2773" w:rsidTr="00632B27">
      <w:trPr>
        <w:trHeight w:val="2718"/>
      </w:trPr>
      <w:sdt>
        <w:sdtPr>
          <w:rPr>
            <w:rFonts w:eastAsiaTheme="majorEastAsia" w:cstheme="majorBidi"/>
            <w:sz w:val="24"/>
            <w:szCs w:val="24"/>
          </w:rPr>
          <w:alias w:val="Title"/>
          <w:id w:val="1711684306"/>
          <w:dataBinding w:prefixMappings="xmlns:ns0='http://schemas.openxmlformats.org/package/2006/metadata/core-properties' xmlns:ns1='http://purl.org/dc/elements/1.1/'" w:xpath="/ns0:coreProperties[1]/ns1:title[1]" w:storeItemID="{6C3C8BC8-F283-45AE-878A-BAB7291924A1}"/>
          <w:text/>
        </w:sdtPr>
        <w:sdtContent>
          <w:tc>
            <w:tcPr>
              <w:tcW w:w="7380" w:type="dxa"/>
              <w:vAlign w:val="bottom"/>
            </w:tcPr>
            <w:p w:rsidR="00CE2773" w:rsidRDefault="00CE2773" w:rsidP="00632B27">
              <w:pPr>
                <w:pStyle w:val="Header"/>
                <w:jc w:val="right"/>
                <w:rPr>
                  <w:rFonts w:asciiTheme="majorHAnsi" w:eastAsiaTheme="majorEastAsia" w:hAnsiTheme="majorHAnsi" w:cstheme="majorBidi"/>
                  <w:sz w:val="36"/>
                  <w:szCs w:val="36"/>
                </w:rPr>
              </w:pPr>
              <w:r>
                <w:rPr>
                  <w:rFonts w:eastAsiaTheme="majorEastAsia" w:cstheme="majorBidi"/>
                  <w:sz w:val="24"/>
                  <w:szCs w:val="24"/>
                </w:rPr>
                <w:t>Indiana Department of Child Services                                                                             Title IV-E Waiver Demonstration</w:t>
              </w:r>
            </w:p>
          </w:tc>
        </w:sdtContent>
      </w:sdt>
      <w:tc>
        <w:tcPr>
          <w:tcW w:w="1980" w:type="dxa"/>
          <w:vAlign w:val="bottom"/>
        </w:tcPr>
        <w:p w:rsidR="00CE2773" w:rsidRDefault="00CE2773" w:rsidP="00632B27">
          <w:pPr>
            <w:pStyle w:val="Header"/>
            <w:jc w:val="right"/>
            <w:rPr>
              <w:rFonts w:asciiTheme="majorHAnsi" w:eastAsiaTheme="majorEastAsia" w:hAnsiTheme="majorHAnsi" w:cstheme="majorBidi"/>
              <w:b/>
              <w:bCs/>
              <w:color w:val="5B9BD5" w:themeColor="accent1"/>
              <w:sz w:val="36"/>
              <w:szCs w:val="36"/>
            </w:rPr>
          </w:pPr>
          <w:r>
            <w:rPr>
              <w:rFonts w:ascii="Arial" w:hAnsi="Arial" w:cs="Arial"/>
              <w:noProof/>
              <w:sz w:val="18"/>
              <w:szCs w:val="18"/>
            </w:rPr>
            <w:drawing>
              <wp:inline distT="0" distB="0" distL="0" distR="0" wp14:anchorId="4B9684B8" wp14:editId="686E596A">
                <wp:extent cx="1118235" cy="1786208"/>
                <wp:effectExtent l="0" t="0" r="5715" b="5080"/>
                <wp:docPr id="14361" name="Picture 1" descr="id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cs"/>
                        <pic:cNvPicPr>
                          <a:picLocks noChangeAspect="1" noChangeArrowheads="1"/>
                        </pic:cNvPicPr>
                      </pic:nvPicPr>
                      <pic:blipFill>
                        <a:blip r:embed="rId1"/>
                        <a:srcRect b="12663"/>
                        <a:stretch>
                          <a:fillRect/>
                        </a:stretch>
                      </pic:blipFill>
                      <pic:spPr bwMode="auto">
                        <a:xfrm>
                          <a:off x="0" y="0"/>
                          <a:ext cx="1145214" cy="1829303"/>
                        </a:xfrm>
                        <a:prstGeom prst="rect">
                          <a:avLst/>
                        </a:prstGeom>
                        <a:noFill/>
                      </pic:spPr>
                    </pic:pic>
                  </a:graphicData>
                </a:graphic>
              </wp:inline>
            </w:drawing>
          </w:r>
        </w:p>
      </w:tc>
    </w:tr>
  </w:tbl>
  <w:p w:rsidR="00CE2773" w:rsidRDefault="00CE27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94"/>
      <w:gridCol w:w="1166"/>
    </w:tblGrid>
    <w:tr w:rsidR="00CE2773" w:rsidTr="006B1A5A">
      <w:trPr>
        <w:trHeight w:val="828"/>
      </w:trPr>
      <w:sdt>
        <w:sdtPr>
          <w:rPr>
            <w:rFonts w:eastAsiaTheme="majorEastAsia" w:cstheme="majorBidi"/>
            <w:sz w:val="24"/>
            <w:szCs w:val="24"/>
          </w:rPr>
          <w:alias w:val="Title"/>
          <w:id w:val="902101908"/>
          <w:dataBinding w:prefixMappings="xmlns:ns0='http://schemas.openxmlformats.org/package/2006/metadata/core-properties' xmlns:ns1='http://purl.org/dc/elements/1.1/'" w:xpath="/ns0:coreProperties[1]/ns1:title[1]" w:storeItemID="{6C3C8BC8-F283-45AE-878A-BAB7291924A1}"/>
          <w:text/>
        </w:sdtPr>
        <w:sdtContent>
          <w:tc>
            <w:tcPr>
              <w:tcW w:w="7765" w:type="dxa"/>
              <w:vAlign w:val="bottom"/>
            </w:tcPr>
            <w:p w:rsidR="00CE2773" w:rsidRDefault="00CE2773" w:rsidP="006B1A5A">
              <w:pPr>
                <w:pStyle w:val="NoSpacing"/>
                <w:jc w:val="right"/>
                <w:rPr>
                  <w:rFonts w:asciiTheme="majorHAnsi" w:eastAsiaTheme="majorEastAsia" w:hAnsiTheme="majorHAnsi" w:cstheme="majorBidi"/>
                  <w:sz w:val="36"/>
                  <w:szCs w:val="36"/>
                </w:rPr>
              </w:pPr>
              <w:r>
                <w:rPr>
                  <w:rFonts w:eastAsiaTheme="majorEastAsia" w:cstheme="majorBidi"/>
                  <w:sz w:val="24"/>
                  <w:szCs w:val="24"/>
                </w:rPr>
                <w:t>Indiana Department of Child Services                                                                             Title IV-E Waiver Demonstration</w:t>
              </w:r>
            </w:p>
          </w:tc>
        </w:sdtContent>
      </w:sdt>
      <w:tc>
        <w:tcPr>
          <w:tcW w:w="1105" w:type="dxa"/>
          <w:vAlign w:val="bottom"/>
        </w:tcPr>
        <w:p w:rsidR="00CE2773" w:rsidRDefault="00CE2773" w:rsidP="006B1A5A">
          <w:pPr>
            <w:pStyle w:val="NoSpacing"/>
            <w:jc w:val="right"/>
            <w:rPr>
              <w:rFonts w:asciiTheme="majorHAnsi" w:eastAsiaTheme="majorEastAsia" w:hAnsiTheme="majorHAnsi" w:cstheme="majorBidi"/>
              <w:b/>
              <w:bCs/>
              <w:color w:val="5B9BD5" w:themeColor="accent1"/>
              <w:sz w:val="36"/>
              <w:szCs w:val="36"/>
            </w:rPr>
          </w:pPr>
          <w:r>
            <w:rPr>
              <w:rFonts w:ascii="Arial" w:hAnsi="Arial" w:cs="Arial"/>
              <w:noProof/>
              <w:sz w:val="18"/>
              <w:szCs w:val="18"/>
            </w:rPr>
            <w:drawing>
              <wp:inline distT="0" distB="0" distL="0" distR="0" wp14:anchorId="6C6917CA" wp14:editId="16C289E2">
                <wp:extent cx="375861" cy="600380"/>
                <wp:effectExtent l="0" t="0" r="5715" b="0"/>
                <wp:docPr id="14362" name="Picture 14362" descr="id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cs"/>
                        <pic:cNvPicPr>
                          <a:picLocks noChangeAspect="1" noChangeArrowheads="1"/>
                        </pic:cNvPicPr>
                      </pic:nvPicPr>
                      <pic:blipFill>
                        <a:blip r:embed="rId1"/>
                        <a:srcRect b="12663"/>
                        <a:stretch>
                          <a:fillRect/>
                        </a:stretch>
                      </pic:blipFill>
                      <pic:spPr bwMode="auto">
                        <a:xfrm>
                          <a:off x="0" y="0"/>
                          <a:ext cx="382106" cy="610355"/>
                        </a:xfrm>
                        <a:prstGeom prst="rect">
                          <a:avLst/>
                        </a:prstGeom>
                        <a:noFill/>
                      </pic:spPr>
                    </pic:pic>
                  </a:graphicData>
                </a:graphic>
              </wp:inline>
            </w:drawing>
          </w:r>
        </w:p>
      </w:tc>
    </w:tr>
  </w:tbl>
  <w:p w:rsidR="00CE2773" w:rsidRPr="003A4518" w:rsidRDefault="00CE2773" w:rsidP="004F1ABF">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7DA1"/>
    <w:multiLevelType w:val="hybridMultilevel"/>
    <w:tmpl w:val="D794C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00178"/>
    <w:multiLevelType w:val="hybridMultilevel"/>
    <w:tmpl w:val="050278C8"/>
    <w:lvl w:ilvl="0" w:tplc="BC323EA0">
      <w:start w:val="1"/>
      <w:numFmt w:val="bullet"/>
      <w:lvlText w:val="•"/>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7018D"/>
    <w:multiLevelType w:val="hybridMultilevel"/>
    <w:tmpl w:val="45F66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E0951"/>
    <w:multiLevelType w:val="hybridMultilevel"/>
    <w:tmpl w:val="460A6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B61C1"/>
    <w:multiLevelType w:val="hybridMultilevel"/>
    <w:tmpl w:val="D5387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84AC0"/>
    <w:multiLevelType w:val="hybridMultilevel"/>
    <w:tmpl w:val="FA14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8C02B7"/>
    <w:multiLevelType w:val="hybridMultilevel"/>
    <w:tmpl w:val="879E3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12A2D"/>
    <w:multiLevelType w:val="hybridMultilevel"/>
    <w:tmpl w:val="8172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265EA6"/>
    <w:multiLevelType w:val="hybridMultilevel"/>
    <w:tmpl w:val="7DD0F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F92135"/>
    <w:multiLevelType w:val="hybridMultilevel"/>
    <w:tmpl w:val="3BF0D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264837"/>
    <w:multiLevelType w:val="hybridMultilevel"/>
    <w:tmpl w:val="57523C0E"/>
    <w:lvl w:ilvl="0" w:tplc="5ADAC96A">
      <w:start w:val="1"/>
      <w:numFmt w:val="bullet"/>
      <w:lvlText w:val="•"/>
      <w:lvlJc w:val="left"/>
      <w:pPr>
        <w:tabs>
          <w:tab w:val="num" w:pos="720"/>
        </w:tabs>
        <w:ind w:left="720" w:hanging="360"/>
      </w:pPr>
      <w:rPr>
        <w:rFonts w:ascii="Arial" w:hAnsi="Arial" w:hint="default"/>
      </w:rPr>
    </w:lvl>
    <w:lvl w:ilvl="1" w:tplc="A498C974" w:tentative="1">
      <w:start w:val="1"/>
      <w:numFmt w:val="bullet"/>
      <w:lvlText w:val="•"/>
      <w:lvlJc w:val="left"/>
      <w:pPr>
        <w:tabs>
          <w:tab w:val="num" w:pos="1440"/>
        </w:tabs>
        <w:ind w:left="1440" w:hanging="360"/>
      </w:pPr>
      <w:rPr>
        <w:rFonts w:ascii="Arial" w:hAnsi="Arial" w:hint="default"/>
      </w:rPr>
    </w:lvl>
    <w:lvl w:ilvl="2" w:tplc="DEAC280A" w:tentative="1">
      <w:start w:val="1"/>
      <w:numFmt w:val="bullet"/>
      <w:lvlText w:val="•"/>
      <w:lvlJc w:val="left"/>
      <w:pPr>
        <w:tabs>
          <w:tab w:val="num" w:pos="2160"/>
        </w:tabs>
        <w:ind w:left="2160" w:hanging="360"/>
      </w:pPr>
      <w:rPr>
        <w:rFonts w:ascii="Arial" w:hAnsi="Arial" w:hint="default"/>
      </w:rPr>
    </w:lvl>
    <w:lvl w:ilvl="3" w:tplc="5C6AD8B4" w:tentative="1">
      <w:start w:val="1"/>
      <w:numFmt w:val="bullet"/>
      <w:lvlText w:val="•"/>
      <w:lvlJc w:val="left"/>
      <w:pPr>
        <w:tabs>
          <w:tab w:val="num" w:pos="2880"/>
        </w:tabs>
        <w:ind w:left="2880" w:hanging="360"/>
      </w:pPr>
      <w:rPr>
        <w:rFonts w:ascii="Arial" w:hAnsi="Arial" w:hint="default"/>
      </w:rPr>
    </w:lvl>
    <w:lvl w:ilvl="4" w:tplc="066CDF2E" w:tentative="1">
      <w:start w:val="1"/>
      <w:numFmt w:val="bullet"/>
      <w:lvlText w:val="•"/>
      <w:lvlJc w:val="left"/>
      <w:pPr>
        <w:tabs>
          <w:tab w:val="num" w:pos="3600"/>
        </w:tabs>
        <w:ind w:left="3600" w:hanging="360"/>
      </w:pPr>
      <w:rPr>
        <w:rFonts w:ascii="Arial" w:hAnsi="Arial" w:hint="default"/>
      </w:rPr>
    </w:lvl>
    <w:lvl w:ilvl="5" w:tplc="97A03DDC" w:tentative="1">
      <w:start w:val="1"/>
      <w:numFmt w:val="bullet"/>
      <w:lvlText w:val="•"/>
      <w:lvlJc w:val="left"/>
      <w:pPr>
        <w:tabs>
          <w:tab w:val="num" w:pos="4320"/>
        </w:tabs>
        <w:ind w:left="4320" w:hanging="360"/>
      </w:pPr>
      <w:rPr>
        <w:rFonts w:ascii="Arial" w:hAnsi="Arial" w:hint="default"/>
      </w:rPr>
    </w:lvl>
    <w:lvl w:ilvl="6" w:tplc="B49C60F2" w:tentative="1">
      <w:start w:val="1"/>
      <w:numFmt w:val="bullet"/>
      <w:lvlText w:val="•"/>
      <w:lvlJc w:val="left"/>
      <w:pPr>
        <w:tabs>
          <w:tab w:val="num" w:pos="5040"/>
        </w:tabs>
        <w:ind w:left="5040" w:hanging="360"/>
      </w:pPr>
      <w:rPr>
        <w:rFonts w:ascii="Arial" w:hAnsi="Arial" w:hint="default"/>
      </w:rPr>
    </w:lvl>
    <w:lvl w:ilvl="7" w:tplc="B9408136" w:tentative="1">
      <w:start w:val="1"/>
      <w:numFmt w:val="bullet"/>
      <w:lvlText w:val="•"/>
      <w:lvlJc w:val="left"/>
      <w:pPr>
        <w:tabs>
          <w:tab w:val="num" w:pos="5760"/>
        </w:tabs>
        <w:ind w:left="5760" w:hanging="360"/>
      </w:pPr>
      <w:rPr>
        <w:rFonts w:ascii="Arial" w:hAnsi="Arial" w:hint="default"/>
      </w:rPr>
    </w:lvl>
    <w:lvl w:ilvl="8" w:tplc="8AB2640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98B3068"/>
    <w:multiLevelType w:val="hybridMultilevel"/>
    <w:tmpl w:val="1436D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1474B"/>
    <w:multiLevelType w:val="hybridMultilevel"/>
    <w:tmpl w:val="972C0DD2"/>
    <w:lvl w:ilvl="0" w:tplc="6BB0D76C">
      <w:start w:val="1"/>
      <w:numFmt w:val="bullet"/>
      <w:lvlText w:val="•"/>
      <w:lvlJc w:val="left"/>
      <w:pPr>
        <w:tabs>
          <w:tab w:val="num" w:pos="720"/>
        </w:tabs>
        <w:ind w:left="720" w:hanging="360"/>
      </w:pPr>
      <w:rPr>
        <w:rFonts w:ascii="Arial" w:hAnsi="Arial" w:hint="default"/>
      </w:rPr>
    </w:lvl>
    <w:lvl w:ilvl="1" w:tplc="F1A844E0" w:tentative="1">
      <w:start w:val="1"/>
      <w:numFmt w:val="bullet"/>
      <w:lvlText w:val="•"/>
      <w:lvlJc w:val="left"/>
      <w:pPr>
        <w:tabs>
          <w:tab w:val="num" w:pos="1440"/>
        </w:tabs>
        <w:ind w:left="1440" w:hanging="360"/>
      </w:pPr>
      <w:rPr>
        <w:rFonts w:ascii="Arial" w:hAnsi="Arial" w:hint="default"/>
      </w:rPr>
    </w:lvl>
    <w:lvl w:ilvl="2" w:tplc="9030196E" w:tentative="1">
      <w:start w:val="1"/>
      <w:numFmt w:val="bullet"/>
      <w:lvlText w:val="•"/>
      <w:lvlJc w:val="left"/>
      <w:pPr>
        <w:tabs>
          <w:tab w:val="num" w:pos="2160"/>
        </w:tabs>
        <w:ind w:left="2160" w:hanging="360"/>
      </w:pPr>
      <w:rPr>
        <w:rFonts w:ascii="Arial" w:hAnsi="Arial" w:hint="default"/>
      </w:rPr>
    </w:lvl>
    <w:lvl w:ilvl="3" w:tplc="DDDA9DA8" w:tentative="1">
      <w:start w:val="1"/>
      <w:numFmt w:val="bullet"/>
      <w:lvlText w:val="•"/>
      <w:lvlJc w:val="left"/>
      <w:pPr>
        <w:tabs>
          <w:tab w:val="num" w:pos="2880"/>
        </w:tabs>
        <w:ind w:left="2880" w:hanging="360"/>
      </w:pPr>
      <w:rPr>
        <w:rFonts w:ascii="Arial" w:hAnsi="Arial" w:hint="default"/>
      </w:rPr>
    </w:lvl>
    <w:lvl w:ilvl="4" w:tplc="E2383D58" w:tentative="1">
      <w:start w:val="1"/>
      <w:numFmt w:val="bullet"/>
      <w:lvlText w:val="•"/>
      <w:lvlJc w:val="left"/>
      <w:pPr>
        <w:tabs>
          <w:tab w:val="num" w:pos="3600"/>
        </w:tabs>
        <w:ind w:left="3600" w:hanging="360"/>
      </w:pPr>
      <w:rPr>
        <w:rFonts w:ascii="Arial" w:hAnsi="Arial" w:hint="default"/>
      </w:rPr>
    </w:lvl>
    <w:lvl w:ilvl="5" w:tplc="E486A134" w:tentative="1">
      <w:start w:val="1"/>
      <w:numFmt w:val="bullet"/>
      <w:lvlText w:val="•"/>
      <w:lvlJc w:val="left"/>
      <w:pPr>
        <w:tabs>
          <w:tab w:val="num" w:pos="4320"/>
        </w:tabs>
        <w:ind w:left="4320" w:hanging="360"/>
      </w:pPr>
      <w:rPr>
        <w:rFonts w:ascii="Arial" w:hAnsi="Arial" w:hint="default"/>
      </w:rPr>
    </w:lvl>
    <w:lvl w:ilvl="6" w:tplc="DD4688DA" w:tentative="1">
      <w:start w:val="1"/>
      <w:numFmt w:val="bullet"/>
      <w:lvlText w:val="•"/>
      <w:lvlJc w:val="left"/>
      <w:pPr>
        <w:tabs>
          <w:tab w:val="num" w:pos="5040"/>
        </w:tabs>
        <w:ind w:left="5040" w:hanging="360"/>
      </w:pPr>
      <w:rPr>
        <w:rFonts w:ascii="Arial" w:hAnsi="Arial" w:hint="default"/>
      </w:rPr>
    </w:lvl>
    <w:lvl w:ilvl="7" w:tplc="A6AE0D22" w:tentative="1">
      <w:start w:val="1"/>
      <w:numFmt w:val="bullet"/>
      <w:lvlText w:val="•"/>
      <w:lvlJc w:val="left"/>
      <w:pPr>
        <w:tabs>
          <w:tab w:val="num" w:pos="5760"/>
        </w:tabs>
        <w:ind w:left="5760" w:hanging="360"/>
      </w:pPr>
      <w:rPr>
        <w:rFonts w:ascii="Arial" w:hAnsi="Arial" w:hint="default"/>
      </w:rPr>
    </w:lvl>
    <w:lvl w:ilvl="8" w:tplc="389400B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EF374C5"/>
    <w:multiLevelType w:val="hybridMultilevel"/>
    <w:tmpl w:val="18246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465108"/>
    <w:multiLevelType w:val="hybridMultilevel"/>
    <w:tmpl w:val="BC2A0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3D25F5"/>
    <w:multiLevelType w:val="hybridMultilevel"/>
    <w:tmpl w:val="A6D015A6"/>
    <w:lvl w:ilvl="0" w:tplc="F4F27AE2">
      <w:start w:val="1"/>
      <w:numFmt w:val="bullet"/>
      <w:lvlText w:val="•"/>
      <w:lvlJc w:val="left"/>
      <w:pPr>
        <w:tabs>
          <w:tab w:val="num" w:pos="720"/>
        </w:tabs>
        <w:ind w:left="720" w:hanging="360"/>
      </w:pPr>
      <w:rPr>
        <w:rFonts w:ascii="Times New Roman" w:hAnsi="Times New Roman" w:hint="default"/>
      </w:rPr>
    </w:lvl>
    <w:lvl w:ilvl="1" w:tplc="BB3EEF9E" w:tentative="1">
      <w:start w:val="1"/>
      <w:numFmt w:val="bullet"/>
      <w:lvlText w:val="•"/>
      <w:lvlJc w:val="left"/>
      <w:pPr>
        <w:tabs>
          <w:tab w:val="num" w:pos="1440"/>
        </w:tabs>
        <w:ind w:left="1440" w:hanging="360"/>
      </w:pPr>
      <w:rPr>
        <w:rFonts w:ascii="Times New Roman" w:hAnsi="Times New Roman" w:hint="default"/>
      </w:rPr>
    </w:lvl>
    <w:lvl w:ilvl="2" w:tplc="1846BC9E" w:tentative="1">
      <w:start w:val="1"/>
      <w:numFmt w:val="bullet"/>
      <w:lvlText w:val="•"/>
      <w:lvlJc w:val="left"/>
      <w:pPr>
        <w:tabs>
          <w:tab w:val="num" w:pos="2160"/>
        </w:tabs>
        <w:ind w:left="2160" w:hanging="360"/>
      </w:pPr>
      <w:rPr>
        <w:rFonts w:ascii="Times New Roman" w:hAnsi="Times New Roman" w:hint="default"/>
      </w:rPr>
    </w:lvl>
    <w:lvl w:ilvl="3" w:tplc="B2804CC8" w:tentative="1">
      <w:start w:val="1"/>
      <w:numFmt w:val="bullet"/>
      <w:lvlText w:val="•"/>
      <w:lvlJc w:val="left"/>
      <w:pPr>
        <w:tabs>
          <w:tab w:val="num" w:pos="2880"/>
        </w:tabs>
        <w:ind w:left="2880" w:hanging="360"/>
      </w:pPr>
      <w:rPr>
        <w:rFonts w:ascii="Times New Roman" w:hAnsi="Times New Roman" w:hint="default"/>
      </w:rPr>
    </w:lvl>
    <w:lvl w:ilvl="4" w:tplc="F8C07DD4" w:tentative="1">
      <w:start w:val="1"/>
      <w:numFmt w:val="bullet"/>
      <w:lvlText w:val="•"/>
      <w:lvlJc w:val="left"/>
      <w:pPr>
        <w:tabs>
          <w:tab w:val="num" w:pos="3600"/>
        </w:tabs>
        <w:ind w:left="3600" w:hanging="360"/>
      </w:pPr>
      <w:rPr>
        <w:rFonts w:ascii="Times New Roman" w:hAnsi="Times New Roman" w:hint="default"/>
      </w:rPr>
    </w:lvl>
    <w:lvl w:ilvl="5" w:tplc="AAA40A46" w:tentative="1">
      <w:start w:val="1"/>
      <w:numFmt w:val="bullet"/>
      <w:lvlText w:val="•"/>
      <w:lvlJc w:val="left"/>
      <w:pPr>
        <w:tabs>
          <w:tab w:val="num" w:pos="4320"/>
        </w:tabs>
        <w:ind w:left="4320" w:hanging="360"/>
      </w:pPr>
      <w:rPr>
        <w:rFonts w:ascii="Times New Roman" w:hAnsi="Times New Roman" w:hint="default"/>
      </w:rPr>
    </w:lvl>
    <w:lvl w:ilvl="6" w:tplc="7876B0AA" w:tentative="1">
      <w:start w:val="1"/>
      <w:numFmt w:val="bullet"/>
      <w:lvlText w:val="•"/>
      <w:lvlJc w:val="left"/>
      <w:pPr>
        <w:tabs>
          <w:tab w:val="num" w:pos="5040"/>
        </w:tabs>
        <w:ind w:left="5040" w:hanging="360"/>
      </w:pPr>
      <w:rPr>
        <w:rFonts w:ascii="Times New Roman" w:hAnsi="Times New Roman" w:hint="default"/>
      </w:rPr>
    </w:lvl>
    <w:lvl w:ilvl="7" w:tplc="14D6C130" w:tentative="1">
      <w:start w:val="1"/>
      <w:numFmt w:val="bullet"/>
      <w:lvlText w:val="•"/>
      <w:lvlJc w:val="left"/>
      <w:pPr>
        <w:tabs>
          <w:tab w:val="num" w:pos="5760"/>
        </w:tabs>
        <w:ind w:left="5760" w:hanging="360"/>
      </w:pPr>
      <w:rPr>
        <w:rFonts w:ascii="Times New Roman" w:hAnsi="Times New Roman" w:hint="default"/>
      </w:rPr>
    </w:lvl>
    <w:lvl w:ilvl="8" w:tplc="C49653E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26F47C0"/>
    <w:multiLevelType w:val="hybridMultilevel"/>
    <w:tmpl w:val="2CDE9E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2844F61"/>
    <w:multiLevelType w:val="hybridMultilevel"/>
    <w:tmpl w:val="FD0C4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520D55"/>
    <w:multiLevelType w:val="hybridMultilevel"/>
    <w:tmpl w:val="6478A5C2"/>
    <w:lvl w:ilvl="0" w:tplc="8A8C9A6C">
      <w:start w:val="1"/>
      <w:numFmt w:val="bullet"/>
      <w:lvlText w:val="•"/>
      <w:lvlJc w:val="left"/>
      <w:pPr>
        <w:tabs>
          <w:tab w:val="num" w:pos="720"/>
        </w:tabs>
        <w:ind w:left="720" w:hanging="360"/>
      </w:pPr>
      <w:rPr>
        <w:rFonts w:ascii="Arial" w:hAnsi="Arial" w:hint="default"/>
      </w:rPr>
    </w:lvl>
    <w:lvl w:ilvl="1" w:tplc="CD748FF0" w:tentative="1">
      <w:start w:val="1"/>
      <w:numFmt w:val="bullet"/>
      <w:lvlText w:val="•"/>
      <w:lvlJc w:val="left"/>
      <w:pPr>
        <w:tabs>
          <w:tab w:val="num" w:pos="1440"/>
        </w:tabs>
        <w:ind w:left="1440" w:hanging="360"/>
      </w:pPr>
      <w:rPr>
        <w:rFonts w:ascii="Arial" w:hAnsi="Arial" w:hint="default"/>
      </w:rPr>
    </w:lvl>
    <w:lvl w:ilvl="2" w:tplc="685E4624" w:tentative="1">
      <w:start w:val="1"/>
      <w:numFmt w:val="bullet"/>
      <w:lvlText w:val="•"/>
      <w:lvlJc w:val="left"/>
      <w:pPr>
        <w:tabs>
          <w:tab w:val="num" w:pos="2160"/>
        </w:tabs>
        <w:ind w:left="2160" w:hanging="360"/>
      </w:pPr>
      <w:rPr>
        <w:rFonts w:ascii="Arial" w:hAnsi="Arial" w:hint="default"/>
      </w:rPr>
    </w:lvl>
    <w:lvl w:ilvl="3" w:tplc="3F78660C" w:tentative="1">
      <w:start w:val="1"/>
      <w:numFmt w:val="bullet"/>
      <w:lvlText w:val="•"/>
      <w:lvlJc w:val="left"/>
      <w:pPr>
        <w:tabs>
          <w:tab w:val="num" w:pos="2880"/>
        </w:tabs>
        <w:ind w:left="2880" w:hanging="360"/>
      </w:pPr>
      <w:rPr>
        <w:rFonts w:ascii="Arial" w:hAnsi="Arial" w:hint="default"/>
      </w:rPr>
    </w:lvl>
    <w:lvl w:ilvl="4" w:tplc="5100EF90" w:tentative="1">
      <w:start w:val="1"/>
      <w:numFmt w:val="bullet"/>
      <w:lvlText w:val="•"/>
      <w:lvlJc w:val="left"/>
      <w:pPr>
        <w:tabs>
          <w:tab w:val="num" w:pos="3600"/>
        </w:tabs>
        <w:ind w:left="3600" w:hanging="360"/>
      </w:pPr>
      <w:rPr>
        <w:rFonts w:ascii="Arial" w:hAnsi="Arial" w:hint="default"/>
      </w:rPr>
    </w:lvl>
    <w:lvl w:ilvl="5" w:tplc="F91EA568" w:tentative="1">
      <w:start w:val="1"/>
      <w:numFmt w:val="bullet"/>
      <w:lvlText w:val="•"/>
      <w:lvlJc w:val="left"/>
      <w:pPr>
        <w:tabs>
          <w:tab w:val="num" w:pos="4320"/>
        </w:tabs>
        <w:ind w:left="4320" w:hanging="360"/>
      </w:pPr>
      <w:rPr>
        <w:rFonts w:ascii="Arial" w:hAnsi="Arial" w:hint="default"/>
      </w:rPr>
    </w:lvl>
    <w:lvl w:ilvl="6" w:tplc="37EE2A0C" w:tentative="1">
      <w:start w:val="1"/>
      <w:numFmt w:val="bullet"/>
      <w:lvlText w:val="•"/>
      <w:lvlJc w:val="left"/>
      <w:pPr>
        <w:tabs>
          <w:tab w:val="num" w:pos="5040"/>
        </w:tabs>
        <w:ind w:left="5040" w:hanging="360"/>
      </w:pPr>
      <w:rPr>
        <w:rFonts w:ascii="Arial" w:hAnsi="Arial" w:hint="default"/>
      </w:rPr>
    </w:lvl>
    <w:lvl w:ilvl="7" w:tplc="8B1E7154" w:tentative="1">
      <w:start w:val="1"/>
      <w:numFmt w:val="bullet"/>
      <w:lvlText w:val="•"/>
      <w:lvlJc w:val="left"/>
      <w:pPr>
        <w:tabs>
          <w:tab w:val="num" w:pos="5760"/>
        </w:tabs>
        <w:ind w:left="5760" w:hanging="360"/>
      </w:pPr>
      <w:rPr>
        <w:rFonts w:ascii="Arial" w:hAnsi="Arial" w:hint="default"/>
      </w:rPr>
    </w:lvl>
    <w:lvl w:ilvl="8" w:tplc="063C823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A89756E"/>
    <w:multiLevelType w:val="hybridMultilevel"/>
    <w:tmpl w:val="A06A7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10F72"/>
    <w:multiLevelType w:val="hybridMultilevel"/>
    <w:tmpl w:val="9136465C"/>
    <w:lvl w:ilvl="0" w:tplc="DC867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5177D8"/>
    <w:multiLevelType w:val="hybridMultilevel"/>
    <w:tmpl w:val="CB12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E05E15"/>
    <w:multiLevelType w:val="hybridMultilevel"/>
    <w:tmpl w:val="2272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4E6F83"/>
    <w:multiLevelType w:val="hybridMultilevel"/>
    <w:tmpl w:val="DC1C9E74"/>
    <w:lvl w:ilvl="0" w:tplc="ADB6BE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85395C"/>
    <w:multiLevelType w:val="hybridMultilevel"/>
    <w:tmpl w:val="61E4060A"/>
    <w:lvl w:ilvl="0" w:tplc="14D483C4">
      <w:start w:val="1"/>
      <w:numFmt w:val="bullet"/>
      <w:lvlText w:val="•"/>
      <w:lvlJc w:val="left"/>
      <w:pPr>
        <w:tabs>
          <w:tab w:val="num" w:pos="720"/>
        </w:tabs>
        <w:ind w:left="720" w:hanging="360"/>
      </w:pPr>
      <w:rPr>
        <w:rFonts w:ascii="Times New Roman" w:hAnsi="Times New Roman" w:hint="default"/>
      </w:rPr>
    </w:lvl>
    <w:lvl w:ilvl="1" w:tplc="55A65398" w:tentative="1">
      <w:start w:val="1"/>
      <w:numFmt w:val="bullet"/>
      <w:lvlText w:val="•"/>
      <w:lvlJc w:val="left"/>
      <w:pPr>
        <w:tabs>
          <w:tab w:val="num" w:pos="1440"/>
        </w:tabs>
        <w:ind w:left="1440" w:hanging="360"/>
      </w:pPr>
      <w:rPr>
        <w:rFonts w:ascii="Times New Roman" w:hAnsi="Times New Roman" w:hint="default"/>
      </w:rPr>
    </w:lvl>
    <w:lvl w:ilvl="2" w:tplc="8152A202" w:tentative="1">
      <w:start w:val="1"/>
      <w:numFmt w:val="bullet"/>
      <w:lvlText w:val="•"/>
      <w:lvlJc w:val="left"/>
      <w:pPr>
        <w:tabs>
          <w:tab w:val="num" w:pos="2160"/>
        </w:tabs>
        <w:ind w:left="2160" w:hanging="360"/>
      </w:pPr>
      <w:rPr>
        <w:rFonts w:ascii="Times New Roman" w:hAnsi="Times New Roman" w:hint="default"/>
      </w:rPr>
    </w:lvl>
    <w:lvl w:ilvl="3" w:tplc="AE207372" w:tentative="1">
      <w:start w:val="1"/>
      <w:numFmt w:val="bullet"/>
      <w:lvlText w:val="•"/>
      <w:lvlJc w:val="left"/>
      <w:pPr>
        <w:tabs>
          <w:tab w:val="num" w:pos="2880"/>
        </w:tabs>
        <w:ind w:left="2880" w:hanging="360"/>
      </w:pPr>
      <w:rPr>
        <w:rFonts w:ascii="Times New Roman" w:hAnsi="Times New Roman" w:hint="default"/>
      </w:rPr>
    </w:lvl>
    <w:lvl w:ilvl="4" w:tplc="3DA42CF2" w:tentative="1">
      <w:start w:val="1"/>
      <w:numFmt w:val="bullet"/>
      <w:lvlText w:val="•"/>
      <w:lvlJc w:val="left"/>
      <w:pPr>
        <w:tabs>
          <w:tab w:val="num" w:pos="3600"/>
        </w:tabs>
        <w:ind w:left="3600" w:hanging="360"/>
      </w:pPr>
      <w:rPr>
        <w:rFonts w:ascii="Times New Roman" w:hAnsi="Times New Roman" w:hint="default"/>
      </w:rPr>
    </w:lvl>
    <w:lvl w:ilvl="5" w:tplc="A0D0F8B8" w:tentative="1">
      <w:start w:val="1"/>
      <w:numFmt w:val="bullet"/>
      <w:lvlText w:val="•"/>
      <w:lvlJc w:val="left"/>
      <w:pPr>
        <w:tabs>
          <w:tab w:val="num" w:pos="4320"/>
        </w:tabs>
        <w:ind w:left="4320" w:hanging="360"/>
      </w:pPr>
      <w:rPr>
        <w:rFonts w:ascii="Times New Roman" w:hAnsi="Times New Roman" w:hint="default"/>
      </w:rPr>
    </w:lvl>
    <w:lvl w:ilvl="6" w:tplc="4ED24390" w:tentative="1">
      <w:start w:val="1"/>
      <w:numFmt w:val="bullet"/>
      <w:lvlText w:val="•"/>
      <w:lvlJc w:val="left"/>
      <w:pPr>
        <w:tabs>
          <w:tab w:val="num" w:pos="5040"/>
        </w:tabs>
        <w:ind w:left="5040" w:hanging="360"/>
      </w:pPr>
      <w:rPr>
        <w:rFonts w:ascii="Times New Roman" w:hAnsi="Times New Roman" w:hint="default"/>
      </w:rPr>
    </w:lvl>
    <w:lvl w:ilvl="7" w:tplc="717E7E1E" w:tentative="1">
      <w:start w:val="1"/>
      <w:numFmt w:val="bullet"/>
      <w:lvlText w:val="•"/>
      <w:lvlJc w:val="left"/>
      <w:pPr>
        <w:tabs>
          <w:tab w:val="num" w:pos="5760"/>
        </w:tabs>
        <w:ind w:left="5760" w:hanging="360"/>
      </w:pPr>
      <w:rPr>
        <w:rFonts w:ascii="Times New Roman" w:hAnsi="Times New Roman" w:hint="default"/>
      </w:rPr>
    </w:lvl>
    <w:lvl w:ilvl="8" w:tplc="A386DA8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0326D87"/>
    <w:multiLevelType w:val="hybridMultilevel"/>
    <w:tmpl w:val="468A6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A36DF8"/>
    <w:multiLevelType w:val="hybridMultilevel"/>
    <w:tmpl w:val="32A8C812"/>
    <w:lvl w:ilvl="0" w:tplc="0C0A3F5A">
      <w:start w:val="1"/>
      <w:numFmt w:val="decimal"/>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EF1F23"/>
    <w:multiLevelType w:val="hybridMultilevel"/>
    <w:tmpl w:val="6D90A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F11D55"/>
    <w:multiLevelType w:val="hybridMultilevel"/>
    <w:tmpl w:val="0A3E449C"/>
    <w:lvl w:ilvl="0" w:tplc="67ACAB54">
      <w:start w:val="1"/>
      <w:numFmt w:val="bullet"/>
      <w:lvlText w:val="•"/>
      <w:lvlJc w:val="left"/>
      <w:pPr>
        <w:tabs>
          <w:tab w:val="num" w:pos="720"/>
        </w:tabs>
        <w:ind w:left="720" w:hanging="360"/>
      </w:pPr>
      <w:rPr>
        <w:rFonts w:ascii="Arial" w:hAnsi="Arial" w:hint="default"/>
      </w:rPr>
    </w:lvl>
    <w:lvl w:ilvl="1" w:tplc="4C108B5E" w:tentative="1">
      <w:start w:val="1"/>
      <w:numFmt w:val="bullet"/>
      <w:lvlText w:val="•"/>
      <w:lvlJc w:val="left"/>
      <w:pPr>
        <w:tabs>
          <w:tab w:val="num" w:pos="1440"/>
        </w:tabs>
        <w:ind w:left="1440" w:hanging="360"/>
      </w:pPr>
      <w:rPr>
        <w:rFonts w:ascii="Arial" w:hAnsi="Arial" w:hint="default"/>
      </w:rPr>
    </w:lvl>
    <w:lvl w:ilvl="2" w:tplc="00D2EDBC" w:tentative="1">
      <w:start w:val="1"/>
      <w:numFmt w:val="bullet"/>
      <w:lvlText w:val="•"/>
      <w:lvlJc w:val="left"/>
      <w:pPr>
        <w:tabs>
          <w:tab w:val="num" w:pos="2160"/>
        </w:tabs>
        <w:ind w:left="2160" w:hanging="360"/>
      </w:pPr>
      <w:rPr>
        <w:rFonts w:ascii="Arial" w:hAnsi="Arial" w:hint="default"/>
      </w:rPr>
    </w:lvl>
    <w:lvl w:ilvl="3" w:tplc="D49C0CC4" w:tentative="1">
      <w:start w:val="1"/>
      <w:numFmt w:val="bullet"/>
      <w:lvlText w:val="•"/>
      <w:lvlJc w:val="left"/>
      <w:pPr>
        <w:tabs>
          <w:tab w:val="num" w:pos="2880"/>
        </w:tabs>
        <w:ind w:left="2880" w:hanging="360"/>
      </w:pPr>
      <w:rPr>
        <w:rFonts w:ascii="Arial" w:hAnsi="Arial" w:hint="default"/>
      </w:rPr>
    </w:lvl>
    <w:lvl w:ilvl="4" w:tplc="31AE6FD6" w:tentative="1">
      <w:start w:val="1"/>
      <w:numFmt w:val="bullet"/>
      <w:lvlText w:val="•"/>
      <w:lvlJc w:val="left"/>
      <w:pPr>
        <w:tabs>
          <w:tab w:val="num" w:pos="3600"/>
        </w:tabs>
        <w:ind w:left="3600" w:hanging="360"/>
      </w:pPr>
      <w:rPr>
        <w:rFonts w:ascii="Arial" w:hAnsi="Arial" w:hint="default"/>
      </w:rPr>
    </w:lvl>
    <w:lvl w:ilvl="5" w:tplc="E948120A" w:tentative="1">
      <w:start w:val="1"/>
      <w:numFmt w:val="bullet"/>
      <w:lvlText w:val="•"/>
      <w:lvlJc w:val="left"/>
      <w:pPr>
        <w:tabs>
          <w:tab w:val="num" w:pos="4320"/>
        </w:tabs>
        <w:ind w:left="4320" w:hanging="360"/>
      </w:pPr>
      <w:rPr>
        <w:rFonts w:ascii="Arial" w:hAnsi="Arial" w:hint="default"/>
      </w:rPr>
    </w:lvl>
    <w:lvl w:ilvl="6" w:tplc="69C08CF4" w:tentative="1">
      <w:start w:val="1"/>
      <w:numFmt w:val="bullet"/>
      <w:lvlText w:val="•"/>
      <w:lvlJc w:val="left"/>
      <w:pPr>
        <w:tabs>
          <w:tab w:val="num" w:pos="5040"/>
        </w:tabs>
        <w:ind w:left="5040" w:hanging="360"/>
      </w:pPr>
      <w:rPr>
        <w:rFonts w:ascii="Arial" w:hAnsi="Arial" w:hint="default"/>
      </w:rPr>
    </w:lvl>
    <w:lvl w:ilvl="7" w:tplc="DE700858" w:tentative="1">
      <w:start w:val="1"/>
      <w:numFmt w:val="bullet"/>
      <w:lvlText w:val="•"/>
      <w:lvlJc w:val="left"/>
      <w:pPr>
        <w:tabs>
          <w:tab w:val="num" w:pos="5760"/>
        </w:tabs>
        <w:ind w:left="5760" w:hanging="360"/>
      </w:pPr>
      <w:rPr>
        <w:rFonts w:ascii="Arial" w:hAnsi="Arial" w:hint="default"/>
      </w:rPr>
    </w:lvl>
    <w:lvl w:ilvl="8" w:tplc="8AE87D1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62F4B5D"/>
    <w:multiLevelType w:val="hybridMultilevel"/>
    <w:tmpl w:val="D908C478"/>
    <w:lvl w:ilvl="0" w:tplc="BC323EA0">
      <w:start w:val="1"/>
      <w:numFmt w:val="bullet"/>
      <w:lvlText w:val="•"/>
      <w:lvlJc w:val="left"/>
      <w:pPr>
        <w:tabs>
          <w:tab w:val="num" w:pos="765"/>
        </w:tabs>
        <w:ind w:left="765" w:hanging="360"/>
      </w:pPr>
      <w:rPr>
        <w:rFonts w:ascii="Arial" w:hAnsi="Aria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cs="Wingdings" w:hint="default"/>
      </w:rPr>
    </w:lvl>
    <w:lvl w:ilvl="3" w:tplc="04090001" w:tentative="1">
      <w:start w:val="1"/>
      <w:numFmt w:val="bullet"/>
      <w:lvlText w:val=""/>
      <w:lvlJc w:val="left"/>
      <w:pPr>
        <w:ind w:left="2925" w:hanging="360"/>
      </w:pPr>
      <w:rPr>
        <w:rFonts w:ascii="Symbol" w:hAnsi="Symbol" w:cs="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cs="Wingdings" w:hint="default"/>
      </w:rPr>
    </w:lvl>
    <w:lvl w:ilvl="6" w:tplc="04090001" w:tentative="1">
      <w:start w:val="1"/>
      <w:numFmt w:val="bullet"/>
      <w:lvlText w:val=""/>
      <w:lvlJc w:val="left"/>
      <w:pPr>
        <w:ind w:left="5085" w:hanging="360"/>
      </w:pPr>
      <w:rPr>
        <w:rFonts w:ascii="Symbol" w:hAnsi="Symbol" w:cs="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cs="Wingdings" w:hint="default"/>
      </w:rPr>
    </w:lvl>
  </w:abstractNum>
  <w:abstractNum w:abstractNumId="30" w15:restartNumberingAfterBreak="0">
    <w:nsid w:val="48C73A39"/>
    <w:multiLevelType w:val="hybridMultilevel"/>
    <w:tmpl w:val="A4A85A86"/>
    <w:lvl w:ilvl="0" w:tplc="634A7784">
      <w:start w:val="1"/>
      <w:numFmt w:val="bullet"/>
      <w:lvlText w:val=""/>
      <w:lvlJc w:val="left"/>
      <w:pPr>
        <w:ind w:left="720" w:hanging="360"/>
      </w:pPr>
      <w:rPr>
        <w:rFonts w:ascii="Symbol" w:hAnsi="Symbol"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113E57"/>
    <w:multiLevelType w:val="hybridMultilevel"/>
    <w:tmpl w:val="E3DE5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BBA75C3"/>
    <w:multiLevelType w:val="hybridMultilevel"/>
    <w:tmpl w:val="F44CB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C05A54"/>
    <w:multiLevelType w:val="hybridMultilevel"/>
    <w:tmpl w:val="4606A3AA"/>
    <w:lvl w:ilvl="0" w:tplc="06E87114">
      <w:start w:val="1"/>
      <w:numFmt w:val="bullet"/>
      <w:lvlText w:val="•"/>
      <w:lvlJc w:val="left"/>
      <w:pPr>
        <w:tabs>
          <w:tab w:val="num" w:pos="720"/>
        </w:tabs>
        <w:ind w:left="720" w:hanging="360"/>
      </w:pPr>
      <w:rPr>
        <w:rFonts w:ascii="Calibri" w:hAnsi="Calibri"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5305CCE"/>
    <w:multiLevelType w:val="hybridMultilevel"/>
    <w:tmpl w:val="1EB8CCE8"/>
    <w:lvl w:ilvl="0" w:tplc="0C0A3F5A">
      <w:start w:val="1"/>
      <w:numFmt w:val="decimal"/>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441570"/>
    <w:multiLevelType w:val="hybridMultilevel"/>
    <w:tmpl w:val="F95AA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9D0D73"/>
    <w:multiLevelType w:val="hybridMultilevel"/>
    <w:tmpl w:val="2DEC33DA"/>
    <w:lvl w:ilvl="0" w:tplc="BC323EA0">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5CAA1FD2"/>
    <w:multiLevelType w:val="hybridMultilevel"/>
    <w:tmpl w:val="A97A5B06"/>
    <w:lvl w:ilvl="0" w:tplc="ADB6BE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F576C0"/>
    <w:multiLevelType w:val="hybridMultilevel"/>
    <w:tmpl w:val="7278B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0A0017"/>
    <w:multiLevelType w:val="hybridMultilevel"/>
    <w:tmpl w:val="27208434"/>
    <w:lvl w:ilvl="0" w:tplc="2320FE70">
      <w:start w:val="1"/>
      <w:numFmt w:val="bullet"/>
      <w:lvlText w:val="•"/>
      <w:lvlJc w:val="left"/>
      <w:pPr>
        <w:tabs>
          <w:tab w:val="num" w:pos="720"/>
        </w:tabs>
        <w:ind w:left="720" w:hanging="360"/>
      </w:pPr>
      <w:rPr>
        <w:rFonts w:ascii="Arial" w:hAnsi="Arial" w:hint="default"/>
      </w:rPr>
    </w:lvl>
    <w:lvl w:ilvl="1" w:tplc="D576C6A0" w:tentative="1">
      <w:start w:val="1"/>
      <w:numFmt w:val="bullet"/>
      <w:lvlText w:val="•"/>
      <w:lvlJc w:val="left"/>
      <w:pPr>
        <w:tabs>
          <w:tab w:val="num" w:pos="1440"/>
        </w:tabs>
        <w:ind w:left="1440" w:hanging="360"/>
      </w:pPr>
      <w:rPr>
        <w:rFonts w:ascii="Arial" w:hAnsi="Arial" w:hint="default"/>
      </w:rPr>
    </w:lvl>
    <w:lvl w:ilvl="2" w:tplc="7D2C7364" w:tentative="1">
      <w:start w:val="1"/>
      <w:numFmt w:val="bullet"/>
      <w:lvlText w:val="•"/>
      <w:lvlJc w:val="left"/>
      <w:pPr>
        <w:tabs>
          <w:tab w:val="num" w:pos="2160"/>
        </w:tabs>
        <w:ind w:left="2160" w:hanging="360"/>
      </w:pPr>
      <w:rPr>
        <w:rFonts w:ascii="Arial" w:hAnsi="Arial" w:hint="default"/>
      </w:rPr>
    </w:lvl>
    <w:lvl w:ilvl="3" w:tplc="3B6ACE3A" w:tentative="1">
      <w:start w:val="1"/>
      <w:numFmt w:val="bullet"/>
      <w:lvlText w:val="•"/>
      <w:lvlJc w:val="left"/>
      <w:pPr>
        <w:tabs>
          <w:tab w:val="num" w:pos="2880"/>
        </w:tabs>
        <w:ind w:left="2880" w:hanging="360"/>
      </w:pPr>
      <w:rPr>
        <w:rFonts w:ascii="Arial" w:hAnsi="Arial" w:hint="default"/>
      </w:rPr>
    </w:lvl>
    <w:lvl w:ilvl="4" w:tplc="3B327074" w:tentative="1">
      <w:start w:val="1"/>
      <w:numFmt w:val="bullet"/>
      <w:lvlText w:val="•"/>
      <w:lvlJc w:val="left"/>
      <w:pPr>
        <w:tabs>
          <w:tab w:val="num" w:pos="3600"/>
        </w:tabs>
        <w:ind w:left="3600" w:hanging="360"/>
      </w:pPr>
      <w:rPr>
        <w:rFonts w:ascii="Arial" w:hAnsi="Arial" w:hint="default"/>
      </w:rPr>
    </w:lvl>
    <w:lvl w:ilvl="5" w:tplc="92BA8780" w:tentative="1">
      <w:start w:val="1"/>
      <w:numFmt w:val="bullet"/>
      <w:lvlText w:val="•"/>
      <w:lvlJc w:val="left"/>
      <w:pPr>
        <w:tabs>
          <w:tab w:val="num" w:pos="4320"/>
        </w:tabs>
        <w:ind w:left="4320" w:hanging="360"/>
      </w:pPr>
      <w:rPr>
        <w:rFonts w:ascii="Arial" w:hAnsi="Arial" w:hint="default"/>
      </w:rPr>
    </w:lvl>
    <w:lvl w:ilvl="6" w:tplc="E3A6025C" w:tentative="1">
      <w:start w:val="1"/>
      <w:numFmt w:val="bullet"/>
      <w:lvlText w:val="•"/>
      <w:lvlJc w:val="left"/>
      <w:pPr>
        <w:tabs>
          <w:tab w:val="num" w:pos="5040"/>
        </w:tabs>
        <w:ind w:left="5040" w:hanging="360"/>
      </w:pPr>
      <w:rPr>
        <w:rFonts w:ascii="Arial" w:hAnsi="Arial" w:hint="default"/>
      </w:rPr>
    </w:lvl>
    <w:lvl w:ilvl="7" w:tplc="ED1CD208" w:tentative="1">
      <w:start w:val="1"/>
      <w:numFmt w:val="bullet"/>
      <w:lvlText w:val="•"/>
      <w:lvlJc w:val="left"/>
      <w:pPr>
        <w:tabs>
          <w:tab w:val="num" w:pos="5760"/>
        </w:tabs>
        <w:ind w:left="5760" w:hanging="360"/>
      </w:pPr>
      <w:rPr>
        <w:rFonts w:ascii="Arial" w:hAnsi="Arial" w:hint="default"/>
      </w:rPr>
    </w:lvl>
    <w:lvl w:ilvl="8" w:tplc="16AAE1D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2D00469"/>
    <w:multiLevelType w:val="hybridMultilevel"/>
    <w:tmpl w:val="C4882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716F63"/>
    <w:multiLevelType w:val="hybridMultilevel"/>
    <w:tmpl w:val="E7F06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CA4F0E"/>
    <w:multiLevelType w:val="hybridMultilevel"/>
    <w:tmpl w:val="1DE2C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5C2074"/>
    <w:multiLevelType w:val="hybridMultilevel"/>
    <w:tmpl w:val="6D8E5B68"/>
    <w:lvl w:ilvl="0" w:tplc="2B40ABA6">
      <w:start w:val="1"/>
      <w:numFmt w:val="bullet"/>
      <w:lvlText w:val="•"/>
      <w:lvlJc w:val="left"/>
      <w:pPr>
        <w:tabs>
          <w:tab w:val="num" w:pos="720"/>
        </w:tabs>
        <w:ind w:left="720" w:hanging="360"/>
      </w:pPr>
      <w:rPr>
        <w:rFonts w:ascii="Arial" w:hAnsi="Arial" w:hint="default"/>
      </w:rPr>
    </w:lvl>
    <w:lvl w:ilvl="1" w:tplc="788AB2F8" w:tentative="1">
      <w:start w:val="1"/>
      <w:numFmt w:val="bullet"/>
      <w:lvlText w:val="•"/>
      <w:lvlJc w:val="left"/>
      <w:pPr>
        <w:tabs>
          <w:tab w:val="num" w:pos="1440"/>
        </w:tabs>
        <w:ind w:left="1440" w:hanging="360"/>
      </w:pPr>
      <w:rPr>
        <w:rFonts w:ascii="Arial" w:hAnsi="Arial" w:hint="default"/>
      </w:rPr>
    </w:lvl>
    <w:lvl w:ilvl="2" w:tplc="89109F1A" w:tentative="1">
      <w:start w:val="1"/>
      <w:numFmt w:val="bullet"/>
      <w:lvlText w:val="•"/>
      <w:lvlJc w:val="left"/>
      <w:pPr>
        <w:tabs>
          <w:tab w:val="num" w:pos="2160"/>
        </w:tabs>
        <w:ind w:left="2160" w:hanging="360"/>
      </w:pPr>
      <w:rPr>
        <w:rFonts w:ascii="Arial" w:hAnsi="Arial" w:hint="default"/>
      </w:rPr>
    </w:lvl>
    <w:lvl w:ilvl="3" w:tplc="406E211A" w:tentative="1">
      <w:start w:val="1"/>
      <w:numFmt w:val="bullet"/>
      <w:lvlText w:val="•"/>
      <w:lvlJc w:val="left"/>
      <w:pPr>
        <w:tabs>
          <w:tab w:val="num" w:pos="2880"/>
        </w:tabs>
        <w:ind w:left="2880" w:hanging="360"/>
      </w:pPr>
      <w:rPr>
        <w:rFonts w:ascii="Arial" w:hAnsi="Arial" w:hint="default"/>
      </w:rPr>
    </w:lvl>
    <w:lvl w:ilvl="4" w:tplc="56A2FDF2" w:tentative="1">
      <w:start w:val="1"/>
      <w:numFmt w:val="bullet"/>
      <w:lvlText w:val="•"/>
      <w:lvlJc w:val="left"/>
      <w:pPr>
        <w:tabs>
          <w:tab w:val="num" w:pos="3600"/>
        </w:tabs>
        <w:ind w:left="3600" w:hanging="360"/>
      </w:pPr>
      <w:rPr>
        <w:rFonts w:ascii="Arial" w:hAnsi="Arial" w:hint="default"/>
      </w:rPr>
    </w:lvl>
    <w:lvl w:ilvl="5" w:tplc="DF5E9E50" w:tentative="1">
      <w:start w:val="1"/>
      <w:numFmt w:val="bullet"/>
      <w:lvlText w:val="•"/>
      <w:lvlJc w:val="left"/>
      <w:pPr>
        <w:tabs>
          <w:tab w:val="num" w:pos="4320"/>
        </w:tabs>
        <w:ind w:left="4320" w:hanging="360"/>
      </w:pPr>
      <w:rPr>
        <w:rFonts w:ascii="Arial" w:hAnsi="Arial" w:hint="default"/>
      </w:rPr>
    </w:lvl>
    <w:lvl w:ilvl="6" w:tplc="DF845DB8" w:tentative="1">
      <w:start w:val="1"/>
      <w:numFmt w:val="bullet"/>
      <w:lvlText w:val="•"/>
      <w:lvlJc w:val="left"/>
      <w:pPr>
        <w:tabs>
          <w:tab w:val="num" w:pos="5040"/>
        </w:tabs>
        <w:ind w:left="5040" w:hanging="360"/>
      </w:pPr>
      <w:rPr>
        <w:rFonts w:ascii="Arial" w:hAnsi="Arial" w:hint="default"/>
      </w:rPr>
    </w:lvl>
    <w:lvl w:ilvl="7" w:tplc="C6E86FDC" w:tentative="1">
      <w:start w:val="1"/>
      <w:numFmt w:val="bullet"/>
      <w:lvlText w:val="•"/>
      <w:lvlJc w:val="left"/>
      <w:pPr>
        <w:tabs>
          <w:tab w:val="num" w:pos="5760"/>
        </w:tabs>
        <w:ind w:left="5760" w:hanging="360"/>
      </w:pPr>
      <w:rPr>
        <w:rFonts w:ascii="Arial" w:hAnsi="Arial" w:hint="default"/>
      </w:rPr>
    </w:lvl>
    <w:lvl w:ilvl="8" w:tplc="AAAC238E"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6EC25283"/>
    <w:multiLevelType w:val="hybridMultilevel"/>
    <w:tmpl w:val="84FC3C28"/>
    <w:lvl w:ilvl="0" w:tplc="0409000F">
      <w:start w:val="1"/>
      <w:numFmt w:val="decimal"/>
      <w:lvlText w:val="%1."/>
      <w:lvlJc w:val="left"/>
      <w:pPr>
        <w:ind w:left="770" w:hanging="360"/>
      </w:pPr>
      <w:rPr>
        <w:rFonts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6" w15:restartNumberingAfterBreak="0">
    <w:nsid w:val="74133BD9"/>
    <w:multiLevelType w:val="hybridMultilevel"/>
    <w:tmpl w:val="AF4ED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9903DF"/>
    <w:multiLevelType w:val="hybridMultilevel"/>
    <w:tmpl w:val="107A8834"/>
    <w:lvl w:ilvl="0" w:tplc="634A7784">
      <w:start w:val="1"/>
      <w:numFmt w:val="bullet"/>
      <w:lvlText w:val=""/>
      <w:lvlJc w:val="left"/>
      <w:pPr>
        <w:ind w:left="720" w:hanging="360"/>
      </w:pPr>
      <w:rPr>
        <w:rFonts w:ascii="Symbol" w:hAnsi="Symbol"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0402E2"/>
    <w:multiLevelType w:val="hybridMultilevel"/>
    <w:tmpl w:val="9A44B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88D092F"/>
    <w:multiLevelType w:val="hybridMultilevel"/>
    <w:tmpl w:val="E5660996"/>
    <w:lvl w:ilvl="0" w:tplc="3A568936">
      <w:start w:val="1"/>
      <w:numFmt w:val="bullet"/>
      <w:lvlText w:val="•"/>
      <w:lvlJc w:val="left"/>
      <w:pPr>
        <w:tabs>
          <w:tab w:val="num" w:pos="720"/>
        </w:tabs>
        <w:ind w:left="720" w:hanging="360"/>
      </w:pPr>
      <w:rPr>
        <w:rFonts w:ascii="Arial" w:hAnsi="Arial" w:hint="default"/>
      </w:rPr>
    </w:lvl>
    <w:lvl w:ilvl="1" w:tplc="5D02AA68" w:tentative="1">
      <w:start w:val="1"/>
      <w:numFmt w:val="bullet"/>
      <w:lvlText w:val="•"/>
      <w:lvlJc w:val="left"/>
      <w:pPr>
        <w:tabs>
          <w:tab w:val="num" w:pos="1440"/>
        </w:tabs>
        <w:ind w:left="1440" w:hanging="360"/>
      </w:pPr>
      <w:rPr>
        <w:rFonts w:ascii="Arial" w:hAnsi="Arial" w:hint="default"/>
      </w:rPr>
    </w:lvl>
    <w:lvl w:ilvl="2" w:tplc="ED72D2E2" w:tentative="1">
      <w:start w:val="1"/>
      <w:numFmt w:val="bullet"/>
      <w:lvlText w:val="•"/>
      <w:lvlJc w:val="left"/>
      <w:pPr>
        <w:tabs>
          <w:tab w:val="num" w:pos="2160"/>
        </w:tabs>
        <w:ind w:left="2160" w:hanging="360"/>
      </w:pPr>
      <w:rPr>
        <w:rFonts w:ascii="Arial" w:hAnsi="Arial" w:hint="default"/>
      </w:rPr>
    </w:lvl>
    <w:lvl w:ilvl="3" w:tplc="E4DC545E" w:tentative="1">
      <w:start w:val="1"/>
      <w:numFmt w:val="bullet"/>
      <w:lvlText w:val="•"/>
      <w:lvlJc w:val="left"/>
      <w:pPr>
        <w:tabs>
          <w:tab w:val="num" w:pos="2880"/>
        </w:tabs>
        <w:ind w:left="2880" w:hanging="360"/>
      </w:pPr>
      <w:rPr>
        <w:rFonts w:ascii="Arial" w:hAnsi="Arial" w:hint="default"/>
      </w:rPr>
    </w:lvl>
    <w:lvl w:ilvl="4" w:tplc="1D5CD63E" w:tentative="1">
      <w:start w:val="1"/>
      <w:numFmt w:val="bullet"/>
      <w:lvlText w:val="•"/>
      <w:lvlJc w:val="left"/>
      <w:pPr>
        <w:tabs>
          <w:tab w:val="num" w:pos="3600"/>
        </w:tabs>
        <w:ind w:left="3600" w:hanging="360"/>
      </w:pPr>
      <w:rPr>
        <w:rFonts w:ascii="Arial" w:hAnsi="Arial" w:hint="default"/>
      </w:rPr>
    </w:lvl>
    <w:lvl w:ilvl="5" w:tplc="A1A484BE" w:tentative="1">
      <w:start w:val="1"/>
      <w:numFmt w:val="bullet"/>
      <w:lvlText w:val="•"/>
      <w:lvlJc w:val="left"/>
      <w:pPr>
        <w:tabs>
          <w:tab w:val="num" w:pos="4320"/>
        </w:tabs>
        <w:ind w:left="4320" w:hanging="360"/>
      </w:pPr>
      <w:rPr>
        <w:rFonts w:ascii="Arial" w:hAnsi="Arial" w:hint="default"/>
      </w:rPr>
    </w:lvl>
    <w:lvl w:ilvl="6" w:tplc="D9007236" w:tentative="1">
      <w:start w:val="1"/>
      <w:numFmt w:val="bullet"/>
      <w:lvlText w:val="•"/>
      <w:lvlJc w:val="left"/>
      <w:pPr>
        <w:tabs>
          <w:tab w:val="num" w:pos="5040"/>
        </w:tabs>
        <w:ind w:left="5040" w:hanging="360"/>
      </w:pPr>
      <w:rPr>
        <w:rFonts w:ascii="Arial" w:hAnsi="Arial" w:hint="default"/>
      </w:rPr>
    </w:lvl>
    <w:lvl w:ilvl="7" w:tplc="EDC43192" w:tentative="1">
      <w:start w:val="1"/>
      <w:numFmt w:val="bullet"/>
      <w:lvlText w:val="•"/>
      <w:lvlJc w:val="left"/>
      <w:pPr>
        <w:tabs>
          <w:tab w:val="num" w:pos="5760"/>
        </w:tabs>
        <w:ind w:left="5760" w:hanging="360"/>
      </w:pPr>
      <w:rPr>
        <w:rFonts w:ascii="Arial" w:hAnsi="Arial" w:hint="default"/>
      </w:rPr>
    </w:lvl>
    <w:lvl w:ilvl="8" w:tplc="1BB66362"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FC20C9D"/>
    <w:multiLevelType w:val="hybridMultilevel"/>
    <w:tmpl w:val="A6FCB000"/>
    <w:lvl w:ilvl="0" w:tplc="4840400E">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9"/>
  </w:num>
  <w:num w:numId="2">
    <w:abstractNumId w:val="12"/>
  </w:num>
  <w:num w:numId="3">
    <w:abstractNumId w:val="27"/>
  </w:num>
  <w:num w:numId="4">
    <w:abstractNumId w:val="31"/>
  </w:num>
  <w:num w:numId="5">
    <w:abstractNumId w:val="43"/>
  </w:num>
  <w:num w:numId="6">
    <w:abstractNumId w:val="36"/>
  </w:num>
  <w:num w:numId="7">
    <w:abstractNumId w:val="17"/>
  </w:num>
  <w:num w:numId="8">
    <w:abstractNumId w:val="0"/>
  </w:num>
  <w:num w:numId="9">
    <w:abstractNumId w:val="48"/>
  </w:num>
  <w:num w:numId="10">
    <w:abstractNumId w:val="13"/>
  </w:num>
  <w:num w:numId="11">
    <w:abstractNumId w:val="9"/>
  </w:num>
  <w:num w:numId="12">
    <w:abstractNumId w:val="25"/>
  </w:num>
  <w:num w:numId="13">
    <w:abstractNumId w:val="4"/>
  </w:num>
  <w:num w:numId="14">
    <w:abstractNumId w:val="26"/>
  </w:num>
  <w:num w:numId="15">
    <w:abstractNumId w:val="35"/>
  </w:num>
  <w:num w:numId="16">
    <w:abstractNumId w:val="46"/>
  </w:num>
  <w:num w:numId="17">
    <w:abstractNumId w:val="6"/>
  </w:num>
  <w:num w:numId="18">
    <w:abstractNumId w:val="3"/>
  </w:num>
  <w:num w:numId="19">
    <w:abstractNumId w:val="14"/>
  </w:num>
  <w:num w:numId="20">
    <w:abstractNumId w:val="16"/>
  </w:num>
  <w:num w:numId="21">
    <w:abstractNumId w:val="38"/>
  </w:num>
  <w:num w:numId="22">
    <w:abstractNumId w:val="20"/>
  </w:num>
  <w:num w:numId="23">
    <w:abstractNumId w:val="11"/>
  </w:num>
  <w:num w:numId="24">
    <w:abstractNumId w:val="42"/>
  </w:num>
  <w:num w:numId="25">
    <w:abstractNumId w:val="32"/>
  </w:num>
  <w:num w:numId="26">
    <w:abstractNumId w:val="7"/>
  </w:num>
  <w:num w:numId="27">
    <w:abstractNumId w:val="45"/>
  </w:num>
  <w:num w:numId="28">
    <w:abstractNumId w:val="33"/>
  </w:num>
  <w:num w:numId="29">
    <w:abstractNumId w:val="22"/>
  </w:num>
  <w:num w:numId="30">
    <w:abstractNumId w:val="47"/>
  </w:num>
  <w:num w:numId="31">
    <w:abstractNumId w:val="41"/>
  </w:num>
  <w:num w:numId="32">
    <w:abstractNumId w:val="21"/>
  </w:num>
  <w:num w:numId="33">
    <w:abstractNumId w:val="30"/>
  </w:num>
  <w:num w:numId="34">
    <w:abstractNumId w:val="19"/>
  </w:num>
  <w:num w:numId="35">
    <w:abstractNumId w:val="23"/>
  </w:num>
  <w:num w:numId="36">
    <w:abstractNumId w:val="50"/>
  </w:num>
  <w:num w:numId="37">
    <w:abstractNumId w:val="28"/>
  </w:num>
  <w:num w:numId="38">
    <w:abstractNumId w:val="40"/>
  </w:num>
  <w:num w:numId="39">
    <w:abstractNumId w:val="44"/>
  </w:num>
  <w:num w:numId="40">
    <w:abstractNumId w:val="18"/>
  </w:num>
  <w:num w:numId="41">
    <w:abstractNumId w:val="15"/>
  </w:num>
  <w:num w:numId="42">
    <w:abstractNumId w:val="24"/>
  </w:num>
  <w:num w:numId="43">
    <w:abstractNumId w:val="10"/>
  </w:num>
  <w:num w:numId="44">
    <w:abstractNumId w:val="1"/>
  </w:num>
  <w:num w:numId="45">
    <w:abstractNumId w:val="29"/>
  </w:num>
  <w:num w:numId="46">
    <w:abstractNumId w:val="37"/>
  </w:num>
  <w:num w:numId="47">
    <w:abstractNumId w:val="8"/>
  </w:num>
  <w:num w:numId="48">
    <w:abstractNumId w:val="5"/>
  </w:num>
  <w:num w:numId="49">
    <w:abstractNumId w:val="34"/>
  </w:num>
  <w:num w:numId="50">
    <w:abstractNumId w:val="39"/>
  </w:num>
  <w:num w:numId="51">
    <w:abstractNumId w:val="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B69"/>
    <w:rsid w:val="00010A47"/>
    <w:rsid w:val="00010AA8"/>
    <w:rsid w:val="000138D1"/>
    <w:rsid w:val="00015015"/>
    <w:rsid w:val="0002057E"/>
    <w:rsid w:val="00023AEC"/>
    <w:rsid w:val="00023CD7"/>
    <w:rsid w:val="000259A6"/>
    <w:rsid w:val="00031908"/>
    <w:rsid w:val="00031BDA"/>
    <w:rsid w:val="00032C12"/>
    <w:rsid w:val="0003517B"/>
    <w:rsid w:val="000400E8"/>
    <w:rsid w:val="0004458E"/>
    <w:rsid w:val="00044EF4"/>
    <w:rsid w:val="0004515B"/>
    <w:rsid w:val="000451CB"/>
    <w:rsid w:val="0005611F"/>
    <w:rsid w:val="00056464"/>
    <w:rsid w:val="000579C2"/>
    <w:rsid w:val="00061B69"/>
    <w:rsid w:val="00062928"/>
    <w:rsid w:val="00064B95"/>
    <w:rsid w:val="00064C6D"/>
    <w:rsid w:val="00065E7C"/>
    <w:rsid w:val="00071571"/>
    <w:rsid w:val="00073142"/>
    <w:rsid w:val="0007595A"/>
    <w:rsid w:val="000822D4"/>
    <w:rsid w:val="000852C1"/>
    <w:rsid w:val="00091686"/>
    <w:rsid w:val="00093219"/>
    <w:rsid w:val="000A1537"/>
    <w:rsid w:val="000A2B51"/>
    <w:rsid w:val="000A7F5F"/>
    <w:rsid w:val="000B242A"/>
    <w:rsid w:val="000B2F14"/>
    <w:rsid w:val="000B765E"/>
    <w:rsid w:val="000C0779"/>
    <w:rsid w:val="000C0F3C"/>
    <w:rsid w:val="000C2931"/>
    <w:rsid w:val="000C695D"/>
    <w:rsid w:val="000C77D9"/>
    <w:rsid w:val="000D0D11"/>
    <w:rsid w:val="000D26C1"/>
    <w:rsid w:val="000D4BBB"/>
    <w:rsid w:val="000E2144"/>
    <w:rsid w:val="000E364E"/>
    <w:rsid w:val="000F5868"/>
    <w:rsid w:val="001028B1"/>
    <w:rsid w:val="00110F4C"/>
    <w:rsid w:val="0011423E"/>
    <w:rsid w:val="001171B0"/>
    <w:rsid w:val="001350DC"/>
    <w:rsid w:val="00135B7A"/>
    <w:rsid w:val="00156C54"/>
    <w:rsid w:val="001575CE"/>
    <w:rsid w:val="00160A33"/>
    <w:rsid w:val="001651B8"/>
    <w:rsid w:val="00174E01"/>
    <w:rsid w:val="00176804"/>
    <w:rsid w:val="00177B18"/>
    <w:rsid w:val="0018261A"/>
    <w:rsid w:val="001844A3"/>
    <w:rsid w:val="00184969"/>
    <w:rsid w:val="00184B4C"/>
    <w:rsid w:val="0018763D"/>
    <w:rsid w:val="00193ACA"/>
    <w:rsid w:val="00194524"/>
    <w:rsid w:val="00196B95"/>
    <w:rsid w:val="00197EA5"/>
    <w:rsid w:val="001A03DD"/>
    <w:rsid w:val="001A56EB"/>
    <w:rsid w:val="001A6356"/>
    <w:rsid w:val="001A6EE2"/>
    <w:rsid w:val="001B76FD"/>
    <w:rsid w:val="001C1BA6"/>
    <w:rsid w:val="001C2770"/>
    <w:rsid w:val="001C3BFF"/>
    <w:rsid w:val="001C5A3D"/>
    <w:rsid w:val="001C6595"/>
    <w:rsid w:val="001D124D"/>
    <w:rsid w:val="001D47D0"/>
    <w:rsid w:val="001E19DD"/>
    <w:rsid w:val="001E3185"/>
    <w:rsid w:val="001E48E5"/>
    <w:rsid w:val="001E4D4F"/>
    <w:rsid w:val="001E6064"/>
    <w:rsid w:val="001F593F"/>
    <w:rsid w:val="00201ED4"/>
    <w:rsid w:val="0020283E"/>
    <w:rsid w:val="0020797D"/>
    <w:rsid w:val="00212920"/>
    <w:rsid w:val="0021450C"/>
    <w:rsid w:val="00220526"/>
    <w:rsid w:val="00220775"/>
    <w:rsid w:val="00220945"/>
    <w:rsid w:val="002212B6"/>
    <w:rsid w:val="002226A7"/>
    <w:rsid w:val="00222C51"/>
    <w:rsid w:val="00224233"/>
    <w:rsid w:val="00225893"/>
    <w:rsid w:val="002315A4"/>
    <w:rsid w:val="002323EC"/>
    <w:rsid w:val="0023515A"/>
    <w:rsid w:val="002373A4"/>
    <w:rsid w:val="0024077D"/>
    <w:rsid w:val="00242BE4"/>
    <w:rsid w:val="00251F8D"/>
    <w:rsid w:val="0025269E"/>
    <w:rsid w:val="00252ACC"/>
    <w:rsid w:val="00256E40"/>
    <w:rsid w:val="00260400"/>
    <w:rsid w:val="00262D1D"/>
    <w:rsid w:val="00264C5A"/>
    <w:rsid w:val="002663C4"/>
    <w:rsid w:val="00277C33"/>
    <w:rsid w:val="00281D5C"/>
    <w:rsid w:val="00282439"/>
    <w:rsid w:val="00283EC7"/>
    <w:rsid w:val="00284DBF"/>
    <w:rsid w:val="00286DF9"/>
    <w:rsid w:val="00297E4E"/>
    <w:rsid w:val="002A26F7"/>
    <w:rsid w:val="002A34BA"/>
    <w:rsid w:val="002A6825"/>
    <w:rsid w:val="002A7035"/>
    <w:rsid w:val="002B689E"/>
    <w:rsid w:val="002C1017"/>
    <w:rsid w:val="002C3A55"/>
    <w:rsid w:val="002C412D"/>
    <w:rsid w:val="002C6F64"/>
    <w:rsid w:val="002D2433"/>
    <w:rsid w:val="002D3FC4"/>
    <w:rsid w:val="002D42B2"/>
    <w:rsid w:val="002E096D"/>
    <w:rsid w:val="002E6FA0"/>
    <w:rsid w:val="002F69EB"/>
    <w:rsid w:val="003031C0"/>
    <w:rsid w:val="003054C6"/>
    <w:rsid w:val="0030647C"/>
    <w:rsid w:val="00314E56"/>
    <w:rsid w:val="00320E1E"/>
    <w:rsid w:val="003224B6"/>
    <w:rsid w:val="00323ECC"/>
    <w:rsid w:val="00324D7E"/>
    <w:rsid w:val="0032600F"/>
    <w:rsid w:val="003268E0"/>
    <w:rsid w:val="003318F4"/>
    <w:rsid w:val="00332D1A"/>
    <w:rsid w:val="00333982"/>
    <w:rsid w:val="003364D2"/>
    <w:rsid w:val="00343E20"/>
    <w:rsid w:val="0034629B"/>
    <w:rsid w:val="003514CC"/>
    <w:rsid w:val="003526A9"/>
    <w:rsid w:val="003526EC"/>
    <w:rsid w:val="00353E15"/>
    <w:rsid w:val="0035654B"/>
    <w:rsid w:val="00363C42"/>
    <w:rsid w:val="00366658"/>
    <w:rsid w:val="00375199"/>
    <w:rsid w:val="0038144F"/>
    <w:rsid w:val="0038695B"/>
    <w:rsid w:val="003944D6"/>
    <w:rsid w:val="003A0C4B"/>
    <w:rsid w:val="003A1DE8"/>
    <w:rsid w:val="003A1F17"/>
    <w:rsid w:val="003A3B11"/>
    <w:rsid w:val="003A4B6C"/>
    <w:rsid w:val="003A7173"/>
    <w:rsid w:val="003B01D0"/>
    <w:rsid w:val="003B64C9"/>
    <w:rsid w:val="003C509A"/>
    <w:rsid w:val="003C6C99"/>
    <w:rsid w:val="003E4B49"/>
    <w:rsid w:val="003E6E04"/>
    <w:rsid w:val="003E7351"/>
    <w:rsid w:val="003F06B3"/>
    <w:rsid w:val="003F2140"/>
    <w:rsid w:val="003F49F4"/>
    <w:rsid w:val="003F608D"/>
    <w:rsid w:val="003F6CBD"/>
    <w:rsid w:val="00400B35"/>
    <w:rsid w:val="00405E1D"/>
    <w:rsid w:val="00406691"/>
    <w:rsid w:val="004069EE"/>
    <w:rsid w:val="00412148"/>
    <w:rsid w:val="004128DE"/>
    <w:rsid w:val="00412B9D"/>
    <w:rsid w:val="00417A14"/>
    <w:rsid w:val="00423753"/>
    <w:rsid w:val="00423892"/>
    <w:rsid w:val="00430313"/>
    <w:rsid w:val="0043113D"/>
    <w:rsid w:val="0043294E"/>
    <w:rsid w:val="004348E5"/>
    <w:rsid w:val="00437A1E"/>
    <w:rsid w:val="00440792"/>
    <w:rsid w:val="004431C3"/>
    <w:rsid w:val="00444BDC"/>
    <w:rsid w:val="00456170"/>
    <w:rsid w:val="00456FDD"/>
    <w:rsid w:val="00457F19"/>
    <w:rsid w:val="00465F36"/>
    <w:rsid w:val="00472819"/>
    <w:rsid w:val="004818CF"/>
    <w:rsid w:val="00485896"/>
    <w:rsid w:val="00485C43"/>
    <w:rsid w:val="00485F9A"/>
    <w:rsid w:val="004924DF"/>
    <w:rsid w:val="00492974"/>
    <w:rsid w:val="00492F2C"/>
    <w:rsid w:val="004A0E3C"/>
    <w:rsid w:val="004B0895"/>
    <w:rsid w:val="004B17E4"/>
    <w:rsid w:val="004B473C"/>
    <w:rsid w:val="004B5488"/>
    <w:rsid w:val="004B56CF"/>
    <w:rsid w:val="004C4272"/>
    <w:rsid w:val="004D3F06"/>
    <w:rsid w:val="004E20DF"/>
    <w:rsid w:val="004E4E27"/>
    <w:rsid w:val="004F0398"/>
    <w:rsid w:val="004F07D1"/>
    <w:rsid w:val="004F1ABF"/>
    <w:rsid w:val="004F3BEE"/>
    <w:rsid w:val="004F685D"/>
    <w:rsid w:val="004F7D9D"/>
    <w:rsid w:val="00500478"/>
    <w:rsid w:val="005014DE"/>
    <w:rsid w:val="00501A84"/>
    <w:rsid w:val="00502A64"/>
    <w:rsid w:val="00507A9B"/>
    <w:rsid w:val="0051343C"/>
    <w:rsid w:val="00513DFD"/>
    <w:rsid w:val="0051430C"/>
    <w:rsid w:val="00515259"/>
    <w:rsid w:val="00517739"/>
    <w:rsid w:val="005178E4"/>
    <w:rsid w:val="005269B2"/>
    <w:rsid w:val="00534946"/>
    <w:rsid w:val="0053624F"/>
    <w:rsid w:val="00542724"/>
    <w:rsid w:val="00544C99"/>
    <w:rsid w:val="00551689"/>
    <w:rsid w:val="00553680"/>
    <w:rsid w:val="00571127"/>
    <w:rsid w:val="0057122E"/>
    <w:rsid w:val="0057286E"/>
    <w:rsid w:val="00582B6D"/>
    <w:rsid w:val="00583718"/>
    <w:rsid w:val="005837B2"/>
    <w:rsid w:val="00594E9C"/>
    <w:rsid w:val="005A14EE"/>
    <w:rsid w:val="005A28CB"/>
    <w:rsid w:val="005A6709"/>
    <w:rsid w:val="005A7C8E"/>
    <w:rsid w:val="005A7CDD"/>
    <w:rsid w:val="005B3D36"/>
    <w:rsid w:val="005C0038"/>
    <w:rsid w:val="005C20E3"/>
    <w:rsid w:val="005C3C75"/>
    <w:rsid w:val="005C4E79"/>
    <w:rsid w:val="005C701D"/>
    <w:rsid w:val="005D019F"/>
    <w:rsid w:val="005D039F"/>
    <w:rsid w:val="005D3540"/>
    <w:rsid w:val="005D6EC4"/>
    <w:rsid w:val="005E3056"/>
    <w:rsid w:val="005E3F56"/>
    <w:rsid w:val="005E5636"/>
    <w:rsid w:val="005E5900"/>
    <w:rsid w:val="005E670F"/>
    <w:rsid w:val="005F04D2"/>
    <w:rsid w:val="005F131C"/>
    <w:rsid w:val="00603761"/>
    <w:rsid w:val="00604D50"/>
    <w:rsid w:val="00611630"/>
    <w:rsid w:val="00616892"/>
    <w:rsid w:val="0061775C"/>
    <w:rsid w:val="00620ACE"/>
    <w:rsid w:val="00621327"/>
    <w:rsid w:val="006239E8"/>
    <w:rsid w:val="00626A05"/>
    <w:rsid w:val="00626E55"/>
    <w:rsid w:val="00632B27"/>
    <w:rsid w:val="00635AC7"/>
    <w:rsid w:val="006417CE"/>
    <w:rsid w:val="00654938"/>
    <w:rsid w:val="00655D6C"/>
    <w:rsid w:val="00661D50"/>
    <w:rsid w:val="006620D3"/>
    <w:rsid w:val="00662E51"/>
    <w:rsid w:val="00663119"/>
    <w:rsid w:val="00663661"/>
    <w:rsid w:val="0066434E"/>
    <w:rsid w:val="006665E0"/>
    <w:rsid w:val="0067442D"/>
    <w:rsid w:val="0068359F"/>
    <w:rsid w:val="00684B3A"/>
    <w:rsid w:val="0069337C"/>
    <w:rsid w:val="00694AC2"/>
    <w:rsid w:val="006A10F9"/>
    <w:rsid w:val="006A4BBC"/>
    <w:rsid w:val="006A6E6F"/>
    <w:rsid w:val="006B03D4"/>
    <w:rsid w:val="006B1A5A"/>
    <w:rsid w:val="006B4681"/>
    <w:rsid w:val="006B57B8"/>
    <w:rsid w:val="006B6FD1"/>
    <w:rsid w:val="006C0340"/>
    <w:rsid w:val="006C38D5"/>
    <w:rsid w:val="006E16EC"/>
    <w:rsid w:val="006E45DC"/>
    <w:rsid w:val="006F623A"/>
    <w:rsid w:val="007003C9"/>
    <w:rsid w:val="00703FBE"/>
    <w:rsid w:val="00712BF1"/>
    <w:rsid w:val="00735B4D"/>
    <w:rsid w:val="00735B69"/>
    <w:rsid w:val="00736D8B"/>
    <w:rsid w:val="00737BD3"/>
    <w:rsid w:val="0074375E"/>
    <w:rsid w:val="00744474"/>
    <w:rsid w:val="00747AA1"/>
    <w:rsid w:val="00751103"/>
    <w:rsid w:val="007556CA"/>
    <w:rsid w:val="00763F11"/>
    <w:rsid w:val="00764266"/>
    <w:rsid w:val="0076552C"/>
    <w:rsid w:val="00767B7E"/>
    <w:rsid w:val="00767E84"/>
    <w:rsid w:val="00776A9A"/>
    <w:rsid w:val="00777386"/>
    <w:rsid w:val="00780E83"/>
    <w:rsid w:val="0079349D"/>
    <w:rsid w:val="007957BE"/>
    <w:rsid w:val="007974FB"/>
    <w:rsid w:val="007A2044"/>
    <w:rsid w:val="007A7757"/>
    <w:rsid w:val="007B07FD"/>
    <w:rsid w:val="007B2C22"/>
    <w:rsid w:val="007B4EEB"/>
    <w:rsid w:val="007C08F8"/>
    <w:rsid w:val="007C4473"/>
    <w:rsid w:val="007C77E4"/>
    <w:rsid w:val="007C7DF4"/>
    <w:rsid w:val="007D0525"/>
    <w:rsid w:val="007D16E0"/>
    <w:rsid w:val="007D3CB0"/>
    <w:rsid w:val="007D4E53"/>
    <w:rsid w:val="007E0973"/>
    <w:rsid w:val="007E66C7"/>
    <w:rsid w:val="007E6CE8"/>
    <w:rsid w:val="007F59EA"/>
    <w:rsid w:val="008045ED"/>
    <w:rsid w:val="00805876"/>
    <w:rsid w:val="00805D7A"/>
    <w:rsid w:val="00807DD6"/>
    <w:rsid w:val="00820046"/>
    <w:rsid w:val="00825B4C"/>
    <w:rsid w:val="008312B3"/>
    <w:rsid w:val="00833EE9"/>
    <w:rsid w:val="00837A26"/>
    <w:rsid w:val="0084405F"/>
    <w:rsid w:val="0084681D"/>
    <w:rsid w:val="00852BA9"/>
    <w:rsid w:val="00852EB6"/>
    <w:rsid w:val="00853AE4"/>
    <w:rsid w:val="00864388"/>
    <w:rsid w:val="00865A74"/>
    <w:rsid w:val="00871B07"/>
    <w:rsid w:val="008741B0"/>
    <w:rsid w:val="00875829"/>
    <w:rsid w:val="00881C6C"/>
    <w:rsid w:val="008823EA"/>
    <w:rsid w:val="00882A87"/>
    <w:rsid w:val="00891371"/>
    <w:rsid w:val="00892C2C"/>
    <w:rsid w:val="0089770F"/>
    <w:rsid w:val="008977F9"/>
    <w:rsid w:val="008A3A34"/>
    <w:rsid w:val="008A5C92"/>
    <w:rsid w:val="008B2EF5"/>
    <w:rsid w:val="008B3B49"/>
    <w:rsid w:val="008B5C49"/>
    <w:rsid w:val="008C1C08"/>
    <w:rsid w:val="008D2183"/>
    <w:rsid w:val="008D31F9"/>
    <w:rsid w:val="008F13EF"/>
    <w:rsid w:val="008F3629"/>
    <w:rsid w:val="008F6E8C"/>
    <w:rsid w:val="008F7CC8"/>
    <w:rsid w:val="00903B44"/>
    <w:rsid w:val="009043FC"/>
    <w:rsid w:val="0091128D"/>
    <w:rsid w:val="00913B7B"/>
    <w:rsid w:val="00915BD0"/>
    <w:rsid w:val="00915E39"/>
    <w:rsid w:val="00917183"/>
    <w:rsid w:val="0092068A"/>
    <w:rsid w:val="00923C36"/>
    <w:rsid w:val="0092439F"/>
    <w:rsid w:val="00924E43"/>
    <w:rsid w:val="009276EE"/>
    <w:rsid w:val="00934F48"/>
    <w:rsid w:val="00937854"/>
    <w:rsid w:val="00940F4B"/>
    <w:rsid w:val="009462F4"/>
    <w:rsid w:val="00951ED6"/>
    <w:rsid w:val="0095582D"/>
    <w:rsid w:val="009604C6"/>
    <w:rsid w:val="00973C1C"/>
    <w:rsid w:val="00973E73"/>
    <w:rsid w:val="009748B6"/>
    <w:rsid w:val="00974AEB"/>
    <w:rsid w:val="00974D3F"/>
    <w:rsid w:val="00975821"/>
    <w:rsid w:val="00982765"/>
    <w:rsid w:val="00983829"/>
    <w:rsid w:val="00983F6E"/>
    <w:rsid w:val="009931FF"/>
    <w:rsid w:val="009A35D1"/>
    <w:rsid w:val="009A4F5C"/>
    <w:rsid w:val="009A4F8C"/>
    <w:rsid w:val="009B095D"/>
    <w:rsid w:val="009B655C"/>
    <w:rsid w:val="009C7D6E"/>
    <w:rsid w:val="009D0DCD"/>
    <w:rsid w:val="009D3929"/>
    <w:rsid w:val="009D3AF8"/>
    <w:rsid w:val="009D5203"/>
    <w:rsid w:val="009D709F"/>
    <w:rsid w:val="009E4C28"/>
    <w:rsid w:val="009E4F39"/>
    <w:rsid w:val="009E666D"/>
    <w:rsid w:val="009F13E0"/>
    <w:rsid w:val="009F6576"/>
    <w:rsid w:val="00A014A0"/>
    <w:rsid w:val="00A32079"/>
    <w:rsid w:val="00A347FC"/>
    <w:rsid w:val="00A34E0A"/>
    <w:rsid w:val="00A4037C"/>
    <w:rsid w:val="00A4118F"/>
    <w:rsid w:val="00A440FD"/>
    <w:rsid w:val="00A446DA"/>
    <w:rsid w:val="00A4681E"/>
    <w:rsid w:val="00A469E3"/>
    <w:rsid w:val="00A5038C"/>
    <w:rsid w:val="00A56CCF"/>
    <w:rsid w:val="00A56E6D"/>
    <w:rsid w:val="00A571B1"/>
    <w:rsid w:val="00A62B56"/>
    <w:rsid w:val="00A73457"/>
    <w:rsid w:val="00A73DFC"/>
    <w:rsid w:val="00A80FE9"/>
    <w:rsid w:val="00A813BB"/>
    <w:rsid w:val="00A84A76"/>
    <w:rsid w:val="00A84D21"/>
    <w:rsid w:val="00A870DA"/>
    <w:rsid w:val="00A90836"/>
    <w:rsid w:val="00A91703"/>
    <w:rsid w:val="00A9310F"/>
    <w:rsid w:val="00AA48E7"/>
    <w:rsid w:val="00AA7509"/>
    <w:rsid w:val="00AB0C4C"/>
    <w:rsid w:val="00AB0C9C"/>
    <w:rsid w:val="00AB39EE"/>
    <w:rsid w:val="00AB4FC0"/>
    <w:rsid w:val="00AB565E"/>
    <w:rsid w:val="00AC05D1"/>
    <w:rsid w:val="00AC064E"/>
    <w:rsid w:val="00AD0AF4"/>
    <w:rsid w:val="00AD59B0"/>
    <w:rsid w:val="00AD6453"/>
    <w:rsid w:val="00AE2E7C"/>
    <w:rsid w:val="00AF00CD"/>
    <w:rsid w:val="00AF1B0F"/>
    <w:rsid w:val="00AF2549"/>
    <w:rsid w:val="00AF33B8"/>
    <w:rsid w:val="00AF570A"/>
    <w:rsid w:val="00B004B8"/>
    <w:rsid w:val="00B036BB"/>
    <w:rsid w:val="00B04257"/>
    <w:rsid w:val="00B0565F"/>
    <w:rsid w:val="00B0572C"/>
    <w:rsid w:val="00B21043"/>
    <w:rsid w:val="00B31DFD"/>
    <w:rsid w:val="00B445B1"/>
    <w:rsid w:val="00B451C8"/>
    <w:rsid w:val="00B45C01"/>
    <w:rsid w:val="00B479C0"/>
    <w:rsid w:val="00B51FF9"/>
    <w:rsid w:val="00B534F0"/>
    <w:rsid w:val="00B539BB"/>
    <w:rsid w:val="00B5607B"/>
    <w:rsid w:val="00B60D3C"/>
    <w:rsid w:val="00B62CF2"/>
    <w:rsid w:val="00B6336E"/>
    <w:rsid w:val="00B6380F"/>
    <w:rsid w:val="00B64352"/>
    <w:rsid w:val="00B70126"/>
    <w:rsid w:val="00B83B37"/>
    <w:rsid w:val="00B84793"/>
    <w:rsid w:val="00B95136"/>
    <w:rsid w:val="00B957BF"/>
    <w:rsid w:val="00B9671C"/>
    <w:rsid w:val="00BA2DFE"/>
    <w:rsid w:val="00BA7437"/>
    <w:rsid w:val="00BB09AC"/>
    <w:rsid w:val="00BB0AFC"/>
    <w:rsid w:val="00BB1F96"/>
    <w:rsid w:val="00BB36C4"/>
    <w:rsid w:val="00BC1C4E"/>
    <w:rsid w:val="00BC1CD8"/>
    <w:rsid w:val="00BC525B"/>
    <w:rsid w:val="00BC5706"/>
    <w:rsid w:val="00BD12E3"/>
    <w:rsid w:val="00BD3ED3"/>
    <w:rsid w:val="00BE2BF5"/>
    <w:rsid w:val="00BF38A9"/>
    <w:rsid w:val="00BF580C"/>
    <w:rsid w:val="00BF795F"/>
    <w:rsid w:val="00C00809"/>
    <w:rsid w:val="00C01F78"/>
    <w:rsid w:val="00C07D6C"/>
    <w:rsid w:val="00C1102F"/>
    <w:rsid w:val="00C11E83"/>
    <w:rsid w:val="00C20687"/>
    <w:rsid w:val="00C2331A"/>
    <w:rsid w:val="00C2381D"/>
    <w:rsid w:val="00C25230"/>
    <w:rsid w:val="00C25FF9"/>
    <w:rsid w:val="00C27216"/>
    <w:rsid w:val="00C313E2"/>
    <w:rsid w:val="00C34156"/>
    <w:rsid w:val="00C418DF"/>
    <w:rsid w:val="00C41C62"/>
    <w:rsid w:val="00C41D16"/>
    <w:rsid w:val="00C47A5F"/>
    <w:rsid w:val="00C51A1C"/>
    <w:rsid w:val="00C57351"/>
    <w:rsid w:val="00C60190"/>
    <w:rsid w:val="00C60CC9"/>
    <w:rsid w:val="00C616BD"/>
    <w:rsid w:val="00C65FC6"/>
    <w:rsid w:val="00C70927"/>
    <w:rsid w:val="00C72525"/>
    <w:rsid w:val="00C73B5D"/>
    <w:rsid w:val="00C7720A"/>
    <w:rsid w:val="00C776CB"/>
    <w:rsid w:val="00C814CF"/>
    <w:rsid w:val="00C84371"/>
    <w:rsid w:val="00C902F7"/>
    <w:rsid w:val="00C92595"/>
    <w:rsid w:val="00C95073"/>
    <w:rsid w:val="00CA3266"/>
    <w:rsid w:val="00CA449A"/>
    <w:rsid w:val="00CB2BCE"/>
    <w:rsid w:val="00CB2CE3"/>
    <w:rsid w:val="00CB7B3D"/>
    <w:rsid w:val="00CC7226"/>
    <w:rsid w:val="00CD3938"/>
    <w:rsid w:val="00CD4739"/>
    <w:rsid w:val="00CD5A88"/>
    <w:rsid w:val="00CE1AFB"/>
    <w:rsid w:val="00CE2773"/>
    <w:rsid w:val="00CE57BB"/>
    <w:rsid w:val="00CE6306"/>
    <w:rsid w:val="00CF06D9"/>
    <w:rsid w:val="00CF2B84"/>
    <w:rsid w:val="00CF6B04"/>
    <w:rsid w:val="00D01337"/>
    <w:rsid w:val="00D0524F"/>
    <w:rsid w:val="00D06E11"/>
    <w:rsid w:val="00D12CDD"/>
    <w:rsid w:val="00D25DD5"/>
    <w:rsid w:val="00D3172E"/>
    <w:rsid w:val="00D31A37"/>
    <w:rsid w:val="00D31DB5"/>
    <w:rsid w:val="00D3249D"/>
    <w:rsid w:val="00D345D8"/>
    <w:rsid w:val="00D429F4"/>
    <w:rsid w:val="00D45DCE"/>
    <w:rsid w:val="00D46466"/>
    <w:rsid w:val="00D47151"/>
    <w:rsid w:val="00D53158"/>
    <w:rsid w:val="00D61380"/>
    <w:rsid w:val="00D63B96"/>
    <w:rsid w:val="00D6615C"/>
    <w:rsid w:val="00D70866"/>
    <w:rsid w:val="00D70B74"/>
    <w:rsid w:val="00D80EB2"/>
    <w:rsid w:val="00D843AE"/>
    <w:rsid w:val="00D91357"/>
    <w:rsid w:val="00D92640"/>
    <w:rsid w:val="00D92985"/>
    <w:rsid w:val="00D947FC"/>
    <w:rsid w:val="00DB61EF"/>
    <w:rsid w:val="00DC0AA7"/>
    <w:rsid w:val="00DC7A7D"/>
    <w:rsid w:val="00DD09CA"/>
    <w:rsid w:val="00DD2C6F"/>
    <w:rsid w:val="00DD3094"/>
    <w:rsid w:val="00DD3ABD"/>
    <w:rsid w:val="00DD5EEF"/>
    <w:rsid w:val="00DE0216"/>
    <w:rsid w:val="00DE1257"/>
    <w:rsid w:val="00DE28B5"/>
    <w:rsid w:val="00DE3844"/>
    <w:rsid w:val="00DF0C29"/>
    <w:rsid w:val="00DF3C07"/>
    <w:rsid w:val="00DF42C7"/>
    <w:rsid w:val="00DF7993"/>
    <w:rsid w:val="00E00154"/>
    <w:rsid w:val="00E00E9A"/>
    <w:rsid w:val="00E01411"/>
    <w:rsid w:val="00E01538"/>
    <w:rsid w:val="00E07540"/>
    <w:rsid w:val="00E07A17"/>
    <w:rsid w:val="00E15A87"/>
    <w:rsid w:val="00E20FD8"/>
    <w:rsid w:val="00E2562A"/>
    <w:rsid w:val="00E2641E"/>
    <w:rsid w:val="00E27F94"/>
    <w:rsid w:val="00E3091F"/>
    <w:rsid w:val="00E30EF2"/>
    <w:rsid w:val="00E3208D"/>
    <w:rsid w:val="00E35976"/>
    <w:rsid w:val="00E37242"/>
    <w:rsid w:val="00E3788B"/>
    <w:rsid w:val="00E378D9"/>
    <w:rsid w:val="00E41A24"/>
    <w:rsid w:val="00E41AA0"/>
    <w:rsid w:val="00E439E5"/>
    <w:rsid w:val="00E53EB2"/>
    <w:rsid w:val="00E574CD"/>
    <w:rsid w:val="00E61628"/>
    <w:rsid w:val="00E65F8B"/>
    <w:rsid w:val="00E71C94"/>
    <w:rsid w:val="00E86FA4"/>
    <w:rsid w:val="00E8762D"/>
    <w:rsid w:val="00E919F9"/>
    <w:rsid w:val="00E9271F"/>
    <w:rsid w:val="00E93D85"/>
    <w:rsid w:val="00E97D26"/>
    <w:rsid w:val="00EA34BF"/>
    <w:rsid w:val="00EA7798"/>
    <w:rsid w:val="00EB064D"/>
    <w:rsid w:val="00EB5F67"/>
    <w:rsid w:val="00EB7EC5"/>
    <w:rsid w:val="00EC11CA"/>
    <w:rsid w:val="00ED1E7F"/>
    <w:rsid w:val="00ED47AD"/>
    <w:rsid w:val="00EE0686"/>
    <w:rsid w:val="00EE5A4D"/>
    <w:rsid w:val="00EE6B0E"/>
    <w:rsid w:val="00EF11BC"/>
    <w:rsid w:val="00EF6D1A"/>
    <w:rsid w:val="00F00BF8"/>
    <w:rsid w:val="00F028FC"/>
    <w:rsid w:val="00F078D3"/>
    <w:rsid w:val="00F10470"/>
    <w:rsid w:val="00F114E9"/>
    <w:rsid w:val="00F11CD1"/>
    <w:rsid w:val="00F12AC9"/>
    <w:rsid w:val="00F12C41"/>
    <w:rsid w:val="00F20CB6"/>
    <w:rsid w:val="00F2190A"/>
    <w:rsid w:val="00F21E57"/>
    <w:rsid w:val="00F241D4"/>
    <w:rsid w:val="00F31500"/>
    <w:rsid w:val="00F31910"/>
    <w:rsid w:val="00F32B18"/>
    <w:rsid w:val="00F467C7"/>
    <w:rsid w:val="00F50DFD"/>
    <w:rsid w:val="00F57EA2"/>
    <w:rsid w:val="00F60DBA"/>
    <w:rsid w:val="00F613FB"/>
    <w:rsid w:val="00F614C1"/>
    <w:rsid w:val="00F63B61"/>
    <w:rsid w:val="00F65AB9"/>
    <w:rsid w:val="00F67A5E"/>
    <w:rsid w:val="00F70747"/>
    <w:rsid w:val="00F70BC6"/>
    <w:rsid w:val="00F719C6"/>
    <w:rsid w:val="00F74168"/>
    <w:rsid w:val="00F74B25"/>
    <w:rsid w:val="00F75E7C"/>
    <w:rsid w:val="00F762D8"/>
    <w:rsid w:val="00F927C6"/>
    <w:rsid w:val="00FA2B61"/>
    <w:rsid w:val="00FA3D22"/>
    <w:rsid w:val="00FA4A1C"/>
    <w:rsid w:val="00FB010B"/>
    <w:rsid w:val="00FB054C"/>
    <w:rsid w:val="00FB1ECA"/>
    <w:rsid w:val="00FB5AB6"/>
    <w:rsid w:val="00FC27B3"/>
    <w:rsid w:val="00FD0248"/>
    <w:rsid w:val="00FD12D4"/>
    <w:rsid w:val="00FE0A5E"/>
    <w:rsid w:val="00FF35AB"/>
    <w:rsid w:val="00FF3E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042850"/>
  <w15:docId w15:val="{568BBC57-C90A-4DB9-8F15-D2AB49349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20A"/>
    <w:pPr>
      <w:spacing w:after="0" w:line="240" w:lineRule="auto"/>
    </w:pPr>
  </w:style>
  <w:style w:type="paragraph" w:styleId="Heading1">
    <w:name w:val="heading 1"/>
    <w:basedOn w:val="Normal"/>
    <w:next w:val="Normal"/>
    <w:link w:val="Heading1Char"/>
    <w:uiPriority w:val="9"/>
    <w:qFormat/>
    <w:rsid w:val="00061B6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C41C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1C6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41C6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575CE"/>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B69"/>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061B6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B69"/>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3526EC"/>
    <w:pPr>
      <w:spacing w:after="0" w:line="240" w:lineRule="auto"/>
    </w:pPr>
    <w:rPr>
      <w:rFonts w:ascii="Calibri" w:eastAsiaTheme="minorEastAsia"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41C62"/>
    <w:rPr>
      <w:color w:val="0000FF"/>
      <w:u w:val="single"/>
    </w:rPr>
  </w:style>
  <w:style w:type="character" w:customStyle="1" w:styleId="Heading2Char">
    <w:name w:val="Heading 2 Char"/>
    <w:basedOn w:val="DefaultParagraphFont"/>
    <w:link w:val="Heading2"/>
    <w:rsid w:val="00C41C62"/>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C41C62"/>
    <w:pPr>
      <w:spacing w:before="100" w:beforeAutospacing="1" w:after="100" w:afterAutospacing="1"/>
    </w:pPr>
    <w:rPr>
      <w:rFonts w:ascii="Times New Roman" w:eastAsia="Times New Roman" w:hAnsi="Times New Roman" w:cs="Times New Roman"/>
      <w:sz w:val="24"/>
      <w:szCs w:val="24"/>
    </w:rPr>
  </w:style>
  <w:style w:type="table" w:customStyle="1" w:styleId="PlainTable31">
    <w:name w:val="Plain Table 31"/>
    <w:basedOn w:val="TableNormal"/>
    <w:uiPriority w:val="43"/>
    <w:rsid w:val="00C41C6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C41C6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C41C62"/>
    <w:pPr>
      <w:spacing w:after="200" w:line="276" w:lineRule="auto"/>
      <w:ind w:left="720"/>
      <w:contextualSpacing/>
    </w:pPr>
    <w:rPr>
      <w:rFonts w:ascii="Times New Roman" w:hAnsi="Times New Roman" w:cs="Times New Roman"/>
      <w:sz w:val="24"/>
      <w:szCs w:val="24"/>
    </w:rPr>
  </w:style>
  <w:style w:type="table" w:customStyle="1" w:styleId="PlainTable11">
    <w:name w:val="Plain Table 11"/>
    <w:basedOn w:val="TableNormal"/>
    <w:uiPriority w:val="41"/>
    <w:rsid w:val="00C41C6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C41C6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41C62"/>
    <w:rPr>
      <w:rFonts w:asciiTheme="majorHAnsi" w:eastAsiaTheme="majorEastAsia" w:hAnsiTheme="majorHAnsi" w:cstheme="majorBidi"/>
      <w:i/>
      <w:iCs/>
      <w:color w:val="2E74B5" w:themeColor="accent1" w:themeShade="BF"/>
    </w:rPr>
  </w:style>
  <w:style w:type="paragraph" w:customStyle="1" w:styleId="ColorfulList-Accent11">
    <w:name w:val="Colorful List - Accent 11"/>
    <w:basedOn w:val="Normal"/>
    <w:uiPriority w:val="34"/>
    <w:qFormat/>
    <w:rsid w:val="00C41C62"/>
    <w:pPr>
      <w:spacing w:after="200" w:line="276" w:lineRule="auto"/>
      <w:ind w:left="720"/>
      <w:contextualSpacing/>
    </w:pPr>
    <w:rPr>
      <w:rFonts w:ascii="Calibri" w:eastAsia="MS Mincho" w:hAnsi="Calibri" w:cs="Times New Roman"/>
    </w:rPr>
  </w:style>
  <w:style w:type="table" w:customStyle="1" w:styleId="GridTable2-Accent51">
    <w:name w:val="Grid Table 2 - Accent 51"/>
    <w:basedOn w:val="TableNormal"/>
    <w:uiPriority w:val="47"/>
    <w:rsid w:val="00C41C62"/>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1">
    <w:name w:val="Grid Table 4 - Accent 11"/>
    <w:basedOn w:val="TableNormal"/>
    <w:uiPriority w:val="49"/>
    <w:rsid w:val="00C41C6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5Dark-Accent11">
    <w:name w:val="Grid Table 5 Dark - Accent 11"/>
    <w:basedOn w:val="TableNormal"/>
    <w:uiPriority w:val="50"/>
    <w:rsid w:val="00C41C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MediumShading1-Accent11">
    <w:name w:val="Medium Shading 1 - Accent 11"/>
    <w:basedOn w:val="TableNormal"/>
    <w:uiPriority w:val="63"/>
    <w:rsid w:val="000C0779"/>
    <w:pPr>
      <w:spacing w:after="0" w:line="240" w:lineRule="auto"/>
    </w:pPr>
    <w:rPr>
      <w:rFonts w:eastAsiaTheme="minorEastAsia"/>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Grid1">
    <w:name w:val="Table Grid1"/>
    <w:basedOn w:val="TableNormal"/>
    <w:next w:val="TableGrid"/>
    <w:uiPriority w:val="39"/>
    <w:rsid w:val="00892C2C"/>
    <w:pPr>
      <w:spacing w:after="0" w:line="240" w:lineRule="auto"/>
    </w:pPr>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2C2C"/>
    <w:pPr>
      <w:tabs>
        <w:tab w:val="center" w:pos="4680"/>
        <w:tab w:val="right" w:pos="9360"/>
      </w:tabs>
    </w:pPr>
    <w:rPr>
      <w:rFonts w:eastAsia="Malgun Gothic"/>
    </w:rPr>
  </w:style>
  <w:style w:type="character" w:customStyle="1" w:styleId="HeaderChar">
    <w:name w:val="Header Char"/>
    <w:basedOn w:val="DefaultParagraphFont"/>
    <w:link w:val="Header"/>
    <w:uiPriority w:val="99"/>
    <w:rsid w:val="00892C2C"/>
    <w:rPr>
      <w:rFonts w:eastAsia="Malgun Gothic"/>
    </w:rPr>
  </w:style>
  <w:style w:type="paragraph" w:styleId="Footer">
    <w:name w:val="footer"/>
    <w:basedOn w:val="Normal"/>
    <w:link w:val="FooterChar"/>
    <w:uiPriority w:val="99"/>
    <w:unhideWhenUsed/>
    <w:rsid w:val="00892C2C"/>
    <w:pPr>
      <w:tabs>
        <w:tab w:val="center" w:pos="4680"/>
        <w:tab w:val="right" w:pos="9360"/>
      </w:tabs>
    </w:pPr>
    <w:rPr>
      <w:rFonts w:eastAsia="Malgun Gothic"/>
    </w:rPr>
  </w:style>
  <w:style w:type="character" w:customStyle="1" w:styleId="FooterChar">
    <w:name w:val="Footer Char"/>
    <w:basedOn w:val="DefaultParagraphFont"/>
    <w:link w:val="Footer"/>
    <w:uiPriority w:val="99"/>
    <w:rsid w:val="00892C2C"/>
    <w:rPr>
      <w:rFonts w:eastAsia="Malgun Gothic"/>
    </w:rPr>
  </w:style>
  <w:style w:type="paragraph" w:customStyle="1" w:styleId="MediumGrid21">
    <w:name w:val="Medium Grid 21"/>
    <w:link w:val="MediumGrid2Char"/>
    <w:uiPriority w:val="1"/>
    <w:qFormat/>
    <w:rsid w:val="00632B27"/>
    <w:pPr>
      <w:spacing w:after="0" w:line="240" w:lineRule="auto"/>
    </w:pPr>
    <w:rPr>
      <w:rFonts w:ascii="Calibri" w:eastAsia="MS Mincho" w:hAnsi="Calibri" w:cs="Times New Roman"/>
      <w:sz w:val="20"/>
      <w:szCs w:val="20"/>
    </w:rPr>
  </w:style>
  <w:style w:type="character" w:customStyle="1" w:styleId="MediumGrid2Char">
    <w:name w:val="Medium Grid 2 Char"/>
    <w:link w:val="MediumGrid21"/>
    <w:uiPriority w:val="1"/>
    <w:rsid w:val="00632B27"/>
    <w:rPr>
      <w:rFonts w:ascii="Calibri" w:eastAsia="MS Mincho" w:hAnsi="Calibri" w:cs="Times New Roman"/>
      <w:sz w:val="20"/>
      <w:szCs w:val="20"/>
    </w:rPr>
  </w:style>
  <w:style w:type="paragraph" w:styleId="BalloonText">
    <w:name w:val="Balloon Text"/>
    <w:basedOn w:val="Normal"/>
    <w:link w:val="BalloonTextChar"/>
    <w:uiPriority w:val="99"/>
    <w:semiHidden/>
    <w:unhideWhenUsed/>
    <w:rsid w:val="00E378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88B"/>
    <w:rPr>
      <w:rFonts w:ascii="Segoe UI" w:hAnsi="Segoe UI" w:cs="Segoe UI"/>
      <w:sz w:val="18"/>
      <w:szCs w:val="18"/>
    </w:rPr>
  </w:style>
  <w:style w:type="paragraph" w:styleId="TOCHeading">
    <w:name w:val="TOC Heading"/>
    <w:basedOn w:val="Heading1"/>
    <w:next w:val="Normal"/>
    <w:uiPriority w:val="39"/>
    <w:unhideWhenUsed/>
    <w:qFormat/>
    <w:rsid w:val="001D124D"/>
    <w:pPr>
      <w:outlineLvl w:val="9"/>
    </w:pPr>
  </w:style>
  <w:style w:type="paragraph" w:styleId="TOC1">
    <w:name w:val="toc 1"/>
    <w:basedOn w:val="Normal"/>
    <w:next w:val="Normal"/>
    <w:autoRedefine/>
    <w:uiPriority w:val="39"/>
    <w:unhideWhenUsed/>
    <w:rsid w:val="001D124D"/>
    <w:pPr>
      <w:spacing w:after="100"/>
    </w:pPr>
  </w:style>
  <w:style w:type="paragraph" w:styleId="TOC2">
    <w:name w:val="toc 2"/>
    <w:basedOn w:val="Normal"/>
    <w:next w:val="Normal"/>
    <w:autoRedefine/>
    <w:uiPriority w:val="39"/>
    <w:unhideWhenUsed/>
    <w:rsid w:val="001D124D"/>
    <w:pPr>
      <w:spacing w:after="100"/>
      <w:ind w:left="220"/>
    </w:pPr>
  </w:style>
  <w:style w:type="paragraph" w:styleId="TOC3">
    <w:name w:val="toc 3"/>
    <w:basedOn w:val="Normal"/>
    <w:next w:val="Normal"/>
    <w:autoRedefine/>
    <w:uiPriority w:val="39"/>
    <w:unhideWhenUsed/>
    <w:rsid w:val="001D124D"/>
    <w:pPr>
      <w:spacing w:after="100"/>
      <w:ind w:left="440"/>
    </w:pPr>
  </w:style>
  <w:style w:type="table" w:customStyle="1" w:styleId="ListTable4-Accent11">
    <w:name w:val="List Table 4 - Accent 11"/>
    <w:basedOn w:val="TableNormal"/>
    <w:uiPriority w:val="49"/>
    <w:rsid w:val="00C2523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link w:val="NoSpacingChar"/>
    <w:uiPriority w:val="1"/>
    <w:qFormat/>
    <w:rsid w:val="000138D1"/>
    <w:pPr>
      <w:spacing w:after="0" w:line="240" w:lineRule="auto"/>
    </w:pPr>
    <w:rPr>
      <w:rFonts w:eastAsiaTheme="minorEastAsia"/>
    </w:rPr>
  </w:style>
  <w:style w:type="character" w:customStyle="1" w:styleId="NoSpacingChar">
    <w:name w:val="No Spacing Char"/>
    <w:basedOn w:val="DefaultParagraphFont"/>
    <w:link w:val="NoSpacing"/>
    <w:uiPriority w:val="1"/>
    <w:rsid w:val="000138D1"/>
    <w:rPr>
      <w:rFonts w:eastAsiaTheme="minorEastAsia"/>
    </w:rPr>
  </w:style>
  <w:style w:type="character" w:styleId="FootnoteReference">
    <w:name w:val="footnote reference"/>
    <w:basedOn w:val="DefaultParagraphFont"/>
    <w:uiPriority w:val="99"/>
    <w:semiHidden/>
    <w:unhideWhenUsed/>
    <w:rsid w:val="000138D1"/>
    <w:rPr>
      <w:vertAlign w:val="superscript"/>
    </w:rPr>
  </w:style>
  <w:style w:type="character" w:styleId="CommentReference">
    <w:name w:val="annotation reference"/>
    <w:basedOn w:val="DefaultParagraphFont"/>
    <w:uiPriority w:val="99"/>
    <w:semiHidden/>
    <w:unhideWhenUsed/>
    <w:rsid w:val="000138D1"/>
    <w:rPr>
      <w:sz w:val="16"/>
      <w:szCs w:val="16"/>
    </w:rPr>
  </w:style>
  <w:style w:type="paragraph" w:styleId="CommentText">
    <w:name w:val="annotation text"/>
    <w:basedOn w:val="Normal"/>
    <w:link w:val="CommentTextChar"/>
    <w:uiPriority w:val="99"/>
    <w:semiHidden/>
    <w:unhideWhenUsed/>
    <w:rsid w:val="000138D1"/>
    <w:pPr>
      <w:spacing w:after="200"/>
    </w:pPr>
    <w:rPr>
      <w:rFonts w:eastAsiaTheme="minorEastAsia"/>
      <w:sz w:val="20"/>
      <w:szCs w:val="20"/>
    </w:rPr>
  </w:style>
  <w:style w:type="character" w:customStyle="1" w:styleId="CommentTextChar">
    <w:name w:val="Comment Text Char"/>
    <w:basedOn w:val="DefaultParagraphFont"/>
    <w:link w:val="CommentText"/>
    <w:uiPriority w:val="99"/>
    <w:semiHidden/>
    <w:rsid w:val="000138D1"/>
    <w:rPr>
      <w:rFonts w:eastAsiaTheme="minorEastAsia"/>
      <w:sz w:val="20"/>
      <w:szCs w:val="20"/>
    </w:rPr>
  </w:style>
  <w:style w:type="table" w:customStyle="1" w:styleId="GridTable4-Accent111">
    <w:name w:val="Grid Table 4 - Accent 111"/>
    <w:basedOn w:val="TableNormal"/>
    <w:uiPriority w:val="49"/>
    <w:rsid w:val="000138D1"/>
    <w:pPr>
      <w:spacing w:after="0" w:line="240" w:lineRule="auto"/>
    </w:pPr>
    <w:rPr>
      <w:rFonts w:eastAsiaTheme="minorEastAsi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Caption">
    <w:name w:val="caption"/>
    <w:basedOn w:val="Normal"/>
    <w:next w:val="Normal"/>
    <w:uiPriority w:val="35"/>
    <w:unhideWhenUsed/>
    <w:qFormat/>
    <w:rsid w:val="000138D1"/>
    <w:pPr>
      <w:spacing w:after="200"/>
    </w:pPr>
    <w:rPr>
      <w:i/>
      <w:iCs/>
      <w:color w:val="44546A" w:themeColor="text2"/>
      <w:sz w:val="18"/>
      <w:szCs w:val="18"/>
    </w:rPr>
  </w:style>
  <w:style w:type="character" w:customStyle="1" w:styleId="Heading5Char">
    <w:name w:val="Heading 5 Char"/>
    <w:basedOn w:val="DefaultParagraphFont"/>
    <w:link w:val="Heading5"/>
    <w:uiPriority w:val="9"/>
    <w:rsid w:val="001575CE"/>
    <w:rPr>
      <w:rFonts w:asciiTheme="majorHAnsi" w:eastAsiaTheme="majorEastAsia" w:hAnsiTheme="majorHAnsi" w:cstheme="majorBidi"/>
      <w:color w:val="2E74B5" w:themeColor="accent1" w:themeShade="BF"/>
    </w:rPr>
  </w:style>
  <w:style w:type="paragraph" w:styleId="CommentSubject">
    <w:name w:val="annotation subject"/>
    <w:basedOn w:val="CommentText"/>
    <w:next w:val="CommentText"/>
    <w:link w:val="CommentSubjectChar"/>
    <w:uiPriority w:val="99"/>
    <w:semiHidden/>
    <w:unhideWhenUsed/>
    <w:rsid w:val="00F11CD1"/>
    <w:pPr>
      <w:spacing w:after="160"/>
    </w:pPr>
    <w:rPr>
      <w:rFonts w:eastAsiaTheme="minorHAnsi"/>
      <w:b/>
      <w:bCs/>
    </w:rPr>
  </w:style>
  <w:style w:type="character" w:customStyle="1" w:styleId="CommentSubjectChar">
    <w:name w:val="Comment Subject Char"/>
    <w:basedOn w:val="CommentTextChar"/>
    <w:link w:val="CommentSubject"/>
    <w:uiPriority w:val="99"/>
    <w:semiHidden/>
    <w:rsid w:val="00F11CD1"/>
    <w:rPr>
      <w:rFonts w:eastAsiaTheme="minorEastAsia"/>
      <w:b/>
      <w:bCs/>
      <w:sz w:val="20"/>
      <w:szCs w:val="20"/>
    </w:rPr>
  </w:style>
  <w:style w:type="paragraph" w:styleId="FootnoteText">
    <w:name w:val="footnote text"/>
    <w:basedOn w:val="Normal"/>
    <w:link w:val="FootnoteTextChar"/>
    <w:uiPriority w:val="99"/>
    <w:unhideWhenUsed/>
    <w:rsid w:val="00833EE9"/>
    <w:rPr>
      <w:sz w:val="20"/>
      <w:szCs w:val="20"/>
    </w:rPr>
  </w:style>
  <w:style w:type="character" w:customStyle="1" w:styleId="FootnoteTextChar">
    <w:name w:val="Footnote Text Char"/>
    <w:basedOn w:val="DefaultParagraphFont"/>
    <w:link w:val="FootnoteText"/>
    <w:uiPriority w:val="99"/>
    <w:rsid w:val="00833EE9"/>
    <w:rPr>
      <w:sz w:val="20"/>
      <w:szCs w:val="20"/>
    </w:rPr>
  </w:style>
  <w:style w:type="character" w:styleId="IntenseEmphasis">
    <w:name w:val="Intense Emphasis"/>
    <w:basedOn w:val="DefaultParagraphFont"/>
    <w:uiPriority w:val="21"/>
    <w:qFormat/>
    <w:rsid w:val="00833EE9"/>
    <w:rPr>
      <w:i/>
      <w:iCs/>
      <w:color w:val="5B9BD5" w:themeColor="accent1"/>
    </w:rPr>
  </w:style>
  <w:style w:type="numbering" w:customStyle="1" w:styleId="NoList1">
    <w:name w:val="No List1"/>
    <w:next w:val="NoList"/>
    <w:uiPriority w:val="99"/>
    <w:semiHidden/>
    <w:unhideWhenUsed/>
    <w:rsid w:val="000822D4"/>
  </w:style>
  <w:style w:type="paragraph" w:customStyle="1" w:styleId="Default">
    <w:name w:val="Default"/>
    <w:rsid w:val="000822D4"/>
    <w:pPr>
      <w:autoSpaceDE w:val="0"/>
      <w:autoSpaceDN w:val="0"/>
      <w:adjustRightInd w:val="0"/>
      <w:spacing w:after="0" w:line="240" w:lineRule="auto"/>
    </w:pPr>
    <w:rPr>
      <w:rFonts w:ascii="Times New Roman" w:eastAsia="Malgun Gothic" w:hAnsi="Times New Roman" w:cs="Times New Roman"/>
      <w:color w:val="000000"/>
      <w:sz w:val="24"/>
      <w:szCs w:val="24"/>
    </w:rPr>
  </w:style>
  <w:style w:type="table" w:customStyle="1" w:styleId="TableGrid2">
    <w:name w:val="Table Grid2"/>
    <w:basedOn w:val="TableNormal"/>
    <w:next w:val="TableGrid"/>
    <w:uiPriority w:val="59"/>
    <w:rsid w:val="000822D4"/>
    <w:pPr>
      <w:spacing w:after="0" w:line="240" w:lineRule="auto"/>
    </w:pPr>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0822D4"/>
    <w:pPr>
      <w:spacing w:after="0" w:line="240" w:lineRule="auto"/>
    </w:pPr>
    <w:rPr>
      <w:rFonts w:eastAsia="Malgun Gothic"/>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
    <w:name w:val="Medium Shading 1 - Accent 111"/>
    <w:basedOn w:val="TableNormal"/>
    <w:uiPriority w:val="63"/>
    <w:rsid w:val="000822D4"/>
    <w:pPr>
      <w:spacing w:after="0" w:line="240" w:lineRule="auto"/>
    </w:pPr>
    <w:rPr>
      <w:rFonts w:eastAsia="Malgun Gothic"/>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itleText">
    <w:name w:val="Title Text"/>
    <w:basedOn w:val="BodyTextIndent"/>
    <w:next w:val="Normal"/>
    <w:rsid w:val="000822D4"/>
    <w:pPr>
      <w:spacing w:after="0" w:line="240" w:lineRule="auto"/>
      <w:ind w:left="0"/>
      <w:jc w:val="center"/>
    </w:pPr>
    <w:rPr>
      <w:rFonts w:ascii="Arial" w:eastAsia="SimSun" w:hAnsi="Arial" w:cs="Times New Roman"/>
      <w:b/>
      <w:bCs/>
      <w:color w:val="000080"/>
      <w:sz w:val="32"/>
      <w:szCs w:val="20"/>
      <w:lang w:val="en-GB"/>
    </w:rPr>
  </w:style>
  <w:style w:type="paragraph" w:styleId="BodyTextIndent">
    <w:name w:val="Body Text Indent"/>
    <w:basedOn w:val="Normal"/>
    <w:link w:val="BodyTextIndentChar"/>
    <w:uiPriority w:val="99"/>
    <w:semiHidden/>
    <w:unhideWhenUsed/>
    <w:rsid w:val="000822D4"/>
    <w:pPr>
      <w:spacing w:after="120" w:line="276" w:lineRule="auto"/>
      <w:ind w:left="360"/>
    </w:pPr>
    <w:rPr>
      <w:rFonts w:eastAsia="Malgun Gothic"/>
    </w:rPr>
  </w:style>
  <w:style w:type="character" w:customStyle="1" w:styleId="BodyTextIndentChar">
    <w:name w:val="Body Text Indent Char"/>
    <w:basedOn w:val="DefaultParagraphFont"/>
    <w:link w:val="BodyTextIndent"/>
    <w:uiPriority w:val="99"/>
    <w:semiHidden/>
    <w:rsid w:val="000822D4"/>
    <w:rPr>
      <w:rFonts w:eastAsia="Malgun Gothic"/>
    </w:rPr>
  </w:style>
  <w:style w:type="table" w:customStyle="1" w:styleId="MediumGrid3-Accent11">
    <w:name w:val="Medium Grid 3 - Accent 11"/>
    <w:basedOn w:val="TableNormal"/>
    <w:next w:val="MediumGrid3-Accent1"/>
    <w:uiPriority w:val="69"/>
    <w:rsid w:val="000822D4"/>
    <w:pPr>
      <w:spacing w:after="0" w:line="240" w:lineRule="auto"/>
    </w:pPr>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List-Accent12">
    <w:name w:val="Light List - Accent 12"/>
    <w:basedOn w:val="TableNormal"/>
    <w:uiPriority w:val="61"/>
    <w:rsid w:val="000822D4"/>
    <w:pPr>
      <w:spacing w:after="0" w:line="240" w:lineRule="auto"/>
    </w:pPr>
    <w:rPr>
      <w:rFonts w:eastAsia="Malgun Gothic"/>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BodyText">
    <w:name w:val="Body Text"/>
    <w:basedOn w:val="Normal"/>
    <w:link w:val="BodyTextChar"/>
    <w:uiPriority w:val="99"/>
    <w:semiHidden/>
    <w:unhideWhenUsed/>
    <w:rsid w:val="000822D4"/>
    <w:pPr>
      <w:spacing w:after="120" w:line="276" w:lineRule="auto"/>
    </w:pPr>
    <w:rPr>
      <w:rFonts w:eastAsia="Malgun Gothic"/>
    </w:rPr>
  </w:style>
  <w:style w:type="character" w:customStyle="1" w:styleId="BodyTextChar">
    <w:name w:val="Body Text Char"/>
    <w:basedOn w:val="DefaultParagraphFont"/>
    <w:link w:val="BodyText"/>
    <w:uiPriority w:val="99"/>
    <w:semiHidden/>
    <w:rsid w:val="000822D4"/>
    <w:rPr>
      <w:rFonts w:eastAsia="Malgun Gothic"/>
    </w:rPr>
  </w:style>
  <w:style w:type="paragraph" w:styleId="Revision">
    <w:name w:val="Revision"/>
    <w:hidden/>
    <w:uiPriority w:val="99"/>
    <w:semiHidden/>
    <w:rsid w:val="000822D4"/>
    <w:pPr>
      <w:spacing w:after="0" w:line="240" w:lineRule="auto"/>
    </w:pPr>
    <w:rPr>
      <w:rFonts w:eastAsia="Malgun Gothic"/>
    </w:rPr>
  </w:style>
  <w:style w:type="table" w:customStyle="1" w:styleId="LightGrid-Accent11">
    <w:name w:val="Light Grid - Accent 11"/>
    <w:basedOn w:val="TableNormal"/>
    <w:uiPriority w:val="62"/>
    <w:rsid w:val="000822D4"/>
    <w:pPr>
      <w:spacing w:after="0" w:line="240" w:lineRule="auto"/>
    </w:pPr>
    <w:rPr>
      <w:rFonts w:ascii="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S PGothic" w:eastAsia="Garamond" w:hAnsi="MS PGoth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S PGothic" w:eastAsia="Garamond" w:hAnsi="MS PGoth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S PGothic" w:eastAsia="Garamond" w:hAnsi="MS PGothic" w:cs="Times New Roman"/>
        <w:b/>
        <w:bCs/>
      </w:rPr>
    </w:tblStylePr>
    <w:tblStylePr w:type="lastCol">
      <w:rPr>
        <w:rFonts w:ascii="MS PGothic" w:eastAsia="Garamond" w:hAnsi="MS PGoth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FollowedHyperlink1">
    <w:name w:val="FollowedHyperlink1"/>
    <w:basedOn w:val="DefaultParagraphFont"/>
    <w:uiPriority w:val="99"/>
    <w:semiHidden/>
    <w:unhideWhenUsed/>
    <w:rsid w:val="000822D4"/>
    <w:rPr>
      <w:color w:val="800080"/>
      <w:u w:val="single"/>
    </w:rPr>
  </w:style>
  <w:style w:type="character" w:customStyle="1" w:styleId="apple-converted-space">
    <w:name w:val="apple-converted-space"/>
    <w:basedOn w:val="DefaultParagraphFont"/>
    <w:rsid w:val="000822D4"/>
  </w:style>
  <w:style w:type="character" w:styleId="Strong">
    <w:name w:val="Strong"/>
    <w:basedOn w:val="DefaultParagraphFont"/>
    <w:uiPriority w:val="22"/>
    <w:qFormat/>
    <w:rsid w:val="000822D4"/>
    <w:rPr>
      <w:b/>
      <w:bCs/>
    </w:rPr>
  </w:style>
  <w:style w:type="paragraph" w:styleId="EndnoteText">
    <w:name w:val="endnote text"/>
    <w:basedOn w:val="Normal"/>
    <w:link w:val="EndnoteTextChar"/>
    <w:uiPriority w:val="99"/>
    <w:semiHidden/>
    <w:unhideWhenUsed/>
    <w:rsid w:val="000822D4"/>
    <w:rPr>
      <w:rFonts w:eastAsia="Malgun Gothic"/>
      <w:sz w:val="20"/>
      <w:szCs w:val="20"/>
    </w:rPr>
  </w:style>
  <w:style w:type="character" w:customStyle="1" w:styleId="EndnoteTextChar">
    <w:name w:val="Endnote Text Char"/>
    <w:basedOn w:val="DefaultParagraphFont"/>
    <w:link w:val="EndnoteText"/>
    <w:uiPriority w:val="99"/>
    <w:semiHidden/>
    <w:rsid w:val="000822D4"/>
    <w:rPr>
      <w:rFonts w:eastAsia="Malgun Gothic"/>
      <w:sz w:val="20"/>
      <w:szCs w:val="20"/>
    </w:rPr>
  </w:style>
  <w:style w:type="character" w:styleId="EndnoteReference">
    <w:name w:val="endnote reference"/>
    <w:basedOn w:val="DefaultParagraphFont"/>
    <w:uiPriority w:val="99"/>
    <w:semiHidden/>
    <w:unhideWhenUsed/>
    <w:rsid w:val="000822D4"/>
    <w:rPr>
      <w:vertAlign w:val="superscript"/>
    </w:rPr>
  </w:style>
  <w:style w:type="paragraph" w:customStyle="1" w:styleId="PlainText1">
    <w:name w:val="Plain Text1"/>
    <w:basedOn w:val="Normal"/>
    <w:next w:val="PlainText"/>
    <w:link w:val="PlainTextChar"/>
    <w:uiPriority w:val="99"/>
    <w:semiHidden/>
    <w:unhideWhenUsed/>
    <w:rsid w:val="000822D4"/>
    <w:rPr>
      <w:rFonts w:ascii="Calibri" w:eastAsia="Calibri" w:hAnsi="Calibri" w:cs="Consolas"/>
      <w:szCs w:val="21"/>
    </w:rPr>
  </w:style>
  <w:style w:type="character" w:customStyle="1" w:styleId="PlainTextChar">
    <w:name w:val="Plain Text Char"/>
    <w:basedOn w:val="DefaultParagraphFont"/>
    <w:link w:val="PlainText1"/>
    <w:uiPriority w:val="99"/>
    <w:semiHidden/>
    <w:rsid w:val="000822D4"/>
    <w:rPr>
      <w:rFonts w:ascii="Calibri" w:eastAsia="Calibri" w:hAnsi="Calibri" w:cs="Consolas"/>
      <w:szCs w:val="21"/>
    </w:rPr>
  </w:style>
  <w:style w:type="character" w:customStyle="1" w:styleId="SubtleEmphasis1">
    <w:name w:val="Subtle Emphasis1"/>
    <w:basedOn w:val="DefaultParagraphFont"/>
    <w:uiPriority w:val="19"/>
    <w:qFormat/>
    <w:rsid w:val="000822D4"/>
    <w:rPr>
      <w:i/>
      <w:iCs/>
      <w:color w:val="404040"/>
    </w:rPr>
  </w:style>
  <w:style w:type="table" w:customStyle="1" w:styleId="TableGridLight1">
    <w:name w:val="Table Grid Light1"/>
    <w:basedOn w:val="TableNormal"/>
    <w:uiPriority w:val="40"/>
    <w:rsid w:val="000822D4"/>
    <w:pPr>
      <w:spacing w:after="0" w:line="240" w:lineRule="auto"/>
    </w:pPr>
    <w:rPr>
      <w:rFonts w:eastAsia="Malgun Gothic"/>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1">
    <w:name w:val="Table Grid11"/>
    <w:basedOn w:val="TableNormal"/>
    <w:next w:val="TableGrid"/>
    <w:uiPriority w:val="59"/>
    <w:rsid w:val="000822D4"/>
    <w:pPr>
      <w:spacing w:after="0" w:line="240" w:lineRule="auto"/>
    </w:pPr>
    <w:rPr>
      <w:rFonts w:ascii="Calibri" w:eastAsia="Malgun Gothic"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semiHidden/>
    <w:unhideWhenUsed/>
    <w:rsid w:val="000822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character" w:styleId="FollowedHyperlink">
    <w:name w:val="FollowedHyperlink"/>
    <w:basedOn w:val="DefaultParagraphFont"/>
    <w:uiPriority w:val="99"/>
    <w:semiHidden/>
    <w:unhideWhenUsed/>
    <w:rsid w:val="000822D4"/>
    <w:rPr>
      <w:color w:val="954F72" w:themeColor="followedHyperlink"/>
      <w:u w:val="single"/>
    </w:rPr>
  </w:style>
  <w:style w:type="paragraph" w:styleId="PlainText">
    <w:name w:val="Plain Text"/>
    <w:basedOn w:val="Normal"/>
    <w:link w:val="PlainTextChar1"/>
    <w:uiPriority w:val="99"/>
    <w:semiHidden/>
    <w:unhideWhenUsed/>
    <w:rsid w:val="000822D4"/>
    <w:rPr>
      <w:rFonts w:ascii="Consolas" w:hAnsi="Consolas" w:cs="Consolas"/>
      <w:sz w:val="21"/>
      <w:szCs w:val="21"/>
    </w:rPr>
  </w:style>
  <w:style w:type="character" w:customStyle="1" w:styleId="PlainTextChar1">
    <w:name w:val="Plain Text Char1"/>
    <w:basedOn w:val="DefaultParagraphFont"/>
    <w:link w:val="PlainText"/>
    <w:uiPriority w:val="99"/>
    <w:semiHidden/>
    <w:rsid w:val="000822D4"/>
    <w:rPr>
      <w:rFonts w:ascii="Consolas" w:hAnsi="Consolas" w:cs="Consolas"/>
      <w:sz w:val="21"/>
      <w:szCs w:val="21"/>
    </w:rPr>
  </w:style>
  <w:style w:type="character" w:styleId="SubtleEmphasis">
    <w:name w:val="Subtle Emphasis"/>
    <w:basedOn w:val="DefaultParagraphFont"/>
    <w:uiPriority w:val="19"/>
    <w:qFormat/>
    <w:rsid w:val="000822D4"/>
    <w:rPr>
      <w:i/>
      <w:iCs/>
      <w:color w:val="404040" w:themeColor="text1" w:themeTint="BF"/>
    </w:rPr>
  </w:style>
  <w:style w:type="numbering" w:customStyle="1" w:styleId="Singlepunch">
    <w:name w:val="Single punch"/>
    <w:rsid w:val="009F13E0"/>
    <w:pPr>
      <w:numPr>
        <w:numId w:val="25"/>
      </w:numPr>
    </w:pPr>
  </w:style>
  <w:style w:type="table" w:customStyle="1" w:styleId="FinalReport">
    <w:name w:val="Final Report"/>
    <w:basedOn w:val="TableNormal"/>
    <w:uiPriority w:val="99"/>
    <w:rsid w:val="00735B69"/>
    <w:pPr>
      <w:spacing w:after="0" w:line="240" w:lineRule="auto"/>
    </w:pPr>
    <w:tblPr/>
  </w:style>
  <w:style w:type="table" w:customStyle="1" w:styleId="FinalReport1">
    <w:name w:val="FinalReport1"/>
    <w:basedOn w:val="TableNormal"/>
    <w:uiPriority w:val="99"/>
    <w:rsid w:val="00735B69"/>
    <w:pPr>
      <w:spacing w:after="0" w:line="240" w:lineRule="auto"/>
    </w:pPr>
    <w:tblPr/>
  </w:style>
  <w:style w:type="table" w:styleId="ListTable4-Accent1">
    <w:name w:val="List Table 4 Accent 1"/>
    <w:basedOn w:val="TableNormal"/>
    <w:uiPriority w:val="49"/>
    <w:rsid w:val="00B45C01"/>
    <w:pPr>
      <w:spacing w:after="0" w:line="240" w:lineRule="auto"/>
    </w:pPr>
    <w:rPr>
      <w:rFonts w:eastAsiaTheme="minorEastAsi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EA34BF"/>
    <w:pPr>
      <w:spacing w:after="0" w:line="240" w:lineRule="auto"/>
    </w:pPr>
    <w:rPr>
      <w:rFonts w:eastAsiaTheme="minorEastAsi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PlainTable2">
    <w:name w:val="Plain Table 2"/>
    <w:basedOn w:val="TableNormal"/>
    <w:uiPriority w:val="42"/>
    <w:rsid w:val="0034629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99"/>
    <w:rsid w:val="004F1ABF"/>
    <w:pPr>
      <w:spacing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5">
    <w:name w:val="List Table 3 Accent 5"/>
    <w:basedOn w:val="TableNormal"/>
    <w:uiPriority w:val="48"/>
    <w:rsid w:val="00F114E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4-Accent5">
    <w:name w:val="List Table 4 Accent 5"/>
    <w:basedOn w:val="TableNormal"/>
    <w:uiPriority w:val="49"/>
    <w:rsid w:val="00F114E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5Dark-Accent5">
    <w:name w:val="Grid Table 5 Dark Accent 5"/>
    <w:basedOn w:val="TableNormal"/>
    <w:uiPriority w:val="50"/>
    <w:rsid w:val="00F114E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F114E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MediumShading1-Accent112">
    <w:name w:val="Medium Shading 1 - Accent 112"/>
    <w:basedOn w:val="TableNormal"/>
    <w:uiPriority w:val="63"/>
    <w:rsid w:val="00D429F4"/>
    <w:pPr>
      <w:spacing w:after="0" w:line="240" w:lineRule="auto"/>
    </w:pPr>
    <w:rPr>
      <w:rFonts w:eastAsia="Malgun Gothic"/>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paragraph">
    <w:name w:val="paragraph"/>
    <w:basedOn w:val="Normal"/>
    <w:rsid w:val="0030647C"/>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30647C"/>
  </w:style>
  <w:style w:type="character" w:customStyle="1" w:styleId="eop">
    <w:name w:val="eop"/>
    <w:basedOn w:val="DefaultParagraphFont"/>
    <w:rsid w:val="0030647C"/>
  </w:style>
  <w:style w:type="table" w:customStyle="1" w:styleId="GridTable4-Accent51">
    <w:name w:val="Grid Table 4 - Accent 51"/>
    <w:basedOn w:val="TableNormal"/>
    <w:next w:val="GridTable4-Accent5"/>
    <w:uiPriority w:val="49"/>
    <w:rsid w:val="002A34B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2692">
      <w:bodyDiv w:val="1"/>
      <w:marLeft w:val="0"/>
      <w:marRight w:val="0"/>
      <w:marTop w:val="0"/>
      <w:marBottom w:val="0"/>
      <w:divBdr>
        <w:top w:val="none" w:sz="0" w:space="0" w:color="auto"/>
        <w:left w:val="none" w:sz="0" w:space="0" w:color="auto"/>
        <w:bottom w:val="none" w:sz="0" w:space="0" w:color="auto"/>
        <w:right w:val="none" w:sz="0" w:space="0" w:color="auto"/>
      </w:divBdr>
    </w:div>
    <w:div w:id="54546623">
      <w:bodyDiv w:val="1"/>
      <w:marLeft w:val="0"/>
      <w:marRight w:val="0"/>
      <w:marTop w:val="0"/>
      <w:marBottom w:val="0"/>
      <w:divBdr>
        <w:top w:val="none" w:sz="0" w:space="0" w:color="auto"/>
        <w:left w:val="none" w:sz="0" w:space="0" w:color="auto"/>
        <w:bottom w:val="none" w:sz="0" w:space="0" w:color="auto"/>
        <w:right w:val="none" w:sz="0" w:space="0" w:color="auto"/>
      </w:divBdr>
    </w:div>
    <w:div w:id="94061292">
      <w:bodyDiv w:val="1"/>
      <w:marLeft w:val="0"/>
      <w:marRight w:val="0"/>
      <w:marTop w:val="0"/>
      <w:marBottom w:val="0"/>
      <w:divBdr>
        <w:top w:val="none" w:sz="0" w:space="0" w:color="auto"/>
        <w:left w:val="none" w:sz="0" w:space="0" w:color="auto"/>
        <w:bottom w:val="none" w:sz="0" w:space="0" w:color="auto"/>
        <w:right w:val="none" w:sz="0" w:space="0" w:color="auto"/>
      </w:divBdr>
    </w:div>
    <w:div w:id="102849620">
      <w:bodyDiv w:val="1"/>
      <w:marLeft w:val="0"/>
      <w:marRight w:val="0"/>
      <w:marTop w:val="0"/>
      <w:marBottom w:val="0"/>
      <w:divBdr>
        <w:top w:val="none" w:sz="0" w:space="0" w:color="auto"/>
        <w:left w:val="none" w:sz="0" w:space="0" w:color="auto"/>
        <w:bottom w:val="none" w:sz="0" w:space="0" w:color="auto"/>
        <w:right w:val="none" w:sz="0" w:space="0" w:color="auto"/>
      </w:divBdr>
      <w:divsChild>
        <w:div w:id="1922180629">
          <w:marLeft w:val="547"/>
          <w:marRight w:val="0"/>
          <w:marTop w:val="0"/>
          <w:marBottom w:val="0"/>
          <w:divBdr>
            <w:top w:val="none" w:sz="0" w:space="0" w:color="auto"/>
            <w:left w:val="none" w:sz="0" w:space="0" w:color="auto"/>
            <w:bottom w:val="none" w:sz="0" w:space="0" w:color="auto"/>
            <w:right w:val="none" w:sz="0" w:space="0" w:color="auto"/>
          </w:divBdr>
        </w:div>
        <w:div w:id="1993871389">
          <w:marLeft w:val="547"/>
          <w:marRight w:val="0"/>
          <w:marTop w:val="0"/>
          <w:marBottom w:val="0"/>
          <w:divBdr>
            <w:top w:val="none" w:sz="0" w:space="0" w:color="auto"/>
            <w:left w:val="none" w:sz="0" w:space="0" w:color="auto"/>
            <w:bottom w:val="none" w:sz="0" w:space="0" w:color="auto"/>
            <w:right w:val="none" w:sz="0" w:space="0" w:color="auto"/>
          </w:divBdr>
        </w:div>
      </w:divsChild>
    </w:div>
    <w:div w:id="170608564">
      <w:bodyDiv w:val="1"/>
      <w:marLeft w:val="0"/>
      <w:marRight w:val="0"/>
      <w:marTop w:val="0"/>
      <w:marBottom w:val="0"/>
      <w:divBdr>
        <w:top w:val="none" w:sz="0" w:space="0" w:color="auto"/>
        <w:left w:val="none" w:sz="0" w:space="0" w:color="auto"/>
        <w:bottom w:val="none" w:sz="0" w:space="0" w:color="auto"/>
        <w:right w:val="none" w:sz="0" w:space="0" w:color="auto"/>
      </w:divBdr>
      <w:divsChild>
        <w:div w:id="848258355">
          <w:marLeft w:val="0"/>
          <w:marRight w:val="0"/>
          <w:marTop w:val="0"/>
          <w:marBottom w:val="0"/>
          <w:divBdr>
            <w:top w:val="none" w:sz="0" w:space="0" w:color="auto"/>
            <w:left w:val="none" w:sz="0" w:space="0" w:color="auto"/>
            <w:bottom w:val="none" w:sz="0" w:space="0" w:color="auto"/>
            <w:right w:val="none" w:sz="0" w:space="0" w:color="auto"/>
          </w:divBdr>
          <w:divsChild>
            <w:div w:id="88625566">
              <w:marLeft w:val="0"/>
              <w:marRight w:val="0"/>
              <w:marTop w:val="0"/>
              <w:marBottom w:val="0"/>
              <w:divBdr>
                <w:top w:val="none" w:sz="0" w:space="0" w:color="auto"/>
                <w:left w:val="none" w:sz="0" w:space="0" w:color="auto"/>
                <w:bottom w:val="none" w:sz="0" w:space="0" w:color="auto"/>
                <w:right w:val="none" w:sz="0" w:space="0" w:color="auto"/>
              </w:divBdr>
            </w:div>
          </w:divsChild>
        </w:div>
        <w:div w:id="165364938">
          <w:marLeft w:val="0"/>
          <w:marRight w:val="0"/>
          <w:marTop w:val="0"/>
          <w:marBottom w:val="0"/>
          <w:divBdr>
            <w:top w:val="none" w:sz="0" w:space="0" w:color="auto"/>
            <w:left w:val="none" w:sz="0" w:space="0" w:color="auto"/>
            <w:bottom w:val="none" w:sz="0" w:space="0" w:color="auto"/>
            <w:right w:val="none" w:sz="0" w:space="0" w:color="auto"/>
          </w:divBdr>
          <w:divsChild>
            <w:div w:id="12150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6180">
      <w:bodyDiv w:val="1"/>
      <w:marLeft w:val="0"/>
      <w:marRight w:val="0"/>
      <w:marTop w:val="0"/>
      <w:marBottom w:val="0"/>
      <w:divBdr>
        <w:top w:val="none" w:sz="0" w:space="0" w:color="auto"/>
        <w:left w:val="none" w:sz="0" w:space="0" w:color="auto"/>
        <w:bottom w:val="none" w:sz="0" w:space="0" w:color="auto"/>
        <w:right w:val="none" w:sz="0" w:space="0" w:color="auto"/>
      </w:divBdr>
      <w:divsChild>
        <w:div w:id="500121254">
          <w:marLeft w:val="547"/>
          <w:marRight w:val="0"/>
          <w:marTop w:val="0"/>
          <w:marBottom w:val="0"/>
          <w:divBdr>
            <w:top w:val="none" w:sz="0" w:space="0" w:color="auto"/>
            <w:left w:val="none" w:sz="0" w:space="0" w:color="auto"/>
            <w:bottom w:val="none" w:sz="0" w:space="0" w:color="auto"/>
            <w:right w:val="none" w:sz="0" w:space="0" w:color="auto"/>
          </w:divBdr>
        </w:div>
        <w:div w:id="796263757">
          <w:marLeft w:val="547"/>
          <w:marRight w:val="0"/>
          <w:marTop w:val="0"/>
          <w:marBottom w:val="0"/>
          <w:divBdr>
            <w:top w:val="none" w:sz="0" w:space="0" w:color="auto"/>
            <w:left w:val="none" w:sz="0" w:space="0" w:color="auto"/>
            <w:bottom w:val="none" w:sz="0" w:space="0" w:color="auto"/>
            <w:right w:val="none" w:sz="0" w:space="0" w:color="auto"/>
          </w:divBdr>
        </w:div>
      </w:divsChild>
    </w:div>
    <w:div w:id="253561979">
      <w:bodyDiv w:val="1"/>
      <w:marLeft w:val="0"/>
      <w:marRight w:val="0"/>
      <w:marTop w:val="0"/>
      <w:marBottom w:val="0"/>
      <w:divBdr>
        <w:top w:val="none" w:sz="0" w:space="0" w:color="auto"/>
        <w:left w:val="none" w:sz="0" w:space="0" w:color="auto"/>
        <w:bottom w:val="none" w:sz="0" w:space="0" w:color="auto"/>
        <w:right w:val="none" w:sz="0" w:space="0" w:color="auto"/>
      </w:divBdr>
    </w:div>
    <w:div w:id="330840988">
      <w:bodyDiv w:val="1"/>
      <w:marLeft w:val="0"/>
      <w:marRight w:val="0"/>
      <w:marTop w:val="0"/>
      <w:marBottom w:val="0"/>
      <w:divBdr>
        <w:top w:val="none" w:sz="0" w:space="0" w:color="auto"/>
        <w:left w:val="none" w:sz="0" w:space="0" w:color="auto"/>
        <w:bottom w:val="none" w:sz="0" w:space="0" w:color="auto"/>
        <w:right w:val="none" w:sz="0" w:space="0" w:color="auto"/>
      </w:divBdr>
      <w:divsChild>
        <w:div w:id="1079333098">
          <w:marLeft w:val="547"/>
          <w:marRight w:val="0"/>
          <w:marTop w:val="0"/>
          <w:marBottom w:val="0"/>
          <w:divBdr>
            <w:top w:val="none" w:sz="0" w:space="0" w:color="auto"/>
            <w:left w:val="none" w:sz="0" w:space="0" w:color="auto"/>
            <w:bottom w:val="none" w:sz="0" w:space="0" w:color="auto"/>
            <w:right w:val="none" w:sz="0" w:space="0" w:color="auto"/>
          </w:divBdr>
        </w:div>
        <w:div w:id="1836144269">
          <w:marLeft w:val="547"/>
          <w:marRight w:val="0"/>
          <w:marTop w:val="0"/>
          <w:marBottom w:val="0"/>
          <w:divBdr>
            <w:top w:val="none" w:sz="0" w:space="0" w:color="auto"/>
            <w:left w:val="none" w:sz="0" w:space="0" w:color="auto"/>
            <w:bottom w:val="none" w:sz="0" w:space="0" w:color="auto"/>
            <w:right w:val="none" w:sz="0" w:space="0" w:color="auto"/>
          </w:divBdr>
        </w:div>
      </w:divsChild>
    </w:div>
    <w:div w:id="377247718">
      <w:bodyDiv w:val="1"/>
      <w:marLeft w:val="0"/>
      <w:marRight w:val="0"/>
      <w:marTop w:val="0"/>
      <w:marBottom w:val="0"/>
      <w:divBdr>
        <w:top w:val="none" w:sz="0" w:space="0" w:color="auto"/>
        <w:left w:val="none" w:sz="0" w:space="0" w:color="auto"/>
        <w:bottom w:val="none" w:sz="0" w:space="0" w:color="auto"/>
        <w:right w:val="none" w:sz="0" w:space="0" w:color="auto"/>
      </w:divBdr>
      <w:divsChild>
        <w:div w:id="927691114">
          <w:marLeft w:val="547"/>
          <w:marRight w:val="0"/>
          <w:marTop w:val="0"/>
          <w:marBottom w:val="0"/>
          <w:divBdr>
            <w:top w:val="none" w:sz="0" w:space="0" w:color="auto"/>
            <w:left w:val="none" w:sz="0" w:space="0" w:color="auto"/>
            <w:bottom w:val="none" w:sz="0" w:space="0" w:color="auto"/>
            <w:right w:val="none" w:sz="0" w:space="0" w:color="auto"/>
          </w:divBdr>
        </w:div>
      </w:divsChild>
    </w:div>
    <w:div w:id="391467206">
      <w:bodyDiv w:val="1"/>
      <w:marLeft w:val="0"/>
      <w:marRight w:val="0"/>
      <w:marTop w:val="0"/>
      <w:marBottom w:val="0"/>
      <w:divBdr>
        <w:top w:val="none" w:sz="0" w:space="0" w:color="auto"/>
        <w:left w:val="none" w:sz="0" w:space="0" w:color="auto"/>
        <w:bottom w:val="none" w:sz="0" w:space="0" w:color="auto"/>
        <w:right w:val="none" w:sz="0" w:space="0" w:color="auto"/>
      </w:divBdr>
    </w:div>
    <w:div w:id="432239498">
      <w:bodyDiv w:val="1"/>
      <w:marLeft w:val="0"/>
      <w:marRight w:val="0"/>
      <w:marTop w:val="0"/>
      <w:marBottom w:val="0"/>
      <w:divBdr>
        <w:top w:val="none" w:sz="0" w:space="0" w:color="auto"/>
        <w:left w:val="none" w:sz="0" w:space="0" w:color="auto"/>
        <w:bottom w:val="none" w:sz="0" w:space="0" w:color="auto"/>
        <w:right w:val="none" w:sz="0" w:space="0" w:color="auto"/>
      </w:divBdr>
    </w:div>
    <w:div w:id="531646397">
      <w:bodyDiv w:val="1"/>
      <w:marLeft w:val="0"/>
      <w:marRight w:val="0"/>
      <w:marTop w:val="0"/>
      <w:marBottom w:val="0"/>
      <w:divBdr>
        <w:top w:val="none" w:sz="0" w:space="0" w:color="auto"/>
        <w:left w:val="none" w:sz="0" w:space="0" w:color="auto"/>
        <w:bottom w:val="none" w:sz="0" w:space="0" w:color="auto"/>
        <w:right w:val="none" w:sz="0" w:space="0" w:color="auto"/>
      </w:divBdr>
    </w:div>
    <w:div w:id="679049054">
      <w:bodyDiv w:val="1"/>
      <w:marLeft w:val="0"/>
      <w:marRight w:val="0"/>
      <w:marTop w:val="0"/>
      <w:marBottom w:val="0"/>
      <w:divBdr>
        <w:top w:val="none" w:sz="0" w:space="0" w:color="auto"/>
        <w:left w:val="none" w:sz="0" w:space="0" w:color="auto"/>
        <w:bottom w:val="none" w:sz="0" w:space="0" w:color="auto"/>
        <w:right w:val="none" w:sz="0" w:space="0" w:color="auto"/>
      </w:divBdr>
    </w:div>
    <w:div w:id="815225269">
      <w:bodyDiv w:val="1"/>
      <w:marLeft w:val="0"/>
      <w:marRight w:val="0"/>
      <w:marTop w:val="0"/>
      <w:marBottom w:val="0"/>
      <w:divBdr>
        <w:top w:val="none" w:sz="0" w:space="0" w:color="auto"/>
        <w:left w:val="none" w:sz="0" w:space="0" w:color="auto"/>
        <w:bottom w:val="none" w:sz="0" w:space="0" w:color="auto"/>
        <w:right w:val="none" w:sz="0" w:space="0" w:color="auto"/>
      </w:divBdr>
    </w:div>
    <w:div w:id="829253676">
      <w:bodyDiv w:val="1"/>
      <w:marLeft w:val="0"/>
      <w:marRight w:val="0"/>
      <w:marTop w:val="0"/>
      <w:marBottom w:val="0"/>
      <w:divBdr>
        <w:top w:val="none" w:sz="0" w:space="0" w:color="auto"/>
        <w:left w:val="none" w:sz="0" w:space="0" w:color="auto"/>
        <w:bottom w:val="none" w:sz="0" w:space="0" w:color="auto"/>
        <w:right w:val="none" w:sz="0" w:space="0" w:color="auto"/>
      </w:divBdr>
    </w:div>
    <w:div w:id="832795926">
      <w:bodyDiv w:val="1"/>
      <w:marLeft w:val="0"/>
      <w:marRight w:val="0"/>
      <w:marTop w:val="0"/>
      <w:marBottom w:val="0"/>
      <w:divBdr>
        <w:top w:val="none" w:sz="0" w:space="0" w:color="auto"/>
        <w:left w:val="none" w:sz="0" w:space="0" w:color="auto"/>
        <w:bottom w:val="none" w:sz="0" w:space="0" w:color="auto"/>
        <w:right w:val="none" w:sz="0" w:space="0" w:color="auto"/>
      </w:divBdr>
    </w:div>
    <w:div w:id="852382570">
      <w:bodyDiv w:val="1"/>
      <w:marLeft w:val="0"/>
      <w:marRight w:val="0"/>
      <w:marTop w:val="0"/>
      <w:marBottom w:val="0"/>
      <w:divBdr>
        <w:top w:val="none" w:sz="0" w:space="0" w:color="auto"/>
        <w:left w:val="none" w:sz="0" w:space="0" w:color="auto"/>
        <w:bottom w:val="none" w:sz="0" w:space="0" w:color="auto"/>
        <w:right w:val="none" w:sz="0" w:space="0" w:color="auto"/>
      </w:divBdr>
    </w:div>
    <w:div w:id="906762887">
      <w:bodyDiv w:val="1"/>
      <w:marLeft w:val="0"/>
      <w:marRight w:val="0"/>
      <w:marTop w:val="0"/>
      <w:marBottom w:val="0"/>
      <w:divBdr>
        <w:top w:val="none" w:sz="0" w:space="0" w:color="auto"/>
        <w:left w:val="none" w:sz="0" w:space="0" w:color="auto"/>
        <w:bottom w:val="none" w:sz="0" w:space="0" w:color="auto"/>
        <w:right w:val="none" w:sz="0" w:space="0" w:color="auto"/>
      </w:divBdr>
    </w:div>
    <w:div w:id="1006829741">
      <w:bodyDiv w:val="1"/>
      <w:marLeft w:val="0"/>
      <w:marRight w:val="0"/>
      <w:marTop w:val="0"/>
      <w:marBottom w:val="0"/>
      <w:divBdr>
        <w:top w:val="none" w:sz="0" w:space="0" w:color="auto"/>
        <w:left w:val="none" w:sz="0" w:space="0" w:color="auto"/>
        <w:bottom w:val="none" w:sz="0" w:space="0" w:color="auto"/>
        <w:right w:val="none" w:sz="0" w:space="0" w:color="auto"/>
      </w:divBdr>
    </w:div>
    <w:div w:id="1048798065">
      <w:bodyDiv w:val="1"/>
      <w:marLeft w:val="0"/>
      <w:marRight w:val="0"/>
      <w:marTop w:val="0"/>
      <w:marBottom w:val="0"/>
      <w:divBdr>
        <w:top w:val="none" w:sz="0" w:space="0" w:color="auto"/>
        <w:left w:val="none" w:sz="0" w:space="0" w:color="auto"/>
        <w:bottom w:val="none" w:sz="0" w:space="0" w:color="auto"/>
        <w:right w:val="none" w:sz="0" w:space="0" w:color="auto"/>
      </w:divBdr>
    </w:div>
    <w:div w:id="1243642849">
      <w:bodyDiv w:val="1"/>
      <w:marLeft w:val="0"/>
      <w:marRight w:val="0"/>
      <w:marTop w:val="0"/>
      <w:marBottom w:val="0"/>
      <w:divBdr>
        <w:top w:val="none" w:sz="0" w:space="0" w:color="auto"/>
        <w:left w:val="none" w:sz="0" w:space="0" w:color="auto"/>
        <w:bottom w:val="none" w:sz="0" w:space="0" w:color="auto"/>
        <w:right w:val="none" w:sz="0" w:space="0" w:color="auto"/>
      </w:divBdr>
      <w:divsChild>
        <w:div w:id="237903075">
          <w:marLeft w:val="547"/>
          <w:marRight w:val="0"/>
          <w:marTop w:val="0"/>
          <w:marBottom w:val="0"/>
          <w:divBdr>
            <w:top w:val="none" w:sz="0" w:space="0" w:color="auto"/>
            <w:left w:val="none" w:sz="0" w:space="0" w:color="auto"/>
            <w:bottom w:val="none" w:sz="0" w:space="0" w:color="auto"/>
            <w:right w:val="none" w:sz="0" w:space="0" w:color="auto"/>
          </w:divBdr>
        </w:div>
      </w:divsChild>
    </w:div>
    <w:div w:id="1347637548">
      <w:bodyDiv w:val="1"/>
      <w:marLeft w:val="0"/>
      <w:marRight w:val="0"/>
      <w:marTop w:val="0"/>
      <w:marBottom w:val="0"/>
      <w:divBdr>
        <w:top w:val="none" w:sz="0" w:space="0" w:color="auto"/>
        <w:left w:val="none" w:sz="0" w:space="0" w:color="auto"/>
        <w:bottom w:val="none" w:sz="0" w:space="0" w:color="auto"/>
        <w:right w:val="none" w:sz="0" w:space="0" w:color="auto"/>
      </w:divBdr>
      <w:divsChild>
        <w:div w:id="54623908">
          <w:marLeft w:val="446"/>
          <w:marRight w:val="0"/>
          <w:marTop w:val="0"/>
          <w:marBottom w:val="0"/>
          <w:divBdr>
            <w:top w:val="none" w:sz="0" w:space="0" w:color="auto"/>
            <w:left w:val="none" w:sz="0" w:space="0" w:color="auto"/>
            <w:bottom w:val="none" w:sz="0" w:space="0" w:color="auto"/>
            <w:right w:val="none" w:sz="0" w:space="0" w:color="auto"/>
          </w:divBdr>
        </w:div>
        <w:div w:id="686247605">
          <w:marLeft w:val="446"/>
          <w:marRight w:val="0"/>
          <w:marTop w:val="0"/>
          <w:marBottom w:val="0"/>
          <w:divBdr>
            <w:top w:val="none" w:sz="0" w:space="0" w:color="auto"/>
            <w:left w:val="none" w:sz="0" w:space="0" w:color="auto"/>
            <w:bottom w:val="none" w:sz="0" w:space="0" w:color="auto"/>
            <w:right w:val="none" w:sz="0" w:space="0" w:color="auto"/>
          </w:divBdr>
        </w:div>
        <w:div w:id="765810670">
          <w:marLeft w:val="446"/>
          <w:marRight w:val="0"/>
          <w:marTop w:val="0"/>
          <w:marBottom w:val="0"/>
          <w:divBdr>
            <w:top w:val="none" w:sz="0" w:space="0" w:color="auto"/>
            <w:left w:val="none" w:sz="0" w:space="0" w:color="auto"/>
            <w:bottom w:val="none" w:sz="0" w:space="0" w:color="auto"/>
            <w:right w:val="none" w:sz="0" w:space="0" w:color="auto"/>
          </w:divBdr>
        </w:div>
        <w:div w:id="982661118">
          <w:marLeft w:val="446"/>
          <w:marRight w:val="0"/>
          <w:marTop w:val="0"/>
          <w:marBottom w:val="0"/>
          <w:divBdr>
            <w:top w:val="none" w:sz="0" w:space="0" w:color="auto"/>
            <w:left w:val="none" w:sz="0" w:space="0" w:color="auto"/>
            <w:bottom w:val="none" w:sz="0" w:space="0" w:color="auto"/>
            <w:right w:val="none" w:sz="0" w:space="0" w:color="auto"/>
          </w:divBdr>
        </w:div>
        <w:div w:id="1360546277">
          <w:marLeft w:val="446"/>
          <w:marRight w:val="0"/>
          <w:marTop w:val="0"/>
          <w:marBottom w:val="0"/>
          <w:divBdr>
            <w:top w:val="none" w:sz="0" w:space="0" w:color="auto"/>
            <w:left w:val="none" w:sz="0" w:space="0" w:color="auto"/>
            <w:bottom w:val="none" w:sz="0" w:space="0" w:color="auto"/>
            <w:right w:val="none" w:sz="0" w:space="0" w:color="auto"/>
          </w:divBdr>
        </w:div>
        <w:div w:id="1567566189">
          <w:marLeft w:val="446"/>
          <w:marRight w:val="0"/>
          <w:marTop w:val="0"/>
          <w:marBottom w:val="0"/>
          <w:divBdr>
            <w:top w:val="none" w:sz="0" w:space="0" w:color="auto"/>
            <w:left w:val="none" w:sz="0" w:space="0" w:color="auto"/>
            <w:bottom w:val="none" w:sz="0" w:space="0" w:color="auto"/>
            <w:right w:val="none" w:sz="0" w:space="0" w:color="auto"/>
          </w:divBdr>
        </w:div>
      </w:divsChild>
    </w:div>
    <w:div w:id="1356537775">
      <w:bodyDiv w:val="1"/>
      <w:marLeft w:val="0"/>
      <w:marRight w:val="0"/>
      <w:marTop w:val="0"/>
      <w:marBottom w:val="0"/>
      <w:divBdr>
        <w:top w:val="none" w:sz="0" w:space="0" w:color="auto"/>
        <w:left w:val="none" w:sz="0" w:space="0" w:color="auto"/>
        <w:bottom w:val="none" w:sz="0" w:space="0" w:color="auto"/>
        <w:right w:val="none" w:sz="0" w:space="0" w:color="auto"/>
      </w:divBdr>
      <w:divsChild>
        <w:div w:id="1478568848">
          <w:marLeft w:val="547"/>
          <w:marRight w:val="0"/>
          <w:marTop w:val="0"/>
          <w:marBottom w:val="0"/>
          <w:divBdr>
            <w:top w:val="none" w:sz="0" w:space="0" w:color="auto"/>
            <w:left w:val="none" w:sz="0" w:space="0" w:color="auto"/>
            <w:bottom w:val="none" w:sz="0" w:space="0" w:color="auto"/>
            <w:right w:val="none" w:sz="0" w:space="0" w:color="auto"/>
          </w:divBdr>
        </w:div>
        <w:div w:id="311181320">
          <w:marLeft w:val="547"/>
          <w:marRight w:val="0"/>
          <w:marTop w:val="0"/>
          <w:marBottom w:val="0"/>
          <w:divBdr>
            <w:top w:val="none" w:sz="0" w:space="0" w:color="auto"/>
            <w:left w:val="none" w:sz="0" w:space="0" w:color="auto"/>
            <w:bottom w:val="none" w:sz="0" w:space="0" w:color="auto"/>
            <w:right w:val="none" w:sz="0" w:space="0" w:color="auto"/>
          </w:divBdr>
        </w:div>
        <w:div w:id="1788700726">
          <w:marLeft w:val="547"/>
          <w:marRight w:val="0"/>
          <w:marTop w:val="0"/>
          <w:marBottom w:val="0"/>
          <w:divBdr>
            <w:top w:val="none" w:sz="0" w:space="0" w:color="auto"/>
            <w:left w:val="none" w:sz="0" w:space="0" w:color="auto"/>
            <w:bottom w:val="none" w:sz="0" w:space="0" w:color="auto"/>
            <w:right w:val="none" w:sz="0" w:space="0" w:color="auto"/>
          </w:divBdr>
        </w:div>
        <w:div w:id="31074202">
          <w:marLeft w:val="547"/>
          <w:marRight w:val="0"/>
          <w:marTop w:val="0"/>
          <w:marBottom w:val="0"/>
          <w:divBdr>
            <w:top w:val="none" w:sz="0" w:space="0" w:color="auto"/>
            <w:left w:val="none" w:sz="0" w:space="0" w:color="auto"/>
            <w:bottom w:val="none" w:sz="0" w:space="0" w:color="auto"/>
            <w:right w:val="none" w:sz="0" w:space="0" w:color="auto"/>
          </w:divBdr>
        </w:div>
      </w:divsChild>
    </w:div>
    <w:div w:id="1370453212">
      <w:bodyDiv w:val="1"/>
      <w:marLeft w:val="0"/>
      <w:marRight w:val="0"/>
      <w:marTop w:val="0"/>
      <w:marBottom w:val="0"/>
      <w:divBdr>
        <w:top w:val="none" w:sz="0" w:space="0" w:color="auto"/>
        <w:left w:val="none" w:sz="0" w:space="0" w:color="auto"/>
        <w:bottom w:val="none" w:sz="0" w:space="0" w:color="auto"/>
        <w:right w:val="none" w:sz="0" w:space="0" w:color="auto"/>
      </w:divBdr>
      <w:divsChild>
        <w:div w:id="37364460">
          <w:marLeft w:val="547"/>
          <w:marRight w:val="0"/>
          <w:marTop w:val="0"/>
          <w:marBottom w:val="0"/>
          <w:divBdr>
            <w:top w:val="none" w:sz="0" w:space="0" w:color="auto"/>
            <w:left w:val="none" w:sz="0" w:space="0" w:color="auto"/>
            <w:bottom w:val="none" w:sz="0" w:space="0" w:color="auto"/>
            <w:right w:val="none" w:sz="0" w:space="0" w:color="auto"/>
          </w:divBdr>
        </w:div>
        <w:div w:id="491019934">
          <w:marLeft w:val="547"/>
          <w:marRight w:val="0"/>
          <w:marTop w:val="0"/>
          <w:marBottom w:val="0"/>
          <w:divBdr>
            <w:top w:val="none" w:sz="0" w:space="0" w:color="auto"/>
            <w:left w:val="none" w:sz="0" w:space="0" w:color="auto"/>
            <w:bottom w:val="none" w:sz="0" w:space="0" w:color="auto"/>
            <w:right w:val="none" w:sz="0" w:space="0" w:color="auto"/>
          </w:divBdr>
        </w:div>
        <w:div w:id="752748727">
          <w:marLeft w:val="547"/>
          <w:marRight w:val="0"/>
          <w:marTop w:val="0"/>
          <w:marBottom w:val="0"/>
          <w:divBdr>
            <w:top w:val="none" w:sz="0" w:space="0" w:color="auto"/>
            <w:left w:val="none" w:sz="0" w:space="0" w:color="auto"/>
            <w:bottom w:val="none" w:sz="0" w:space="0" w:color="auto"/>
            <w:right w:val="none" w:sz="0" w:space="0" w:color="auto"/>
          </w:divBdr>
        </w:div>
      </w:divsChild>
    </w:div>
    <w:div w:id="1414082690">
      <w:bodyDiv w:val="1"/>
      <w:marLeft w:val="0"/>
      <w:marRight w:val="0"/>
      <w:marTop w:val="0"/>
      <w:marBottom w:val="0"/>
      <w:divBdr>
        <w:top w:val="none" w:sz="0" w:space="0" w:color="auto"/>
        <w:left w:val="none" w:sz="0" w:space="0" w:color="auto"/>
        <w:bottom w:val="none" w:sz="0" w:space="0" w:color="auto"/>
        <w:right w:val="none" w:sz="0" w:space="0" w:color="auto"/>
      </w:divBdr>
      <w:divsChild>
        <w:div w:id="776557027">
          <w:marLeft w:val="547"/>
          <w:marRight w:val="0"/>
          <w:marTop w:val="0"/>
          <w:marBottom w:val="0"/>
          <w:divBdr>
            <w:top w:val="none" w:sz="0" w:space="0" w:color="auto"/>
            <w:left w:val="none" w:sz="0" w:space="0" w:color="auto"/>
            <w:bottom w:val="none" w:sz="0" w:space="0" w:color="auto"/>
            <w:right w:val="none" w:sz="0" w:space="0" w:color="auto"/>
          </w:divBdr>
        </w:div>
        <w:div w:id="90665010">
          <w:marLeft w:val="547"/>
          <w:marRight w:val="0"/>
          <w:marTop w:val="0"/>
          <w:marBottom w:val="0"/>
          <w:divBdr>
            <w:top w:val="none" w:sz="0" w:space="0" w:color="auto"/>
            <w:left w:val="none" w:sz="0" w:space="0" w:color="auto"/>
            <w:bottom w:val="none" w:sz="0" w:space="0" w:color="auto"/>
            <w:right w:val="none" w:sz="0" w:space="0" w:color="auto"/>
          </w:divBdr>
        </w:div>
      </w:divsChild>
    </w:div>
    <w:div w:id="1540776458">
      <w:bodyDiv w:val="1"/>
      <w:marLeft w:val="0"/>
      <w:marRight w:val="0"/>
      <w:marTop w:val="0"/>
      <w:marBottom w:val="0"/>
      <w:divBdr>
        <w:top w:val="none" w:sz="0" w:space="0" w:color="auto"/>
        <w:left w:val="none" w:sz="0" w:space="0" w:color="auto"/>
        <w:bottom w:val="none" w:sz="0" w:space="0" w:color="auto"/>
        <w:right w:val="none" w:sz="0" w:space="0" w:color="auto"/>
      </w:divBdr>
      <w:divsChild>
        <w:div w:id="400173254">
          <w:marLeft w:val="446"/>
          <w:marRight w:val="0"/>
          <w:marTop w:val="0"/>
          <w:marBottom w:val="0"/>
          <w:divBdr>
            <w:top w:val="none" w:sz="0" w:space="0" w:color="auto"/>
            <w:left w:val="none" w:sz="0" w:space="0" w:color="auto"/>
            <w:bottom w:val="none" w:sz="0" w:space="0" w:color="auto"/>
            <w:right w:val="none" w:sz="0" w:space="0" w:color="auto"/>
          </w:divBdr>
        </w:div>
        <w:div w:id="882786210">
          <w:marLeft w:val="446"/>
          <w:marRight w:val="0"/>
          <w:marTop w:val="0"/>
          <w:marBottom w:val="0"/>
          <w:divBdr>
            <w:top w:val="none" w:sz="0" w:space="0" w:color="auto"/>
            <w:left w:val="none" w:sz="0" w:space="0" w:color="auto"/>
            <w:bottom w:val="none" w:sz="0" w:space="0" w:color="auto"/>
            <w:right w:val="none" w:sz="0" w:space="0" w:color="auto"/>
          </w:divBdr>
        </w:div>
        <w:div w:id="1025520712">
          <w:marLeft w:val="446"/>
          <w:marRight w:val="0"/>
          <w:marTop w:val="0"/>
          <w:marBottom w:val="0"/>
          <w:divBdr>
            <w:top w:val="none" w:sz="0" w:space="0" w:color="auto"/>
            <w:left w:val="none" w:sz="0" w:space="0" w:color="auto"/>
            <w:bottom w:val="none" w:sz="0" w:space="0" w:color="auto"/>
            <w:right w:val="none" w:sz="0" w:space="0" w:color="auto"/>
          </w:divBdr>
        </w:div>
        <w:div w:id="1135634429">
          <w:marLeft w:val="446"/>
          <w:marRight w:val="0"/>
          <w:marTop w:val="0"/>
          <w:marBottom w:val="0"/>
          <w:divBdr>
            <w:top w:val="none" w:sz="0" w:space="0" w:color="auto"/>
            <w:left w:val="none" w:sz="0" w:space="0" w:color="auto"/>
            <w:bottom w:val="none" w:sz="0" w:space="0" w:color="auto"/>
            <w:right w:val="none" w:sz="0" w:space="0" w:color="auto"/>
          </w:divBdr>
        </w:div>
        <w:div w:id="1583103110">
          <w:marLeft w:val="446"/>
          <w:marRight w:val="0"/>
          <w:marTop w:val="0"/>
          <w:marBottom w:val="0"/>
          <w:divBdr>
            <w:top w:val="none" w:sz="0" w:space="0" w:color="auto"/>
            <w:left w:val="none" w:sz="0" w:space="0" w:color="auto"/>
            <w:bottom w:val="none" w:sz="0" w:space="0" w:color="auto"/>
            <w:right w:val="none" w:sz="0" w:space="0" w:color="auto"/>
          </w:divBdr>
        </w:div>
        <w:div w:id="2141415532">
          <w:marLeft w:val="446"/>
          <w:marRight w:val="0"/>
          <w:marTop w:val="0"/>
          <w:marBottom w:val="0"/>
          <w:divBdr>
            <w:top w:val="none" w:sz="0" w:space="0" w:color="auto"/>
            <w:left w:val="none" w:sz="0" w:space="0" w:color="auto"/>
            <w:bottom w:val="none" w:sz="0" w:space="0" w:color="auto"/>
            <w:right w:val="none" w:sz="0" w:space="0" w:color="auto"/>
          </w:divBdr>
        </w:div>
      </w:divsChild>
    </w:div>
    <w:div w:id="1614939502">
      <w:bodyDiv w:val="1"/>
      <w:marLeft w:val="0"/>
      <w:marRight w:val="0"/>
      <w:marTop w:val="0"/>
      <w:marBottom w:val="0"/>
      <w:divBdr>
        <w:top w:val="none" w:sz="0" w:space="0" w:color="auto"/>
        <w:left w:val="none" w:sz="0" w:space="0" w:color="auto"/>
        <w:bottom w:val="none" w:sz="0" w:space="0" w:color="auto"/>
        <w:right w:val="none" w:sz="0" w:space="0" w:color="auto"/>
      </w:divBdr>
    </w:div>
    <w:div w:id="1634677700">
      <w:bodyDiv w:val="1"/>
      <w:marLeft w:val="0"/>
      <w:marRight w:val="0"/>
      <w:marTop w:val="0"/>
      <w:marBottom w:val="0"/>
      <w:divBdr>
        <w:top w:val="none" w:sz="0" w:space="0" w:color="auto"/>
        <w:left w:val="none" w:sz="0" w:space="0" w:color="auto"/>
        <w:bottom w:val="none" w:sz="0" w:space="0" w:color="auto"/>
        <w:right w:val="none" w:sz="0" w:space="0" w:color="auto"/>
      </w:divBdr>
    </w:div>
    <w:div w:id="1730495319">
      <w:bodyDiv w:val="1"/>
      <w:marLeft w:val="0"/>
      <w:marRight w:val="0"/>
      <w:marTop w:val="0"/>
      <w:marBottom w:val="0"/>
      <w:divBdr>
        <w:top w:val="none" w:sz="0" w:space="0" w:color="auto"/>
        <w:left w:val="none" w:sz="0" w:space="0" w:color="auto"/>
        <w:bottom w:val="none" w:sz="0" w:space="0" w:color="auto"/>
        <w:right w:val="none" w:sz="0" w:space="0" w:color="auto"/>
      </w:divBdr>
    </w:div>
    <w:div w:id="1771462691">
      <w:bodyDiv w:val="1"/>
      <w:marLeft w:val="0"/>
      <w:marRight w:val="0"/>
      <w:marTop w:val="0"/>
      <w:marBottom w:val="0"/>
      <w:divBdr>
        <w:top w:val="none" w:sz="0" w:space="0" w:color="auto"/>
        <w:left w:val="none" w:sz="0" w:space="0" w:color="auto"/>
        <w:bottom w:val="none" w:sz="0" w:space="0" w:color="auto"/>
        <w:right w:val="none" w:sz="0" w:space="0" w:color="auto"/>
      </w:divBdr>
    </w:div>
    <w:div w:id="1800144309">
      <w:bodyDiv w:val="1"/>
      <w:marLeft w:val="0"/>
      <w:marRight w:val="0"/>
      <w:marTop w:val="0"/>
      <w:marBottom w:val="0"/>
      <w:divBdr>
        <w:top w:val="none" w:sz="0" w:space="0" w:color="auto"/>
        <w:left w:val="none" w:sz="0" w:space="0" w:color="auto"/>
        <w:bottom w:val="none" w:sz="0" w:space="0" w:color="auto"/>
        <w:right w:val="none" w:sz="0" w:space="0" w:color="auto"/>
      </w:divBdr>
      <w:divsChild>
        <w:div w:id="1569919173">
          <w:marLeft w:val="547"/>
          <w:marRight w:val="0"/>
          <w:marTop w:val="0"/>
          <w:marBottom w:val="0"/>
          <w:divBdr>
            <w:top w:val="none" w:sz="0" w:space="0" w:color="auto"/>
            <w:left w:val="none" w:sz="0" w:space="0" w:color="auto"/>
            <w:bottom w:val="none" w:sz="0" w:space="0" w:color="auto"/>
            <w:right w:val="none" w:sz="0" w:space="0" w:color="auto"/>
          </w:divBdr>
        </w:div>
      </w:divsChild>
    </w:div>
    <w:div w:id="1863860903">
      <w:bodyDiv w:val="1"/>
      <w:marLeft w:val="0"/>
      <w:marRight w:val="0"/>
      <w:marTop w:val="0"/>
      <w:marBottom w:val="0"/>
      <w:divBdr>
        <w:top w:val="none" w:sz="0" w:space="0" w:color="auto"/>
        <w:left w:val="none" w:sz="0" w:space="0" w:color="auto"/>
        <w:bottom w:val="none" w:sz="0" w:space="0" w:color="auto"/>
        <w:right w:val="none" w:sz="0" w:space="0" w:color="auto"/>
      </w:divBdr>
      <w:divsChild>
        <w:div w:id="135420707">
          <w:marLeft w:val="547"/>
          <w:marRight w:val="0"/>
          <w:marTop w:val="0"/>
          <w:marBottom w:val="0"/>
          <w:divBdr>
            <w:top w:val="none" w:sz="0" w:space="0" w:color="auto"/>
            <w:left w:val="none" w:sz="0" w:space="0" w:color="auto"/>
            <w:bottom w:val="none" w:sz="0" w:space="0" w:color="auto"/>
            <w:right w:val="none" w:sz="0" w:space="0" w:color="auto"/>
          </w:divBdr>
        </w:div>
      </w:divsChild>
    </w:div>
    <w:div w:id="2030519745">
      <w:bodyDiv w:val="1"/>
      <w:marLeft w:val="0"/>
      <w:marRight w:val="0"/>
      <w:marTop w:val="0"/>
      <w:marBottom w:val="0"/>
      <w:divBdr>
        <w:top w:val="none" w:sz="0" w:space="0" w:color="auto"/>
        <w:left w:val="none" w:sz="0" w:space="0" w:color="auto"/>
        <w:bottom w:val="none" w:sz="0" w:space="0" w:color="auto"/>
        <w:right w:val="none" w:sz="0" w:space="0" w:color="auto"/>
      </w:divBdr>
      <w:divsChild>
        <w:div w:id="1273629747">
          <w:marLeft w:val="547"/>
          <w:marRight w:val="0"/>
          <w:marTop w:val="0"/>
          <w:marBottom w:val="0"/>
          <w:divBdr>
            <w:top w:val="none" w:sz="0" w:space="0" w:color="auto"/>
            <w:left w:val="none" w:sz="0" w:space="0" w:color="auto"/>
            <w:bottom w:val="none" w:sz="0" w:space="0" w:color="auto"/>
            <w:right w:val="none" w:sz="0" w:space="0" w:color="auto"/>
          </w:divBdr>
        </w:div>
      </w:divsChild>
    </w:div>
    <w:div w:id="214115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3.png"/><Relationship Id="rId21" Type="http://schemas.openxmlformats.org/officeDocument/2006/relationships/image" Target="media/image8.png"/><Relationship Id="rId34" Type="http://schemas.openxmlformats.org/officeDocument/2006/relationships/header" Target="header2.xml"/><Relationship Id="rId42" Type="http://schemas.openxmlformats.org/officeDocument/2006/relationships/chart" Target="charts/chart1.xml"/><Relationship Id="rId47" Type="http://schemas.openxmlformats.org/officeDocument/2006/relationships/chart" Target="charts/chart6.xml"/><Relationship Id="rId50" Type="http://schemas.openxmlformats.org/officeDocument/2006/relationships/chart" Target="charts/chart9.xml"/><Relationship Id="rId55" Type="http://schemas.openxmlformats.org/officeDocument/2006/relationships/image" Target="media/image28.png"/><Relationship Id="rId63" Type="http://schemas.openxmlformats.org/officeDocument/2006/relationships/chart" Target="charts/chart18.xml"/><Relationship Id="rId68" Type="http://schemas.openxmlformats.org/officeDocument/2006/relationships/chart" Target="charts/chart21.xml"/><Relationship Id="rId7" Type="http://schemas.openxmlformats.org/officeDocument/2006/relationships/settings" Target="settings.xml"/><Relationship Id="rId71" Type="http://schemas.openxmlformats.org/officeDocument/2006/relationships/chart" Target="charts/chart24.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yperlink" Target="https://www.zerotothree.org/resources/907-sobriety-treatment-and-recovery-teams-ohio"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chart" Target="charts/chart4.xml"/><Relationship Id="rId53" Type="http://schemas.openxmlformats.org/officeDocument/2006/relationships/image" Target="media/image26.png"/><Relationship Id="rId58" Type="http://schemas.openxmlformats.org/officeDocument/2006/relationships/chart" Target="charts/chart13.xml"/><Relationship Id="rId66" Type="http://schemas.openxmlformats.org/officeDocument/2006/relationships/image" Target="media/image29.png"/><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eader" Target="header3.xml"/><Relationship Id="rId49" Type="http://schemas.openxmlformats.org/officeDocument/2006/relationships/chart" Target="charts/chart8.xml"/><Relationship Id="rId57" Type="http://schemas.openxmlformats.org/officeDocument/2006/relationships/chart" Target="charts/chart12.xml"/><Relationship Id="rId61" Type="http://schemas.openxmlformats.org/officeDocument/2006/relationships/chart" Target="charts/chart16.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chart" Target="charts/chart3.xml"/><Relationship Id="rId52" Type="http://schemas.openxmlformats.org/officeDocument/2006/relationships/image" Target="media/image25.png"/><Relationship Id="rId60" Type="http://schemas.openxmlformats.org/officeDocument/2006/relationships/chart" Target="charts/chart15.xml"/><Relationship Id="rId65" Type="http://schemas.openxmlformats.org/officeDocument/2006/relationships/chart" Target="charts/chart20.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oter" Target="footer2.xml"/><Relationship Id="rId43" Type="http://schemas.openxmlformats.org/officeDocument/2006/relationships/chart" Target="charts/chart2.xml"/><Relationship Id="rId48" Type="http://schemas.openxmlformats.org/officeDocument/2006/relationships/chart" Target="charts/chart7.xml"/><Relationship Id="rId56" Type="http://schemas.openxmlformats.org/officeDocument/2006/relationships/chart" Target="charts/chart11.xml"/><Relationship Id="rId64" Type="http://schemas.openxmlformats.org/officeDocument/2006/relationships/chart" Target="charts/chart19.xml"/><Relationship Id="rId69" Type="http://schemas.openxmlformats.org/officeDocument/2006/relationships/chart" Target="charts/chart22.xml"/><Relationship Id="rId8" Type="http://schemas.openxmlformats.org/officeDocument/2006/relationships/webSettings" Target="webSettings.xml"/><Relationship Id="rId51" Type="http://schemas.openxmlformats.org/officeDocument/2006/relationships/chart" Target="charts/chart10.xml"/><Relationship Id="rId72" Type="http://schemas.openxmlformats.org/officeDocument/2006/relationships/chart" Target="charts/chart25.xml"/><Relationship Id="rId3" Type="http://schemas.openxmlformats.org/officeDocument/2006/relationships/customXml" Target="../customXml/item3.xml"/><Relationship Id="rId12" Type="http://schemas.openxmlformats.org/officeDocument/2006/relationships/hyperlink" Target="https://tfcbt.org/members/"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2.png"/><Relationship Id="rId46" Type="http://schemas.openxmlformats.org/officeDocument/2006/relationships/chart" Target="charts/chart5.xml"/><Relationship Id="rId59" Type="http://schemas.openxmlformats.org/officeDocument/2006/relationships/chart" Target="charts/chart14.xml"/><Relationship Id="rId67" Type="http://schemas.openxmlformats.org/officeDocument/2006/relationships/hyperlink" Target="http://www.familycenteredtreatment.com/home/" TargetMode="External"/><Relationship Id="rId20" Type="http://schemas.openxmlformats.org/officeDocument/2006/relationships/image" Target="media/image7.png"/><Relationship Id="rId41" Type="http://schemas.openxmlformats.org/officeDocument/2006/relationships/header" Target="header4.xml"/><Relationship Id="rId54" Type="http://schemas.openxmlformats.org/officeDocument/2006/relationships/image" Target="media/image27.png"/><Relationship Id="rId62" Type="http://schemas.openxmlformats.org/officeDocument/2006/relationships/chart" Target="charts/chart17.xml"/><Relationship Id="rId70" Type="http://schemas.openxmlformats.org/officeDocument/2006/relationships/chart" Target="charts/chart23.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inphilanthropy.org/sites/default/files/Richard%20M.%20Fairbanks%20Opioid%20Report%20September%20201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in-peds-group02\data$\Adolescent%20Medicine\IV-E%20Waiver%20Evaluation\Data\Surveys\2018%20FCM%20Survey\Figures%20for%20Reports\FINAL%20report%20FCM%20table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j_k264\Desktop\Graph-2020%20SSWR.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j_k264\Desktop\Graph-2020%20SSWR.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j_k264\Desktop\Graph-2020%20SSWR.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j_k264\Desktop\Graph-2020%20SSWR.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Finneran%20Muzzey\Desktop\FCT%20Sub-study%20extension\FCT%20SS%20tables.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C:\Users\Finneran%20Muzzey\Desktop\FCT%20Sub-study%20extension\FCT%20SS%20tables.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C:\Users\Finneran%20Muzzey\Desktop\FCT%20Sub-study%20extension\FCT%20SS%20tables.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embeddings/oleObject1.bin"/></Relationships>
</file>

<file path=word/charts/_rels/chart2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oleObject" Target="file:///\\in-peds-group02\data$\Adolescent%20Medicine\IV-E%20Waiver%20Evaluation\Data\Surveys\2018%20FCM%20Survey\Figures%20for%20Reports\FINAL%20report%20FCM%20tabl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in-peds-group02\data$\Adolescent%20Medicine\IV-E%20Waiver%20Evaluation\Data\Surveys\2018%20FCM%20Survey\Figures%20for%20Reports\FINAL%20report%20FCM%20tabl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in-peds-group02\data$\Adolescent%20Medicine\IV-E%20Waiver%20Evaluation\Data\Surveys\2018%20FCM%20Survey\Figures%20for%20Reports\FINAL%20report%20FCM%20tabl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in-peds-group02\data$\Adolescent%20Medicine\IV-E%20Waiver%20Evaluation\Data\Surveys\2018%20FCM%20Survey\Figures%20for%20Reports\FINAL%20report%20FCM%20tabl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in-peds-group02\data$\Adolescent%20Medicine\IV-E%20Waiver%20Evaluation\Data\Surveys\2018%20FCM%20Survey\Figures%20for%20Reports\FINAL%20report%20FCM%20table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'2013'!$B$210</c:f>
              <c:strCache>
                <c:ptCount val="1"/>
                <c:pt idx="0">
                  <c:v>2013 Opened</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'2013'!$A$211:$A$213</c:f>
              <c:strCache>
                <c:ptCount val="3"/>
                <c:pt idx="0">
                  <c:v>Safety</c:v>
                </c:pt>
                <c:pt idx="1">
                  <c:v>Permanency</c:v>
                </c:pt>
                <c:pt idx="2">
                  <c:v>Well-Being</c:v>
                </c:pt>
              </c:strCache>
            </c:strRef>
          </c:cat>
          <c:val>
            <c:numRef>
              <c:f>'2013'!$B$211:$B$213</c:f>
              <c:numCache>
                <c:formatCode>General</c:formatCode>
                <c:ptCount val="3"/>
                <c:pt idx="0" formatCode="0.00">
                  <c:v>3</c:v>
                </c:pt>
                <c:pt idx="1">
                  <c:v>3.16</c:v>
                </c:pt>
                <c:pt idx="2">
                  <c:v>3.06</c:v>
                </c:pt>
              </c:numCache>
            </c:numRef>
          </c:val>
          <c:extLst>
            <c:ext xmlns:c16="http://schemas.microsoft.com/office/drawing/2014/chart" uri="{C3380CC4-5D6E-409C-BE32-E72D297353CC}">
              <c16:uniqueId val="{00000000-C473-4697-80E1-D64197CC451F}"/>
            </c:ext>
          </c:extLst>
        </c:ser>
        <c:ser>
          <c:idx val="1"/>
          <c:order val="1"/>
          <c:tx>
            <c:strRef>
              <c:f>'2013'!$C$210</c:f>
              <c:strCache>
                <c:ptCount val="1"/>
                <c:pt idx="0">
                  <c:v>2013 Closed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'2013'!$A$211:$A$213</c:f>
              <c:strCache>
                <c:ptCount val="3"/>
                <c:pt idx="0">
                  <c:v>Safety</c:v>
                </c:pt>
                <c:pt idx="1">
                  <c:v>Permanency</c:v>
                </c:pt>
                <c:pt idx="2">
                  <c:v>Well-Being</c:v>
                </c:pt>
              </c:strCache>
            </c:strRef>
          </c:cat>
          <c:val>
            <c:numRef>
              <c:f>'2013'!$C$211:$C$213</c:f>
              <c:numCache>
                <c:formatCode>General</c:formatCode>
                <c:ptCount val="3"/>
                <c:pt idx="0">
                  <c:v>4.03</c:v>
                </c:pt>
                <c:pt idx="1">
                  <c:v>4.1100000000000003</c:v>
                </c:pt>
                <c:pt idx="2">
                  <c:v>4.0199999999999996</c:v>
                </c:pt>
              </c:numCache>
            </c:numRef>
          </c:val>
          <c:extLst>
            <c:ext xmlns:c16="http://schemas.microsoft.com/office/drawing/2014/chart" uri="{C3380CC4-5D6E-409C-BE32-E72D297353CC}">
              <c16:uniqueId val="{00000001-C473-4697-80E1-D64197CC451F}"/>
            </c:ext>
          </c:extLst>
        </c:ser>
        <c:ser>
          <c:idx val="2"/>
          <c:order val="2"/>
          <c:tx>
            <c:strRef>
              <c:f>'2013'!$D$210</c:f>
              <c:strCache>
                <c:ptCount val="1"/>
                <c:pt idx="0">
                  <c:v>2014 Opened</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'2013'!$A$211:$A$213</c:f>
              <c:strCache>
                <c:ptCount val="3"/>
                <c:pt idx="0">
                  <c:v>Safety</c:v>
                </c:pt>
                <c:pt idx="1">
                  <c:v>Permanency</c:v>
                </c:pt>
                <c:pt idx="2">
                  <c:v>Well-Being</c:v>
                </c:pt>
              </c:strCache>
            </c:strRef>
          </c:cat>
          <c:val>
            <c:numRef>
              <c:f>'2013'!$D$211:$D$213</c:f>
              <c:numCache>
                <c:formatCode>General</c:formatCode>
                <c:ptCount val="3"/>
                <c:pt idx="0">
                  <c:v>2.98</c:v>
                </c:pt>
                <c:pt idx="1">
                  <c:v>3.19</c:v>
                </c:pt>
                <c:pt idx="2">
                  <c:v>3.08</c:v>
                </c:pt>
              </c:numCache>
            </c:numRef>
          </c:val>
          <c:extLst>
            <c:ext xmlns:c16="http://schemas.microsoft.com/office/drawing/2014/chart" uri="{C3380CC4-5D6E-409C-BE32-E72D297353CC}">
              <c16:uniqueId val="{00000002-C473-4697-80E1-D64197CC451F}"/>
            </c:ext>
          </c:extLst>
        </c:ser>
        <c:ser>
          <c:idx val="3"/>
          <c:order val="3"/>
          <c:tx>
            <c:strRef>
              <c:f>'2013'!$E$210</c:f>
              <c:strCache>
                <c:ptCount val="1"/>
                <c:pt idx="0">
                  <c:v>2014 Closed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'2013'!$A$211:$A$213</c:f>
              <c:strCache>
                <c:ptCount val="3"/>
                <c:pt idx="0">
                  <c:v>Safety</c:v>
                </c:pt>
                <c:pt idx="1">
                  <c:v>Permanency</c:v>
                </c:pt>
                <c:pt idx="2">
                  <c:v>Well-Being</c:v>
                </c:pt>
              </c:strCache>
            </c:strRef>
          </c:cat>
          <c:val>
            <c:numRef>
              <c:f>'2013'!$E$211:$E$213</c:f>
              <c:numCache>
                <c:formatCode>General</c:formatCode>
                <c:ptCount val="3"/>
                <c:pt idx="0">
                  <c:v>4.01</c:v>
                </c:pt>
                <c:pt idx="1">
                  <c:v>4.13</c:v>
                </c:pt>
                <c:pt idx="2">
                  <c:v>4.04</c:v>
                </c:pt>
              </c:numCache>
            </c:numRef>
          </c:val>
          <c:extLst>
            <c:ext xmlns:c16="http://schemas.microsoft.com/office/drawing/2014/chart" uri="{C3380CC4-5D6E-409C-BE32-E72D297353CC}">
              <c16:uniqueId val="{00000003-C473-4697-80E1-D64197CC451F}"/>
            </c:ext>
          </c:extLst>
        </c:ser>
        <c:ser>
          <c:idx val="4"/>
          <c:order val="4"/>
          <c:tx>
            <c:strRef>
              <c:f>'2013'!$F$210</c:f>
              <c:strCache>
                <c:ptCount val="1"/>
                <c:pt idx="0">
                  <c:v>2015 Opened</c:v>
                </c:pt>
              </c:strCache>
            </c:strRef>
          </c:tx>
          <c:spPr>
            <a:solidFill>
              <a:schemeClr val="accent3">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'2013'!$A$211:$A$213</c:f>
              <c:strCache>
                <c:ptCount val="3"/>
                <c:pt idx="0">
                  <c:v>Safety</c:v>
                </c:pt>
                <c:pt idx="1">
                  <c:v>Permanency</c:v>
                </c:pt>
                <c:pt idx="2">
                  <c:v>Well-Being</c:v>
                </c:pt>
              </c:strCache>
            </c:strRef>
          </c:cat>
          <c:val>
            <c:numRef>
              <c:f>'2013'!$F$211:$F$213</c:f>
              <c:numCache>
                <c:formatCode>General</c:formatCode>
                <c:ptCount val="3"/>
                <c:pt idx="0">
                  <c:v>2.94</c:v>
                </c:pt>
                <c:pt idx="1">
                  <c:v>3.15</c:v>
                </c:pt>
                <c:pt idx="2">
                  <c:v>3.13</c:v>
                </c:pt>
              </c:numCache>
            </c:numRef>
          </c:val>
          <c:extLst>
            <c:ext xmlns:c16="http://schemas.microsoft.com/office/drawing/2014/chart" uri="{C3380CC4-5D6E-409C-BE32-E72D297353CC}">
              <c16:uniqueId val="{00000004-C473-4697-80E1-D64197CC451F}"/>
            </c:ext>
          </c:extLst>
        </c:ser>
        <c:ser>
          <c:idx val="5"/>
          <c:order val="5"/>
          <c:tx>
            <c:strRef>
              <c:f>'2013'!$G$210</c:f>
              <c:strCache>
                <c:ptCount val="1"/>
                <c:pt idx="0">
                  <c:v>2015 Closed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'2013'!$A$211:$A$213</c:f>
              <c:strCache>
                <c:ptCount val="3"/>
                <c:pt idx="0">
                  <c:v>Safety</c:v>
                </c:pt>
                <c:pt idx="1">
                  <c:v>Permanency</c:v>
                </c:pt>
                <c:pt idx="2">
                  <c:v>Well-Being</c:v>
                </c:pt>
              </c:strCache>
            </c:strRef>
          </c:cat>
          <c:val>
            <c:numRef>
              <c:f>'2013'!$G$211:$G$213</c:f>
              <c:numCache>
                <c:formatCode>General</c:formatCode>
                <c:ptCount val="3"/>
                <c:pt idx="0">
                  <c:v>4.03</c:v>
                </c:pt>
                <c:pt idx="1">
                  <c:v>4.1500000000000004</c:v>
                </c:pt>
                <c:pt idx="2">
                  <c:v>4.08</c:v>
                </c:pt>
              </c:numCache>
            </c:numRef>
          </c:val>
          <c:extLst>
            <c:ext xmlns:c16="http://schemas.microsoft.com/office/drawing/2014/chart" uri="{C3380CC4-5D6E-409C-BE32-E72D297353CC}">
              <c16:uniqueId val="{00000005-C473-4697-80E1-D64197CC451F}"/>
            </c:ext>
          </c:extLst>
        </c:ser>
        <c:ser>
          <c:idx val="6"/>
          <c:order val="6"/>
          <c:tx>
            <c:strRef>
              <c:f>'2013'!$H$210</c:f>
              <c:strCache>
                <c:ptCount val="1"/>
                <c:pt idx="0">
                  <c:v>2016 Opened</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'2013'!$A$211:$A$213</c:f>
              <c:strCache>
                <c:ptCount val="3"/>
                <c:pt idx="0">
                  <c:v>Safety</c:v>
                </c:pt>
                <c:pt idx="1">
                  <c:v>Permanency</c:v>
                </c:pt>
                <c:pt idx="2">
                  <c:v>Well-Being</c:v>
                </c:pt>
              </c:strCache>
            </c:strRef>
          </c:cat>
          <c:val>
            <c:numRef>
              <c:f>'2013'!$H$211:$H$213</c:f>
              <c:numCache>
                <c:formatCode>General</c:formatCode>
                <c:ptCount val="3"/>
                <c:pt idx="0">
                  <c:v>2.94</c:v>
                </c:pt>
                <c:pt idx="1">
                  <c:v>3.15</c:v>
                </c:pt>
                <c:pt idx="2">
                  <c:v>3.13</c:v>
                </c:pt>
              </c:numCache>
            </c:numRef>
          </c:val>
          <c:extLst>
            <c:ext xmlns:c16="http://schemas.microsoft.com/office/drawing/2014/chart" uri="{C3380CC4-5D6E-409C-BE32-E72D297353CC}">
              <c16:uniqueId val="{00000006-C473-4697-80E1-D64197CC451F}"/>
            </c:ext>
          </c:extLst>
        </c:ser>
        <c:ser>
          <c:idx val="7"/>
          <c:order val="7"/>
          <c:tx>
            <c:strRef>
              <c:f>'2013'!$I$210</c:f>
              <c:strCache>
                <c:ptCount val="1"/>
                <c:pt idx="0">
                  <c:v>2016 Closed</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'2013'!$A$211:$A$213</c:f>
              <c:strCache>
                <c:ptCount val="3"/>
                <c:pt idx="0">
                  <c:v>Safety</c:v>
                </c:pt>
                <c:pt idx="1">
                  <c:v>Permanency</c:v>
                </c:pt>
                <c:pt idx="2">
                  <c:v>Well-Being</c:v>
                </c:pt>
              </c:strCache>
            </c:strRef>
          </c:cat>
          <c:val>
            <c:numRef>
              <c:f>'2013'!$I$211:$I$213</c:f>
              <c:numCache>
                <c:formatCode>General</c:formatCode>
                <c:ptCount val="3"/>
                <c:pt idx="0">
                  <c:v>4.03</c:v>
                </c:pt>
                <c:pt idx="1">
                  <c:v>4.1500000000000004</c:v>
                </c:pt>
                <c:pt idx="2">
                  <c:v>4.08</c:v>
                </c:pt>
              </c:numCache>
            </c:numRef>
          </c:val>
          <c:extLst>
            <c:ext xmlns:c16="http://schemas.microsoft.com/office/drawing/2014/chart" uri="{C3380CC4-5D6E-409C-BE32-E72D297353CC}">
              <c16:uniqueId val="{00000007-C473-4697-80E1-D64197CC451F}"/>
            </c:ext>
          </c:extLst>
        </c:ser>
        <c:ser>
          <c:idx val="8"/>
          <c:order val="8"/>
          <c:tx>
            <c:strRef>
              <c:f>'2013'!$J$210</c:f>
              <c:strCache>
                <c:ptCount val="1"/>
                <c:pt idx="0">
                  <c:v>2017 Opened</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'2013'!$A$211:$A$213</c:f>
              <c:strCache>
                <c:ptCount val="3"/>
                <c:pt idx="0">
                  <c:v>Safety</c:v>
                </c:pt>
                <c:pt idx="1">
                  <c:v>Permanency</c:v>
                </c:pt>
                <c:pt idx="2">
                  <c:v>Well-Being</c:v>
                </c:pt>
              </c:strCache>
            </c:strRef>
          </c:cat>
          <c:val>
            <c:numRef>
              <c:f>'2013'!$J$211:$J$213</c:f>
              <c:numCache>
                <c:formatCode>General</c:formatCode>
                <c:ptCount val="3"/>
                <c:pt idx="0">
                  <c:v>2.87</c:v>
                </c:pt>
                <c:pt idx="1">
                  <c:v>3.09</c:v>
                </c:pt>
                <c:pt idx="2">
                  <c:v>3.04</c:v>
                </c:pt>
              </c:numCache>
            </c:numRef>
          </c:val>
          <c:extLst>
            <c:ext xmlns:c16="http://schemas.microsoft.com/office/drawing/2014/chart" uri="{C3380CC4-5D6E-409C-BE32-E72D297353CC}">
              <c16:uniqueId val="{00000008-C473-4697-80E1-D64197CC451F}"/>
            </c:ext>
          </c:extLst>
        </c:ser>
        <c:ser>
          <c:idx val="9"/>
          <c:order val="9"/>
          <c:tx>
            <c:strRef>
              <c:f>'2013'!$K$210</c:f>
              <c:strCache>
                <c:ptCount val="1"/>
                <c:pt idx="0">
                  <c:v>2017 Closed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'2013'!$A$211:$A$213</c:f>
              <c:strCache>
                <c:ptCount val="3"/>
                <c:pt idx="0">
                  <c:v>Safety</c:v>
                </c:pt>
                <c:pt idx="1">
                  <c:v>Permanency</c:v>
                </c:pt>
                <c:pt idx="2">
                  <c:v>Well-Being</c:v>
                </c:pt>
              </c:strCache>
            </c:strRef>
          </c:cat>
          <c:val>
            <c:numRef>
              <c:f>'2013'!$K$211:$K$213</c:f>
              <c:numCache>
                <c:formatCode>General</c:formatCode>
                <c:ptCount val="3"/>
                <c:pt idx="0">
                  <c:v>4.17</c:v>
                </c:pt>
                <c:pt idx="1">
                  <c:v>4.29</c:v>
                </c:pt>
                <c:pt idx="2">
                  <c:v>4.18</c:v>
                </c:pt>
              </c:numCache>
            </c:numRef>
          </c:val>
          <c:extLst>
            <c:ext xmlns:c16="http://schemas.microsoft.com/office/drawing/2014/chart" uri="{C3380CC4-5D6E-409C-BE32-E72D297353CC}">
              <c16:uniqueId val="{00000009-C473-4697-80E1-D64197CC451F}"/>
            </c:ext>
          </c:extLst>
        </c:ser>
        <c:ser>
          <c:idx val="10"/>
          <c:order val="10"/>
          <c:tx>
            <c:strRef>
              <c:f>'2013'!$L$210</c:f>
              <c:strCache>
                <c:ptCount val="1"/>
                <c:pt idx="0">
                  <c:v>2018 Opened</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'2013'!$A$211:$A$213</c:f>
              <c:strCache>
                <c:ptCount val="3"/>
                <c:pt idx="0">
                  <c:v>Safety</c:v>
                </c:pt>
                <c:pt idx="1">
                  <c:v>Permanency</c:v>
                </c:pt>
                <c:pt idx="2">
                  <c:v>Well-Being</c:v>
                </c:pt>
              </c:strCache>
            </c:strRef>
          </c:cat>
          <c:val>
            <c:numRef>
              <c:f>'2013'!$L$211:$L$213</c:f>
              <c:numCache>
                <c:formatCode>0.00</c:formatCode>
                <c:ptCount val="3"/>
                <c:pt idx="0">
                  <c:v>2.83</c:v>
                </c:pt>
                <c:pt idx="1">
                  <c:v>3</c:v>
                </c:pt>
                <c:pt idx="2">
                  <c:v>2.98</c:v>
                </c:pt>
              </c:numCache>
            </c:numRef>
          </c:val>
          <c:extLst>
            <c:ext xmlns:c16="http://schemas.microsoft.com/office/drawing/2014/chart" uri="{C3380CC4-5D6E-409C-BE32-E72D297353CC}">
              <c16:uniqueId val="{0000000A-C473-4697-80E1-D64197CC451F}"/>
            </c:ext>
          </c:extLst>
        </c:ser>
        <c:ser>
          <c:idx val="11"/>
          <c:order val="11"/>
          <c:tx>
            <c:strRef>
              <c:f>'2013'!$M$210</c:f>
              <c:strCache>
                <c:ptCount val="1"/>
                <c:pt idx="0">
                  <c:v>2018 Closed</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'2013'!$A$211:$A$213</c:f>
              <c:strCache>
                <c:ptCount val="3"/>
                <c:pt idx="0">
                  <c:v>Safety</c:v>
                </c:pt>
                <c:pt idx="1">
                  <c:v>Permanency</c:v>
                </c:pt>
                <c:pt idx="2">
                  <c:v>Well-Being</c:v>
                </c:pt>
              </c:strCache>
            </c:strRef>
          </c:cat>
          <c:val>
            <c:numRef>
              <c:f>'2013'!$M$211:$M$213</c:f>
              <c:numCache>
                <c:formatCode>0.00</c:formatCode>
                <c:ptCount val="3"/>
                <c:pt idx="0">
                  <c:v>4.1900000000000004</c:v>
                </c:pt>
                <c:pt idx="1">
                  <c:v>4.26</c:v>
                </c:pt>
                <c:pt idx="2">
                  <c:v>4.18</c:v>
                </c:pt>
              </c:numCache>
            </c:numRef>
          </c:val>
          <c:extLst>
            <c:ext xmlns:c16="http://schemas.microsoft.com/office/drawing/2014/chart" uri="{C3380CC4-5D6E-409C-BE32-E72D297353CC}">
              <c16:uniqueId val="{0000000B-C473-4697-80E1-D64197CC451F}"/>
            </c:ext>
          </c:extLst>
        </c:ser>
        <c:dLbls>
          <c:showLegendKey val="0"/>
          <c:showVal val="0"/>
          <c:showCatName val="0"/>
          <c:showSerName val="0"/>
          <c:showPercent val="0"/>
          <c:showBubbleSize val="0"/>
        </c:dLbls>
        <c:gapWidth val="71"/>
        <c:axId val="-1167650240"/>
        <c:axId val="-1167644800"/>
      </c:barChart>
      <c:catAx>
        <c:axId val="-116765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644800"/>
        <c:crosses val="autoZero"/>
        <c:auto val="1"/>
        <c:lblAlgn val="ctr"/>
        <c:lblOffset val="100"/>
        <c:noMultiLvlLbl val="0"/>
      </c:catAx>
      <c:valAx>
        <c:axId val="-1167644800"/>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650240"/>
        <c:crosses val="autoZero"/>
        <c:crossBetween val="between"/>
        <c:majorUnit val="1"/>
      </c:valAx>
      <c:spPr>
        <a:noFill/>
        <a:ln>
          <a:noFill/>
        </a:ln>
        <a:effectLst/>
      </c:spPr>
    </c:plotArea>
    <c:legend>
      <c:legendPos val="b"/>
      <c:layout>
        <c:manualLayout>
          <c:xMode val="edge"/>
          <c:yMode val="edge"/>
          <c:x val="0.1525922187903308"/>
          <c:y val="0.87861610200603824"/>
          <c:w val="0.72130392540711419"/>
          <c:h val="0.119614817263658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ConcreteServices!$B$33</c:f>
              <c:strCache>
                <c:ptCount val="1"/>
                <c:pt idx="0">
                  <c:v>Not at all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ConcreteServices!$C$32:$E$32</c:f>
              <c:numCache>
                <c:formatCode>General</c:formatCode>
                <c:ptCount val="3"/>
                <c:pt idx="0">
                  <c:v>2016</c:v>
                </c:pt>
                <c:pt idx="1">
                  <c:v>2017</c:v>
                </c:pt>
                <c:pt idx="2">
                  <c:v>2018</c:v>
                </c:pt>
              </c:numCache>
            </c:numRef>
          </c:cat>
          <c:val>
            <c:numRef>
              <c:f>ConcreteServices!$C$33:$E$33</c:f>
              <c:numCache>
                <c:formatCode>0.0%</c:formatCode>
                <c:ptCount val="3"/>
                <c:pt idx="0">
                  <c:v>5.0000000000000001E-3</c:v>
                </c:pt>
                <c:pt idx="1">
                  <c:v>7.0000000000000001E-3</c:v>
                </c:pt>
                <c:pt idx="2">
                  <c:v>1.2E-2</c:v>
                </c:pt>
              </c:numCache>
            </c:numRef>
          </c:val>
          <c:extLst>
            <c:ext xmlns:c16="http://schemas.microsoft.com/office/drawing/2014/chart" uri="{C3380CC4-5D6E-409C-BE32-E72D297353CC}">
              <c16:uniqueId val="{00000000-E322-4CEE-92E7-95ECDB46E8B8}"/>
            </c:ext>
          </c:extLst>
        </c:ser>
        <c:ser>
          <c:idx val="1"/>
          <c:order val="1"/>
          <c:tx>
            <c:strRef>
              <c:f>ConcreteServices!$B$34</c:f>
              <c:strCache>
                <c:ptCount val="1"/>
                <c:pt idx="0">
                  <c:v>Somewhat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ConcreteServices!$C$32:$E$32</c:f>
              <c:numCache>
                <c:formatCode>General</c:formatCode>
                <c:ptCount val="3"/>
                <c:pt idx="0">
                  <c:v>2016</c:v>
                </c:pt>
                <c:pt idx="1">
                  <c:v>2017</c:v>
                </c:pt>
                <c:pt idx="2">
                  <c:v>2018</c:v>
                </c:pt>
              </c:numCache>
            </c:numRef>
          </c:cat>
          <c:val>
            <c:numRef>
              <c:f>ConcreteServices!$C$34:$E$34</c:f>
              <c:numCache>
                <c:formatCode>0.0%</c:formatCode>
                <c:ptCount val="3"/>
                <c:pt idx="0">
                  <c:v>0.16400000000000001</c:v>
                </c:pt>
                <c:pt idx="1">
                  <c:v>0.113</c:v>
                </c:pt>
                <c:pt idx="2">
                  <c:v>0.129</c:v>
                </c:pt>
              </c:numCache>
            </c:numRef>
          </c:val>
          <c:extLst>
            <c:ext xmlns:c16="http://schemas.microsoft.com/office/drawing/2014/chart" uri="{C3380CC4-5D6E-409C-BE32-E72D297353CC}">
              <c16:uniqueId val="{00000001-E322-4CEE-92E7-95ECDB46E8B8}"/>
            </c:ext>
          </c:extLst>
        </c:ser>
        <c:ser>
          <c:idx val="2"/>
          <c:order val="2"/>
          <c:tx>
            <c:strRef>
              <c:f>ConcreteServices!$B$35</c:f>
              <c:strCache>
                <c:ptCount val="1"/>
                <c:pt idx="0">
                  <c:v>Completely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ConcreteServices!$C$32:$E$32</c:f>
              <c:numCache>
                <c:formatCode>General</c:formatCode>
                <c:ptCount val="3"/>
                <c:pt idx="0">
                  <c:v>2016</c:v>
                </c:pt>
                <c:pt idx="1">
                  <c:v>2017</c:v>
                </c:pt>
                <c:pt idx="2">
                  <c:v>2018</c:v>
                </c:pt>
              </c:numCache>
            </c:numRef>
          </c:cat>
          <c:val>
            <c:numRef>
              <c:f>ConcreteServices!$C$35:$E$35</c:f>
              <c:numCache>
                <c:formatCode>0.0%</c:formatCode>
                <c:ptCount val="3"/>
                <c:pt idx="0">
                  <c:v>0.83099999999999996</c:v>
                </c:pt>
                <c:pt idx="1">
                  <c:v>0.879</c:v>
                </c:pt>
                <c:pt idx="2">
                  <c:v>0.85899999999999999</c:v>
                </c:pt>
              </c:numCache>
            </c:numRef>
          </c:val>
          <c:extLst>
            <c:ext xmlns:c16="http://schemas.microsoft.com/office/drawing/2014/chart" uri="{C3380CC4-5D6E-409C-BE32-E72D297353CC}">
              <c16:uniqueId val="{00000002-E322-4CEE-92E7-95ECDB46E8B8}"/>
            </c:ext>
          </c:extLst>
        </c:ser>
        <c:dLbls>
          <c:showLegendKey val="0"/>
          <c:showVal val="0"/>
          <c:showCatName val="0"/>
          <c:showSerName val="0"/>
          <c:showPercent val="0"/>
          <c:showBubbleSize val="0"/>
        </c:dLbls>
        <c:gapWidth val="219"/>
        <c:overlap val="-27"/>
        <c:axId val="-1167336528"/>
        <c:axId val="-1167335984"/>
      </c:barChart>
      <c:catAx>
        <c:axId val="-116733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335984"/>
        <c:crosses val="autoZero"/>
        <c:auto val="1"/>
        <c:lblAlgn val="ctr"/>
        <c:lblOffset val="100"/>
        <c:noMultiLvlLbl val="0"/>
      </c:catAx>
      <c:valAx>
        <c:axId val="-1167335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336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Sheet2!$E$7:$E$10</c:f>
              <c:strCache>
                <c:ptCount val="4"/>
                <c:pt idx="0">
                  <c:v>Non-Racial Matching for White Children</c:v>
                </c:pt>
                <c:pt idx="1">
                  <c:v>Racial Matching for White Children </c:v>
                </c:pt>
                <c:pt idx="2">
                  <c:v>Non-Racial Matching for Children of Color </c:v>
                </c:pt>
                <c:pt idx="3">
                  <c:v>Racial Matching for Children of Color </c:v>
                </c:pt>
              </c:strCache>
            </c:strRef>
          </c:cat>
          <c:val>
            <c:numRef>
              <c:f>Sheet2!$F$7:$F$10</c:f>
              <c:numCache>
                <c:formatCode>0.00</c:formatCode>
                <c:ptCount val="4"/>
                <c:pt idx="0">
                  <c:v>4.0003246753246762</c:v>
                </c:pt>
                <c:pt idx="1">
                  <c:v>3.8670839853938448</c:v>
                </c:pt>
                <c:pt idx="2">
                  <c:v>3.8982456140350887</c:v>
                </c:pt>
                <c:pt idx="3">
                  <c:v>3.8105263157894749</c:v>
                </c:pt>
              </c:numCache>
            </c:numRef>
          </c:val>
          <c:extLst>
            <c:ext xmlns:c16="http://schemas.microsoft.com/office/drawing/2014/chart" uri="{C3380CC4-5D6E-409C-BE32-E72D297353CC}">
              <c16:uniqueId val="{00000000-4171-4526-BC22-FA9F0318C373}"/>
            </c:ext>
          </c:extLst>
        </c:ser>
        <c:dLbls>
          <c:showLegendKey val="0"/>
          <c:showVal val="1"/>
          <c:showCatName val="0"/>
          <c:showSerName val="0"/>
          <c:showPercent val="0"/>
          <c:showBubbleSize val="0"/>
        </c:dLbls>
        <c:gapWidth val="150"/>
        <c:shape val="box"/>
        <c:axId val="-1167334896"/>
        <c:axId val="-1229867552"/>
        <c:axId val="0"/>
      </c:bar3DChart>
      <c:catAx>
        <c:axId val="-116733489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0" i="0" baseline="0" dirty="0">
                    <a:effectLst/>
                  </a:rPr>
                  <a:t>F (3, 689) = 1.76, p = .153</a:t>
                </a:r>
                <a:endParaRPr lang="en-US" sz="1200" dirty="0">
                  <a:effectLst/>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9867552"/>
        <c:crosses val="autoZero"/>
        <c:auto val="1"/>
        <c:lblAlgn val="ctr"/>
        <c:lblOffset val="100"/>
        <c:noMultiLvlLbl val="0"/>
      </c:catAx>
      <c:valAx>
        <c:axId val="-1229867552"/>
        <c:scaling>
          <c:orientation val="minMax"/>
          <c:max val="5"/>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dirty="0"/>
                  <a:t>Overall Fidelity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3348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C00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Sheet2!$E$25:$E$28</c:f>
              <c:strCache>
                <c:ptCount val="4"/>
                <c:pt idx="0">
                  <c:v>Non-Racial Matching for White Children</c:v>
                </c:pt>
                <c:pt idx="1">
                  <c:v>Racial Matching for White Children </c:v>
                </c:pt>
                <c:pt idx="2">
                  <c:v>Non-Racial Matching for Children of Color </c:v>
                </c:pt>
                <c:pt idx="3">
                  <c:v>Racial Matching for Children of Color </c:v>
                </c:pt>
              </c:strCache>
            </c:strRef>
          </c:cat>
          <c:val>
            <c:numRef>
              <c:f>Sheet2!$F$25:$F$28</c:f>
              <c:numCache>
                <c:formatCode>0.00</c:formatCode>
                <c:ptCount val="4"/>
                <c:pt idx="0">
                  <c:v>4.1973684210526319</c:v>
                </c:pt>
                <c:pt idx="1">
                  <c:v>4.037558685446009</c:v>
                </c:pt>
                <c:pt idx="2">
                  <c:v>4.2105263157894699</c:v>
                </c:pt>
                <c:pt idx="3">
                  <c:v>3.9821428571428572</c:v>
                </c:pt>
              </c:numCache>
            </c:numRef>
          </c:val>
          <c:extLst>
            <c:ext xmlns:c16="http://schemas.microsoft.com/office/drawing/2014/chart" uri="{C3380CC4-5D6E-409C-BE32-E72D297353CC}">
              <c16:uniqueId val="{00000000-BB5B-40F4-9760-E37C1F4F2CC2}"/>
            </c:ext>
          </c:extLst>
        </c:ser>
        <c:dLbls>
          <c:showLegendKey val="0"/>
          <c:showVal val="1"/>
          <c:showCatName val="0"/>
          <c:showSerName val="0"/>
          <c:showPercent val="0"/>
          <c:showBubbleSize val="0"/>
        </c:dLbls>
        <c:gapWidth val="150"/>
        <c:shape val="box"/>
        <c:axId val="-1229867008"/>
        <c:axId val="-1229866464"/>
        <c:axId val="0"/>
      </c:bar3DChart>
      <c:catAx>
        <c:axId val="-1229867008"/>
        <c:scaling>
          <c:orientation val="minMax"/>
        </c:scaling>
        <c:delete val="0"/>
        <c:axPos val="b"/>
        <c:title>
          <c:tx>
            <c:rich>
              <a:bodyPr rot="0" spcFirstLastPara="1" vertOverflow="ellipsis" vert="horz" wrap="square" anchor="ctr" anchorCtr="1"/>
              <a:lstStyle/>
              <a:p>
                <a:pPr>
                  <a:defRPr sz="1200" b="0" i="0" u="none" strike="noStrike" kern="1200" baseline="0">
                    <a:solidFill>
                      <a:srgbClr val="FF0000"/>
                    </a:solidFill>
                    <a:latin typeface="+mn-lt"/>
                    <a:ea typeface="+mn-ea"/>
                    <a:cs typeface="+mn-cs"/>
                  </a:defRPr>
                </a:pPr>
                <a:r>
                  <a:rPr lang="en-US" sz="1200" b="0" i="0" baseline="0" dirty="0">
                    <a:solidFill>
                      <a:srgbClr val="FF0000"/>
                    </a:solidFill>
                    <a:effectLst/>
                  </a:rPr>
                  <a:t>F (3, 687) = 2.47, p = .061</a:t>
                </a:r>
                <a:endParaRPr lang="en-US" sz="1200" dirty="0">
                  <a:solidFill>
                    <a:srgbClr val="FF0000"/>
                  </a:solidFill>
                  <a:effectLst/>
                </a:endParaRPr>
              </a:p>
            </c:rich>
          </c:tx>
          <c:overlay val="0"/>
          <c:spPr>
            <a:noFill/>
            <a:ln>
              <a:noFill/>
            </a:ln>
            <a:effectLst/>
          </c:spPr>
          <c:txPr>
            <a:bodyPr rot="0" spcFirstLastPara="1" vertOverflow="ellipsis" vert="horz" wrap="square" anchor="ctr" anchorCtr="1"/>
            <a:lstStyle/>
            <a:p>
              <a:pPr>
                <a:defRPr sz="1200" b="0" i="0" u="none" strike="noStrike" kern="1200" baseline="0">
                  <a:solidFill>
                    <a:srgbClr val="FF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9866464"/>
        <c:crosses val="autoZero"/>
        <c:auto val="1"/>
        <c:lblAlgn val="ctr"/>
        <c:lblOffset val="100"/>
        <c:noMultiLvlLbl val="0"/>
      </c:catAx>
      <c:valAx>
        <c:axId val="-1229866464"/>
        <c:scaling>
          <c:orientation val="minMax"/>
          <c:max val="5"/>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dirty="0"/>
                  <a:t>Cultural Respect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9867008"/>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Sheet2!$E$13:$E$16</c:f>
              <c:strCache>
                <c:ptCount val="4"/>
                <c:pt idx="0">
                  <c:v>Non-Racial Matching for White Children</c:v>
                </c:pt>
                <c:pt idx="1">
                  <c:v>Racial Matching for White Children </c:v>
                </c:pt>
                <c:pt idx="2">
                  <c:v>Non-Racial Matching for Children of Color </c:v>
                </c:pt>
                <c:pt idx="3">
                  <c:v>Racial Matching for Children of Color </c:v>
                </c:pt>
              </c:strCache>
            </c:strRef>
          </c:cat>
          <c:val>
            <c:numRef>
              <c:f>Sheet2!$F$13:$F$16</c:f>
              <c:numCache>
                <c:formatCode>0.00</c:formatCode>
                <c:ptCount val="4"/>
                <c:pt idx="0">
                  <c:v>3.5263157894736841</c:v>
                </c:pt>
                <c:pt idx="1">
                  <c:v>3.539906103286385</c:v>
                </c:pt>
                <c:pt idx="2">
                  <c:v>3.4586466165413534</c:v>
                </c:pt>
                <c:pt idx="3">
                  <c:v>3.4736842105263159</c:v>
                </c:pt>
              </c:numCache>
            </c:numRef>
          </c:val>
          <c:extLst>
            <c:ext xmlns:c16="http://schemas.microsoft.com/office/drawing/2014/chart" uri="{C3380CC4-5D6E-409C-BE32-E72D297353CC}">
              <c16:uniqueId val="{00000000-B11E-4D25-BCF5-0C7242935985}"/>
            </c:ext>
          </c:extLst>
        </c:ser>
        <c:dLbls>
          <c:showLegendKey val="0"/>
          <c:showVal val="1"/>
          <c:showCatName val="0"/>
          <c:showSerName val="0"/>
          <c:showPercent val="0"/>
          <c:showBubbleSize val="0"/>
        </c:dLbls>
        <c:gapWidth val="150"/>
        <c:shape val="box"/>
        <c:axId val="-1229871360"/>
        <c:axId val="-1229865920"/>
        <c:axId val="0"/>
      </c:bar3DChart>
      <c:catAx>
        <c:axId val="-122987136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0" i="0" baseline="0" dirty="0">
                    <a:effectLst/>
                  </a:rPr>
                  <a:t>F (3, 688) = .24, p = .866</a:t>
                </a:r>
                <a:endParaRPr lang="en-US" sz="1200" dirty="0">
                  <a:effectLst/>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9865920"/>
        <c:crosses val="autoZero"/>
        <c:auto val="1"/>
        <c:lblAlgn val="ctr"/>
        <c:lblOffset val="100"/>
        <c:noMultiLvlLbl val="0"/>
      </c:catAx>
      <c:valAx>
        <c:axId val="-1229865920"/>
        <c:scaling>
          <c:orientation val="minMax"/>
          <c:max val="5"/>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dirty="0"/>
                  <a:t>Family</a:t>
                </a:r>
                <a:r>
                  <a:rPr lang="en-US" baseline="0" dirty="0"/>
                  <a:t> Voice and Choice</a:t>
                </a:r>
                <a:endParaRPr lang="en-US"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98713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Sheet2!$E$19:$E$22</c:f>
              <c:strCache>
                <c:ptCount val="4"/>
                <c:pt idx="0">
                  <c:v>Non-Racial Matching for White Children</c:v>
                </c:pt>
                <c:pt idx="1">
                  <c:v>Racial Matching for White Children </c:v>
                </c:pt>
                <c:pt idx="2">
                  <c:v>Non-Racial Matching for Children of Color </c:v>
                </c:pt>
                <c:pt idx="3">
                  <c:v>Racial Matching for Children of Color </c:v>
                </c:pt>
              </c:strCache>
            </c:strRef>
          </c:cat>
          <c:val>
            <c:numRef>
              <c:f>Sheet2!$F$19:$F$22</c:f>
              <c:numCache>
                <c:formatCode>0.00</c:formatCode>
                <c:ptCount val="4"/>
                <c:pt idx="0">
                  <c:v>4.1710526315789478</c:v>
                </c:pt>
                <c:pt idx="1">
                  <c:v>3.9694835680751175</c:v>
                </c:pt>
                <c:pt idx="2">
                  <c:v>4.1353383458646613</c:v>
                </c:pt>
                <c:pt idx="3">
                  <c:v>3.9642857142857144</c:v>
                </c:pt>
              </c:numCache>
            </c:numRef>
          </c:val>
          <c:extLst>
            <c:ext xmlns:c16="http://schemas.microsoft.com/office/drawing/2014/chart" uri="{C3380CC4-5D6E-409C-BE32-E72D297353CC}">
              <c16:uniqueId val="{00000000-38C0-4DE5-8D80-A35634EF676D}"/>
            </c:ext>
          </c:extLst>
        </c:ser>
        <c:dLbls>
          <c:showLegendKey val="0"/>
          <c:showVal val="1"/>
          <c:showCatName val="0"/>
          <c:showSerName val="0"/>
          <c:showPercent val="0"/>
          <c:showBubbleSize val="0"/>
        </c:dLbls>
        <c:gapWidth val="150"/>
        <c:shape val="box"/>
        <c:axId val="-1229874624"/>
        <c:axId val="-1229877888"/>
        <c:axId val="0"/>
      </c:bar3DChart>
      <c:catAx>
        <c:axId val="-1229874624"/>
        <c:scaling>
          <c:orientation val="minMax"/>
        </c:scaling>
        <c:delete val="0"/>
        <c:axPos val="b"/>
        <c:title>
          <c:tx>
            <c:rich>
              <a:bodyPr rot="0" spcFirstLastPara="1" vertOverflow="ellipsis" vert="horz" wrap="square" anchor="ctr" anchorCtr="1"/>
              <a:lstStyle/>
              <a:p>
                <a:pPr>
                  <a:defRPr sz="1200" b="0" i="0" u="none" strike="noStrike" kern="1200" baseline="0">
                    <a:solidFill>
                      <a:srgbClr val="FF0000"/>
                    </a:solidFill>
                    <a:latin typeface="+mn-lt"/>
                    <a:ea typeface="+mn-ea"/>
                    <a:cs typeface="+mn-cs"/>
                  </a:defRPr>
                </a:pPr>
                <a:r>
                  <a:rPr lang="en-US" sz="1200" b="0" i="0" baseline="0" dirty="0">
                    <a:solidFill>
                      <a:srgbClr val="FF0000"/>
                    </a:solidFill>
                    <a:effectLst/>
                  </a:rPr>
                  <a:t>F (3, 687) = 2.86, p = .036</a:t>
                </a:r>
                <a:endParaRPr lang="en-US" sz="1200" dirty="0">
                  <a:solidFill>
                    <a:srgbClr val="FF0000"/>
                  </a:solidFill>
                  <a:effectLst/>
                </a:endParaRPr>
              </a:p>
            </c:rich>
          </c:tx>
          <c:overlay val="0"/>
          <c:spPr>
            <a:noFill/>
            <a:ln>
              <a:noFill/>
            </a:ln>
            <a:effectLst/>
          </c:spPr>
          <c:txPr>
            <a:bodyPr rot="0" spcFirstLastPara="1" vertOverflow="ellipsis" vert="horz" wrap="square" anchor="ctr" anchorCtr="1"/>
            <a:lstStyle/>
            <a:p>
              <a:pPr>
                <a:defRPr sz="1200" b="0" i="0" u="none" strike="noStrike" kern="1200" baseline="0">
                  <a:solidFill>
                    <a:srgbClr val="FF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9877888"/>
        <c:crosses val="autoZero"/>
        <c:auto val="1"/>
        <c:lblAlgn val="ctr"/>
        <c:lblOffset val="100"/>
        <c:noMultiLvlLbl val="0"/>
      </c:catAx>
      <c:valAx>
        <c:axId val="-1229877888"/>
        <c:scaling>
          <c:orientation val="minMax"/>
          <c:max val="5"/>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dirty="0"/>
                  <a:t>Community-Based</a:t>
                </a:r>
                <a:r>
                  <a:rPr lang="en-US" baseline="0" dirty="0"/>
                  <a:t> Services</a:t>
                </a:r>
                <a:endParaRPr lang="en-US"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9874624"/>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DCS Spending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 data for charts'!$A$28</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 data for charts'!$B$27:$H$27</c:f>
              <c:numCache>
                <c:formatCode>General</c:formatCode>
                <c:ptCount val="7"/>
                <c:pt idx="0">
                  <c:v>2013</c:v>
                </c:pt>
                <c:pt idx="1">
                  <c:v>2014</c:v>
                </c:pt>
                <c:pt idx="2">
                  <c:v>2015</c:v>
                </c:pt>
                <c:pt idx="3">
                  <c:v>2016</c:v>
                </c:pt>
                <c:pt idx="4">
                  <c:v>2017</c:v>
                </c:pt>
                <c:pt idx="5">
                  <c:v>2018</c:v>
                </c:pt>
                <c:pt idx="6">
                  <c:v>2019</c:v>
                </c:pt>
              </c:numCache>
            </c:numRef>
          </c:cat>
          <c:val>
            <c:numRef>
              <c:f>'$ data for charts'!$B$28:$H$28</c:f>
              <c:numCache>
                <c:formatCode>_("$"* #,##0.00_);_("$"* \(#,##0.00\);_("$"* "-"??_);_(@_)</c:formatCode>
                <c:ptCount val="7"/>
                <c:pt idx="0">
                  <c:v>800028742.29000056</c:v>
                </c:pt>
                <c:pt idx="1">
                  <c:v>907863929.76999879</c:v>
                </c:pt>
                <c:pt idx="2">
                  <c:v>967282387.20499933</c:v>
                </c:pt>
                <c:pt idx="3">
                  <c:v>1072288260.1750022</c:v>
                </c:pt>
                <c:pt idx="4">
                  <c:v>1210160674.0600016</c:v>
                </c:pt>
                <c:pt idx="5">
                  <c:v>1213775553.9300001</c:v>
                </c:pt>
                <c:pt idx="6">
                  <c:v>1227420257.7</c:v>
                </c:pt>
              </c:numCache>
            </c:numRef>
          </c:val>
          <c:smooth val="0"/>
          <c:extLst>
            <c:ext xmlns:c16="http://schemas.microsoft.com/office/drawing/2014/chart" uri="{C3380CC4-5D6E-409C-BE32-E72D297353CC}">
              <c16:uniqueId val="{00000000-8CC6-47D2-BCA6-2A49782113FB}"/>
            </c:ext>
          </c:extLst>
        </c:ser>
        <c:dLbls>
          <c:showLegendKey val="0"/>
          <c:showVal val="0"/>
          <c:showCatName val="0"/>
          <c:showSerName val="0"/>
          <c:showPercent val="0"/>
          <c:showBubbleSize val="0"/>
        </c:dLbls>
        <c:marker val="1"/>
        <c:smooth val="0"/>
        <c:axId val="-1229876800"/>
        <c:axId val="-1229864832"/>
      </c:lineChart>
      <c:catAx>
        <c:axId val="-122987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9864832"/>
        <c:crosses val="autoZero"/>
        <c:auto val="1"/>
        <c:lblAlgn val="ctr"/>
        <c:lblOffset val="100"/>
        <c:noMultiLvlLbl val="0"/>
      </c:catAx>
      <c:valAx>
        <c:axId val="-1229864832"/>
        <c:scaling>
          <c:orientation val="minMax"/>
          <c:max val="1250000000"/>
          <c:min val="750000000"/>
        </c:scaling>
        <c:delete val="0"/>
        <c:axPos val="l"/>
        <c:majorGridlines>
          <c:spPr>
            <a:ln w="9525" cap="flat" cmpd="sng" algn="ctr">
              <a:solidFill>
                <a:schemeClr val="tx1">
                  <a:lumMod val="15000"/>
                  <a:lumOff val="85000"/>
                </a:schemeClr>
              </a:solidFill>
              <a:round/>
            </a:ln>
            <a:effectLst/>
          </c:spPr>
        </c:majorGridlines>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9876800"/>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Cases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'Case #s'!$B$1</c:f>
              <c:strCache>
                <c:ptCount val="1"/>
                <c:pt idx="0">
                  <c:v>IA's</c:v>
                </c:pt>
              </c:strCache>
            </c:strRef>
          </c:tx>
          <c:spPr>
            <a:solidFill>
              <a:schemeClr val="accent1"/>
            </a:solidFill>
            <a:ln>
              <a:noFill/>
            </a:ln>
            <a:effectLst/>
          </c:spPr>
          <c:invertIfNegative val="0"/>
          <c:cat>
            <c:strRef>
              <c:f>'Case #s'!$A$2:$A$8</c:f>
              <c:strCache>
                <c:ptCount val="7"/>
                <c:pt idx="0">
                  <c:v>June 2013</c:v>
                </c:pt>
                <c:pt idx="1">
                  <c:v>June 2014</c:v>
                </c:pt>
                <c:pt idx="2">
                  <c:v>June 2015</c:v>
                </c:pt>
                <c:pt idx="3">
                  <c:v>June 2016</c:v>
                </c:pt>
                <c:pt idx="4">
                  <c:v>June 2017</c:v>
                </c:pt>
                <c:pt idx="5">
                  <c:v>June 2018</c:v>
                </c:pt>
                <c:pt idx="6">
                  <c:v>June 2019</c:v>
                </c:pt>
              </c:strCache>
            </c:strRef>
          </c:cat>
          <c:val>
            <c:numRef>
              <c:f>'Case #s'!$B$2:$B$8</c:f>
              <c:numCache>
                <c:formatCode>_(* #,##0.00_);_(* \(#,##0.00\);_(* "-"??_);_(@_)</c:formatCode>
                <c:ptCount val="7"/>
                <c:pt idx="0">
                  <c:v>1926</c:v>
                </c:pt>
                <c:pt idx="1">
                  <c:v>2028</c:v>
                </c:pt>
                <c:pt idx="2">
                  <c:v>2596</c:v>
                </c:pt>
                <c:pt idx="3">
                  <c:v>3109</c:v>
                </c:pt>
                <c:pt idx="4">
                  <c:v>4402</c:v>
                </c:pt>
                <c:pt idx="5">
                  <c:v>3638</c:v>
                </c:pt>
                <c:pt idx="6">
                  <c:v>3273</c:v>
                </c:pt>
              </c:numCache>
            </c:numRef>
          </c:val>
          <c:extLst>
            <c:ext xmlns:c16="http://schemas.microsoft.com/office/drawing/2014/chart" uri="{C3380CC4-5D6E-409C-BE32-E72D297353CC}">
              <c16:uniqueId val="{00000000-0BDE-46FE-B297-A983C311C7B7}"/>
            </c:ext>
          </c:extLst>
        </c:ser>
        <c:ser>
          <c:idx val="1"/>
          <c:order val="1"/>
          <c:tx>
            <c:strRef>
              <c:f>'Case #s'!$C$1</c:f>
              <c:strCache>
                <c:ptCount val="1"/>
                <c:pt idx="0">
                  <c:v>CC</c:v>
                </c:pt>
              </c:strCache>
            </c:strRef>
          </c:tx>
          <c:spPr>
            <a:solidFill>
              <a:schemeClr val="accent2"/>
            </a:solidFill>
            <a:ln>
              <a:noFill/>
            </a:ln>
            <a:effectLst/>
          </c:spPr>
          <c:invertIfNegative val="0"/>
          <c:cat>
            <c:strRef>
              <c:f>'Case #s'!$A$2:$A$8</c:f>
              <c:strCache>
                <c:ptCount val="7"/>
                <c:pt idx="0">
                  <c:v>June 2013</c:v>
                </c:pt>
                <c:pt idx="1">
                  <c:v>June 2014</c:v>
                </c:pt>
                <c:pt idx="2">
                  <c:v>June 2015</c:v>
                </c:pt>
                <c:pt idx="3">
                  <c:v>June 2016</c:v>
                </c:pt>
                <c:pt idx="4">
                  <c:v>June 2017</c:v>
                </c:pt>
                <c:pt idx="5">
                  <c:v>June 2018</c:v>
                </c:pt>
                <c:pt idx="6">
                  <c:v>June 2019</c:v>
                </c:pt>
              </c:strCache>
            </c:strRef>
          </c:cat>
          <c:val>
            <c:numRef>
              <c:f>'Case #s'!$C$2:$C$8</c:f>
              <c:numCache>
                <c:formatCode>_(* #,##0.00_);_(* \(#,##0.00\);_(* "-"??_);_(@_)</c:formatCode>
                <c:ptCount val="7"/>
                <c:pt idx="0">
                  <c:v>449</c:v>
                </c:pt>
                <c:pt idx="1">
                  <c:v>680</c:v>
                </c:pt>
                <c:pt idx="2">
                  <c:v>674</c:v>
                </c:pt>
                <c:pt idx="3">
                  <c:v>824</c:v>
                </c:pt>
                <c:pt idx="4">
                  <c:v>822</c:v>
                </c:pt>
                <c:pt idx="5">
                  <c:v>824</c:v>
                </c:pt>
                <c:pt idx="6">
                  <c:v>801</c:v>
                </c:pt>
              </c:numCache>
            </c:numRef>
          </c:val>
          <c:extLst>
            <c:ext xmlns:c16="http://schemas.microsoft.com/office/drawing/2014/chart" uri="{C3380CC4-5D6E-409C-BE32-E72D297353CC}">
              <c16:uniqueId val="{00000001-0BDE-46FE-B297-A983C311C7B7}"/>
            </c:ext>
          </c:extLst>
        </c:ser>
        <c:ser>
          <c:idx val="2"/>
          <c:order val="2"/>
          <c:tx>
            <c:strRef>
              <c:f>'Case #s'!$D$1</c:f>
              <c:strCache>
                <c:ptCount val="1"/>
                <c:pt idx="0">
                  <c:v>Total Chins</c:v>
                </c:pt>
              </c:strCache>
            </c:strRef>
          </c:tx>
          <c:spPr>
            <a:solidFill>
              <a:schemeClr val="accent3"/>
            </a:solidFill>
            <a:ln>
              <a:noFill/>
            </a:ln>
            <a:effectLst/>
          </c:spPr>
          <c:invertIfNegative val="0"/>
          <c:cat>
            <c:strRef>
              <c:f>'Case #s'!$A$2:$A$8</c:f>
              <c:strCache>
                <c:ptCount val="7"/>
                <c:pt idx="0">
                  <c:v>June 2013</c:v>
                </c:pt>
                <c:pt idx="1">
                  <c:v>June 2014</c:v>
                </c:pt>
                <c:pt idx="2">
                  <c:v>June 2015</c:v>
                </c:pt>
                <c:pt idx="3">
                  <c:v>June 2016</c:v>
                </c:pt>
                <c:pt idx="4">
                  <c:v>June 2017</c:v>
                </c:pt>
                <c:pt idx="5">
                  <c:v>June 2018</c:v>
                </c:pt>
                <c:pt idx="6">
                  <c:v>June 2019</c:v>
                </c:pt>
              </c:strCache>
            </c:strRef>
          </c:cat>
          <c:val>
            <c:numRef>
              <c:f>'Case #s'!$D$2:$D$8</c:f>
              <c:numCache>
                <c:formatCode>_(* #,##0.00_);_(* \(#,##0.00\);_(* "-"??_);_(@_)</c:formatCode>
                <c:ptCount val="7"/>
                <c:pt idx="0">
                  <c:v>13685</c:v>
                </c:pt>
                <c:pt idx="1">
                  <c:v>14763</c:v>
                </c:pt>
                <c:pt idx="2">
                  <c:v>18614</c:v>
                </c:pt>
                <c:pt idx="3">
                  <c:v>21374</c:v>
                </c:pt>
                <c:pt idx="4">
                  <c:v>23949</c:v>
                </c:pt>
                <c:pt idx="5">
                  <c:v>21585</c:v>
                </c:pt>
                <c:pt idx="6">
                  <c:v>18626</c:v>
                </c:pt>
              </c:numCache>
            </c:numRef>
          </c:val>
          <c:extLst>
            <c:ext xmlns:c16="http://schemas.microsoft.com/office/drawing/2014/chart" uri="{C3380CC4-5D6E-409C-BE32-E72D297353CC}">
              <c16:uniqueId val="{00000002-0BDE-46FE-B297-A983C311C7B7}"/>
            </c:ext>
          </c:extLst>
        </c:ser>
        <c:dLbls>
          <c:showLegendKey val="0"/>
          <c:showVal val="0"/>
          <c:showCatName val="0"/>
          <c:showSerName val="0"/>
          <c:showPercent val="0"/>
          <c:showBubbleSize val="0"/>
        </c:dLbls>
        <c:gapWidth val="150"/>
        <c:overlap val="100"/>
        <c:axId val="-1229864288"/>
        <c:axId val="-1229878976"/>
      </c:barChart>
      <c:catAx>
        <c:axId val="-122986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9878976"/>
        <c:crosses val="autoZero"/>
        <c:auto val="1"/>
        <c:lblAlgn val="ctr"/>
        <c:lblOffset val="100"/>
        <c:noMultiLvlLbl val="0"/>
      </c:catAx>
      <c:valAx>
        <c:axId val="-1229878976"/>
        <c:scaling>
          <c:orientation val="minMax"/>
          <c:max val="30000"/>
        </c:scaling>
        <c:delete val="0"/>
        <c:axPos val="l"/>
        <c:majorGridlines>
          <c:spPr>
            <a:ln w="9525" cap="flat" cmpd="sng" algn="ctr">
              <a:solidFill>
                <a:schemeClr val="tx1">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9864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CHINS</a:t>
            </a:r>
            <a:r>
              <a:rPr lang="en-US" baseline="0"/>
              <a:t> Placements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'Case #s'!$B$10</c:f>
              <c:strCache>
                <c:ptCount val="1"/>
                <c:pt idx="0">
                  <c:v>In Home</c:v>
                </c:pt>
              </c:strCache>
            </c:strRef>
          </c:tx>
          <c:spPr>
            <a:solidFill>
              <a:schemeClr val="accent1"/>
            </a:solidFill>
            <a:ln>
              <a:noFill/>
            </a:ln>
            <a:effectLst/>
          </c:spPr>
          <c:invertIfNegative val="0"/>
          <c:cat>
            <c:strRef>
              <c:f>'Case #s'!$A$11:$A$17</c:f>
              <c:strCache>
                <c:ptCount val="7"/>
                <c:pt idx="0">
                  <c:v>June 2013</c:v>
                </c:pt>
                <c:pt idx="1">
                  <c:v>June 2014</c:v>
                </c:pt>
                <c:pt idx="2">
                  <c:v>June 2015</c:v>
                </c:pt>
                <c:pt idx="3">
                  <c:v>June 2016</c:v>
                </c:pt>
                <c:pt idx="4">
                  <c:v>June 2017</c:v>
                </c:pt>
                <c:pt idx="5">
                  <c:v>June 2018</c:v>
                </c:pt>
                <c:pt idx="6">
                  <c:v>June 2019</c:v>
                </c:pt>
              </c:strCache>
            </c:strRef>
          </c:cat>
          <c:val>
            <c:numRef>
              <c:f>'Case #s'!$B$11:$B$17</c:f>
              <c:numCache>
                <c:formatCode>_(* #,##0.00_);_(* \(#,##0.00\);_(* "-"??_);_(@_)</c:formatCode>
                <c:ptCount val="7"/>
                <c:pt idx="0">
                  <c:v>4035</c:v>
                </c:pt>
                <c:pt idx="1">
                  <c:v>4213</c:v>
                </c:pt>
                <c:pt idx="2">
                  <c:v>5487</c:v>
                </c:pt>
                <c:pt idx="3">
                  <c:v>6107</c:v>
                </c:pt>
                <c:pt idx="4">
                  <c:v>6987</c:v>
                </c:pt>
                <c:pt idx="5">
                  <c:v>5446</c:v>
                </c:pt>
                <c:pt idx="6">
                  <c:v>4616</c:v>
                </c:pt>
              </c:numCache>
            </c:numRef>
          </c:val>
          <c:extLst>
            <c:ext xmlns:c16="http://schemas.microsoft.com/office/drawing/2014/chart" uri="{C3380CC4-5D6E-409C-BE32-E72D297353CC}">
              <c16:uniqueId val="{00000000-40E2-40B9-89DA-CB25D9FA7F51}"/>
            </c:ext>
          </c:extLst>
        </c:ser>
        <c:ser>
          <c:idx val="1"/>
          <c:order val="1"/>
          <c:tx>
            <c:strRef>
              <c:f>'Case #s'!$C$10</c:f>
              <c:strCache>
                <c:ptCount val="1"/>
                <c:pt idx="0">
                  <c:v>Relative</c:v>
                </c:pt>
              </c:strCache>
            </c:strRef>
          </c:tx>
          <c:spPr>
            <a:solidFill>
              <a:schemeClr val="accent2"/>
            </a:solidFill>
            <a:ln>
              <a:noFill/>
            </a:ln>
            <a:effectLst/>
          </c:spPr>
          <c:invertIfNegative val="0"/>
          <c:cat>
            <c:strRef>
              <c:f>'Case #s'!$A$11:$A$17</c:f>
              <c:strCache>
                <c:ptCount val="7"/>
                <c:pt idx="0">
                  <c:v>June 2013</c:v>
                </c:pt>
                <c:pt idx="1">
                  <c:v>June 2014</c:v>
                </c:pt>
                <c:pt idx="2">
                  <c:v>June 2015</c:v>
                </c:pt>
                <c:pt idx="3">
                  <c:v>June 2016</c:v>
                </c:pt>
                <c:pt idx="4">
                  <c:v>June 2017</c:v>
                </c:pt>
                <c:pt idx="5">
                  <c:v>June 2018</c:v>
                </c:pt>
                <c:pt idx="6">
                  <c:v>June 2019</c:v>
                </c:pt>
              </c:strCache>
            </c:strRef>
          </c:cat>
          <c:val>
            <c:numRef>
              <c:f>'Case #s'!$C$11:$C$17</c:f>
              <c:numCache>
                <c:formatCode>_(* #,##0.00_);_(* \(#,##0.00\);_(* "-"??_);_(@_)</c:formatCode>
                <c:ptCount val="7"/>
                <c:pt idx="0">
                  <c:v>4016</c:v>
                </c:pt>
                <c:pt idx="1">
                  <c:v>4620</c:v>
                </c:pt>
                <c:pt idx="2">
                  <c:v>6239</c:v>
                </c:pt>
                <c:pt idx="3">
                  <c:v>7492</c:v>
                </c:pt>
                <c:pt idx="4">
                  <c:v>8508</c:v>
                </c:pt>
                <c:pt idx="5">
                  <c:v>7902</c:v>
                </c:pt>
                <c:pt idx="6">
                  <c:v>6401</c:v>
                </c:pt>
              </c:numCache>
            </c:numRef>
          </c:val>
          <c:extLst>
            <c:ext xmlns:c16="http://schemas.microsoft.com/office/drawing/2014/chart" uri="{C3380CC4-5D6E-409C-BE32-E72D297353CC}">
              <c16:uniqueId val="{00000001-40E2-40B9-89DA-CB25D9FA7F51}"/>
            </c:ext>
          </c:extLst>
        </c:ser>
        <c:ser>
          <c:idx val="2"/>
          <c:order val="2"/>
          <c:tx>
            <c:strRef>
              <c:f>'Case #s'!$D$10</c:f>
              <c:strCache>
                <c:ptCount val="1"/>
                <c:pt idx="0">
                  <c:v>Foster Home</c:v>
                </c:pt>
              </c:strCache>
            </c:strRef>
          </c:tx>
          <c:spPr>
            <a:solidFill>
              <a:schemeClr val="accent3"/>
            </a:solidFill>
            <a:ln>
              <a:noFill/>
            </a:ln>
            <a:effectLst/>
          </c:spPr>
          <c:invertIfNegative val="0"/>
          <c:cat>
            <c:strRef>
              <c:f>'Case #s'!$A$11:$A$17</c:f>
              <c:strCache>
                <c:ptCount val="7"/>
                <c:pt idx="0">
                  <c:v>June 2013</c:v>
                </c:pt>
                <c:pt idx="1">
                  <c:v>June 2014</c:v>
                </c:pt>
                <c:pt idx="2">
                  <c:v>June 2015</c:v>
                </c:pt>
                <c:pt idx="3">
                  <c:v>June 2016</c:v>
                </c:pt>
                <c:pt idx="4">
                  <c:v>June 2017</c:v>
                </c:pt>
                <c:pt idx="5">
                  <c:v>June 2018</c:v>
                </c:pt>
                <c:pt idx="6">
                  <c:v>June 2019</c:v>
                </c:pt>
              </c:strCache>
            </c:strRef>
          </c:cat>
          <c:val>
            <c:numRef>
              <c:f>'Case #s'!$D$11:$D$17</c:f>
              <c:numCache>
                <c:formatCode>_(* #,##0.00_);_(* \(#,##0.00\);_(* "-"??_);_(@_)</c:formatCode>
                <c:ptCount val="7"/>
                <c:pt idx="0">
                  <c:v>4703</c:v>
                </c:pt>
                <c:pt idx="1">
                  <c:v>5033</c:v>
                </c:pt>
                <c:pt idx="2">
                  <c:v>5808</c:v>
                </c:pt>
                <c:pt idx="3">
                  <c:v>6567</c:v>
                </c:pt>
                <c:pt idx="4">
                  <c:v>7155</c:v>
                </c:pt>
                <c:pt idx="5">
                  <c:v>7112</c:v>
                </c:pt>
                <c:pt idx="6">
                  <c:v>6633</c:v>
                </c:pt>
              </c:numCache>
            </c:numRef>
          </c:val>
          <c:extLst>
            <c:ext xmlns:c16="http://schemas.microsoft.com/office/drawing/2014/chart" uri="{C3380CC4-5D6E-409C-BE32-E72D297353CC}">
              <c16:uniqueId val="{00000002-40E2-40B9-89DA-CB25D9FA7F51}"/>
            </c:ext>
          </c:extLst>
        </c:ser>
        <c:ser>
          <c:idx val="3"/>
          <c:order val="3"/>
          <c:tx>
            <c:strRef>
              <c:f>'Case #s'!$E$10</c:f>
              <c:strCache>
                <c:ptCount val="1"/>
                <c:pt idx="0">
                  <c:v>Residential</c:v>
                </c:pt>
              </c:strCache>
            </c:strRef>
          </c:tx>
          <c:spPr>
            <a:solidFill>
              <a:schemeClr val="accent4"/>
            </a:solidFill>
            <a:ln>
              <a:noFill/>
            </a:ln>
            <a:effectLst/>
          </c:spPr>
          <c:invertIfNegative val="0"/>
          <c:cat>
            <c:strRef>
              <c:f>'Case #s'!$A$11:$A$17</c:f>
              <c:strCache>
                <c:ptCount val="7"/>
                <c:pt idx="0">
                  <c:v>June 2013</c:v>
                </c:pt>
                <c:pt idx="1">
                  <c:v>June 2014</c:v>
                </c:pt>
                <c:pt idx="2">
                  <c:v>June 2015</c:v>
                </c:pt>
                <c:pt idx="3">
                  <c:v>June 2016</c:v>
                </c:pt>
                <c:pt idx="4">
                  <c:v>June 2017</c:v>
                </c:pt>
                <c:pt idx="5">
                  <c:v>June 2018</c:v>
                </c:pt>
                <c:pt idx="6">
                  <c:v>June 2019</c:v>
                </c:pt>
              </c:strCache>
            </c:strRef>
          </c:cat>
          <c:val>
            <c:numRef>
              <c:f>'Case #s'!$E$11:$E$17</c:f>
              <c:numCache>
                <c:formatCode>_(* #,##0.00_);_(* \(#,##0.00\);_(* "-"??_);_(@_)</c:formatCode>
                <c:ptCount val="7"/>
                <c:pt idx="0">
                  <c:v>715</c:v>
                </c:pt>
                <c:pt idx="1">
                  <c:v>716</c:v>
                </c:pt>
                <c:pt idx="2">
                  <c:v>862</c:v>
                </c:pt>
                <c:pt idx="3">
                  <c:v>952</c:v>
                </c:pt>
                <c:pt idx="4">
                  <c:v>1003</c:v>
                </c:pt>
                <c:pt idx="5">
                  <c:v>862</c:v>
                </c:pt>
                <c:pt idx="6">
                  <c:v>753</c:v>
                </c:pt>
              </c:numCache>
            </c:numRef>
          </c:val>
          <c:extLst>
            <c:ext xmlns:c16="http://schemas.microsoft.com/office/drawing/2014/chart" uri="{C3380CC4-5D6E-409C-BE32-E72D297353CC}">
              <c16:uniqueId val="{00000003-40E2-40B9-89DA-CB25D9FA7F51}"/>
            </c:ext>
          </c:extLst>
        </c:ser>
        <c:ser>
          <c:idx val="4"/>
          <c:order val="4"/>
          <c:tx>
            <c:strRef>
              <c:f>'Case #s'!$F$10</c:f>
              <c:strCache>
                <c:ptCount val="1"/>
                <c:pt idx="0">
                  <c:v>Other</c:v>
                </c:pt>
              </c:strCache>
            </c:strRef>
          </c:tx>
          <c:spPr>
            <a:solidFill>
              <a:schemeClr val="accent5"/>
            </a:solidFill>
            <a:ln>
              <a:noFill/>
            </a:ln>
            <a:effectLst/>
          </c:spPr>
          <c:invertIfNegative val="0"/>
          <c:cat>
            <c:strRef>
              <c:f>'Case #s'!$A$11:$A$17</c:f>
              <c:strCache>
                <c:ptCount val="7"/>
                <c:pt idx="0">
                  <c:v>June 2013</c:v>
                </c:pt>
                <c:pt idx="1">
                  <c:v>June 2014</c:v>
                </c:pt>
                <c:pt idx="2">
                  <c:v>June 2015</c:v>
                </c:pt>
                <c:pt idx="3">
                  <c:v>June 2016</c:v>
                </c:pt>
                <c:pt idx="4">
                  <c:v>June 2017</c:v>
                </c:pt>
                <c:pt idx="5">
                  <c:v>June 2018</c:v>
                </c:pt>
                <c:pt idx="6">
                  <c:v>June 2019</c:v>
                </c:pt>
              </c:strCache>
            </c:strRef>
          </c:cat>
          <c:val>
            <c:numRef>
              <c:f>'Case #s'!$F$11:$F$17</c:f>
              <c:numCache>
                <c:formatCode>_(* #,##0.00_);_(* \(#,##0.00\);_(* "-"??_);_(@_)</c:formatCode>
                <c:ptCount val="7"/>
                <c:pt idx="0">
                  <c:v>215</c:v>
                </c:pt>
                <c:pt idx="1">
                  <c:v>181</c:v>
                </c:pt>
                <c:pt idx="2">
                  <c:v>225</c:v>
                </c:pt>
                <c:pt idx="3">
                  <c:v>256</c:v>
                </c:pt>
                <c:pt idx="4">
                  <c:v>297</c:v>
                </c:pt>
                <c:pt idx="5">
                  <c:v>263</c:v>
                </c:pt>
                <c:pt idx="6">
                  <c:v>223</c:v>
                </c:pt>
              </c:numCache>
            </c:numRef>
          </c:val>
          <c:extLst>
            <c:ext xmlns:c16="http://schemas.microsoft.com/office/drawing/2014/chart" uri="{C3380CC4-5D6E-409C-BE32-E72D297353CC}">
              <c16:uniqueId val="{00000004-40E2-40B9-89DA-CB25D9FA7F51}"/>
            </c:ext>
          </c:extLst>
        </c:ser>
        <c:dLbls>
          <c:showLegendKey val="0"/>
          <c:showVal val="0"/>
          <c:showCatName val="0"/>
          <c:showSerName val="0"/>
          <c:showPercent val="0"/>
          <c:showBubbleSize val="0"/>
        </c:dLbls>
        <c:gapWidth val="150"/>
        <c:overlap val="100"/>
        <c:axId val="-1229877344"/>
        <c:axId val="-1339089488"/>
      </c:barChart>
      <c:catAx>
        <c:axId val="-122987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9089488"/>
        <c:crosses val="autoZero"/>
        <c:auto val="1"/>
        <c:lblAlgn val="ctr"/>
        <c:lblOffset val="100"/>
        <c:noMultiLvlLbl val="0"/>
      </c:catAx>
      <c:valAx>
        <c:axId val="-1339089488"/>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9877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Breakdown of Total Cases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'Case #s'!$B$1</c:f>
              <c:strCache>
                <c:ptCount val="1"/>
                <c:pt idx="0">
                  <c:v>IA's</c:v>
                </c:pt>
              </c:strCache>
            </c:strRef>
          </c:tx>
          <c:spPr>
            <a:solidFill>
              <a:schemeClr val="accent1"/>
            </a:solidFill>
            <a:ln>
              <a:noFill/>
            </a:ln>
            <a:effectLst/>
          </c:spPr>
          <c:invertIfNegative val="0"/>
          <c:cat>
            <c:strRef>
              <c:f>'Case #s'!$A$2:$A$8</c:f>
              <c:strCache>
                <c:ptCount val="7"/>
                <c:pt idx="0">
                  <c:v>June 2013</c:v>
                </c:pt>
                <c:pt idx="1">
                  <c:v>June 2014</c:v>
                </c:pt>
                <c:pt idx="2">
                  <c:v>June 2015</c:v>
                </c:pt>
                <c:pt idx="3">
                  <c:v>June 2016</c:v>
                </c:pt>
                <c:pt idx="4">
                  <c:v>June 2017</c:v>
                </c:pt>
                <c:pt idx="5">
                  <c:v>June 2018</c:v>
                </c:pt>
                <c:pt idx="6">
                  <c:v>June 2019</c:v>
                </c:pt>
              </c:strCache>
            </c:strRef>
          </c:cat>
          <c:val>
            <c:numRef>
              <c:f>'Case #s'!$B$2:$B$8</c:f>
              <c:numCache>
                <c:formatCode>_(* #,##0.00_);_(* \(#,##0.00\);_(* "-"??_);_(@_)</c:formatCode>
                <c:ptCount val="7"/>
                <c:pt idx="0">
                  <c:v>1926</c:v>
                </c:pt>
                <c:pt idx="1">
                  <c:v>2028</c:v>
                </c:pt>
                <c:pt idx="2">
                  <c:v>2596</c:v>
                </c:pt>
                <c:pt idx="3">
                  <c:v>3109</c:v>
                </c:pt>
                <c:pt idx="4">
                  <c:v>4402</c:v>
                </c:pt>
                <c:pt idx="5">
                  <c:v>3638</c:v>
                </c:pt>
                <c:pt idx="6">
                  <c:v>3273</c:v>
                </c:pt>
              </c:numCache>
            </c:numRef>
          </c:val>
          <c:extLst>
            <c:ext xmlns:c16="http://schemas.microsoft.com/office/drawing/2014/chart" uri="{C3380CC4-5D6E-409C-BE32-E72D297353CC}">
              <c16:uniqueId val="{00000000-0A57-4F2C-8A8F-2981F5F3B3AB}"/>
            </c:ext>
          </c:extLst>
        </c:ser>
        <c:ser>
          <c:idx val="1"/>
          <c:order val="1"/>
          <c:tx>
            <c:strRef>
              <c:f>'Case #s'!$C$1</c:f>
              <c:strCache>
                <c:ptCount val="1"/>
                <c:pt idx="0">
                  <c:v>CC</c:v>
                </c:pt>
              </c:strCache>
            </c:strRef>
          </c:tx>
          <c:spPr>
            <a:solidFill>
              <a:schemeClr val="accent2"/>
            </a:solidFill>
            <a:ln>
              <a:noFill/>
            </a:ln>
            <a:effectLst/>
          </c:spPr>
          <c:invertIfNegative val="0"/>
          <c:cat>
            <c:strRef>
              <c:f>'Case #s'!$A$2:$A$8</c:f>
              <c:strCache>
                <c:ptCount val="7"/>
                <c:pt idx="0">
                  <c:v>June 2013</c:v>
                </c:pt>
                <c:pt idx="1">
                  <c:v>June 2014</c:v>
                </c:pt>
                <c:pt idx="2">
                  <c:v>June 2015</c:v>
                </c:pt>
                <c:pt idx="3">
                  <c:v>June 2016</c:v>
                </c:pt>
                <c:pt idx="4">
                  <c:v>June 2017</c:v>
                </c:pt>
                <c:pt idx="5">
                  <c:v>June 2018</c:v>
                </c:pt>
                <c:pt idx="6">
                  <c:v>June 2019</c:v>
                </c:pt>
              </c:strCache>
            </c:strRef>
          </c:cat>
          <c:val>
            <c:numRef>
              <c:f>'Case #s'!$C$2:$C$8</c:f>
              <c:numCache>
                <c:formatCode>_(* #,##0.00_);_(* \(#,##0.00\);_(* "-"??_);_(@_)</c:formatCode>
                <c:ptCount val="7"/>
                <c:pt idx="0">
                  <c:v>449</c:v>
                </c:pt>
                <c:pt idx="1">
                  <c:v>680</c:v>
                </c:pt>
                <c:pt idx="2">
                  <c:v>674</c:v>
                </c:pt>
                <c:pt idx="3">
                  <c:v>824</c:v>
                </c:pt>
                <c:pt idx="4">
                  <c:v>822</c:v>
                </c:pt>
                <c:pt idx="5">
                  <c:v>824</c:v>
                </c:pt>
                <c:pt idx="6">
                  <c:v>801</c:v>
                </c:pt>
              </c:numCache>
            </c:numRef>
          </c:val>
          <c:extLst>
            <c:ext xmlns:c16="http://schemas.microsoft.com/office/drawing/2014/chart" uri="{C3380CC4-5D6E-409C-BE32-E72D297353CC}">
              <c16:uniqueId val="{00000001-0A57-4F2C-8A8F-2981F5F3B3AB}"/>
            </c:ext>
          </c:extLst>
        </c:ser>
        <c:ser>
          <c:idx val="2"/>
          <c:order val="2"/>
          <c:tx>
            <c:strRef>
              <c:f>'Case #s'!$D$1</c:f>
              <c:strCache>
                <c:ptCount val="1"/>
                <c:pt idx="0">
                  <c:v>Total Chins</c:v>
                </c:pt>
              </c:strCache>
            </c:strRef>
          </c:tx>
          <c:spPr>
            <a:solidFill>
              <a:schemeClr val="accent3"/>
            </a:solidFill>
            <a:ln>
              <a:noFill/>
            </a:ln>
            <a:effectLst/>
          </c:spPr>
          <c:invertIfNegative val="0"/>
          <c:cat>
            <c:strRef>
              <c:f>'Case #s'!$A$2:$A$8</c:f>
              <c:strCache>
                <c:ptCount val="7"/>
                <c:pt idx="0">
                  <c:v>June 2013</c:v>
                </c:pt>
                <c:pt idx="1">
                  <c:v>June 2014</c:v>
                </c:pt>
                <c:pt idx="2">
                  <c:v>June 2015</c:v>
                </c:pt>
                <c:pt idx="3">
                  <c:v>June 2016</c:v>
                </c:pt>
                <c:pt idx="4">
                  <c:v>June 2017</c:v>
                </c:pt>
                <c:pt idx="5">
                  <c:v>June 2018</c:v>
                </c:pt>
                <c:pt idx="6">
                  <c:v>June 2019</c:v>
                </c:pt>
              </c:strCache>
            </c:strRef>
          </c:cat>
          <c:val>
            <c:numRef>
              <c:f>'Case #s'!$D$2:$D$8</c:f>
              <c:numCache>
                <c:formatCode>_(* #,##0.00_);_(* \(#,##0.00\);_(* "-"??_);_(@_)</c:formatCode>
                <c:ptCount val="7"/>
                <c:pt idx="0">
                  <c:v>13685</c:v>
                </c:pt>
                <c:pt idx="1">
                  <c:v>14763</c:v>
                </c:pt>
                <c:pt idx="2">
                  <c:v>18614</c:v>
                </c:pt>
                <c:pt idx="3">
                  <c:v>21374</c:v>
                </c:pt>
                <c:pt idx="4">
                  <c:v>23949</c:v>
                </c:pt>
                <c:pt idx="5">
                  <c:v>21585</c:v>
                </c:pt>
                <c:pt idx="6">
                  <c:v>18626</c:v>
                </c:pt>
              </c:numCache>
            </c:numRef>
          </c:val>
          <c:extLst>
            <c:ext xmlns:c16="http://schemas.microsoft.com/office/drawing/2014/chart" uri="{C3380CC4-5D6E-409C-BE32-E72D297353CC}">
              <c16:uniqueId val="{00000002-0A57-4F2C-8A8F-2981F5F3B3AB}"/>
            </c:ext>
          </c:extLst>
        </c:ser>
        <c:dLbls>
          <c:showLegendKey val="0"/>
          <c:showVal val="0"/>
          <c:showCatName val="0"/>
          <c:showSerName val="0"/>
          <c:showPercent val="0"/>
          <c:showBubbleSize val="0"/>
        </c:dLbls>
        <c:gapWidth val="150"/>
        <c:overlap val="100"/>
        <c:axId val="-1339104176"/>
        <c:axId val="-1339103632"/>
      </c:barChart>
      <c:catAx>
        <c:axId val="-133910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9103632"/>
        <c:crosses val="autoZero"/>
        <c:auto val="1"/>
        <c:lblAlgn val="ctr"/>
        <c:lblOffset val="100"/>
        <c:noMultiLvlLbl val="0"/>
      </c:catAx>
      <c:valAx>
        <c:axId val="-133910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9104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Breakdown of CHINS Placements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'Case #s'!$B$10</c:f>
              <c:strCache>
                <c:ptCount val="1"/>
                <c:pt idx="0">
                  <c:v>In Home</c:v>
                </c:pt>
              </c:strCache>
            </c:strRef>
          </c:tx>
          <c:spPr>
            <a:solidFill>
              <a:schemeClr val="accent1"/>
            </a:solidFill>
            <a:ln>
              <a:noFill/>
            </a:ln>
            <a:effectLst/>
          </c:spPr>
          <c:invertIfNegative val="0"/>
          <c:cat>
            <c:strRef>
              <c:f>'Case #s'!$A$11:$A$17</c:f>
              <c:strCache>
                <c:ptCount val="7"/>
                <c:pt idx="0">
                  <c:v>June 2013</c:v>
                </c:pt>
                <c:pt idx="1">
                  <c:v>June 2014</c:v>
                </c:pt>
                <c:pt idx="2">
                  <c:v>June 2015</c:v>
                </c:pt>
                <c:pt idx="3">
                  <c:v>June 2016</c:v>
                </c:pt>
                <c:pt idx="4">
                  <c:v>June 2017</c:v>
                </c:pt>
                <c:pt idx="5">
                  <c:v>June 2018</c:v>
                </c:pt>
                <c:pt idx="6">
                  <c:v>June 2019</c:v>
                </c:pt>
              </c:strCache>
            </c:strRef>
          </c:cat>
          <c:val>
            <c:numRef>
              <c:f>'Case #s'!$B$11:$B$17</c:f>
              <c:numCache>
                <c:formatCode>_(* #,##0.00_);_(* \(#,##0.00\);_(* "-"??_);_(@_)</c:formatCode>
                <c:ptCount val="7"/>
                <c:pt idx="0">
                  <c:v>4035</c:v>
                </c:pt>
                <c:pt idx="1">
                  <c:v>4213</c:v>
                </c:pt>
                <c:pt idx="2">
                  <c:v>5487</c:v>
                </c:pt>
                <c:pt idx="3">
                  <c:v>6107</c:v>
                </c:pt>
                <c:pt idx="4">
                  <c:v>6987</c:v>
                </c:pt>
                <c:pt idx="5">
                  <c:v>5446</c:v>
                </c:pt>
                <c:pt idx="6">
                  <c:v>4616</c:v>
                </c:pt>
              </c:numCache>
            </c:numRef>
          </c:val>
          <c:extLst>
            <c:ext xmlns:c16="http://schemas.microsoft.com/office/drawing/2014/chart" uri="{C3380CC4-5D6E-409C-BE32-E72D297353CC}">
              <c16:uniqueId val="{00000000-F30A-4474-9052-15B0A0333E3A}"/>
            </c:ext>
          </c:extLst>
        </c:ser>
        <c:ser>
          <c:idx val="1"/>
          <c:order val="1"/>
          <c:tx>
            <c:strRef>
              <c:f>'Case #s'!$C$10</c:f>
              <c:strCache>
                <c:ptCount val="1"/>
                <c:pt idx="0">
                  <c:v>Relative</c:v>
                </c:pt>
              </c:strCache>
            </c:strRef>
          </c:tx>
          <c:spPr>
            <a:solidFill>
              <a:schemeClr val="accent2"/>
            </a:solidFill>
            <a:ln>
              <a:noFill/>
            </a:ln>
            <a:effectLst/>
          </c:spPr>
          <c:invertIfNegative val="0"/>
          <c:cat>
            <c:strRef>
              <c:f>'Case #s'!$A$11:$A$17</c:f>
              <c:strCache>
                <c:ptCount val="7"/>
                <c:pt idx="0">
                  <c:v>June 2013</c:v>
                </c:pt>
                <c:pt idx="1">
                  <c:v>June 2014</c:v>
                </c:pt>
                <c:pt idx="2">
                  <c:v>June 2015</c:v>
                </c:pt>
                <c:pt idx="3">
                  <c:v>June 2016</c:v>
                </c:pt>
                <c:pt idx="4">
                  <c:v>June 2017</c:v>
                </c:pt>
                <c:pt idx="5">
                  <c:v>June 2018</c:v>
                </c:pt>
                <c:pt idx="6">
                  <c:v>June 2019</c:v>
                </c:pt>
              </c:strCache>
            </c:strRef>
          </c:cat>
          <c:val>
            <c:numRef>
              <c:f>'Case #s'!$C$11:$C$17</c:f>
              <c:numCache>
                <c:formatCode>_(* #,##0.00_);_(* \(#,##0.00\);_(* "-"??_);_(@_)</c:formatCode>
                <c:ptCount val="7"/>
                <c:pt idx="0">
                  <c:v>4016</c:v>
                </c:pt>
                <c:pt idx="1">
                  <c:v>4620</c:v>
                </c:pt>
                <c:pt idx="2">
                  <c:v>6239</c:v>
                </c:pt>
                <c:pt idx="3">
                  <c:v>7492</c:v>
                </c:pt>
                <c:pt idx="4">
                  <c:v>8508</c:v>
                </c:pt>
                <c:pt idx="5">
                  <c:v>7902</c:v>
                </c:pt>
                <c:pt idx="6">
                  <c:v>6401</c:v>
                </c:pt>
              </c:numCache>
            </c:numRef>
          </c:val>
          <c:extLst>
            <c:ext xmlns:c16="http://schemas.microsoft.com/office/drawing/2014/chart" uri="{C3380CC4-5D6E-409C-BE32-E72D297353CC}">
              <c16:uniqueId val="{00000001-F30A-4474-9052-15B0A0333E3A}"/>
            </c:ext>
          </c:extLst>
        </c:ser>
        <c:ser>
          <c:idx val="2"/>
          <c:order val="2"/>
          <c:tx>
            <c:strRef>
              <c:f>'Case #s'!$D$10</c:f>
              <c:strCache>
                <c:ptCount val="1"/>
                <c:pt idx="0">
                  <c:v>Foster Home</c:v>
                </c:pt>
              </c:strCache>
            </c:strRef>
          </c:tx>
          <c:spPr>
            <a:solidFill>
              <a:schemeClr val="accent3"/>
            </a:solidFill>
            <a:ln>
              <a:noFill/>
            </a:ln>
            <a:effectLst/>
          </c:spPr>
          <c:invertIfNegative val="0"/>
          <c:cat>
            <c:strRef>
              <c:f>'Case #s'!$A$11:$A$17</c:f>
              <c:strCache>
                <c:ptCount val="7"/>
                <c:pt idx="0">
                  <c:v>June 2013</c:v>
                </c:pt>
                <c:pt idx="1">
                  <c:v>June 2014</c:v>
                </c:pt>
                <c:pt idx="2">
                  <c:v>June 2015</c:v>
                </c:pt>
                <c:pt idx="3">
                  <c:v>June 2016</c:v>
                </c:pt>
                <c:pt idx="4">
                  <c:v>June 2017</c:v>
                </c:pt>
                <c:pt idx="5">
                  <c:v>June 2018</c:v>
                </c:pt>
                <c:pt idx="6">
                  <c:v>June 2019</c:v>
                </c:pt>
              </c:strCache>
            </c:strRef>
          </c:cat>
          <c:val>
            <c:numRef>
              <c:f>'Case #s'!$D$11:$D$17</c:f>
              <c:numCache>
                <c:formatCode>_(* #,##0.00_);_(* \(#,##0.00\);_(* "-"??_);_(@_)</c:formatCode>
                <c:ptCount val="7"/>
                <c:pt idx="0">
                  <c:v>4703</c:v>
                </c:pt>
                <c:pt idx="1">
                  <c:v>5033</c:v>
                </c:pt>
                <c:pt idx="2">
                  <c:v>5808</c:v>
                </c:pt>
                <c:pt idx="3">
                  <c:v>6567</c:v>
                </c:pt>
                <c:pt idx="4">
                  <c:v>7155</c:v>
                </c:pt>
                <c:pt idx="5">
                  <c:v>7112</c:v>
                </c:pt>
                <c:pt idx="6">
                  <c:v>6633</c:v>
                </c:pt>
              </c:numCache>
            </c:numRef>
          </c:val>
          <c:extLst>
            <c:ext xmlns:c16="http://schemas.microsoft.com/office/drawing/2014/chart" uri="{C3380CC4-5D6E-409C-BE32-E72D297353CC}">
              <c16:uniqueId val="{00000002-F30A-4474-9052-15B0A0333E3A}"/>
            </c:ext>
          </c:extLst>
        </c:ser>
        <c:ser>
          <c:idx val="3"/>
          <c:order val="3"/>
          <c:tx>
            <c:strRef>
              <c:f>'Case #s'!$E$10</c:f>
              <c:strCache>
                <c:ptCount val="1"/>
                <c:pt idx="0">
                  <c:v>Residential</c:v>
                </c:pt>
              </c:strCache>
            </c:strRef>
          </c:tx>
          <c:spPr>
            <a:solidFill>
              <a:schemeClr val="accent4"/>
            </a:solidFill>
            <a:ln>
              <a:noFill/>
            </a:ln>
            <a:effectLst/>
          </c:spPr>
          <c:invertIfNegative val="0"/>
          <c:cat>
            <c:strRef>
              <c:f>'Case #s'!$A$11:$A$17</c:f>
              <c:strCache>
                <c:ptCount val="7"/>
                <c:pt idx="0">
                  <c:v>June 2013</c:v>
                </c:pt>
                <c:pt idx="1">
                  <c:v>June 2014</c:v>
                </c:pt>
                <c:pt idx="2">
                  <c:v>June 2015</c:v>
                </c:pt>
                <c:pt idx="3">
                  <c:v>June 2016</c:v>
                </c:pt>
                <c:pt idx="4">
                  <c:v>June 2017</c:v>
                </c:pt>
                <c:pt idx="5">
                  <c:v>June 2018</c:v>
                </c:pt>
                <c:pt idx="6">
                  <c:v>June 2019</c:v>
                </c:pt>
              </c:strCache>
            </c:strRef>
          </c:cat>
          <c:val>
            <c:numRef>
              <c:f>'Case #s'!$E$11:$E$17</c:f>
              <c:numCache>
                <c:formatCode>_(* #,##0.00_);_(* \(#,##0.00\);_(* "-"??_);_(@_)</c:formatCode>
                <c:ptCount val="7"/>
                <c:pt idx="0">
                  <c:v>715</c:v>
                </c:pt>
                <c:pt idx="1">
                  <c:v>716</c:v>
                </c:pt>
                <c:pt idx="2">
                  <c:v>862</c:v>
                </c:pt>
                <c:pt idx="3">
                  <c:v>952</c:v>
                </c:pt>
                <c:pt idx="4">
                  <c:v>1003</c:v>
                </c:pt>
                <c:pt idx="5">
                  <c:v>862</c:v>
                </c:pt>
                <c:pt idx="6">
                  <c:v>753</c:v>
                </c:pt>
              </c:numCache>
            </c:numRef>
          </c:val>
          <c:extLst>
            <c:ext xmlns:c16="http://schemas.microsoft.com/office/drawing/2014/chart" uri="{C3380CC4-5D6E-409C-BE32-E72D297353CC}">
              <c16:uniqueId val="{00000003-F30A-4474-9052-15B0A0333E3A}"/>
            </c:ext>
          </c:extLst>
        </c:ser>
        <c:ser>
          <c:idx val="4"/>
          <c:order val="4"/>
          <c:tx>
            <c:strRef>
              <c:f>'Case #s'!$F$10</c:f>
              <c:strCache>
                <c:ptCount val="1"/>
                <c:pt idx="0">
                  <c:v>Other</c:v>
                </c:pt>
              </c:strCache>
            </c:strRef>
          </c:tx>
          <c:spPr>
            <a:solidFill>
              <a:schemeClr val="accent5"/>
            </a:solidFill>
            <a:ln>
              <a:noFill/>
            </a:ln>
            <a:effectLst/>
          </c:spPr>
          <c:invertIfNegative val="0"/>
          <c:cat>
            <c:strRef>
              <c:f>'Case #s'!$A$11:$A$17</c:f>
              <c:strCache>
                <c:ptCount val="7"/>
                <c:pt idx="0">
                  <c:v>June 2013</c:v>
                </c:pt>
                <c:pt idx="1">
                  <c:v>June 2014</c:v>
                </c:pt>
                <c:pt idx="2">
                  <c:v>June 2015</c:v>
                </c:pt>
                <c:pt idx="3">
                  <c:v>June 2016</c:v>
                </c:pt>
                <c:pt idx="4">
                  <c:v>June 2017</c:v>
                </c:pt>
                <c:pt idx="5">
                  <c:v>June 2018</c:v>
                </c:pt>
                <c:pt idx="6">
                  <c:v>June 2019</c:v>
                </c:pt>
              </c:strCache>
            </c:strRef>
          </c:cat>
          <c:val>
            <c:numRef>
              <c:f>'Case #s'!$F$11:$F$17</c:f>
              <c:numCache>
                <c:formatCode>_(* #,##0.00_);_(* \(#,##0.00\);_(* "-"??_);_(@_)</c:formatCode>
                <c:ptCount val="7"/>
                <c:pt idx="0">
                  <c:v>215</c:v>
                </c:pt>
                <c:pt idx="1">
                  <c:v>181</c:v>
                </c:pt>
                <c:pt idx="2">
                  <c:v>225</c:v>
                </c:pt>
                <c:pt idx="3">
                  <c:v>256</c:v>
                </c:pt>
                <c:pt idx="4">
                  <c:v>297</c:v>
                </c:pt>
                <c:pt idx="5">
                  <c:v>263</c:v>
                </c:pt>
                <c:pt idx="6">
                  <c:v>223</c:v>
                </c:pt>
              </c:numCache>
            </c:numRef>
          </c:val>
          <c:extLst>
            <c:ext xmlns:c16="http://schemas.microsoft.com/office/drawing/2014/chart" uri="{C3380CC4-5D6E-409C-BE32-E72D297353CC}">
              <c16:uniqueId val="{00000004-F30A-4474-9052-15B0A0333E3A}"/>
            </c:ext>
          </c:extLst>
        </c:ser>
        <c:dLbls>
          <c:showLegendKey val="0"/>
          <c:showVal val="0"/>
          <c:showCatName val="0"/>
          <c:showSerName val="0"/>
          <c:showPercent val="0"/>
          <c:showBubbleSize val="0"/>
        </c:dLbls>
        <c:gapWidth val="150"/>
        <c:overlap val="100"/>
        <c:axId val="-1339100368"/>
        <c:axId val="-1339103088"/>
      </c:barChart>
      <c:catAx>
        <c:axId val="-133910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9103088"/>
        <c:crosses val="autoZero"/>
        <c:auto val="1"/>
        <c:lblAlgn val="ctr"/>
        <c:lblOffset val="100"/>
        <c:noMultiLvlLbl val="0"/>
      </c:catAx>
      <c:valAx>
        <c:axId val="-1339103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910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'2013'!$B$182</c:f>
              <c:strCache>
                <c:ptCount val="1"/>
                <c:pt idx="0">
                  <c:v>2013 Opened</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'2013'!$A$183:$A$185</c:f>
              <c:strCache>
                <c:ptCount val="3"/>
                <c:pt idx="0">
                  <c:v>Current Living Arrangement</c:v>
                </c:pt>
                <c:pt idx="1">
                  <c:v>Health</c:v>
                </c:pt>
                <c:pt idx="2">
                  <c:v>Emotional Status</c:v>
                </c:pt>
              </c:strCache>
            </c:strRef>
          </c:cat>
          <c:val>
            <c:numRef>
              <c:f>'2013'!$B$183:$B$185</c:f>
              <c:numCache>
                <c:formatCode>###0.00</c:formatCode>
                <c:ptCount val="3"/>
                <c:pt idx="0">
                  <c:v>3.8791334093500569</c:v>
                </c:pt>
                <c:pt idx="1">
                  <c:v>4.4742857142857053</c:v>
                </c:pt>
                <c:pt idx="2">
                  <c:v>4.1221461187214627</c:v>
                </c:pt>
              </c:numCache>
            </c:numRef>
          </c:val>
          <c:extLst>
            <c:ext xmlns:c16="http://schemas.microsoft.com/office/drawing/2014/chart" uri="{C3380CC4-5D6E-409C-BE32-E72D297353CC}">
              <c16:uniqueId val="{00000000-86D2-4E2E-9E85-C81A60F19181}"/>
            </c:ext>
          </c:extLst>
        </c:ser>
        <c:ser>
          <c:idx val="1"/>
          <c:order val="1"/>
          <c:tx>
            <c:strRef>
              <c:f>'2013'!$C$182</c:f>
              <c:strCache>
                <c:ptCount val="1"/>
                <c:pt idx="0">
                  <c:v>2013 Closed</c:v>
                </c:pt>
              </c:strCache>
            </c:strRef>
          </c:tx>
          <c:spPr>
            <a:solidFill>
              <a:schemeClr val="accent1"/>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'2013'!$A$183:$A$185</c:f>
              <c:strCache>
                <c:ptCount val="3"/>
                <c:pt idx="0">
                  <c:v>Current Living Arrangement</c:v>
                </c:pt>
                <c:pt idx="1">
                  <c:v>Health</c:v>
                </c:pt>
                <c:pt idx="2">
                  <c:v>Emotional Status</c:v>
                </c:pt>
              </c:strCache>
            </c:strRef>
          </c:cat>
          <c:val>
            <c:numRef>
              <c:f>'2013'!$C$183:$C$185</c:f>
              <c:numCache>
                <c:formatCode>###0.00</c:formatCode>
                <c:ptCount val="3"/>
                <c:pt idx="0">
                  <c:v>4.9147196261682176</c:v>
                </c:pt>
                <c:pt idx="1">
                  <c:v>5.0501750291715251</c:v>
                </c:pt>
                <c:pt idx="2">
                  <c:v>4.76436107854631</c:v>
                </c:pt>
              </c:numCache>
            </c:numRef>
          </c:val>
          <c:extLst>
            <c:ext xmlns:c16="http://schemas.microsoft.com/office/drawing/2014/chart" uri="{C3380CC4-5D6E-409C-BE32-E72D297353CC}">
              <c16:uniqueId val="{00000001-86D2-4E2E-9E85-C81A60F19181}"/>
            </c:ext>
          </c:extLst>
        </c:ser>
        <c:ser>
          <c:idx val="2"/>
          <c:order val="2"/>
          <c:tx>
            <c:strRef>
              <c:f>'2013'!$D$182</c:f>
              <c:strCache>
                <c:ptCount val="1"/>
                <c:pt idx="0">
                  <c:v>2014 Opened</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'2013'!$A$183:$A$185</c:f>
              <c:strCache>
                <c:ptCount val="3"/>
                <c:pt idx="0">
                  <c:v>Current Living Arrangement</c:v>
                </c:pt>
                <c:pt idx="1">
                  <c:v>Health</c:v>
                </c:pt>
                <c:pt idx="2">
                  <c:v>Emotional Status</c:v>
                </c:pt>
              </c:strCache>
            </c:strRef>
          </c:cat>
          <c:val>
            <c:numRef>
              <c:f>'2013'!$D$183:$D$185</c:f>
              <c:numCache>
                <c:formatCode>###0.00</c:formatCode>
                <c:ptCount val="3"/>
                <c:pt idx="0">
                  <c:v>3.85</c:v>
                </c:pt>
                <c:pt idx="1">
                  <c:v>4.51</c:v>
                </c:pt>
                <c:pt idx="2">
                  <c:v>4.18</c:v>
                </c:pt>
              </c:numCache>
            </c:numRef>
          </c:val>
          <c:extLst>
            <c:ext xmlns:c16="http://schemas.microsoft.com/office/drawing/2014/chart" uri="{C3380CC4-5D6E-409C-BE32-E72D297353CC}">
              <c16:uniqueId val="{00000002-86D2-4E2E-9E85-C81A60F19181}"/>
            </c:ext>
          </c:extLst>
        </c:ser>
        <c:ser>
          <c:idx val="3"/>
          <c:order val="3"/>
          <c:tx>
            <c:strRef>
              <c:f>'2013'!$E$182</c:f>
              <c:strCache>
                <c:ptCount val="1"/>
                <c:pt idx="0">
                  <c:v>2014 Closed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'2013'!$A$183:$A$185</c:f>
              <c:strCache>
                <c:ptCount val="3"/>
                <c:pt idx="0">
                  <c:v>Current Living Arrangement</c:v>
                </c:pt>
                <c:pt idx="1">
                  <c:v>Health</c:v>
                </c:pt>
                <c:pt idx="2">
                  <c:v>Emotional Status</c:v>
                </c:pt>
              </c:strCache>
            </c:strRef>
          </c:cat>
          <c:val>
            <c:numRef>
              <c:f>'2013'!$E$183:$E$185</c:f>
              <c:numCache>
                <c:formatCode>###0.00</c:formatCode>
                <c:ptCount val="3"/>
                <c:pt idx="0">
                  <c:v>4.8899999999999997</c:v>
                </c:pt>
                <c:pt idx="1">
                  <c:v>5.1100000000000003</c:v>
                </c:pt>
                <c:pt idx="2">
                  <c:v>4.8099999999999996</c:v>
                </c:pt>
              </c:numCache>
            </c:numRef>
          </c:val>
          <c:extLst>
            <c:ext xmlns:c16="http://schemas.microsoft.com/office/drawing/2014/chart" uri="{C3380CC4-5D6E-409C-BE32-E72D297353CC}">
              <c16:uniqueId val="{00000003-86D2-4E2E-9E85-C81A60F19181}"/>
            </c:ext>
          </c:extLst>
        </c:ser>
        <c:ser>
          <c:idx val="4"/>
          <c:order val="4"/>
          <c:tx>
            <c:strRef>
              <c:f>'2013'!$F$182</c:f>
              <c:strCache>
                <c:ptCount val="1"/>
                <c:pt idx="0">
                  <c:v>2015 Opened</c:v>
                </c:pt>
              </c:strCache>
            </c:strRef>
          </c:tx>
          <c:spPr>
            <a:solidFill>
              <a:schemeClr val="accent3">
                <a:lumMod val="20000"/>
                <a:lumOff val="80000"/>
              </a:schemeClr>
            </a:solidFill>
            <a:ln>
              <a:noFill/>
            </a:ln>
            <a:effectLst/>
          </c:spPr>
          <c:invertIfNegative val="0"/>
          <c:dLbls>
            <c:dLbl>
              <c:idx val="0"/>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6D2-4E2E-9E85-C81A60F1918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'2013'!$A$183:$A$185</c:f>
              <c:strCache>
                <c:ptCount val="3"/>
                <c:pt idx="0">
                  <c:v>Current Living Arrangement</c:v>
                </c:pt>
                <c:pt idx="1">
                  <c:v>Health</c:v>
                </c:pt>
                <c:pt idx="2">
                  <c:v>Emotional Status</c:v>
                </c:pt>
              </c:strCache>
            </c:strRef>
          </c:cat>
          <c:val>
            <c:numRef>
              <c:f>'2013'!$F$183:$F$185</c:f>
              <c:numCache>
                <c:formatCode>General</c:formatCode>
                <c:ptCount val="3"/>
                <c:pt idx="0">
                  <c:v>3.88</c:v>
                </c:pt>
                <c:pt idx="1">
                  <c:v>4.38</c:v>
                </c:pt>
                <c:pt idx="2">
                  <c:v>4.24</c:v>
                </c:pt>
              </c:numCache>
            </c:numRef>
          </c:val>
          <c:extLst>
            <c:ext xmlns:c16="http://schemas.microsoft.com/office/drawing/2014/chart" uri="{C3380CC4-5D6E-409C-BE32-E72D297353CC}">
              <c16:uniqueId val="{00000005-86D2-4E2E-9E85-C81A60F19181}"/>
            </c:ext>
          </c:extLst>
        </c:ser>
        <c:ser>
          <c:idx val="5"/>
          <c:order val="5"/>
          <c:tx>
            <c:strRef>
              <c:f>'2013'!$G$182</c:f>
              <c:strCache>
                <c:ptCount val="1"/>
                <c:pt idx="0">
                  <c:v>2015 Closed</c:v>
                </c:pt>
              </c:strCache>
            </c:strRef>
          </c:tx>
          <c:spPr>
            <a:solidFill>
              <a:schemeClr val="accent3"/>
            </a:solidFill>
            <a:ln>
              <a:noFill/>
            </a:ln>
            <a:effectLst/>
          </c:spPr>
          <c:invertIfNegative val="0"/>
          <c:dLbls>
            <c:dLbl>
              <c:idx val="0"/>
              <c:layout>
                <c:manualLayout>
                  <c:x val="3.2895256581706249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6D2-4E2E-9E85-C81A60F1918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'2013'!$A$183:$A$185</c:f>
              <c:strCache>
                <c:ptCount val="3"/>
                <c:pt idx="0">
                  <c:v>Current Living Arrangement</c:v>
                </c:pt>
                <c:pt idx="1">
                  <c:v>Health</c:v>
                </c:pt>
                <c:pt idx="2">
                  <c:v>Emotional Status</c:v>
                </c:pt>
              </c:strCache>
            </c:strRef>
          </c:cat>
          <c:val>
            <c:numRef>
              <c:f>'2013'!$G$183:$G$185</c:f>
              <c:numCache>
                <c:formatCode>0.00</c:formatCode>
                <c:ptCount val="3"/>
                <c:pt idx="0">
                  <c:v>4.92</c:v>
                </c:pt>
                <c:pt idx="1">
                  <c:v>5.13</c:v>
                </c:pt>
                <c:pt idx="2">
                  <c:v>4.9000000000000004</c:v>
                </c:pt>
              </c:numCache>
            </c:numRef>
          </c:val>
          <c:extLst>
            <c:ext xmlns:c16="http://schemas.microsoft.com/office/drawing/2014/chart" uri="{C3380CC4-5D6E-409C-BE32-E72D297353CC}">
              <c16:uniqueId val="{00000007-86D2-4E2E-9E85-C81A60F19181}"/>
            </c:ext>
          </c:extLst>
        </c:ser>
        <c:ser>
          <c:idx val="6"/>
          <c:order val="6"/>
          <c:tx>
            <c:strRef>
              <c:f>'2013'!$H$182</c:f>
              <c:strCache>
                <c:ptCount val="1"/>
                <c:pt idx="0">
                  <c:v>2016 Opened</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'2013'!$A$183:$A$185</c:f>
              <c:strCache>
                <c:ptCount val="3"/>
                <c:pt idx="0">
                  <c:v>Current Living Arrangement</c:v>
                </c:pt>
                <c:pt idx="1">
                  <c:v>Health</c:v>
                </c:pt>
                <c:pt idx="2">
                  <c:v>Emotional Status</c:v>
                </c:pt>
              </c:strCache>
            </c:strRef>
          </c:cat>
          <c:val>
            <c:numRef>
              <c:f>'2013'!$H$183:$H$185</c:f>
              <c:numCache>
                <c:formatCode>General</c:formatCode>
                <c:ptCount val="3"/>
                <c:pt idx="0" formatCode="###0.00">
                  <c:v>3.95</c:v>
                </c:pt>
                <c:pt idx="1">
                  <c:v>4.58</c:v>
                </c:pt>
                <c:pt idx="2">
                  <c:v>4.2300000000000004</c:v>
                </c:pt>
              </c:numCache>
            </c:numRef>
          </c:val>
          <c:extLst>
            <c:ext xmlns:c16="http://schemas.microsoft.com/office/drawing/2014/chart" uri="{C3380CC4-5D6E-409C-BE32-E72D297353CC}">
              <c16:uniqueId val="{00000008-86D2-4E2E-9E85-C81A60F19181}"/>
            </c:ext>
          </c:extLst>
        </c:ser>
        <c:ser>
          <c:idx val="7"/>
          <c:order val="7"/>
          <c:tx>
            <c:strRef>
              <c:f>'2013'!$I$182</c:f>
              <c:strCache>
                <c:ptCount val="1"/>
                <c:pt idx="0">
                  <c:v>2016 Closed</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'2013'!$A$183:$A$185</c:f>
              <c:strCache>
                <c:ptCount val="3"/>
                <c:pt idx="0">
                  <c:v>Current Living Arrangement</c:v>
                </c:pt>
                <c:pt idx="1">
                  <c:v>Health</c:v>
                </c:pt>
                <c:pt idx="2">
                  <c:v>Emotional Status</c:v>
                </c:pt>
              </c:strCache>
            </c:strRef>
          </c:cat>
          <c:val>
            <c:numRef>
              <c:f>'2013'!$I$183:$I$185</c:f>
              <c:numCache>
                <c:formatCode>General</c:formatCode>
                <c:ptCount val="3"/>
                <c:pt idx="0" formatCode="###0.00">
                  <c:v>4.9800000000000004</c:v>
                </c:pt>
                <c:pt idx="1">
                  <c:v>5.16</c:v>
                </c:pt>
                <c:pt idx="2">
                  <c:v>4.95</c:v>
                </c:pt>
              </c:numCache>
            </c:numRef>
          </c:val>
          <c:extLst>
            <c:ext xmlns:c16="http://schemas.microsoft.com/office/drawing/2014/chart" uri="{C3380CC4-5D6E-409C-BE32-E72D297353CC}">
              <c16:uniqueId val="{00000009-86D2-4E2E-9E85-C81A60F19181}"/>
            </c:ext>
          </c:extLst>
        </c:ser>
        <c:ser>
          <c:idx val="8"/>
          <c:order val="8"/>
          <c:tx>
            <c:strRef>
              <c:f>'2013'!$J$182</c:f>
              <c:strCache>
                <c:ptCount val="1"/>
                <c:pt idx="0">
                  <c:v>2017 Opened</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'2013'!$A$183:$A$185</c:f>
              <c:strCache>
                <c:ptCount val="3"/>
                <c:pt idx="0">
                  <c:v>Current Living Arrangement</c:v>
                </c:pt>
                <c:pt idx="1">
                  <c:v>Health</c:v>
                </c:pt>
                <c:pt idx="2">
                  <c:v>Emotional Status</c:v>
                </c:pt>
              </c:strCache>
            </c:strRef>
          </c:cat>
          <c:val>
            <c:numRef>
              <c:f>'2013'!$J$183:$J$185</c:f>
              <c:numCache>
                <c:formatCode>0.00</c:formatCode>
                <c:ptCount val="3"/>
                <c:pt idx="0">
                  <c:v>3.76</c:v>
                </c:pt>
                <c:pt idx="1">
                  <c:v>4.51</c:v>
                </c:pt>
                <c:pt idx="2">
                  <c:v>4.07</c:v>
                </c:pt>
              </c:numCache>
            </c:numRef>
          </c:val>
          <c:extLst>
            <c:ext xmlns:c16="http://schemas.microsoft.com/office/drawing/2014/chart" uri="{C3380CC4-5D6E-409C-BE32-E72D297353CC}">
              <c16:uniqueId val="{0000000A-86D2-4E2E-9E85-C81A60F19181}"/>
            </c:ext>
          </c:extLst>
        </c:ser>
        <c:ser>
          <c:idx val="9"/>
          <c:order val="9"/>
          <c:tx>
            <c:strRef>
              <c:f>'2013'!$K$182</c:f>
              <c:strCache>
                <c:ptCount val="1"/>
                <c:pt idx="0">
                  <c:v>2017 Closed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'2013'!$A$183:$A$185</c:f>
              <c:strCache>
                <c:ptCount val="3"/>
                <c:pt idx="0">
                  <c:v>Current Living Arrangement</c:v>
                </c:pt>
                <c:pt idx="1">
                  <c:v>Health</c:v>
                </c:pt>
                <c:pt idx="2">
                  <c:v>Emotional Status</c:v>
                </c:pt>
              </c:strCache>
            </c:strRef>
          </c:cat>
          <c:val>
            <c:numRef>
              <c:f>'2013'!$K$183:$K$185</c:f>
              <c:numCache>
                <c:formatCode>0.00</c:formatCode>
                <c:ptCount val="3"/>
                <c:pt idx="0">
                  <c:v>4.97</c:v>
                </c:pt>
                <c:pt idx="1">
                  <c:v>5.21</c:v>
                </c:pt>
                <c:pt idx="2">
                  <c:v>4.96</c:v>
                </c:pt>
              </c:numCache>
            </c:numRef>
          </c:val>
          <c:extLst>
            <c:ext xmlns:c16="http://schemas.microsoft.com/office/drawing/2014/chart" uri="{C3380CC4-5D6E-409C-BE32-E72D297353CC}">
              <c16:uniqueId val="{0000000B-86D2-4E2E-9E85-C81A60F19181}"/>
            </c:ext>
          </c:extLst>
        </c:ser>
        <c:ser>
          <c:idx val="10"/>
          <c:order val="10"/>
          <c:tx>
            <c:strRef>
              <c:f>'2013'!$L$182</c:f>
              <c:strCache>
                <c:ptCount val="1"/>
                <c:pt idx="0">
                  <c:v>2018 Opened</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'2013'!$A$183:$A$185</c:f>
              <c:strCache>
                <c:ptCount val="3"/>
                <c:pt idx="0">
                  <c:v>Current Living Arrangement</c:v>
                </c:pt>
                <c:pt idx="1">
                  <c:v>Health</c:v>
                </c:pt>
                <c:pt idx="2">
                  <c:v>Emotional Status</c:v>
                </c:pt>
              </c:strCache>
            </c:strRef>
          </c:cat>
          <c:val>
            <c:numRef>
              <c:f>'2013'!$L$183:$L$185</c:f>
              <c:numCache>
                <c:formatCode>0.00</c:formatCode>
                <c:ptCount val="3"/>
                <c:pt idx="0">
                  <c:v>3.74</c:v>
                </c:pt>
                <c:pt idx="1">
                  <c:v>4.45</c:v>
                </c:pt>
                <c:pt idx="2">
                  <c:v>4.03</c:v>
                </c:pt>
              </c:numCache>
            </c:numRef>
          </c:val>
          <c:extLst>
            <c:ext xmlns:c16="http://schemas.microsoft.com/office/drawing/2014/chart" uri="{C3380CC4-5D6E-409C-BE32-E72D297353CC}">
              <c16:uniqueId val="{0000000C-86D2-4E2E-9E85-C81A60F19181}"/>
            </c:ext>
          </c:extLst>
        </c:ser>
        <c:ser>
          <c:idx val="11"/>
          <c:order val="11"/>
          <c:tx>
            <c:strRef>
              <c:f>'2013'!$M$182</c:f>
              <c:strCache>
                <c:ptCount val="1"/>
                <c:pt idx="0">
                  <c:v>2018 Closed</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'2013'!$A$183:$A$185</c:f>
              <c:strCache>
                <c:ptCount val="3"/>
                <c:pt idx="0">
                  <c:v>Current Living Arrangement</c:v>
                </c:pt>
                <c:pt idx="1">
                  <c:v>Health</c:v>
                </c:pt>
                <c:pt idx="2">
                  <c:v>Emotional Status</c:v>
                </c:pt>
              </c:strCache>
            </c:strRef>
          </c:cat>
          <c:val>
            <c:numRef>
              <c:f>'2013'!$M$183:$M$185</c:f>
              <c:numCache>
                <c:formatCode>0.00</c:formatCode>
                <c:ptCount val="3"/>
                <c:pt idx="0">
                  <c:v>5.03</c:v>
                </c:pt>
                <c:pt idx="1">
                  <c:v>5.2</c:v>
                </c:pt>
                <c:pt idx="2">
                  <c:v>4.95</c:v>
                </c:pt>
              </c:numCache>
            </c:numRef>
          </c:val>
          <c:extLst>
            <c:ext xmlns:c16="http://schemas.microsoft.com/office/drawing/2014/chart" uri="{C3380CC4-5D6E-409C-BE32-E72D297353CC}">
              <c16:uniqueId val="{0000000D-86D2-4E2E-9E85-C81A60F19181}"/>
            </c:ext>
          </c:extLst>
        </c:ser>
        <c:dLbls>
          <c:showLegendKey val="0"/>
          <c:showVal val="0"/>
          <c:showCatName val="0"/>
          <c:showSerName val="0"/>
          <c:showPercent val="0"/>
          <c:showBubbleSize val="0"/>
        </c:dLbls>
        <c:gapWidth val="77"/>
        <c:overlap val="-3"/>
        <c:axId val="-1167637728"/>
        <c:axId val="-1167644256"/>
      </c:barChart>
      <c:catAx>
        <c:axId val="-1167637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644256"/>
        <c:crosses val="autoZero"/>
        <c:auto val="1"/>
        <c:lblAlgn val="ctr"/>
        <c:lblOffset val="100"/>
        <c:noMultiLvlLbl val="0"/>
      </c:catAx>
      <c:valAx>
        <c:axId val="-1167644256"/>
        <c:scaling>
          <c:orientation val="minMax"/>
        </c:scaling>
        <c:delete val="0"/>
        <c:axPos val="l"/>
        <c:majorGridlines>
          <c:spPr>
            <a:ln w="9525" cap="flat" cmpd="sng" algn="ctr">
              <a:solidFill>
                <a:schemeClr val="tx1">
                  <a:lumMod val="15000"/>
                  <a:lumOff val="85000"/>
                </a:schemeClr>
              </a:solidFill>
              <a:round/>
            </a:ln>
            <a:effectLst/>
          </c:spPr>
        </c:majorGridlines>
        <c:numFmt formatCode="0_);\(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637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DCS Funding</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058562613558398"/>
          <c:y val="0.13142368530837273"/>
          <c:w val="0.86594770744411853"/>
          <c:h val="0.73932379142262394"/>
        </c:manualLayout>
      </c:layout>
      <c:lineChart>
        <c:grouping val="standard"/>
        <c:varyColors val="0"/>
        <c:ser>
          <c:idx val="0"/>
          <c:order val="0"/>
          <c:tx>
            <c:strRef>
              <c:f>'$ data for charts'!$A$19</c:f>
              <c:strCache>
                <c:ptCount val="1"/>
                <c:pt idx="0">
                  <c:v>State and other</c:v>
                </c:pt>
              </c:strCache>
            </c:strRef>
          </c:tx>
          <c:spPr>
            <a:ln w="28575" cap="rnd">
              <a:solidFill>
                <a:schemeClr val="accent1"/>
              </a:solidFill>
              <a:round/>
            </a:ln>
            <a:effectLst/>
          </c:spPr>
          <c:marker>
            <c:symbol val="none"/>
          </c:marker>
          <c:cat>
            <c:numRef>
              <c:f>'$ data for charts'!$B$18:$H$18</c:f>
              <c:numCache>
                <c:formatCode>General</c:formatCode>
                <c:ptCount val="7"/>
                <c:pt idx="0">
                  <c:v>2013</c:v>
                </c:pt>
                <c:pt idx="1">
                  <c:v>2014</c:v>
                </c:pt>
                <c:pt idx="2">
                  <c:v>2015</c:v>
                </c:pt>
                <c:pt idx="3">
                  <c:v>2016</c:v>
                </c:pt>
                <c:pt idx="4">
                  <c:v>2017</c:v>
                </c:pt>
                <c:pt idx="5">
                  <c:v>2018</c:v>
                </c:pt>
                <c:pt idx="6">
                  <c:v>2019</c:v>
                </c:pt>
              </c:numCache>
            </c:numRef>
          </c:cat>
          <c:val>
            <c:numRef>
              <c:f>'$ data for charts'!$B$19:$H$19</c:f>
              <c:numCache>
                <c:formatCode>_("$"* #,##0.00_);_("$"* \(#,##0.00\);_("$"* "-"??_);_(@_)</c:formatCode>
                <c:ptCount val="7"/>
                <c:pt idx="0">
                  <c:v>401585435.15000057</c:v>
                </c:pt>
                <c:pt idx="1">
                  <c:v>509650602.20999879</c:v>
                </c:pt>
                <c:pt idx="2">
                  <c:v>528364618.77399939</c:v>
                </c:pt>
                <c:pt idx="3">
                  <c:v>444724695.37500226</c:v>
                </c:pt>
                <c:pt idx="4">
                  <c:v>771466968.55000174</c:v>
                </c:pt>
                <c:pt idx="5">
                  <c:v>856258304.33000004</c:v>
                </c:pt>
                <c:pt idx="6">
                  <c:v>850906395.11000013</c:v>
                </c:pt>
              </c:numCache>
            </c:numRef>
          </c:val>
          <c:smooth val="0"/>
          <c:extLst>
            <c:ext xmlns:c16="http://schemas.microsoft.com/office/drawing/2014/chart" uri="{C3380CC4-5D6E-409C-BE32-E72D297353CC}">
              <c16:uniqueId val="{00000000-8401-4B4D-8C0D-BD11F44D8A52}"/>
            </c:ext>
          </c:extLst>
        </c:ser>
        <c:ser>
          <c:idx val="1"/>
          <c:order val="1"/>
          <c:tx>
            <c:strRef>
              <c:f>'$ data for charts'!$A$20</c:f>
              <c:strCache>
                <c:ptCount val="1"/>
                <c:pt idx="0">
                  <c:v>Other Fed</c:v>
                </c:pt>
              </c:strCache>
            </c:strRef>
          </c:tx>
          <c:spPr>
            <a:ln w="28575" cap="rnd">
              <a:solidFill>
                <a:schemeClr val="accent2"/>
              </a:solidFill>
              <a:round/>
            </a:ln>
            <a:effectLst/>
          </c:spPr>
          <c:marker>
            <c:symbol val="none"/>
          </c:marker>
          <c:cat>
            <c:numRef>
              <c:f>'$ data for charts'!$B$18:$H$18</c:f>
              <c:numCache>
                <c:formatCode>General</c:formatCode>
                <c:ptCount val="7"/>
                <c:pt idx="0">
                  <c:v>2013</c:v>
                </c:pt>
                <c:pt idx="1">
                  <c:v>2014</c:v>
                </c:pt>
                <c:pt idx="2">
                  <c:v>2015</c:v>
                </c:pt>
                <c:pt idx="3">
                  <c:v>2016</c:v>
                </c:pt>
                <c:pt idx="4">
                  <c:v>2017</c:v>
                </c:pt>
                <c:pt idx="5">
                  <c:v>2018</c:v>
                </c:pt>
                <c:pt idx="6">
                  <c:v>2019</c:v>
                </c:pt>
              </c:numCache>
            </c:numRef>
          </c:cat>
          <c:val>
            <c:numRef>
              <c:f>'$ data for charts'!$B$20:$H$20</c:f>
              <c:numCache>
                <c:formatCode>_("$"* #,##0.00_);_("$"* \(#,##0.00\);_("$"* "-"??_);_(@_)</c:formatCode>
                <c:ptCount val="7"/>
                <c:pt idx="0">
                  <c:v>61569274.589999989</c:v>
                </c:pt>
                <c:pt idx="1">
                  <c:v>25206398.830000002</c:v>
                </c:pt>
                <c:pt idx="2">
                  <c:v>40435044.21100001</c:v>
                </c:pt>
                <c:pt idx="3">
                  <c:v>75329228.519999966</c:v>
                </c:pt>
                <c:pt idx="4">
                  <c:v>52758872.840000011</c:v>
                </c:pt>
                <c:pt idx="5">
                  <c:v>58279621.439999998</c:v>
                </c:pt>
                <c:pt idx="6">
                  <c:v>48997656.420000002</c:v>
                </c:pt>
              </c:numCache>
            </c:numRef>
          </c:val>
          <c:smooth val="0"/>
          <c:extLst>
            <c:ext xmlns:c16="http://schemas.microsoft.com/office/drawing/2014/chart" uri="{C3380CC4-5D6E-409C-BE32-E72D297353CC}">
              <c16:uniqueId val="{00000001-8401-4B4D-8C0D-BD11F44D8A52}"/>
            </c:ext>
          </c:extLst>
        </c:ser>
        <c:ser>
          <c:idx val="2"/>
          <c:order val="2"/>
          <c:tx>
            <c:strRef>
              <c:f>'$ data for charts'!$A$21</c:f>
              <c:strCache>
                <c:ptCount val="1"/>
                <c:pt idx="0">
                  <c:v>IVD</c:v>
                </c:pt>
              </c:strCache>
            </c:strRef>
          </c:tx>
          <c:spPr>
            <a:ln w="28575" cap="rnd">
              <a:solidFill>
                <a:schemeClr val="accent3"/>
              </a:solidFill>
              <a:round/>
            </a:ln>
            <a:effectLst/>
          </c:spPr>
          <c:marker>
            <c:symbol val="none"/>
          </c:marker>
          <c:cat>
            <c:numRef>
              <c:f>'$ data for charts'!$B$18:$H$18</c:f>
              <c:numCache>
                <c:formatCode>General</c:formatCode>
                <c:ptCount val="7"/>
                <c:pt idx="0">
                  <c:v>2013</c:v>
                </c:pt>
                <c:pt idx="1">
                  <c:v>2014</c:v>
                </c:pt>
                <c:pt idx="2">
                  <c:v>2015</c:v>
                </c:pt>
                <c:pt idx="3">
                  <c:v>2016</c:v>
                </c:pt>
                <c:pt idx="4">
                  <c:v>2017</c:v>
                </c:pt>
                <c:pt idx="5">
                  <c:v>2018</c:v>
                </c:pt>
                <c:pt idx="6">
                  <c:v>2019</c:v>
                </c:pt>
              </c:numCache>
            </c:numRef>
          </c:cat>
          <c:val>
            <c:numRef>
              <c:f>'$ data for charts'!$B$21:$H$21</c:f>
              <c:numCache>
                <c:formatCode>_("$"* #,##0.00_);_("$"* \(#,##0.00\);_("$"* "-"??_);_(@_)</c:formatCode>
                <c:ptCount val="7"/>
                <c:pt idx="0">
                  <c:v>81367416.139999971</c:v>
                </c:pt>
                <c:pt idx="1">
                  <c:v>82026640.309999987</c:v>
                </c:pt>
                <c:pt idx="2">
                  <c:v>86351107.469999999</c:v>
                </c:pt>
                <c:pt idx="3">
                  <c:v>82459691.430000037</c:v>
                </c:pt>
                <c:pt idx="4">
                  <c:v>81614994.919999927</c:v>
                </c:pt>
                <c:pt idx="5">
                  <c:v>83240441.780000001</c:v>
                </c:pt>
                <c:pt idx="6">
                  <c:v>77788322.359999999</c:v>
                </c:pt>
              </c:numCache>
            </c:numRef>
          </c:val>
          <c:smooth val="0"/>
          <c:extLst>
            <c:ext xmlns:c16="http://schemas.microsoft.com/office/drawing/2014/chart" uri="{C3380CC4-5D6E-409C-BE32-E72D297353CC}">
              <c16:uniqueId val="{00000002-8401-4B4D-8C0D-BD11F44D8A52}"/>
            </c:ext>
          </c:extLst>
        </c:ser>
        <c:ser>
          <c:idx val="3"/>
          <c:order val="3"/>
          <c:tx>
            <c:strRef>
              <c:f>'$ data for charts'!$A$22</c:f>
              <c:strCache>
                <c:ptCount val="1"/>
                <c:pt idx="0">
                  <c:v>IVE non Waiver</c:v>
                </c:pt>
              </c:strCache>
            </c:strRef>
          </c:tx>
          <c:spPr>
            <a:ln w="28575" cap="rnd">
              <a:solidFill>
                <a:schemeClr val="accent4"/>
              </a:solidFill>
              <a:round/>
            </a:ln>
            <a:effectLst/>
          </c:spPr>
          <c:marker>
            <c:symbol val="none"/>
          </c:marker>
          <c:cat>
            <c:numRef>
              <c:f>'$ data for charts'!$B$18:$H$18</c:f>
              <c:numCache>
                <c:formatCode>General</c:formatCode>
                <c:ptCount val="7"/>
                <c:pt idx="0">
                  <c:v>2013</c:v>
                </c:pt>
                <c:pt idx="1">
                  <c:v>2014</c:v>
                </c:pt>
                <c:pt idx="2">
                  <c:v>2015</c:v>
                </c:pt>
                <c:pt idx="3">
                  <c:v>2016</c:v>
                </c:pt>
                <c:pt idx="4">
                  <c:v>2017</c:v>
                </c:pt>
                <c:pt idx="5">
                  <c:v>2018</c:v>
                </c:pt>
                <c:pt idx="6">
                  <c:v>2019</c:v>
                </c:pt>
              </c:numCache>
            </c:numRef>
          </c:cat>
          <c:val>
            <c:numRef>
              <c:f>'$ data for charts'!$B$22:$H$22</c:f>
              <c:numCache>
                <c:formatCode>_("$"* #,##0.00_);_("$"* \(#,##0.00\);_("$"* "-"??_);_(@_)</c:formatCode>
                <c:ptCount val="7"/>
                <c:pt idx="0">
                  <c:v>140830328.13999999</c:v>
                </c:pt>
                <c:pt idx="1">
                  <c:v>95494569.129999995</c:v>
                </c:pt>
                <c:pt idx="2">
                  <c:v>71377081.139999986</c:v>
                </c:pt>
                <c:pt idx="3">
                  <c:v>106099122.26999998</c:v>
                </c:pt>
                <c:pt idx="4">
                  <c:v>116360046.85999998</c:v>
                </c:pt>
                <c:pt idx="5">
                  <c:v>114507306.68000001</c:v>
                </c:pt>
                <c:pt idx="6">
                  <c:v>83144556.659999996</c:v>
                </c:pt>
              </c:numCache>
            </c:numRef>
          </c:val>
          <c:smooth val="0"/>
          <c:extLst>
            <c:ext xmlns:c16="http://schemas.microsoft.com/office/drawing/2014/chart" uri="{C3380CC4-5D6E-409C-BE32-E72D297353CC}">
              <c16:uniqueId val="{00000003-8401-4B4D-8C0D-BD11F44D8A52}"/>
            </c:ext>
          </c:extLst>
        </c:ser>
        <c:ser>
          <c:idx val="4"/>
          <c:order val="4"/>
          <c:tx>
            <c:strRef>
              <c:f>'$ data for charts'!$A$23</c:f>
              <c:strCache>
                <c:ptCount val="1"/>
                <c:pt idx="0">
                  <c:v>TANF</c:v>
                </c:pt>
              </c:strCache>
            </c:strRef>
          </c:tx>
          <c:spPr>
            <a:ln w="28575" cap="rnd">
              <a:solidFill>
                <a:schemeClr val="accent5"/>
              </a:solidFill>
              <a:round/>
            </a:ln>
            <a:effectLst/>
          </c:spPr>
          <c:marker>
            <c:symbol val="none"/>
          </c:marker>
          <c:cat>
            <c:numRef>
              <c:f>'$ data for charts'!$B$18:$H$18</c:f>
              <c:numCache>
                <c:formatCode>General</c:formatCode>
                <c:ptCount val="7"/>
                <c:pt idx="0">
                  <c:v>2013</c:v>
                </c:pt>
                <c:pt idx="1">
                  <c:v>2014</c:v>
                </c:pt>
                <c:pt idx="2">
                  <c:v>2015</c:v>
                </c:pt>
                <c:pt idx="3">
                  <c:v>2016</c:v>
                </c:pt>
                <c:pt idx="4">
                  <c:v>2017</c:v>
                </c:pt>
                <c:pt idx="5">
                  <c:v>2018</c:v>
                </c:pt>
                <c:pt idx="6">
                  <c:v>2019</c:v>
                </c:pt>
              </c:numCache>
            </c:numRef>
          </c:cat>
          <c:val>
            <c:numRef>
              <c:f>'$ data for charts'!$B$23:$H$23</c:f>
              <c:numCache>
                <c:formatCode>_("$"* #,##0.00_);_("$"* \(#,##0.00\);_("$"* "-"??_);_(@_)</c:formatCode>
                <c:ptCount val="7"/>
                <c:pt idx="0">
                  <c:v>37285603.269999996</c:v>
                </c:pt>
                <c:pt idx="1">
                  <c:v>27615864.289999999</c:v>
                </c:pt>
                <c:pt idx="2">
                  <c:v>33996360.609999992</c:v>
                </c:pt>
                <c:pt idx="3">
                  <c:v>39916573.579999991</c:v>
                </c:pt>
                <c:pt idx="4">
                  <c:v>56011451.890000001</c:v>
                </c:pt>
                <c:pt idx="5">
                  <c:v>55832816.200000003</c:v>
                </c:pt>
                <c:pt idx="6">
                  <c:v>51852226.140000001</c:v>
                </c:pt>
              </c:numCache>
            </c:numRef>
          </c:val>
          <c:smooth val="0"/>
          <c:extLst>
            <c:ext xmlns:c16="http://schemas.microsoft.com/office/drawing/2014/chart" uri="{C3380CC4-5D6E-409C-BE32-E72D297353CC}">
              <c16:uniqueId val="{00000004-8401-4B4D-8C0D-BD11F44D8A52}"/>
            </c:ext>
          </c:extLst>
        </c:ser>
        <c:ser>
          <c:idx val="5"/>
          <c:order val="5"/>
          <c:tx>
            <c:strRef>
              <c:f>'$ data for charts'!$A$24</c:f>
              <c:strCache>
                <c:ptCount val="1"/>
                <c:pt idx="0">
                  <c:v>Waiver</c:v>
                </c:pt>
              </c:strCache>
            </c:strRef>
          </c:tx>
          <c:spPr>
            <a:ln w="28575" cap="rnd">
              <a:solidFill>
                <a:schemeClr val="accent6"/>
              </a:solidFill>
              <a:round/>
            </a:ln>
            <a:effectLst/>
          </c:spPr>
          <c:marker>
            <c:symbol val="none"/>
          </c:marker>
          <c:cat>
            <c:numRef>
              <c:f>'$ data for charts'!$B$18:$H$18</c:f>
              <c:numCache>
                <c:formatCode>General</c:formatCode>
                <c:ptCount val="7"/>
                <c:pt idx="0">
                  <c:v>2013</c:v>
                </c:pt>
                <c:pt idx="1">
                  <c:v>2014</c:v>
                </c:pt>
                <c:pt idx="2">
                  <c:v>2015</c:v>
                </c:pt>
                <c:pt idx="3">
                  <c:v>2016</c:v>
                </c:pt>
                <c:pt idx="4">
                  <c:v>2017</c:v>
                </c:pt>
                <c:pt idx="5">
                  <c:v>2018</c:v>
                </c:pt>
                <c:pt idx="6">
                  <c:v>2019</c:v>
                </c:pt>
              </c:numCache>
            </c:numRef>
          </c:cat>
          <c:val>
            <c:numRef>
              <c:f>'$ data for charts'!$B$24:$H$24</c:f>
              <c:numCache>
                <c:formatCode>_("$"* #,##0.00_);_("$"* \(#,##0.00\);_("$"* "-"??_);_(@_)</c:formatCode>
                <c:ptCount val="7"/>
                <c:pt idx="0">
                  <c:v>77390685</c:v>
                </c:pt>
                <c:pt idx="1">
                  <c:v>167869855</c:v>
                </c:pt>
                <c:pt idx="2">
                  <c:v>206758175</c:v>
                </c:pt>
                <c:pt idx="3">
                  <c:v>323758949</c:v>
                </c:pt>
                <c:pt idx="4">
                  <c:v>131948339</c:v>
                </c:pt>
                <c:pt idx="5">
                  <c:v>45657063.5</c:v>
                </c:pt>
                <c:pt idx="6">
                  <c:v>114731101.01000001</c:v>
                </c:pt>
              </c:numCache>
            </c:numRef>
          </c:val>
          <c:smooth val="0"/>
          <c:extLst>
            <c:ext xmlns:c16="http://schemas.microsoft.com/office/drawing/2014/chart" uri="{C3380CC4-5D6E-409C-BE32-E72D297353CC}">
              <c16:uniqueId val="{00000005-8401-4B4D-8C0D-BD11F44D8A52}"/>
            </c:ext>
          </c:extLst>
        </c:ser>
        <c:dLbls>
          <c:showLegendKey val="0"/>
          <c:showVal val="0"/>
          <c:showCatName val="0"/>
          <c:showSerName val="0"/>
          <c:showPercent val="0"/>
          <c:showBubbleSize val="0"/>
        </c:dLbls>
        <c:smooth val="0"/>
        <c:axId val="-1339096016"/>
        <c:axId val="-1339100912"/>
      </c:lineChart>
      <c:catAx>
        <c:axId val="-133909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9100912"/>
        <c:crosses val="autoZero"/>
        <c:auto val="1"/>
        <c:lblAlgn val="ctr"/>
        <c:lblOffset val="100"/>
        <c:noMultiLvlLbl val="0"/>
      </c:catAx>
      <c:valAx>
        <c:axId val="-1339100912"/>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9096016"/>
        <c:crosses val="autoZero"/>
        <c:crossBetween val="between"/>
      </c:valAx>
      <c:spPr>
        <a:noFill/>
        <a:ln>
          <a:noFill/>
        </a:ln>
        <a:effectLst/>
      </c:spPr>
    </c:plotArea>
    <c:legend>
      <c:legendPos val="b"/>
      <c:layout>
        <c:manualLayout>
          <c:xMode val="edge"/>
          <c:yMode val="edge"/>
          <c:x val="0.05"/>
          <c:y val="0.92487645940809127"/>
          <c:w val="0.9"/>
          <c:h val="7.512354059190876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Sheet1!$F$1</c:f>
              <c:strCache>
                <c:ptCount val="1"/>
                <c:pt idx="0">
                  <c:v>FCT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Sheet1!$E$2:$E$8</c:f>
              <c:strCache>
                <c:ptCount val="7"/>
                <c:pt idx="0">
                  <c:v>Preservation Services</c:v>
                </c:pt>
                <c:pt idx="1">
                  <c:v>Administrative Costs</c:v>
                </c:pt>
                <c:pt idx="2">
                  <c:v>Care of Wards in Foster Homes</c:v>
                </c:pt>
                <c:pt idx="3">
                  <c:v>Care of Wards in Institutions</c:v>
                </c:pt>
                <c:pt idx="4">
                  <c:v>External Payments</c:v>
                </c:pt>
                <c:pt idx="5">
                  <c:v>Independent Living for Wards</c:v>
                </c:pt>
                <c:pt idx="6">
                  <c:v>Miscellaneous Costs for Wards</c:v>
                </c:pt>
              </c:strCache>
            </c:strRef>
          </c:cat>
          <c:val>
            <c:numRef>
              <c:f>Sheet1!$F$2:$F$8</c:f>
              <c:numCache>
                <c:formatCode>General</c:formatCode>
                <c:ptCount val="7"/>
                <c:pt idx="0">
                  <c:v>9256</c:v>
                </c:pt>
                <c:pt idx="1">
                  <c:v>134</c:v>
                </c:pt>
                <c:pt idx="2">
                  <c:v>1139</c:v>
                </c:pt>
                <c:pt idx="3">
                  <c:v>1522</c:v>
                </c:pt>
                <c:pt idx="4">
                  <c:v>46</c:v>
                </c:pt>
                <c:pt idx="5">
                  <c:v>23</c:v>
                </c:pt>
                <c:pt idx="6">
                  <c:v>973</c:v>
                </c:pt>
              </c:numCache>
            </c:numRef>
          </c:val>
          <c:extLst>
            <c:ext xmlns:c16="http://schemas.microsoft.com/office/drawing/2014/chart" uri="{C3380CC4-5D6E-409C-BE32-E72D297353CC}">
              <c16:uniqueId val="{00000000-F4A2-4AAB-B07B-5F0BCA2F52E0}"/>
            </c:ext>
          </c:extLst>
        </c:ser>
        <c:ser>
          <c:idx val="1"/>
          <c:order val="1"/>
          <c:tx>
            <c:strRef>
              <c:f>Sheet1!$G$1</c:f>
              <c:strCache>
                <c:ptCount val="1"/>
                <c:pt idx="0">
                  <c:v>Non-FCT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Sheet1!$E$2:$E$8</c:f>
              <c:strCache>
                <c:ptCount val="7"/>
                <c:pt idx="0">
                  <c:v>Preservation Services</c:v>
                </c:pt>
                <c:pt idx="1">
                  <c:v>Administrative Costs</c:v>
                </c:pt>
                <c:pt idx="2">
                  <c:v>Care of Wards in Foster Homes</c:v>
                </c:pt>
                <c:pt idx="3">
                  <c:v>Care of Wards in Institutions</c:v>
                </c:pt>
                <c:pt idx="4">
                  <c:v>External Payments</c:v>
                </c:pt>
                <c:pt idx="5">
                  <c:v>Independent Living for Wards</c:v>
                </c:pt>
                <c:pt idx="6">
                  <c:v>Miscellaneous Costs for Wards</c:v>
                </c:pt>
              </c:strCache>
            </c:strRef>
          </c:cat>
          <c:val>
            <c:numRef>
              <c:f>Sheet1!$G$2:$G$8</c:f>
              <c:numCache>
                <c:formatCode>General</c:formatCode>
                <c:ptCount val="7"/>
                <c:pt idx="0">
                  <c:v>10539</c:v>
                </c:pt>
                <c:pt idx="1">
                  <c:v>188</c:v>
                </c:pt>
                <c:pt idx="2">
                  <c:v>1556</c:v>
                </c:pt>
                <c:pt idx="3">
                  <c:v>762</c:v>
                </c:pt>
                <c:pt idx="4">
                  <c:v>81</c:v>
                </c:pt>
                <c:pt idx="5">
                  <c:v>25</c:v>
                </c:pt>
                <c:pt idx="6">
                  <c:v>324</c:v>
                </c:pt>
              </c:numCache>
            </c:numRef>
          </c:val>
          <c:extLst>
            <c:ext xmlns:c16="http://schemas.microsoft.com/office/drawing/2014/chart" uri="{C3380CC4-5D6E-409C-BE32-E72D297353CC}">
              <c16:uniqueId val="{00000001-F4A2-4AAB-B07B-5F0BCA2F52E0}"/>
            </c:ext>
          </c:extLst>
        </c:ser>
        <c:dLbls>
          <c:showLegendKey val="0"/>
          <c:showVal val="0"/>
          <c:showCatName val="0"/>
          <c:showSerName val="0"/>
          <c:showPercent val="0"/>
          <c:showBubbleSize val="0"/>
        </c:dLbls>
        <c:gapWidth val="182"/>
        <c:axId val="-1339099824"/>
        <c:axId val="-1339094384"/>
      </c:barChart>
      <c:catAx>
        <c:axId val="-1339099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9094384"/>
        <c:crosses val="autoZero"/>
        <c:auto val="1"/>
        <c:lblAlgn val="ctr"/>
        <c:lblOffset val="100"/>
        <c:noMultiLvlLbl val="0"/>
      </c:catAx>
      <c:valAx>
        <c:axId val="-13390943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9099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FCT</c:v>
                </c:pt>
              </c:strCache>
            </c:strRef>
          </c:tx>
          <c:spPr>
            <a:solidFill>
              <a:schemeClr val="accent1"/>
            </a:solidFill>
            <a:ln>
              <a:noFill/>
            </a:ln>
            <a:effectLst/>
          </c:spPr>
          <c:invertIfNegative val="0"/>
          <c:cat>
            <c:strRef>
              <c:f>Sheet1!$A$2:$A$19</c:f>
              <c:strCache>
                <c:ptCount val="18"/>
                <c:pt idx="0">
                  <c:v>BH counseling</c:v>
                </c:pt>
                <c:pt idx="1">
                  <c:v>BX counseling</c:v>
                </c:pt>
                <c:pt idx="2">
                  <c:v>BX health services</c:v>
                </c:pt>
                <c:pt idx="3">
                  <c:v>Child caring institutions</c:v>
                </c:pt>
                <c:pt idx="4">
                  <c:v>Collaborative care host home</c:v>
                </c:pt>
                <c:pt idx="5">
                  <c:v>Comprehensive home-based services</c:v>
                </c:pt>
                <c:pt idx="6">
                  <c:v>Counseling</c:v>
                </c:pt>
                <c:pt idx="7">
                  <c:v>Court ordered paid placement</c:v>
                </c:pt>
                <c:pt idx="8">
                  <c:v>Cross-system care coordination</c:v>
                </c:pt>
                <c:pt idx="9">
                  <c:v>Day treatment</c:v>
                </c:pt>
                <c:pt idx="10">
                  <c:v>DCS foster home</c:v>
                </c:pt>
                <c:pt idx="11">
                  <c:v>Diagnostic and evaluation services</c:v>
                </c:pt>
                <c:pt idx="12">
                  <c:v>Domestic violence - victims and child</c:v>
                </c:pt>
                <c:pt idx="13">
                  <c:v>Drug testing and supplies</c:v>
                </c:pt>
                <c:pt idx="14">
                  <c:v>Family centered treatment</c:v>
                </c:pt>
                <c:pt idx="15">
                  <c:v>Family engagement programs</c:v>
                </c:pt>
                <c:pt idx="16">
                  <c:v>Functional family therapy</c:v>
                </c:pt>
                <c:pt idx="17">
                  <c:v>General products</c:v>
                </c:pt>
              </c:strCache>
            </c:strRef>
          </c:cat>
          <c:val>
            <c:numRef>
              <c:f>Sheet1!$B$2:$B$19</c:f>
              <c:numCache>
                <c:formatCode>General</c:formatCode>
                <c:ptCount val="18"/>
                <c:pt idx="0">
                  <c:v>3</c:v>
                </c:pt>
                <c:pt idx="1">
                  <c:v>18</c:v>
                </c:pt>
                <c:pt idx="2">
                  <c:v>897</c:v>
                </c:pt>
                <c:pt idx="3">
                  <c:v>211</c:v>
                </c:pt>
                <c:pt idx="4">
                  <c:v>0</c:v>
                </c:pt>
                <c:pt idx="5">
                  <c:v>716</c:v>
                </c:pt>
                <c:pt idx="6">
                  <c:v>118</c:v>
                </c:pt>
                <c:pt idx="7">
                  <c:v>0</c:v>
                </c:pt>
                <c:pt idx="8">
                  <c:v>46</c:v>
                </c:pt>
                <c:pt idx="9">
                  <c:v>68</c:v>
                </c:pt>
                <c:pt idx="10">
                  <c:v>459</c:v>
                </c:pt>
                <c:pt idx="11">
                  <c:v>19</c:v>
                </c:pt>
                <c:pt idx="12">
                  <c:v>0</c:v>
                </c:pt>
                <c:pt idx="13">
                  <c:v>0</c:v>
                </c:pt>
                <c:pt idx="14">
                  <c:v>491</c:v>
                </c:pt>
                <c:pt idx="15">
                  <c:v>0</c:v>
                </c:pt>
                <c:pt idx="16">
                  <c:v>0</c:v>
                </c:pt>
                <c:pt idx="17">
                  <c:v>159</c:v>
                </c:pt>
              </c:numCache>
            </c:numRef>
          </c:val>
          <c:extLst>
            <c:ext xmlns:c16="http://schemas.microsoft.com/office/drawing/2014/chart" uri="{C3380CC4-5D6E-409C-BE32-E72D297353CC}">
              <c16:uniqueId val="{00000000-D8E6-486A-89B0-2F3C015B3C81}"/>
            </c:ext>
          </c:extLst>
        </c:ser>
        <c:ser>
          <c:idx val="1"/>
          <c:order val="1"/>
          <c:tx>
            <c:strRef>
              <c:f>Sheet1!$C$1</c:f>
              <c:strCache>
                <c:ptCount val="1"/>
                <c:pt idx="0">
                  <c:v>Non-FCT</c:v>
                </c:pt>
              </c:strCache>
            </c:strRef>
          </c:tx>
          <c:spPr>
            <a:solidFill>
              <a:schemeClr val="accent2"/>
            </a:solidFill>
            <a:ln>
              <a:noFill/>
            </a:ln>
            <a:effectLst/>
          </c:spPr>
          <c:invertIfNegative val="0"/>
          <c:cat>
            <c:strRef>
              <c:f>Sheet1!$A$2:$A$19</c:f>
              <c:strCache>
                <c:ptCount val="18"/>
                <c:pt idx="0">
                  <c:v>BH counseling</c:v>
                </c:pt>
                <c:pt idx="1">
                  <c:v>BX counseling</c:v>
                </c:pt>
                <c:pt idx="2">
                  <c:v>BX health services</c:v>
                </c:pt>
                <c:pt idx="3">
                  <c:v>Child caring institutions</c:v>
                </c:pt>
                <c:pt idx="4">
                  <c:v>Collaborative care host home</c:v>
                </c:pt>
                <c:pt idx="5">
                  <c:v>Comprehensive home-based services</c:v>
                </c:pt>
                <c:pt idx="6">
                  <c:v>Counseling</c:v>
                </c:pt>
                <c:pt idx="7">
                  <c:v>Court ordered paid placement</c:v>
                </c:pt>
                <c:pt idx="8">
                  <c:v>Cross-system care coordination</c:v>
                </c:pt>
                <c:pt idx="9">
                  <c:v>Day treatment</c:v>
                </c:pt>
                <c:pt idx="10">
                  <c:v>DCS foster home</c:v>
                </c:pt>
                <c:pt idx="11">
                  <c:v>Diagnostic and evaluation services</c:v>
                </c:pt>
                <c:pt idx="12">
                  <c:v>Domestic violence - victims and child</c:v>
                </c:pt>
                <c:pt idx="13">
                  <c:v>Drug testing and supplies</c:v>
                </c:pt>
                <c:pt idx="14">
                  <c:v>Family centered treatment</c:v>
                </c:pt>
                <c:pt idx="15">
                  <c:v>Family engagement programs</c:v>
                </c:pt>
                <c:pt idx="16">
                  <c:v>Functional family therapy</c:v>
                </c:pt>
                <c:pt idx="17">
                  <c:v>General products</c:v>
                </c:pt>
              </c:strCache>
            </c:strRef>
          </c:cat>
          <c:val>
            <c:numRef>
              <c:f>Sheet1!$C$2:$C$19</c:f>
              <c:numCache>
                <c:formatCode>General</c:formatCode>
                <c:ptCount val="18"/>
                <c:pt idx="0">
                  <c:v>0</c:v>
                </c:pt>
                <c:pt idx="1">
                  <c:v>21</c:v>
                </c:pt>
                <c:pt idx="2">
                  <c:v>55</c:v>
                </c:pt>
                <c:pt idx="3">
                  <c:v>328</c:v>
                </c:pt>
                <c:pt idx="4">
                  <c:v>4</c:v>
                </c:pt>
                <c:pt idx="5">
                  <c:v>244</c:v>
                </c:pt>
                <c:pt idx="6">
                  <c:v>336</c:v>
                </c:pt>
                <c:pt idx="7">
                  <c:v>8</c:v>
                </c:pt>
                <c:pt idx="8">
                  <c:v>35</c:v>
                </c:pt>
                <c:pt idx="9">
                  <c:v>115</c:v>
                </c:pt>
                <c:pt idx="10">
                  <c:v>468</c:v>
                </c:pt>
                <c:pt idx="11">
                  <c:v>33</c:v>
                </c:pt>
                <c:pt idx="12">
                  <c:v>4</c:v>
                </c:pt>
                <c:pt idx="13">
                  <c:v>2</c:v>
                </c:pt>
                <c:pt idx="14">
                  <c:v>10</c:v>
                </c:pt>
                <c:pt idx="15">
                  <c:v>3</c:v>
                </c:pt>
                <c:pt idx="16">
                  <c:v>15</c:v>
                </c:pt>
                <c:pt idx="17">
                  <c:v>195</c:v>
                </c:pt>
              </c:numCache>
            </c:numRef>
          </c:val>
          <c:extLst>
            <c:ext xmlns:c16="http://schemas.microsoft.com/office/drawing/2014/chart" uri="{C3380CC4-5D6E-409C-BE32-E72D297353CC}">
              <c16:uniqueId val="{00000001-D8E6-486A-89B0-2F3C015B3C81}"/>
            </c:ext>
          </c:extLst>
        </c:ser>
        <c:dLbls>
          <c:showLegendKey val="0"/>
          <c:showVal val="0"/>
          <c:showCatName val="0"/>
          <c:showSerName val="0"/>
          <c:showPercent val="0"/>
          <c:showBubbleSize val="0"/>
        </c:dLbls>
        <c:gapWidth val="219"/>
        <c:overlap val="-27"/>
        <c:axId val="-1339093296"/>
        <c:axId val="-1339092752"/>
      </c:barChart>
      <c:catAx>
        <c:axId val="-133909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9092752"/>
        <c:crosses val="autoZero"/>
        <c:auto val="1"/>
        <c:lblAlgn val="ctr"/>
        <c:lblOffset val="100"/>
        <c:noMultiLvlLbl val="0"/>
      </c:catAx>
      <c:valAx>
        <c:axId val="-1339092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909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FCT</c:v>
          </c:tx>
          <c:spPr>
            <a:solidFill>
              <a:schemeClr val="accent1"/>
            </a:solidFill>
            <a:ln>
              <a:noFill/>
            </a:ln>
            <a:effectLst/>
          </c:spPr>
          <c:invertIfNegative val="0"/>
          <c:cat>
            <c:strRef>
              <c:f>Sheet1!$A$20:$A$36</c:f>
              <c:strCache>
                <c:ptCount val="17"/>
                <c:pt idx="0">
                  <c:v>Group home</c:v>
                </c:pt>
                <c:pt idx="1">
                  <c:v>Home-based family centered casework services</c:v>
                </c:pt>
                <c:pt idx="2">
                  <c:v>Home-based family centered therapy services</c:v>
                </c:pt>
                <c:pt idx="3">
                  <c:v>Homemaker/Parent aid</c:v>
                </c:pt>
                <c:pt idx="4">
                  <c:v>LCPA foster home</c:v>
                </c:pt>
                <c:pt idx="5">
                  <c:v>Material assistance</c:v>
                </c:pt>
                <c:pt idx="6">
                  <c:v>Med-assessment for MRO</c:v>
                </c:pt>
                <c:pt idx="7">
                  <c:v>NRAE services</c:v>
                </c:pt>
                <c:pt idx="8">
                  <c:v>Parent education</c:v>
                </c:pt>
                <c:pt idx="9">
                  <c:v>Personal allowance</c:v>
                </c:pt>
                <c:pt idx="10">
                  <c:v>Private secure</c:v>
                </c:pt>
                <c:pt idx="11">
                  <c:v>Random drug testing</c:v>
                </c:pt>
                <c:pt idx="12">
                  <c:v>Sex offender treatment</c:v>
                </c:pt>
                <c:pt idx="13">
                  <c:v>Specialized youth career training program</c:v>
                </c:pt>
                <c:pt idx="14">
                  <c:v>Substance use disorder assessment</c:v>
                </c:pt>
                <c:pt idx="15">
                  <c:v>Transition from restrictive placements (TRP)</c:v>
                </c:pt>
                <c:pt idx="16">
                  <c:v>Visitation facilitation - Parent/Child/Sibling</c:v>
                </c:pt>
              </c:strCache>
            </c:strRef>
          </c:cat>
          <c:val>
            <c:numRef>
              <c:f>Sheet1!$B$20:$B$36</c:f>
              <c:numCache>
                <c:formatCode>General</c:formatCode>
                <c:ptCount val="17"/>
                <c:pt idx="0">
                  <c:v>51</c:v>
                </c:pt>
                <c:pt idx="1">
                  <c:v>3691</c:v>
                </c:pt>
                <c:pt idx="2">
                  <c:v>2579</c:v>
                </c:pt>
                <c:pt idx="3">
                  <c:v>419</c:v>
                </c:pt>
                <c:pt idx="4">
                  <c:v>677</c:v>
                </c:pt>
                <c:pt idx="5">
                  <c:v>806</c:v>
                </c:pt>
                <c:pt idx="6">
                  <c:v>3</c:v>
                </c:pt>
                <c:pt idx="7">
                  <c:v>5</c:v>
                </c:pt>
                <c:pt idx="8">
                  <c:v>51</c:v>
                </c:pt>
                <c:pt idx="9">
                  <c:v>102</c:v>
                </c:pt>
                <c:pt idx="10">
                  <c:v>299</c:v>
                </c:pt>
                <c:pt idx="11">
                  <c:v>14</c:v>
                </c:pt>
                <c:pt idx="12">
                  <c:v>4</c:v>
                </c:pt>
                <c:pt idx="13">
                  <c:v>0</c:v>
                </c:pt>
                <c:pt idx="14">
                  <c:v>0</c:v>
                </c:pt>
                <c:pt idx="15">
                  <c:v>0</c:v>
                </c:pt>
                <c:pt idx="16">
                  <c:v>1200</c:v>
                </c:pt>
              </c:numCache>
            </c:numRef>
          </c:val>
          <c:extLst>
            <c:ext xmlns:c16="http://schemas.microsoft.com/office/drawing/2014/chart" uri="{C3380CC4-5D6E-409C-BE32-E72D297353CC}">
              <c16:uniqueId val="{00000000-E253-4719-8358-EECCDE9CBDBB}"/>
            </c:ext>
          </c:extLst>
        </c:ser>
        <c:ser>
          <c:idx val="1"/>
          <c:order val="1"/>
          <c:tx>
            <c:v>Non-FCT</c:v>
          </c:tx>
          <c:spPr>
            <a:solidFill>
              <a:schemeClr val="accent2"/>
            </a:solidFill>
            <a:ln>
              <a:noFill/>
            </a:ln>
            <a:effectLst/>
          </c:spPr>
          <c:invertIfNegative val="0"/>
          <c:cat>
            <c:strRef>
              <c:f>Sheet1!$A$20:$A$36</c:f>
              <c:strCache>
                <c:ptCount val="17"/>
                <c:pt idx="0">
                  <c:v>Group home</c:v>
                </c:pt>
                <c:pt idx="1">
                  <c:v>Home-based family centered casework services</c:v>
                </c:pt>
                <c:pt idx="2">
                  <c:v>Home-based family centered therapy services</c:v>
                </c:pt>
                <c:pt idx="3">
                  <c:v>Homemaker/Parent aid</c:v>
                </c:pt>
                <c:pt idx="4">
                  <c:v>LCPA foster home</c:v>
                </c:pt>
                <c:pt idx="5">
                  <c:v>Material assistance</c:v>
                </c:pt>
                <c:pt idx="6">
                  <c:v>Med-assessment for MRO</c:v>
                </c:pt>
                <c:pt idx="7">
                  <c:v>NRAE services</c:v>
                </c:pt>
                <c:pt idx="8">
                  <c:v>Parent education</c:v>
                </c:pt>
                <c:pt idx="9">
                  <c:v>Personal allowance</c:v>
                </c:pt>
                <c:pt idx="10">
                  <c:v>Private secure</c:v>
                </c:pt>
                <c:pt idx="11">
                  <c:v>Random drug testing</c:v>
                </c:pt>
                <c:pt idx="12">
                  <c:v>Sex offender treatment</c:v>
                </c:pt>
                <c:pt idx="13">
                  <c:v>Specialized youth career training program</c:v>
                </c:pt>
                <c:pt idx="14">
                  <c:v>Substance use disorder assessment</c:v>
                </c:pt>
                <c:pt idx="15">
                  <c:v>Transition from restrictive placements (TRP)</c:v>
                </c:pt>
                <c:pt idx="16">
                  <c:v>Visitation facilitation - Parent/Child/Sibling</c:v>
                </c:pt>
              </c:strCache>
            </c:strRef>
          </c:cat>
          <c:val>
            <c:numRef>
              <c:f>Sheet1!$C$20:$C$36</c:f>
              <c:numCache>
                <c:formatCode>General</c:formatCode>
                <c:ptCount val="17"/>
                <c:pt idx="0">
                  <c:v>109</c:v>
                </c:pt>
                <c:pt idx="1">
                  <c:v>4016</c:v>
                </c:pt>
                <c:pt idx="2">
                  <c:v>2763</c:v>
                </c:pt>
                <c:pt idx="3">
                  <c:v>688</c:v>
                </c:pt>
                <c:pt idx="4">
                  <c:v>1076</c:v>
                </c:pt>
                <c:pt idx="5">
                  <c:v>106</c:v>
                </c:pt>
                <c:pt idx="6">
                  <c:v>0</c:v>
                </c:pt>
                <c:pt idx="7">
                  <c:v>5</c:v>
                </c:pt>
                <c:pt idx="8">
                  <c:v>86</c:v>
                </c:pt>
                <c:pt idx="9">
                  <c:v>122</c:v>
                </c:pt>
                <c:pt idx="10">
                  <c:v>142</c:v>
                </c:pt>
                <c:pt idx="11">
                  <c:v>33</c:v>
                </c:pt>
                <c:pt idx="12">
                  <c:v>0</c:v>
                </c:pt>
                <c:pt idx="13">
                  <c:v>11</c:v>
                </c:pt>
                <c:pt idx="14">
                  <c:v>2</c:v>
                </c:pt>
                <c:pt idx="15">
                  <c:v>19</c:v>
                </c:pt>
                <c:pt idx="16">
                  <c:v>2421</c:v>
                </c:pt>
              </c:numCache>
            </c:numRef>
          </c:val>
          <c:extLst>
            <c:ext xmlns:c16="http://schemas.microsoft.com/office/drawing/2014/chart" uri="{C3380CC4-5D6E-409C-BE32-E72D297353CC}">
              <c16:uniqueId val="{00000001-E253-4719-8358-EECCDE9CBDBB}"/>
            </c:ext>
          </c:extLst>
        </c:ser>
        <c:dLbls>
          <c:showLegendKey val="0"/>
          <c:showVal val="0"/>
          <c:showCatName val="0"/>
          <c:showSerName val="0"/>
          <c:showPercent val="0"/>
          <c:showBubbleSize val="0"/>
        </c:dLbls>
        <c:gapWidth val="219"/>
        <c:overlap val="-27"/>
        <c:axId val="-1339092208"/>
        <c:axId val="-1230519904"/>
      </c:barChart>
      <c:catAx>
        <c:axId val="-133909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0519904"/>
        <c:crosses val="autoZero"/>
        <c:auto val="1"/>
        <c:lblAlgn val="ctr"/>
        <c:lblOffset val="100"/>
        <c:noMultiLvlLbl val="0"/>
      </c:catAx>
      <c:valAx>
        <c:axId val="-1230519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909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Sheet1!$Z$3</c:f>
              <c:strCache>
                <c:ptCount val="1"/>
                <c:pt idx="0">
                  <c:v>non- FCT</c:v>
                </c:pt>
              </c:strCache>
            </c:strRef>
          </c:tx>
          <c:spPr>
            <a:ln w="28575" cap="rnd">
              <a:solidFill>
                <a:srgbClr val="C00000"/>
              </a:solidFill>
              <a:round/>
            </a:ln>
            <a:effectLst/>
          </c:spPr>
          <c:marker>
            <c:symbol val="none"/>
          </c:marker>
          <c:trendline>
            <c:spPr>
              <a:ln w="19050" cap="rnd">
                <a:solidFill>
                  <a:srgbClr val="C00000"/>
                </a:solidFill>
                <a:prstDash val="sysDot"/>
              </a:ln>
              <a:effectLst/>
            </c:spPr>
            <c:trendlineType val="linear"/>
            <c:dispRSqr val="0"/>
            <c:dispEq val="0"/>
          </c:trendline>
          <c:cat>
            <c:strRef>
              <c:f>Sheet1!$Y$4:$Y$15</c:f>
              <c:strCache>
                <c:ptCount val="12"/>
                <c:pt idx="0">
                  <c:v>Time 1</c:v>
                </c:pt>
                <c:pt idx="1">
                  <c:v>Time 2</c:v>
                </c:pt>
                <c:pt idx="2">
                  <c:v>Time 3</c:v>
                </c:pt>
                <c:pt idx="3">
                  <c:v>Time 4</c:v>
                </c:pt>
                <c:pt idx="4">
                  <c:v>Time 5</c:v>
                </c:pt>
                <c:pt idx="5">
                  <c:v>Time 6</c:v>
                </c:pt>
                <c:pt idx="6">
                  <c:v>Time 7</c:v>
                </c:pt>
                <c:pt idx="7">
                  <c:v>Time 8</c:v>
                </c:pt>
                <c:pt idx="8">
                  <c:v>Time 9</c:v>
                </c:pt>
                <c:pt idx="9">
                  <c:v>Time 10</c:v>
                </c:pt>
                <c:pt idx="10">
                  <c:v>Time 11</c:v>
                </c:pt>
                <c:pt idx="11">
                  <c:v>Time 12</c:v>
                </c:pt>
              </c:strCache>
            </c:strRef>
          </c:cat>
          <c:val>
            <c:numRef>
              <c:f>Sheet1!$Z$4:$Z$15</c:f>
              <c:numCache>
                <c:formatCode>0.00</c:formatCode>
                <c:ptCount val="12"/>
                <c:pt idx="0">
                  <c:v>0.9</c:v>
                </c:pt>
                <c:pt idx="1">
                  <c:v>0.9</c:v>
                </c:pt>
                <c:pt idx="2">
                  <c:v>0.91</c:v>
                </c:pt>
                <c:pt idx="3">
                  <c:v>0.65</c:v>
                </c:pt>
                <c:pt idx="4">
                  <c:v>0.63</c:v>
                </c:pt>
                <c:pt idx="5">
                  <c:v>0.5</c:v>
                </c:pt>
                <c:pt idx="6">
                  <c:v>1</c:v>
                </c:pt>
                <c:pt idx="7">
                  <c:v>0.7</c:v>
                </c:pt>
                <c:pt idx="8">
                  <c:v>1.0900000000000001</c:v>
                </c:pt>
                <c:pt idx="9">
                  <c:v>1.2</c:v>
                </c:pt>
                <c:pt idx="10">
                  <c:v>1</c:v>
                </c:pt>
                <c:pt idx="11">
                  <c:v>1.66</c:v>
                </c:pt>
              </c:numCache>
            </c:numRef>
          </c:val>
          <c:smooth val="0"/>
          <c:extLst>
            <c:ext xmlns:c16="http://schemas.microsoft.com/office/drawing/2014/chart" uri="{C3380CC4-5D6E-409C-BE32-E72D297353CC}">
              <c16:uniqueId val="{00000000-6DED-4BCE-9CA8-AF1D576FE334}"/>
            </c:ext>
          </c:extLst>
        </c:ser>
        <c:ser>
          <c:idx val="1"/>
          <c:order val="1"/>
          <c:tx>
            <c:strRef>
              <c:f>Sheet1!$AA$3</c:f>
              <c:strCache>
                <c:ptCount val="1"/>
                <c:pt idx="0">
                  <c:v>FCT</c:v>
                </c:pt>
              </c:strCache>
            </c:strRef>
          </c:tx>
          <c:spPr>
            <a:ln w="28575" cap="rnd">
              <a:solidFill>
                <a:srgbClr val="1F4E79"/>
              </a:solidFill>
              <a:round/>
            </a:ln>
            <a:effectLst/>
          </c:spPr>
          <c:marker>
            <c:symbol val="none"/>
          </c:marker>
          <c:trendline>
            <c:spPr>
              <a:ln w="19050" cap="rnd">
                <a:solidFill>
                  <a:srgbClr val="1F4E79"/>
                </a:solidFill>
                <a:prstDash val="sysDot"/>
              </a:ln>
              <a:effectLst/>
            </c:spPr>
            <c:trendlineType val="linear"/>
            <c:dispRSqr val="0"/>
            <c:dispEq val="0"/>
          </c:trendline>
          <c:cat>
            <c:strRef>
              <c:f>Sheet1!$Y$4:$Y$15</c:f>
              <c:strCache>
                <c:ptCount val="12"/>
                <c:pt idx="0">
                  <c:v>Time 1</c:v>
                </c:pt>
                <c:pt idx="1">
                  <c:v>Time 2</c:v>
                </c:pt>
                <c:pt idx="2">
                  <c:v>Time 3</c:v>
                </c:pt>
                <c:pt idx="3">
                  <c:v>Time 4</c:v>
                </c:pt>
                <c:pt idx="4">
                  <c:v>Time 5</c:v>
                </c:pt>
                <c:pt idx="5">
                  <c:v>Time 6</c:v>
                </c:pt>
                <c:pt idx="6">
                  <c:v>Time 7</c:v>
                </c:pt>
                <c:pt idx="7">
                  <c:v>Time 8</c:v>
                </c:pt>
                <c:pt idx="8">
                  <c:v>Time 9</c:v>
                </c:pt>
                <c:pt idx="9">
                  <c:v>Time 10</c:v>
                </c:pt>
                <c:pt idx="10">
                  <c:v>Time 11</c:v>
                </c:pt>
                <c:pt idx="11">
                  <c:v>Time 12</c:v>
                </c:pt>
              </c:strCache>
            </c:strRef>
          </c:cat>
          <c:val>
            <c:numRef>
              <c:f>Sheet1!$AA$4:$AA$15</c:f>
              <c:numCache>
                <c:formatCode>0.00</c:formatCode>
                <c:ptCount val="12"/>
                <c:pt idx="0">
                  <c:v>1.4</c:v>
                </c:pt>
                <c:pt idx="1">
                  <c:v>0.88</c:v>
                </c:pt>
                <c:pt idx="2">
                  <c:v>1.1000000000000001</c:v>
                </c:pt>
                <c:pt idx="3">
                  <c:v>1.25</c:v>
                </c:pt>
                <c:pt idx="4">
                  <c:v>1</c:v>
                </c:pt>
                <c:pt idx="5">
                  <c:v>1.2</c:v>
                </c:pt>
                <c:pt idx="6">
                  <c:v>1.5</c:v>
                </c:pt>
                <c:pt idx="7">
                  <c:v>0.81</c:v>
                </c:pt>
                <c:pt idx="8">
                  <c:v>1.28</c:v>
                </c:pt>
                <c:pt idx="9">
                  <c:v>0.84</c:v>
                </c:pt>
                <c:pt idx="10">
                  <c:v>1.1499999999999999</c:v>
                </c:pt>
                <c:pt idx="11">
                  <c:v>1</c:v>
                </c:pt>
              </c:numCache>
            </c:numRef>
          </c:val>
          <c:smooth val="0"/>
          <c:extLst>
            <c:ext xmlns:c16="http://schemas.microsoft.com/office/drawing/2014/chart" uri="{C3380CC4-5D6E-409C-BE32-E72D297353CC}">
              <c16:uniqueId val="{00000001-6DED-4BCE-9CA8-AF1D576FE334}"/>
            </c:ext>
          </c:extLst>
        </c:ser>
        <c:dLbls>
          <c:showLegendKey val="0"/>
          <c:showVal val="0"/>
          <c:showCatName val="0"/>
          <c:showSerName val="0"/>
          <c:showPercent val="0"/>
          <c:showBubbleSize val="0"/>
        </c:dLbls>
        <c:smooth val="0"/>
        <c:axId val="-1230516096"/>
        <c:axId val="-1230515552"/>
      </c:lineChart>
      <c:catAx>
        <c:axId val="-123051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0515552"/>
        <c:crosses val="autoZero"/>
        <c:auto val="1"/>
        <c:lblAlgn val="ctr"/>
        <c:lblOffset val="100"/>
        <c:noMultiLvlLbl val="0"/>
      </c:catAx>
      <c:valAx>
        <c:axId val="-12305155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0516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419415201804922E-2"/>
          <c:y val="2.768166089965398E-2"/>
          <c:w val="0.92253950315492939"/>
          <c:h val="0.73668564785803159"/>
        </c:manualLayout>
      </c:layout>
      <c:lineChart>
        <c:grouping val="standard"/>
        <c:varyColors val="0"/>
        <c:ser>
          <c:idx val="0"/>
          <c:order val="0"/>
          <c:tx>
            <c:strRef>
              <c:f>Sheet1!$B$2</c:f>
              <c:strCache>
                <c:ptCount val="1"/>
                <c:pt idx="0">
                  <c:v>Non-FCT</c:v>
                </c:pt>
              </c:strCache>
            </c:strRef>
          </c:tx>
          <c:spPr>
            <a:ln w="28575" cap="rnd">
              <a:solidFill>
                <a:srgbClr val="C00000"/>
              </a:solidFill>
              <a:round/>
            </a:ln>
            <a:effectLst/>
          </c:spPr>
          <c:marker>
            <c:symbol val="none"/>
          </c:marker>
          <c:trendline>
            <c:spPr>
              <a:ln w="19050" cap="rnd">
                <a:solidFill>
                  <a:srgbClr val="C00000">
                    <a:alpha val="50000"/>
                  </a:srgbClr>
                </a:solidFill>
                <a:prstDash val="solid"/>
              </a:ln>
              <a:effectLst/>
            </c:spPr>
            <c:trendlineType val="linear"/>
            <c:dispRSqr val="0"/>
            <c:dispEq val="0"/>
          </c:trendline>
          <c:cat>
            <c:strRef>
              <c:f>Sheet1!$A$3:$A$14</c:f>
              <c:strCache>
                <c:ptCount val="12"/>
                <c:pt idx="0">
                  <c:v>Time 1</c:v>
                </c:pt>
                <c:pt idx="1">
                  <c:v>Time 2</c:v>
                </c:pt>
                <c:pt idx="2">
                  <c:v>Time 3</c:v>
                </c:pt>
                <c:pt idx="3">
                  <c:v>Time 4</c:v>
                </c:pt>
                <c:pt idx="4">
                  <c:v>Time 5</c:v>
                </c:pt>
                <c:pt idx="5">
                  <c:v>Time 6</c:v>
                </c:pt>
                <c:pt idx="6">
                  <c:v>Time 7</c:v>
                </c:pt>
                <c:pt idx="7">
                  <c:v>Time 8</c:v>
                </c:pt>
                <c:pt idx="8">
                  <c:v>Time 9</c:v>
                </c:pt>
                <c:pt idx="9">
                  <c:v>Time 10</c:v>
                </c:pt>
                <c:pt idx="10">
                  <c:v>Time 11</c:v>
                </c:pt>
                <c:pt idx="11">
                  <c:v>Time 12</c:v>
                </c:pt>
              </c:strCache>
            </c:strRef>
          </c:cat>
          <c:val>
            <c:numRef>
              <c:f>Sheet1!$B$3:$B$14</c:f>
              <c:numCache>
                <c:formatCode>General</c:formatCode>
                <c:ptCount val="12"/>
                <c:pt idx="0">
                  <c:v>1.51</c:v>
                </c:pt>
                <c:pt idx="1">
                  <c:v>1.52</c:v>
                </c:pt>
                <c:pt idx="2">
                  <c:v>1.1399999999999999</c:v>
                </c:pt>
                <c:pt idx="3">
                  <c:v>1.03</c:v>
                </c:pt>
                <c:pt idx="4">
                  <c:v>1.31</c:v>
                </c:pt>
                <c:pt idx="5">
                  <c:v>1.44</c:v>
                </c:pt>
                <c:pt idx="6">
                  <c:v>1.63</c:v>
                </c:pt>
                <c:pt idx="7">
                  <c:v>1.45</c:v>
                </c:pt>
                <c:pt idx="8">
                  <c:v>1.3</c:v>
                </c:pt>
                <c:pt idx="9">
                  <c:v>1.78</c:v>
                </c:pt>
                <c:pt idx="10">
                  <c:v>2.4</c:v>
                </c:pt>
                <c:pt idx="11">
                  <c:v>2.82</c:v>
                </c:pt>
              </c:numCache>
            </c:numRef>
          </c:val>
          <c:smooth val="0"/>
          <c:extLst>
            <c:ext xmlns:c16="http://schemas.microsoft.com/office/drawing/2014/chart" uri="{C3380CC4-5D6E-409C-BE32-E72D297353CC}">
              <c16:uniqueId val="{00000000-62BF-4818-A88A-D7C8AEB27E60}"/>
            </c:ext>
          </c:extLst>
        </c:ser>
        <c:ser>
          <c:idx val="1"/>
          <c:order val="1"/>
          <c:tx>
            <c:strRef>
              <c:f>Sheet1!$C$2</c:f>
              <c:strCache>
                <c:ptCount val="1"/>
                <c:pt idx="0">
                  <c:v>FCT</c:v>
                </c:pt>
              </c:strCache>
            </c:strRef>
          </c:tx>
          <c:spPr>
            <a:ln w="28575" cap="rnd">
              <a:solidFill>
                <a:srgbClr val="1F4E79"/>
              </a:solidFill>
              <a:round/>
            </a:ln>
            <a:effectLst/>
          </c:spPr>
          <c:marker>
            <c:symbol val="none"/>
          </c:marker>
          <c:trendline>
            <c:spPr>
              <a:ln w="19050" cap="rnd">
                <a:solidFill>
                  <a:srgbClr val="1F4E79">
                    <a:alpha val="50000"/>
                  </a:srgbClr>
                </a:solidFill>
                <a:prstDash val="solid"/>
              </a:ln>
              <a:effectLst/>
            </c:spPr>
            <c:trendlineType val="linear"/>
            <c:dispRSqr val="0"/>
            <c:dispEq val="0"/>
          </c:trendline>
          <c:cat>
            <c:strRef>
              <c:f>Sheet1!$A$3:$A$14</c:f>
              <c:strCache>
                <c:ptCount val="12"/>
                <c:pt idx="0">
                  <c:v>Time 1</c:v>
                </c:pt>
                <c:pt idx="1">
                  <c:v>Time 2</c:v>
                </c:pt>
                <c:pt idx="2">
                  <c:v>Time 3</c:v>
                </c:pt>
                <c:pt idx="3">
                  <c:v>Time 4</c:v>
                </c:pt>
                <c:pt idx="4">
                  <c:v>Time 5</c:v>
                </c:pt>
                <c:pt idx="5">
                  <c:v>Time 6</c:v>
                </c:pt>
                <c:pt idx="6">
                  <c:v>Time 7</c:v>
                </c:pt>
                <c:pt idx="7">
                  <c:v>Time 8</c:v>
                </c:pt>
                <c:pt idx="8">
                  <c:v>Time 9</c:v>
                </c:pt>
                <c:pt idx="9">
                  <c:v>Time 10</c:v>
                </c:pt>
                <c:pt idx="10">
                  <c:v>Time 11</c:v>
                </c:pt>
                <c:pt idx="11">
                  <c:v>Time 12</c:v>
                </c:pt>
              </c:strCache>
            </c:strRef>
          </c:cat>
          <c:val>
            <c:numRef>
              <c:f>Sheet1!$C$3:$C$14</c:f>
              <c:numCache>
                <c:formatCode>General</c:formatCode>
                <c:ptCount val="12"/>
                <c:pt idx="0">
                  <c:v>0.53</c:v>
                </c:pt>
                <c:pt idx="1">
                  <c:v>1.02</c:v>
                </c:pt>
                <c:pt idx="2">
                  <c:v>0.8</c:v>
                </c:pt>
                <c:pt idx="3">
                  <c:v>1.21</c:v>
                </c:pt>
                <c:pt idx="4">
                  <c:v>1.08</c:v>
                </c:pt>
                <c:pt idx="5">
                  <c:v>0.97</c:v>
                </c:pt>
                <c:pt idx="6">
                  <c:v>1.0900000000000001</c:v>
                </c:pt>
                <c:pt idx="7">
                  <c:v>2.08</c:v>
                </c:pt>
                <c:pt idx="8">
                  <c:v>1.1499999999999999</c:v>
                </c:pt>
                <c:pt idx="9">
                  <c:v>2.97</c:v>
                </c:pt>
                <c:pt idx="10">
                  <c:v>2.76</c:v>
                </c:pt>
                <c:pt idx="11">
                  <c:v>2.52</c:v>
                </c:pt>
              </c:numCache>
            </c:numRef>
          </c:val>
          <c:smooth val="0"/>
          <c:extLst>
            <c:ext xmlns:c16="http://schemas.microsoft.com/office/drawing/2014/chart" uri="{C3380CC4-5D6E-409C-BE32-E72D297353CC}">
              <c16:uniqueId val="{00000001-62BF-4818-A88A-D7C8AEB27E60}"/>
            </c:ext>
          </c:extLst>
        </c:ser>
        <c:dLbls>
          <c:showLegendKey val="0"/>
          <c:showVal val="0"/>
          <c:showCatName val="0"/>
          <c:showSerName val="0"/>
          <c:showPercent val="0"/>
          <c:showBubbleSize val="0"/>
        </c:dLbls>
        <c:smooth val="0"/>
        <c:axId val="-1230513920"/>
        <c:axId val="-1230519360"/>
      </c:lineChart>
      <c:catAx>
        <c:axId val="-123051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230519360"/>
        <c:crosses val="autoZero"/>
        <c:auto val="1"/>
        <c:lblAlgn val="ctr"/>
        <c:lblOffset val="100"/>
        <c:noMultiLvlLbl val="0"/>
      </c:catAx>
      <c:valAx>
        <c:axId val="-1230519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230513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'2013'!$B$182</c:f>
              <c:strCache>
                <c:ptCount val="1"/>
                <c:pt idx="0">
                  <c:v>2013 Opened</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'2013'!$A$186:$A$187</c:f>
              <c:strCache>
                <c:ptCount val="2"/>
                <c:pt idx="0">
                  <c:v>Developmental Status</c:v>
                </c:pt>
                <c:pt idx="1">
                  <c:v>Learning Status</c:v>
                </c:pt>
              </c:strCache>
            </c:strRef>
          </c:cat>
          <c:val>
            <c:numRef>
              <c:f>'2013'!$B$186:$B$187</c:f>
              <c:numCache>
                <c:formatCode>###0.00</c:formatCode>
                <c:ptCount val="2"/>
                <c:pt idx="0">
                  <c:v>4.4352806414662087</c:v>
                </c:pt>
                <c:pt idx="1">
                  <c:v>4.3302857142857052</c:v>
                </c:pt>
              </c:numCache>
            </c:numRef>
          </c:val>
          <c:extLst>
            <c:ext xmlns:c16="http://schemas.microsoft.com/office/drawing/2014/chart" uri="{C3380CC4-5D6E-409C-BE32-E72D297353CC}">
              <c16:uniqueId val="{00000000-FE34-44BE-927D-51A3397F5CFD}"/>
            </c:ext>
          </c:extLst>
        </c:ser>
        <c:ser>
          <c:idx val="1"/>
          <c:order val="1"/>
          <c:tx>
            <c:strRef>
              <c:f>'2013'!$C$182</c:f>
              <c:strCache>
                <c:ptCount val="1"/>
                <c:pt idx="0">
                  <c:v>2013 Closed</c:v>
                </c:pt>
              </c:strCache>
            </c:strRef>
          </c:tx>
          <c:spPr>
            <a:solidFill>
              <a:schemeClr val="accent1"/>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'2013'!$A$186:$A$187</c:f>
              <c:strCache>
                <c:ptCount val="2"/>
                <c:pt idx="0">
                  <c:v>Developmental Status</c:v>
                </c:pt>
                <c:pt idx="1">
                  <c:v>Learning Status</c:v>
                </c:pt>
              </c:strCache>
            </c:strRef>
          </c:cat>
          <c:val>
            <c:numRef>
              <c:f>'2013'!$C$186:$C$187</c:f>
              <c:numCache>
                <c:formatCode>###0.00</c:formatCode>
                <c:ptCount val="2"/>
                <c:pt idx="0">
                  <c:v>4.9132473622508783</c:v>
                </c:pt>
                <c:pt idx="1">
                  <c:v>4.8364705882352999</c:v>
                </c:pt>
              </c:numCache>
            </c:numRef>
          </c:val>
          <c:extLst>
            <c:ext xmlns:c16="http://schemas.microsoft.com/office/drawing/2014/chart" uri="{C3380CC4-5D6E-409C-BE32-E72D297353CC}">
              <c16:uniqueId val="{00000001-FE34-44BE-927D-51A3397F5CFD}"/>
            </c:ext>
          </c:extLst>
        </c:ser>
        <c:ser>
          <c:idx val="2"/>
          <c:order val="2"/>
          <c:tx>
            <c:strRef>
              <c:f>'2013'!$D$182</c:f>
              <c:strCache>
                <c:ptCount val="1"/>
                <c:pt idx="0">
                  <c:v>2014 Opened</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'2013'!$A$186:$A$187</c:f>
              <c:strCache>
                <c:ptCount val="2"/>
                <c:pt idx="0">
                  <c:v>Developmental Status</c:v>
                </c:pt>
                <c:pt idx="1">
                  <c:v>Learning Status</c:v>
                </c:pt>
              </c:strCache>
            </c:strRef>
          </c:cat>
          <c:val>
            <c:numRef>
              <c:f>'2013'!$D$186:$D$187</c:f>
              <c:numCache>
                <c:formatCode>###0.00</c:formatCode>
                <c:ptCount val="2"/>
                <c:pt idx="0">
                  <c:v>4.4800000000000004</c:v>
                </c:pt>
                <c:pt idx="1">
                  <c:v>4.3499999999999996</c:v>
                </c:pt>
              </c:numCache>
            </c:numRef>
          </c:val>
          <c:extLst>
            <c:ext xmlns:c16="http://schemas.microsoft.com/office/drawing/2014/chart" uri="{C3380CC4-5D6E-409C-BE32-E72D297353CC}">
              <c16:uniqueId val="{00000002-FE34-44BE-927D-51A3397F5CFD}"/>
            </c:ext>
          </c:extLst>
        </c:ser>
        <c:ser>
          <c:idx val="3"/>
          <c:order val="3"/>
          <c:tx>
            <c:strRef>
              <c:f>'2013'!$E$182</c:f>
              <c:strCache>
                <c:ptCount val="1"/>
                <c:pt idx="0">
                  <c:v>2014 Closed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'2013'!$A$186:$A$187</c:f>
              <c:strCache>
                <c:ptCount val="2"/>
                <c:pt idx="0">
                  <c:v>Developmental Status</c:v>
                </c:pt>
                <c:pt idx="1">
                  <c:v>Learning Status</c:v>
                </c:pt>
              </c:strCache>
            </c:strRef>
          </c:cat>
          <c:val>
            <c:numRef>
              <c:f>'2013'!$E$186:$E$187</c:f>
              <c:numCache>
                <c:formatCode>###0.00</c:formatCode>
                <c:ptCount val="2"/>
                <c:pt idx="0">
                  <c:v>4.99</c:v>
                </c:pt>
                <c:pt idx="1">
                  <c:v>4.88</c:v>
                </c:pt>
              </c:numCache>
            </c:numRef>
          </c:val>
          <c:extLst>
            <c:ext xmlns:c16="http://schemas.microsoft.com/office/drawing/2014/chart" uri="{C3380CC4-5D6E-409C-BE32-E72D297353CC}">
              <c16:uniqueId val="{00000003-FE34-44BE-927D-51A3397F5CFD}"/>
            </c:ext>
          </c:extLst>
        </c:ser>
        <c:ser>
          <c:idx val="4"/>
          <c:order val="4"/>
          <c:tx>
            <c:strRef>
              <c:f>'2013'!$F$182</c:f>
              <c:strCache>
                <c:ptCount val="1"/>
                <c:pt idx="0">
                  <c:v>2015 Opened</c:v>
                </c:pt>
              </c:strCache>
            </c:strRef>
          </c:tx>
          <c:spPr>
            <a:solidFill>
              <a:schemeClr val="accent3">
                <a:lumMod val="20000"/>
                <a:lumOff val="80000"/>
              </a:schemeClr>
            </a:solidFill>
            <a:ln>
              <a:noFill/>
            </a:ln>
            <a:effectLst/>
          </c:spPr>
          <c:invertIfNegative val="0"/>
          <c:dLbls>
            <c:dLbl>
              <c:idx val="0"/>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E34-44BE-927D-51A3397F5CF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'2013'!$A$186:$A$187</c:f>
              <c:strCache>
                <c:ptCount val="2"/>
                <c:pt idx="0">
                  <c:v>Developmental Status</c:v>
                </c:pt>
                <c:pt idx="1">
                  <c:v>Learning Status</c:v>
                </c:pt>
              </c:strCache>
            </c:strRef>
          </c:cat>
          <c:val>
            <c:numRef>
              <c:f>'2013'!$F$186:$F$187</c:f>
              <c:numCache>
                <c:formatCode>General</c:formatCode>
                <c:ptCount val="2"/>
                <c:pt idx="0">
                  <c:v>4.46</c:v>
                </c:pt>
                <c:pt idx="1">
                  <c:v>4.3899999999999997</c:v>
                </c:pt>
              </c:numCache>
            </c:numRef>
          </c:val>
          <c:extLst>
            <c:ext xmlns:c16="http://schemas.microsoft.com/office/drawing/2014/chart" uri="{C3380CC4-5D6E-409C-BE32-E72D297353CC}">
              <c16:uniqueId val="{00000005-FE34-44BE-927D-51A3397F5CFD}"/>
            </c:ext>
          </c:extLst>
        </c:ser>
        <c:ser>
          <c:idx val="5"/>
          <c:order val="5"/>
          <c:tx>
            <c:strRef>
              <c:f>'2013'!$G$182</c:f>
              <c:strCache>
                <c:ptCount val="1"/>
                <c:pt idx="0">
                  <c:v>2015 Closed</c:v>
                </c:pt>
              </c:strCache>
            </c:strRef>
          </c:tx>
          <c:spPr>
            <a:solidFill>
              <a:schemeClr val="accent3"/>
            </a:solidFill>
            <a:ln>
              <a:noFill/>
            </a:ln>
            <a:effectLst/>
          </c:spPr>
          <c:invertIfNegative val="0"/>
          <c:dLbls>
            <c:dLbl>
              <c:idx val="0"/>
              <c:layout>
                <c:manualLayout>
                  <c:x val="3.2895256581706249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E34-44BE-927D-51A3397F5CF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'2013'!$A$186:$A$187</c:f>
              <c:strCache>
                <c:ptCount val="2"/>
                <c:pt idx="0">
                  <c:v>Developmental Status</c:v>
                </c:pt>
                <c:pt idx="1">
                  <c:v>Learning Status</c:v>
                </c:pt>
              </c:strCache>
            </c:strRef>
          </c:cat>
          <c:val>
            <c:numRef>
              <c:f>'2013'!$G$186:$G$187</c:f>
              <c:numCache>
                <c:formatCode>0.00</c:formatCode>
                <c:ptCount val="2"/>
                <c:pt idx="0">
                  <c:v>5.01</c:v>
                </c:pt>
                <c:pt idx="1">
                  <c:v>4.91</c:v>
                </c:pt>
              </c:numCache>
            </c:numRef>
          </c:val>
          <c:extLst>
            <c:ext xmlns:c16="http://schemas.microsoft.com/office/drawing/2014/chart" uri="{C3380CC4-5D6E-409C-BE32-E72D297353CC}">
              <c16:uniqueId val="{00000007-FE34-44BE-927D-51A3397F5CFD}"/>
            </c:ext>
          </c:extLst>
        </c:ser>
        <c:ser>
          <c:idx val="6"/>
          <c:order val="6"/>
          <c:tx>
            <c:strRef>
              <c:f>'2013'!$H$182</c:f>
              <c:strCache>
                <c:ptCount val="1"/>
                <c:pt idx="0">
                  <c:v>2016 Opened</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'2013'!$A$186:$A$187</c:f>
              <c:strCache>
                <c:ptCount val="2"/>
                <c:pt idx="0">
                  <c:v>Developmental Status</c:v>
                </c:pt>
                <c:pt idx="1">
                  <c:v>Learning Status</c:v>
                </c:pt>
              </c:strCache>
            </c:strRef>
          </c:cat>
          <c:val>
            <c:numRef>
              <c:f>'2013'!$H$186:$H$187</c:f>
              <c:numCache>
                <c:formatCode>General</c:formatCode>
                <c:ptCount val="2"/>
                <c:pt idx="0">
                  <c:v>4.55</c:v>
                </c:pt>
                <c:pt idx="1">
                  <c:v>4.45</c:v>
                </c:pt>
              </c:numCache>
            </c:numRef>
          </c:val>
          <c:extLst>
            <c:ext xmlns:c16="http://schemas.microsoft.com/office/drawing/2014/chart" uri="{C3380CC4-5D6E-409C-BE32-E72D297353CC}">
              <c16:uniqueId val="{00000008-FE34-44BE-927D-51A3397F5CFD}"/>
            </c:ext>
          </c:extLst>
        </c:ser>
        <c:ser>
          <c:idx val="7"/>
          <c:order val="7"/>
          <c:tx>
            <c:strRef>
              <c:f>'2013'!$I$182</c:f>
              <c:strCache>
                <c:ptCount val="1"/>
                <c:pt idx="0">
                  <c:v>2016 Closed</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'2013'!$A$186:$A$187</c:f>
              <c:strCache>
                <c:ptCount val="2"/>
                <c:pt idx="0">
                  <c:v>Developmental Status</c:v>
                </c:pt>
                <c:pt idx="1">
                  <c:v>Learning Status</c:v>
                </c:pt>
              </c:strCache>
            </c:strRef>
          </c:cat>
          <c:val>
            <c:numRef>
              <c:f>'2013'!$I$186:$I$187</c:f>
              <c:numCache>
                <c:formatCode>General</c:formatCode>
                <c:ptCount val="2"/>
                <c:pt idx="0">
                  <c:v>5.05</c:v>
                </c:pt>
                <c:pt idx="1">
                  <c:v>4.99</c:v>
                </c:pt>
              </c:numCache>
            </c:numRef>
          </c:val>
          <c:extLst>
            <c:ext xmlns:c16="http://schemas.microsoft.com/office/drawing/2014/chart" uri="{C3380CC4-5D6E-409C-BE32-E72D297353CC}">
              <c16:uniqueId val="{00000009-FE34-44BE-927D-51A3397F5CFD}"/>
            </c:ext>
          </c:extLst>
        </c:ser>
        <c:ser>
          <c:idx val="8"/>
          <c:order val="8"/>
          <c:tx>
            <c:strRef>
              <c:f>'2013'!$J$182</c:f>
              <c:strCache>
                <c:ptCount val="1"/>
                <c:pt idx="0">
                  <c:v>2017 Opened</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'2013'!$A$186:$A$187</c:f>
              <c:strCache>
                <c:ptCount val="2"/>
                <c:pt idx="0">
                  <c:v>Developmental Status</c:v>
                </c:pt>
                <c:pt idx="1">
                  <c:v>Learning Status</c:v>
                </c:pt>
              </c:strCache>
            </c:strRef>
          </c:cat>
          <c:val>
            <c:numRef>
              <c:f>'2013'!$J$186:$J$187</c:f>
              <c:numCache>
                <c:formatCode>0.00</c:formatCode>
                <c:ptCount val="2"/>
                <c:pt idx="0">
                  <c:v>4.5</c:v>
                </c:pt>
                <c:pt idx="1">
                  <c:v>4.37</c:v>
                </c:pt>
              </c:numCache>
            </c:numRef>
          </c:val>
          <c:extLst>
            <c:ext xmlns:c16="http://schemas.microsoft.com/office/drawing/2014/chart" uri="{C3380CC4-5D6E-409C-BE32-E72D297353CC}">
              <c16:uniqueId val="{0000000A-FE34-44BE-927D-51A3397F5CFD}"/>
            </c:ext>
          </c:extLst>
        </c:ser>
        <c:ser>
          <c:idx val="9"/>
          <c:order val="9"/>
          <c:tx>
            <c:strRef>
              <c:f>'2013'!$K$182</c:f>
              <c:strCache>
                <c:ptCount val="1"/>
                <c:pt idx="0">
                  <c:v>2017 Closed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'2013'!$A$186:$A$187</c:f>
              <c:strCache>
                <c:ptCount val="2"/>
                <c:pt idx="0">
                  <c:v>Developmental Status</c:v>
                </c:pt>
                <c:pt idx="1">
                  <c:v>Learning Status</c:v>
                </c:pt>
              </c:strCache>
            </c:strRef>
          </c:cat>
          <c:val>
            <c:numRef>
              <c:f>'2013'!$K$186:$K$187</c:f>
              <c:numCache>
                <c:formatCode>0.00</c:formatCode>
                <c:ptCount val="2"/>
                <c:pt idx="0">
                  <c:v>5.12</c:v>
                </c:pt>
                <c:pt idx="1">
                  <c:v>5</c:v>
                </c:pt>
              </c:numCache>
            </c:numRef>
          </c:val>
          <c:extLst>
            <c:ext xmlns:c16="http://schemas.microsoft.com/office/drawing/2014/chart" uri="{C3380CC4-5D6E-409C-BE32-E72D297353CC}">
              <c16:uniqueId val="{0000000B-FE34-44BE-927D-51A3397F5CFD}"/>
            </c:ext>
          </c:extLst>
        </c:ser>
        <c:ser>
          <c:idx val="10"/>
          <c:order val="10"/>
          <c:tx>
            <c:strRef>
              <c:f>'2013'!$L$182</c:f>
              <c:strCache>
                <c:ptCount val="1"/>
                <c:pt idx="0">
                  <c:v>2018 Opened</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'2013'!$A$186:$A$187</c:f>
              <c:strCache>
                <c:ptCount val="2"/>
                <c:pt idx="0">
                  <c:v>Developmental Status</c:v>
                </c:pt>
                <c:pt idx="1">
                  <c:v>Learning Status</c:v>
                </c:pt>
              </c:strCache>
            </c:strRef>
          </c:cat>
          <c:val>
            <c:numRef>
              <c:f>'2013'!$L$186:$L$187</c:f>
              <c:numCache>
                <c:formatCode>0.00</c:formatCode>
                <c:ptCount val="2"/>
                <c:pt idx="0">
                  <c:v>4.43</c:v>
                </c:pt>
                <c:pt idx="1">
                  <c:v>4.3099999999999996</c:v>
                </c:pt>
              </c:numCache>
            </c:numRef>
          </c:val>
          <c:extLst>
            <c:ext xmlns:c16="http://schemas.microsoft.com/office/drawing/2014/chart" uri="{C3380CC4-5D6E-409C-BE32-E72D297353CC}">
              <c16:uniqueId val="{0000000C-FE34-44BE-927D-51A3397F5CFD}"/>
            </c:ext>
          </c:extLst>
        </c:ser>
        <c:ser>
          <c:idx val="11"/>
          <c:order val="11"/>
          <c:tx>
            <c:strRef>
              <c:f>'2013'!$M$182</c:f>
              <c:strCache>
                <c:ptCount val="1"/>
                <c:pt idx="0">
                  <c:v>2018 Closed</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'2013'!$A$186:$A$187</c:f>
              <c:strCache>
                <c:ptCount val="2"/>
                <c:pt idx="0">
                  <c:v>Developmental Status</c:v>
                </c:pt>
                <c:pt idx="1">
                  <c:v>Learning Status</c:v>
                </c:pt>
              </c:strCache>
            </c:strRef>
          </c:cat>
          <c:val>
            <c:numRef>
              <c:f>'2013'!$M$186:$M$187</c:f>
              <c:numCache>
                <c:formatCode>0.00</c:formatCode>
                <c:ptCount val="2"/>
                <c:pt idx="0">
                  <c:v>5.1100000000000003</c:v>
                </c:pt>
                <c:pt idx="1">
                  <c:v>5.03</c:v>
                </c:pt>
              </c:numCache>
            </c:numRef>
          </c:val>
          <c:extLst>
            <c:ext xmlns:c16="http://schemas.microsoft.com/office/drawing/2014/chart" uri="{C3380CC4-5D6E-409C-BE32-E72D297353CC}">
              <c16:uniqueId val="{0000000D-FE34-44BE-927D-51A3397F5CFD}"/>
            </c:ext>
          </c:extLst>
        </c:ser>
        <c:dLbls>
          <c:showLegendKey val="0"/>
          <c:showVal val="0"/>
          <c:showCatName val="0"/>
          <c:showSerName val="0"/>
          <c:showPercent val="0"/>
          <c:showBubbleSize val="0"/>
        </c:dLbls>
        <c:gapWidth val="500"/>
        <c:overlap val="-3"/>
        <c:axId val="-1167632832"/>
        <c:axId val="-1167639904"/>
      </c:barChart>
      <c:catAx>
        <c:axId val="-116763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639904"/>
        <c:crosses val="autoZero"/>
        <c:auto val="1"/>
        <c:lblAlgn val="ctr"/>
        <c:lblOffset val="100"/>
        <c:noMultiLvlLbl val="0"/>
      </c:catAx>
      <c:valAx>
        <c:axId val="-11676399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_);\(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632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4"/>
          <c:order val="0"/>
          <c:tx>
            <c:strRef>
              <c:f>'2013'!$M$282</c:f>
              <c:strCache>
                <c:ptCount val="1"/>
                <c:pt idx="0">
                  <c:v>A great deal</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'2013'!$N$277:$Q$277</c:f>
              <c:strCache>
                <c:ptCount val="4"/>
                <c:pt idx="0">
                  <c:v>I expect the Family First Prevention Services Act will improve the organizational culture within DCS. (mean=3.24)</c:v>
                </c:pt>
                <c:pt idx="1">
                  <c:v>The Family First Prevention Services Act will improve services to children and families in Indiana. (mean=3.28)</c:v>
                </c:pt>
                <c:pt idx="2">
                  <c:v>I have a full understanding of the Family First Prevention Services Act. (mean=2.66)</c:v>
                </c:pt>
                <c:pt idx="3">
                  <c:v> I am aware of the Family First Prevention Services Act. (mean=3.24)</c:v>
                </c:pt>
              </c:strCache>
            </c:strRef>
          </c:cat>
          <c:val>
            <c:numRef>
              <c:f>'2013'!$N$282:$Q$282</c:f>
              <c:numCache>
                <c:formatCode>###0.0</c:formatCode>
                <c:ptCount val="4"/>
                <c:pt idx="0">
                  <c:v>13.179916317991633</c:v>
                </c:pt>
                <c:pt idx="1">
                  <c:v>13.678756476683937</c:v>
                </c:pt>
                <c:pt idx="2">
                  <c:v>7.5809199318568998</c:v>
                </c:pt>
                <c:pt idx="3">
                  <c:v>9.5843935538592024</c:v>
                </c:pt>
              </c:numCache>
            </c:numRef>
          </c:val>
          <c:extLst>
            <c:ext xmlns:c16="http://schemas.microsoft.com/office/drawing/2014/chart" uri="{C3380CC4-5D6E-409C-BE32-E72D297353CC}">
              <c16:uniqueId val="{00000000-E3DF-479F-B3E4-83485D82EC1E}"/>
            </c:ext>
          </c:extLst>
        </c:ser>
        <c:ser>
          <c:idx val="3"/>
          <c:order val="1"/>
          <c:tx>
            <c:strRef>
              <c:f>'2013'!$M$281</c:f>
              <c:strCache>
                <c:ptCount val="1"/>
                <c:pt idx="0">
                  <c:v>Quite a bit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'2013'!$N$277:$Q$277</c:f>
              <c:strCache>
                <c:ptCount val="4"/>
                <c:pt idx="0">
                  <c:v>I expect the Family First Prevention Services Act will improve the organizational culture within DCS. (mean=3.24)</c:v>
                </c:pt>
                <c:pt idx="1">
                  <c:v>The Family First Prevention Services Act will improve services to children and families in Indiana. (mean=3.28)</c:v>
                </c:pt>
                <c:pt idx="2">
                  <c:v>I have a full understanding of the Family First Prevention Services Act. (mean=2.66)</c:v>
                </c:pt>
                <c:pt idx="3">
                  <c:v> I am aware of the Family First Prevention Services Act. (mean=3.24)</c:v>
                </c:pt>
              </c:strCache>
            </c:strRef>
          </c:cat>
          <c:val>
            <c:numRef>
              <c:f>'2013'!$N$281:$Q$281</c:f>
              <c:numCache>
                <c:formatCode>###0.0</c:formatCode>
                <c:ptCount val="4"/>
                <c:pt idx="0">
                  <c:v>28.870292887029287</c:v>
                </c:pt>
                <c:pt idx="1">
                  <c:v>29.740932642487046</c:v>
                </c:pt>
                <c:pt idx="2">
                  <c:v>17.120954003407153</c:v>
                </c:pt>
                <c:pt idx="3">
                  <c:v>20.271416454622564</c:v>
                </c:pt>
              </c:numCache>
            </c:numRef>
          </c:val>
          <c:extLst>
            <c:ext xmlns:c16="http://schemas.microsoft.com/office/drawing/2014/chart" uri="{C3380CC4-5D6E-409C-BE32-E72D297353CC}">
              <c16:uniqueId val="{00000001-E3DF-479F-B3E4-83485D82EC1E}"/>
            </c:ext>
          </c:extLst>
        </c:ser>
        <c:ser>
          <c:idx val="2"/>
          <c:order val="2"/>
          <c:tx>
            <c:strRef>
              <c:f>'2013'!$M$280</c:f>
              <c:strCache>
                <c:ptCount val="1"/>
                <c:pt idx="0">
                  <c:v>Somewhat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'2013'!$N$277:$Q$277</c:f>
              <c:strCache>
                <c:ptCount val="4"/>
                <c:pt idx="0">
                  <c:v>I expect the Family First Prevention Services Act will improve the organizational culture within DCS. (mean=3.24)</c:v>
                </c:pt>
                <c:pt idx="1">
                  <c:v>The Family First Prevention Services Act will improve services to children and families in Indiana. (mean=3.28)</c:v>
                </c:pt>
                <c:pt idx="2">
                  <c:v>I have a full understanding of the Family First Prevention Services Act. (mean=2.66)</c:v>
                </c:pt>
                <c:pt idx="3">
                  <c:v> I am aware of the Family First Prevention Services Act. (mean=3.24)</c:v>
                </c:pt>
              </c:strCache>
            </c:strRef>
          </c:cat>
          <c:val>
            <c:numRef>
              <c:f>'2013'!$N$280:$Q$280</c:f>
              <c:numCache>
                <c:formatCode>###0.0</c:formatCode>
                <c:ptCount val="4"/>
                <c:pt idx="0">
                  <c:v>37.13389121338912</c:v>
                </c:pt>
                <c:pt idx="1">
                  <c:v>36.891191709844563</c:v>
                </c:pt>
                <c:pt idx="2">
                  <c:v>33.986371379897783</c:v>
                </c:pt>
                <c:pt idx="3">
                  <c:v>37.234944868532658</c:v>
                </c:pt>
              </c:numCache>
            </c:numRef>
          </c:val>
          <c:extLst>
            <c:ext xmlns:c16="http://schemas.microsoft.com/office/drawing/2014/chart" uri="{C3380CC4-5D6E-409C-BE32-E72D297353CC}">
              <c16:uniqueId val="{00000002-E3DF-479F-B3E4-83485D82EC1E}"/>
            </c:ext>
          </c:extLst>
        </c:ser>
        <c:ser>
          <c:idx val="1"/>
          <c:order val="3"/>
          <c:tx>
            <c:strRef>
              <c:f>'2013'!$M$279</c:f>
              <c:strCache>
                <c:ptCount val="1"/>
                <c:pt idx="0">
                  <c:v>A little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'2013'!$N$277:$Q$277</c:f>
              <c:strCache>
                <c:ptCount val="4"/>
                <c:pt idx="0">
                  <c:v>I expect the Family First Prevention Services Act will improve the organizational culture within DCS. (mean=3.24)</c:v>
                </c:pt>
                <c:pt idx="1">
                  <c:v>The Family First Prevention Services Act will improve services to children and families in Indiana. (mean=3.28)</c:v>
                </c:pt>
                <c:pt idx="2">
                  <c:v>I have a full understanding of the Family First Prevention Services Act. (mean=2.66)</c:v>
                </c:pt>
                <c:pt idx="3">
                  <c:v> I am aware of the Family First Prevention Services Act. (mean=3.24)</c:v>
                </c:pt>
              </c:strCache>
            </c:strRef>
          </c:cat>
          <c:val>
            <c:numRef>
              <c:f>'2013'!$N$279:$Q$279</c:f>
              <c:numCache>
                <c:formatCode>###0.0</c:formatCode>
                <c:ptCount val="4"/>
                <c:pt idx="0">
                  <c:v>10.87866108786611</c:v>
                </c:pt>
                <c:pt idx="1">
                  <c:v>10.051813471502591</c:v>
                </c:pt>
                <c:pt idx="2">
                  <c:v>16.695059625212945</c:v>
                </c:pt>
                <c:pt idx="3">
                  <c:v>15.606446140797287</c:v>
                </c:pt>
              </c:numCache>
            </c:numRef>
          </c:val>
          <c:extLst>
            <c:ext xmlns:c16="http://schemas.microsoft.com/office/drawing/2014/chart" uri="{C3380CC4-5D6E-409C-BE32-E72D297353CC}">
              <c16:uniqueId val="{00000003-E3DF-479F-B3E4-83485D82EC1E}"/>
            </c:ext>
          </c:extLst>
        </c:ser>
        <c:ser>
          <c:idx val="0"/>
          <c:order val="4"/>
          <c:tx>
            <c:strRef>
              <c:f>'2013'!$M$278</c:f>
              <c:strCache>
                <c:ptCount val="1"/>
                <c:pt idx="0">
                  <c:v>Not at all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'2013'!$N$277:$Q$277</c:f>
              <c:strCache>
                <c:ptCount val="4"/>
                <c:pt idx="0">
                  <c:v>I expect the Family First Prevention Services Act will improve the organizational culture within DCS. (mean=3.24)</c:v>
                </c:pt>
                <c:pt idx="1">
                  <c:v>The Family First Prevention Services Act will improve services to children and families in Indiana. (mean=3.28)</c:v>
                </c:pt>
                <c:pt idx="2">
                  <c:v>I have a full understanding of the Family First Prevention Services Act. (mean=2.66)</c:v>
                </c:pt>
                <c:pt idx="3">
                  <c:v> I am aware of the Family First Prevention Services Act. (mean=3.24)</c:v>
                </c:pt>
              </c:strCache>
            </c:strRef>
          </c:cat>
          <c:val>
            <c:numRef>
              <c:f>'2013'!$N$278:$Q$278</c:f>
              <c:numCache>
                <c:formatCode>###0.0</c:formatCode>
                <c:ptCount val="4"/>
                <c:pt idx="0">
                  <c:v>9.9372384937238483</c:v>
                </c:pt>
                <c:pt idx="1">
                  <c:v>9.6373056994818658</c:v>
                </c:pt>
                <c:pt idx="2">
                  <c:v>24.616695059625211</c:v>
                </c:pt>
                <c:pt idx="3">
                  <c:v>17.302798982188293</c:v>
                </c:pt>
              </c:numCache>
            </c:numRef>
          </c:val>
          <c:extLst>
            <c:ext xmlns:c16="http://schemas.microsoft.com/office/drawing/2014/chart" uri="{C3380CC4-5D6E-409C-BE32-E72D297353CC}">
              <c16:uniqueId val="{00000004-E3DF-479F-B3E4-83485D82EC1E}"/>
            </c:ext>
          </c:extLst>
        </c:ser>
        <c:dLbls>
          <c:showLegendKey val="0"/>
          <c:showVal val="0"/>
          <c:showCatName val="0"/>
          <c:showSerName val="0"/>
          <c:showPercent val="0"/>
          <c:showBubbleSize val="0"/>
        </c:dLbls>
        <c:gapWidth val="182"/>
        <c:axId val="-1167642080"/>
        <c:axId val="-1167640992"/>
      </c:barChart>
      <c:catAx>
        <c:axId val="-1167642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67640992"/>
        <c:crosses val="autoZero"/>
        <c:auto val="1"/>
        <c:lblAlgn val="ctr"/>
        <c:lblOffset val="100"/>
        <c:noMultiLvlLbl val="0"/>
      </c:catAx>
      <c:valAx>
        <c:axId val="-116764099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642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'COMPARISON 2018 NAUE'!$A$3</c:f>
              <c:strCache>
                <c:ptCount val="1"/>
                <c:pt idx="0">
                  <c:v>Domestic/Intimate Partner Violence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NAUE'!$B$3:$G$3</c:f>
              <c:numCache>
                <c:formatCode>###0.00</c:formatCode>
                <c:ptCount val="6"/>
                <c:pt idx="0">
                  <c:v>3.3832487309644668</c:v>
                </c:pt>
                <c:pt idx="1">
                  <c:v>3.385964912280699</c:v>
                </c:pt>
                <c:pt idx="2">
                  <c:v>3.3861940298507438</c:v>
                </c:pt>
                <c:pt idx="3">
                  <c:v>3.51</c:v>
                </c:pt>
                <c:pt idx="4" formatCode="0.00">
                  <c:v>3.23</c:v>
                </c:pt>
                <c:pt idx="5" formatCode="0.00">
                  <c:v>3.3202443280977314</c:v>
                </c:pt>
              </c:numCache>
            </c:numRef>
          </c:val>
          <c:smooth val="0"/>
          <c:extLst>
            <c:ext xmlns:c16="http://schemas.microsoft.com/office/drawing/2014/chart" uri="{C3380CC4-5D6E-409C-BE32-E72D297353CC}">
              <c16:uniqueId val="{00000000-ED04-4081-8CD8-0FC676C767B9}"/>
            </c:ext>
          </c:extLst>
        </c:ser>
        <c:ser>
          <c:idx val="1"/>
          <c:order val="1"/>
          <c:tx>
            <c:strRef>
              <c:f>'COMPARISON 2018 NAUE'!$A$4</c:f>
              <c:strCache>
                <c:ptCount val="1"/>
                <c:pt idx="0">
                  <c:v>Global Funds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NAUE'!$B$4:$G$4</c:f>
              <c:numCache>
                <c:formatCode>###0.00</c:formatCode>
                <c:ptCount val="6"/>
                <c:pt idx="0">
                  <c:v>3.4649595687331538</c:v>
                </c:pt>
                <c:pt idx="1">
                  <c:v>3.5378151260504191</c:v>
                </c:pt>
                <c:pt idx="2">
                  <c:v>3.6792809839167466</c:v>
                </c:pt>
                <c:pt idx="3">
                  <c:v>3.78</c:v>
                </c:pt>
                <c:pt idx="4" formatCode="0.00">
                  <c:v>3.49</c:v>
                </c:pt>
                <c:pt idx="5" formatCode="0.00">
                  <c:v>3.7085514834205933</c:v>
                </c:pt>
              </c:numCache>
            </c:numRef>
          </c:val>
          <c:smooth val="0"/>
          <c:extLst>
            <c:ext xmlns:c16="http://schemas.microsoft.com/office/drawing/2014/chart" uri="{C3380CC4-5D6E-409C-BE32-E72D297353CC}">
              <c16:uniqueId val="{00000001-ED04-4081-8CD8-0FC676C767B9}"/>
            </c:ext>
          </c:extLst>
        </c:ser>
        <c:ser>
          <c:idx val="2"/>
          <c:order val="2"/>
          <c:tx>
            <c:strRef>
              <c:f>'COMPARISON 2018 NAUE'!$A$5</c:f>
              <c:strCache>
                <c:ptCount val="1"/>
                <c:pt idx="0">
                  <c:v>Basic Needs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NAUE'!$B$5:$G$5</c:f>
              <c:numCache>
                <c:formatCode>###0.00</c:formatCode>
                <c:ptCount val="6"/>
                <c:pt idx="0">
                  <c:v>3.7916666666666652</c:v>
                </c:pt>
                <c:pt idx="1">
                  <c:v>3.8297297297297335</c:v>
                </c:pt>
                <c:pt idx="2">
                  <c:v>3.8856088560885649</c:v>
                </c:pt>
                <c:pt idx="3">
                  <c:v>3.91</c:v>
                </c:pt>
                <c:pt idx="4" formatCode="0.00">
                  <c:v>3.92</c:v>
                </c:pt>
                <c:pt idx="5" formatCode="0.00">
                  <c:v>3.8681699913269729</c:v>
                </c:pt>
              </c:numCache>
            </c:numRef>
          </c:val>
          <c:smooth val="0"/>
          <c:extLst>
            <c:ext xmlns:c16="http://schemas.microsoft.com/office/drawing/2014/chart" uri="{C3380CC4-5D6E-409C-BE32-E72D297353CC}">
              <c16:uniqueId val="{00000002-ED04-4081-8CD8-0FC676C767B9}"/>
            </c:ext>
          </c:extLst>
        </c:ser>
        <c:ser>
          <c:idx val="3"/>
          <c:order val="3"/>
          <c:tx>
            <c:strRef>
              <c:f>'COMPARISON 2018 NAUE'!$A$6</c:f>
              <c:strCache>
                <c:ptCount val="1"/>
                <c:pt idx="0">
                  <c:v>Substance Use/Abuse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NAUE'!$B$6:$G$6</c:f>
              <c:numCache>
                <c:formatCode>###0.00</c:formatCode>
                <c:ptCount val="6"/>
                <c:pt idx="0">
                  <c:v>3.9854368932038819</c:v>
                </c:pt>
                <c:pt idx="1">
                  <c:v>4.0208333333333339</c:v>
                </c:pt>
                <c:pt idx="2">
                  <c:v>4.1203208556149669</c:v>
                </c:pt>
                <c:pt idx="3">
                  <c:v>4.24</c:v>
                </c:pt>
                <c:pt idx="4" formatCode="0.00">
                  <c:v>4.28</c:v>
                </c:pt>
                <c:pt idx="5" formatCode="0.00">
                  <c:v>4.164048865619546</c:v>
                </c:pt>
              </c:numCache>
            </c:numRef>
          </c:val>
          <c:smooth val="0"/>
          <c:extLst>
            <c:ext xmlns:c16="http://schemas.microsoft.com/office/drawing/2014/chart" uri="{C3380CC4-5D6E-409C-BE32-E72D297353CC}">
              <c16:uniqueId val="{00000003-ED04-4081-8CD8-0FC676C767B9}"/>
            </c:ext>
          </c:extLst>
        </c:ser>
        <c:ser>
          <c:idx val="4"/>
          <c:order val="4"/>
          <c:tx>
            <c:strRef>
              <c:f>'COMPARISON 2018 NAUE'!$A$7</c:f>
              <c:strCache>
                <c:ptCount val="1"/>
                <c:pt idx="0">
                  <c:v>Mental Health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NAUE'!$B$7:$G$7</c:f>
              <c:numCache>
                <c:formatCode>###0.00</c:formatCode>
                <c:ptCount val="6"/>
                <c:pt idx="0">
                  <c:v>4.0072815533980597</c:v>
                </c:pt>
                <c:pt idx="1">
                  <c:v>4.1199478487614094</c:v>
                </c:pt>
                <c:pt idx="2">
                  <c:v>4.1055456171735285</c:v>
                </c:pt>
                <c:pt idx="3">
                  <c:v>4.17</c:v>
                </c:pt>
                <c:pt idx="4" formatCode="0.00">
                  <c:v>4.13</c:v>
                </c:pt>
                <c:pt idx="5" formatCode="0.00">
                  <c:v>4.1115954664341761</c:v>
                </c:pt>
              </c:numCache>
            </c:numRef>
          </c:val>
          <c:smooth val="0"/>
          <c:extLst>
            <c:ext xmlns:c16="http://schemas.microsoft.com/office/drawing/2014/chart" uri="{C3380CC4-5D6E-409C-BE32-E72D297353CC}">
              <c16:uniqueId val="{00000004-ED04-4081-8CD8-0FC676C767B9}"/>
            </c:ext>
          </c:extLst>
        </c:ser>
        <c:ser>
          <c:idx val="5"/>
          <c:order val="5"/>
          <c:tx>
            <c:strRef>
              <c:f>'COMPARISON 2018 NAUE'!$A$8</c:f>
              <c:strCache>
                <c:ptCount val="1"/>
                <c:pt idx="0">
                  <c:v>Children's Mental Health Initiative</c:v>
                </c:pt>
              </c:strCache>
            </c:strRef>
          </c:tx>
          <c:spPr>
            <a:ln w="28575" cap="rnd">
              <a:solidFill>
                <a:schemeClr val="accent6"/>
              </a:solidFill>
              <a:prstDash val="sysDash"/>
              <a:round/>
            </a:ln>
            <a:effectLst/>
          </c:spPr>
          <c:marker>
            <c:symbol val="circle"/>
            <c:size val="5"/>
            <c:spPr>
              <a:solidFill>
                <a:schemeClr val="accent6"/>
              </a:solidFill>
              <a:ln w="9525">
                <a:solidFill>
                  <a:schemeClr val="accent6"/>
                </a:solidFill>
                <a:prstDash val="sys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NAUE'!$B$8:$G$8</c:f>
              <c:numCache>
                <c:formatCode>General</c:formatCode>
                <c:ptCount val="6"/>
                <c:pt idx="2" formatCode="###0.00">
                  <c:v>3.2680525164113807</c:v>
                </c:pt>
                <c:pt idx="3" formatCode="###0.00">
                  <c:v>3.66</c:v>
                </c:pt>
                <c:pt idx="4" formatCode="0.00">
                  <c:v>3.59</c:v>
                </c:pt>
                <c:pt idx="5" formatCode="0.00">
                  <c:v>3.5383895131086143</c:v>
                </c:pt>
              </c:numCache>
            </c:numRef>
          </c:val>
          <c:smooth val="0"/>
          <c:extLst>
            <c:ext xmlns:c16="http://schemas.microsoft.com/office/drawing/2014/chart" uri="{C3380CC4-5D6E-409C-BE32-E72D297353CC}">
              <c16:uniqueId val="{00000005-ED04-4081-8CD8-0FC676C767B9}"/>
            </c:ext>
          </c:extLst>
        </c:ser>
        <c:ser>
          <c:idx val="6"/>
          <c:order val="6"/>
          <c:tx>
            <c:strRef>
              <c:f>'COMPARISON 2018 NAUE'!$A$9</c:f>
              <c:strCache>
                <c:ptCount val="1"/>
                <c:pt idx="0">
                  <c:v>Comprehensive Home-based Services</c:v>
                </c:pt>
              </c:strCache>
            </c:strRef>
          </c:tx>
          <c:spPr>
            <a:ln w="28575" cap="rnd">
              <a:solidFill>
                <a:schemeClr val="accent1">
                  <a:lumMod val="60000"/>
                </a:schemeClr>
              </a:solidFill>
              <a:prstDash val="lgDash"/>
              <a:round/>
            </a:ln>
            <a:effectLst/>
          </c:spPr>
          <c:marker>
            <c:symbol val="circle"/>
            <c:size val="5"/>
            <c:spPr>
              <a:solidFill>
                <a:schemeClr val="accent1">
                  <a:lumMod val="60000"/>
                </a:schemeClr>
              </a:solidFill>
              <a:ln w="9525">
                <a:solidFill>
                  <a:schemeClr val="accent1">
                    <a:lumMod val="60000"/>
                  </a:schemeClr>
                </a:solidFill>
                <a:prstDash val="lg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NAUE'!$B$9:$G$9</c:f>
              <c:numCache>
                <c:formatCode>General</c:formatCode>
                <c:ptCount val="6"/>
                <c:pt idx="2" formatCode="###0.00">
                  <c:v>3.6528925619834722</c:v>
                </c:pt>
                <c:pt idx="3" formatCode="###0.00">
                  <c:v>3.83</c:v>
                </c:pt>
                <c:pt idx="4" formatCode="0.00">
                  <c:v>3.78</c:v>
                </c:pt>
                <c:pt idx="5" formatCode="0.00">
                  <c:v>3.8504672897196262</c:v>
                </c:pt>
              </c:numCache>
            </c:numRef>
          </c:val>
          <c:smooth val="0"/>
          <c:extLst>
            <c:ext xmlns:c16="http://schemas.microsoft.com/office/drawing/2014/chart" uri="{C3380CC4-5D6E-409C-BE32-E72D297353CC}">
              <c16:uniqueId val="{00000006-ED04-4081-8CD8-0FC676C767B9}"/>
            </c:ext>
          </c:extLst>
        </c:ser>
        <c:ser>
          <c:idx val="7"/>
          <c:order val="7"/>
          <c:tx>
            <c:strRef>
              <c:f>'COMPARISON 2018 NAUE'!$A$10</c:f>
              <c:strCache>
                <c:ptCount val="1"/>
                <c:pt idx="0">
                  <c:v>Family Centered Treatment</c:v>
                </c:pt>
              </c:strCache>
            </c:strRef>
          </c:tx>
          <c:spPr>
            <a:ln w="28575" cap="rnd">
              <a:solidFill>
                <a:schemeClr val="accent2">
                  <a:lumMod val="60000"/>
                </a:schemeClr>
              </a:solidFill>
              <a:prstDash val="lgDashDot"/>
              <a:round/>
            </a:ln>
            <a:effectLst/>
          </c:spPr>
          <c:marker>
            <c:symbol val="circle"/>
            <c:size val="5"/>
            <c:spPr>
              <a:solidFill>
                <a:schemeClr val="accent2">
                  <a:lumMod val="60000"/>
                </a:schemeClr>
              </a:solidFill>
              <a:ln w="9525">
                <a:solidFill>
                  <a:schemeClr val="accent2">
                    <a:lumMod val="60000"/>
                  </a:schemeClr>
                </a:solidFill>
                <a:prstDash val="lgDashDot"/>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NAUE'!$B$10:$G$10</c:f>
              <c:numCache>
                <c:formatCode>General</c:formatCode>
                <c:ptCount val="6"/>
                <c:pt idx="2" formatCode="###0.00">
                  <c:v>3.4217118997912301</c:v>
                </c:pt>
                <c:pt idx="3" formatCode="###0.00">
                  <c:v>3.73</c:v>
                </c:pt>
                <c:pt idx="4" formatCode="0.00">
                  <c:v>3.8</c:v>
                </c:pt>
                <c:pt idx="5" formatCode="0.00">
                  <c:v>3.5668849391955098</c:v>
                </c:pt>
              </c:numCache>
            </c:numRef>
          </c:val>
          <c:smooth val="0"/>
          <c:extLst>
            <c:ext xmlns:c16="http://schemas.microsoft.com/office/drawing/2014/chart" uri="{C3380CC4-5D6E-409C-BE32-E72D297353CC}">
              <c16:uniqueId val="{00000007-ED04-4081-8CD8-0FC676C767B9}"/>
            </c:ext>
          </c:extLst>
        </c:ser>
        <c:ser>
          <c:idx val="8"/>
          <c:order val="8"/>
          <c:tx>
            <c:strRef>
              <c:f>'COMPARISON 2018 NAUE'!$A$11</c:f>
              <c:strCache>
                <c:ptCount val="1"/>
                <c:pt idx="0">
                  <c:v>Motivational Interviewing</c:v>
                </c:pt>
              </c:strCache>
            </c:strRef>
          </c:tx>
          <c:spPr>
            <a:ln w="28575" cap="rnd">
              <a:solidFill>
                <a:schemeClr val="accent3">
                  <a:lumMod val="60000"/>
                </a:schemeClr>
              </a:solidFill>
              <a:prstDash val="sysDash"/>
              <a:round/>
            </a:ln>
            <a:effectLst/>
          </c:spPr>
          <c:marker>
            <c:symbol val="circle"/>
            <c:size val="5"/>
            <c:spPr>
              <a:solidFill>
                <a:schemeClr val="accent3">
                  <a:lumMod val="60000"/>
                </a:schemeClr>
              </a:solidFill>
              <a:ln w="9525">
                <a:solidFill>
                  <a:schemeClr val="accent3">
                    <a:lumMod val="60000"/>
                  </a:schemeClr>
                </a:solidFill>
                <a:prstDash val="sys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NAUE'!$B$11:$G$11</c:f>
              <c:numCache>
                <c:formatCode>General</c:formatCode>
                <c:ptCount val="6"/>
                <c:pt idx="2" formatCode="###0.00">
                  <c:v>2.9950799507995089</c:v>
                </c:pt>
                <c:pt idx="3" formatCode="###0.00">
                  <c:v>3.71</c:v>
                </c:pt>
                <c:pt idx="4" formatCode="0.00">
                  <c:v>3.6</c:v>
                </c:pt>
                <c:pt idx="5" formatCode="0.00">
                  <c:v>3.5482661668228679</c:v>
                </c:pt>
              </c:numCache>
            </c:numRef>
          </c:val>
          <c:smooth val="0"/>
          <c:extLst>
            <c:ext xmlns:c16="http://schemas.microsoft.com/office/drawing/2014/chart" uri="{C3380CC4-5D6E-409C-BE32-E72D297353CC}">
              <c16:uniqueId val="{00000008-ED04-4081-8CD8-0FC676C767B9}"/>
            </c:ext>
          </c:extLst>
        </c:ser>
        <c:ser>
          <c:idx val="9"/>
          <c:order val="9"/>
          <c:tx>
            <c:strRef>
              <c:f>'COMPARISON 2018 NAUE'!$A$12</c:f>
              <c:strCache>
                <c:ptCount val="1"/>
                <c:pt idx="0">
                  <c:v>Trauma Focused-Cognitive Behavioral Therapy</c:v>
                </c:pt>
              </c:strCache>
            </c:strRef>
          </c:tx>
          <c:spPr>
            <a:ln w="28575" cap="rnd">
              <a:solidFill>
                <a:schemeClr val="bg2">
                  <a:lumMod val="75000"/>
                </a:schemeClr>
              </a:solidFill>
              <a:prstDash val="dash"/>
              <a:round/>
            </a:ln>
            <a:effectLst/>
          </c:spPr>
          <c:marker>
            <c:symbol val="circle"/>
            <c:size val="5"/>
            <c:spPr>
              <a:solidFill>
                <a:schemeClr val="bg2">
                  <a:lumMod val="75000"/>
                </a:schemeClr>
              </a:solidFill>
              <a:ln w="9525">
                <a:solidFill>
                  <a:schemeClr val="bg2">
                    <a:lumMod val="75000"/>
                  </a:schemeClr>
                </a:solidFill>
                <a:prstDash val="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NAUE'!$B$12:$G$12</c:f>
              <c:numCache>
                <c:formatCode>General</c:formatCode>
                <c:ptCount val="6"/>
                <c:pt idx="2" formatCode="###0.00">
                  <c:v>3.4353963083604793</c:v>
                </c:pt>
                <c:pt idx="3" formatCode="###0.00">
                  <c:v>3.78</c:v>
                </c:pt>
                <c:pt idx="4" formatCode="0.00">
                  <c:v>3.62</c:v>
                </c:pt>
                <c:pt idx="5" formatCode="0.00">
                  <c:v>3.6166822867853794</c:v>
                </c:pt>
              </c:numCache>
            </c:numRef>
          </c:val>
          <c:smooth val="0"/>
          <c:extLst>
            <c:ext xmlns:c16="http://schemas.microsoft.com/office/drawing/2014/chart" uri="{C3380CC4-5D6E-409C-BE32-E72D297353CC}">
              <c16:uniqueId val="{00000009-ED04-4081-8CD8-0FC676C767B9}"/>
            </c:ext>
          </c:extLst>
        </c:ser>
        <c:ser>
          <c:idx val="10"/>
          <c:order val="10"/>
          <c:tx>
            <c:strRef>
              <c:f>'COMPARISON 2018 NAUE'!$A$13</c:f>
              <c:strCache>
                <c:ptCount val="1"/>
                <c:pt idx="0">
                  <c:v>Child-Parent Psychotherapy</c:v>
                </c:pt>
              </c:strCache>
            </c:strRef>
          </c:tx>
          <c:spPr>
            <a:ln w="28575" cap="rnd">
              <a:solidFill>
                <a:schemeClr val="accent5">
                  <a:lumMod val="60000"/>
                </a:schemeClr>
              </a:solidFill>
              <a:prstDash val="lgDashDotDot"/>
              <a:round/>
            </a:ln>
            <a:effectLst/>
          </c:spPr>
          <c:marker>
            <c:symbol val="circle"/>
            <c:size val="5"/>
            <c:spPr>
              <a:solidFill>
                <a:schemeClr val="accent5">
                  <a:lumMod val="60000"/>
                </a:schemeClr>
              </a:solidFill>
              <a:ln w="9525">
                <a:solidFill>
                  <a:schemeClr val="accent5">
                    <a:lumMod val="60000"/>
                  </a:schemeClr>
                </a:solidFill>
                <a:prstDash val="lgDashDotDot"/>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NAUE'!$B$13:$G$13</c:f>
              <c:numCache>
                <c:formatCode>General</c:formatCode>
                <c:ptCount val="6"/>
                <c:pt idx="2" formatCode="###0.00">
                  <c:v>3.14</c:v>
                </c:pt>
                <c:pt idx="3" formatCode="###0.00">
                  <c:v>3.61</c:v>
                </c:pt>
                <c:pt idx="4" formatCode="0.00">
                  <c:v>3.48</c:v>
                </c:pt>
                <c:pt idx="5" formatCode="0.00">
                  <c:v>3.2628624883068289</c:v>
                </c:pt>
              </c:numCache>
            </c:numRef>
          </c:val>
          <c:smooth val="0"/>
          <c:extLst>
            <c:ext xmlns:c16="http://schemas.microsoft.com/office/drawing/2014/chart" uri="{C3380CC4-5D6E-409C-BE32-E72D297353CC}">
              <c16:uniqueId val="{0000000A-ED04-4081-8CD8-0FC676C767B9}"/>
            </c:ext>
          </c:extLst>
        </c:ser>
        <c:dLbls>
          <c:showLegendKey val="0"/>
          <c:showVal val="0"/>
          <c:showCatName val="0"/>
          <c:showSerName val="0"/>
          <c:showPercent val="0"/>
          <c:showBubbleSize val="0"/>
        </c:dLbls>
        <c:marker val="1"/>
        <c:smooth val="0"/>
        <c:axId val="-1167639360"/>
        <c:axId val="-1167638816"/>
      </c:lineChart>
      <c:catAx>
        <c:axId val="-116763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167638816"/>
        <c:crosses val="autoZero"/>
        <c:auto val="1"/>
        <c:lblAlgn val="ctr"/>
        <c:lblOffset val="100"/>
        <c:noMultiLvlLbl val="0"/>
      </c:catAx>
      <c:valAx>
        <c:axId val="-1167638816"/>
        <c:scaling>
          <c:orientation val="minMax"/>
          <c:max val="4.3"/>
          <c:min val="2.9"/>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67639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'COMPARISON 2018 NAUE'!$A$18</c:f>
              <c:strCache>
                <c:ptCount val="1"/>
                <c:pt idx="0">
                  <c:v>Domestic/Intimate Partner Violence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NAUE'!$B$18:$G$18</c:f>
              <c:numCache>
                <c:formatCode>###0.00</c:formatCode>
                <c:ptCount val="6"/>
                <c:pt idx="0">
                  <c:v>3.6711822660098528</c:v>
                </c:pt>
                <c:pt idx="1">
                  <c:v>3.4614325068870522</c:v>
                </c:pt>
                <c:pt idx="2">
                  <c:v>3.55</c:v>
                </c:pt>
                <c:pt idx="3">
                  <c:v>3.73</c:v>
                </c:pt>
                <c:pt idx="4" formatCode="0.00">
                  <c:v>3.7</c:v>
                </c:pt>
                <c:pt idx="5" formatCode="0.00">
                  <c:v>3.6037069726390114</c:v>
                </c:pt>
              </c:numCache>
            </c:numRef>
          </c:val>
          <c:smooth val="0"/>
          <c:extLst>
            <c:ext xmlns:c16="http://schemas.microsoft.com/office/drawing/2014/chart" uri="{C3380CC4-5D6E-409C-BE32-E72D297353CC}">
              <c16:uniqueId val="{00000000-2CF6-4850-BC56-E3671F3630F2}"/>
            </c:ext>
          </c:extLst>
        </c:ser>
        <c:ser>
          <c:idx val="1"/>
          <c:order val="1"/>
          <c:tx>
            <c:strRef>
              <c:f>'COMPARISON 2018 NAUE'!$A$19</c:f>
              <c:strCache>
                <c:ptCount val="1"/>
                <c:pt idx="0">
                  <c:v>Global Funds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NAUE'!$B$19:$G$19</c:f>
              <c:numCache>
                <c:formatCode>###0.00</c:formatCode>
                <c:ptCount val="6"/>
                <c:pt idx="0">
                  <c:v>3.6354556803995024</c:v>
                </c:pt>
                <c:pt idx="1">
                  <c:v>3.4992805755395677</c:v>
                </c:pt>
                <c:pt idx="2">
                  <c:v>3.56</c:v>
                </c:pt>
                <c:pt idx="3">
                  <c:v>3.75</c:v>
                </c:pt>
                <c:pt idx="4" formatCode="0.00">
                  <c:v>4</c:v>
                </c:pt>
                <c:pt idx="5" formatCode="0.00">
                  <c:v>3.5309187279151946</c:v>
                </c:pt>
              </c:numCache>
            </c:numRef>
          </c:val>
          <c:smooth val="0"/>
          <c:extLst>
            <c:ext xmlns:c16="http://schemas.microsoft.com/office/drawing/2014/chart" uri="{C3380CC4-5D6E-409C-BE32-E72D297353CC}">
              <c16:uniqueId val="{00000001-2CF6-4850-BC56-E3671F3630F2}"/>
            </c:ext>
          </c:extLst>
        </c:ser>
        <c:ser>
          <c:idx val="2"/>
          <c:order val="2"/>
          <c:tx>
            <c:strRef>
              <c:f>'COMPARISON 2018 NAUE'!$A$20</c:f>
              <c:strCache>
                <c:ptCount val="1"/>
                <c:pt idx="0">
                  <c:v>Basic Needs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NAUE'!$B$20:$G$20</c:f>
              <c:numCache>
                <c:formatCode>###0.00</c:formatCode>
                <c:ptCount val="6"/>
                <c:pt idx="0">
                  <c:v>3.729088639201001</c:v>
                </c:pt>
                <c:pt idx="1">
                  <c:v>3.7431318681318704</c:v>
                </c:pt>
                <c:pt idx="2">
                  <c:v>3.84</c:v>
                </c:pt>
                <c:pt idx="3">
                  <c:v>3.96</c:v>
                </c:pt>
                <c:pt idx="4" formatCode="0.00">
                  <c:v>3.9</c:v>
                </c:pt>
                <c:pt idx="5" formatCode="0.00">
                  <c:v>3.7925860547219772</c:v>
                </c:pt>
              </c:numCache>
            </c:numRef>
          </c:val>
          <c:smooth val="0"/>
          <c:extLst>
            <c:ext xmlns:c16="http://schemas.microsoft.com/office/drawing/2014/chart" uri="{C3380CC4-5D6E-409C-BE32-E72D297353CC}">
              <c16:uniqueId val="{00000002-2CF6-4850-BC56-E3671F3630F2}"/>
            </c:ext>
          </c:extLst>
        </c:ser>
        <c:ser>
          <c:idx val="3"/>
          <c:order val="3"/>
          <c:tx>
            <c:strRef>
              <c:f>'COMPARISON 2018 NAUE'!$A$21</c:f>
              <c:strCache>
                <c:ptCount val="1"/>
                <c:pt idx="0">
                  <c:v>Substance Use/Abuse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NAUE'!$B$21:$G$21</c:f>
              <c:numCache>
                <c:formatCode>###0.00</c:formatCode>
                <c:ptCount val="6"/>
                <c:pt idx="0">
                  <c:v>4.0409145607701564</c:v>
                </c:pt>
                <c:pt idx="1">
                  <c:v>4.0091743119266026</c:v>
                </c:pt>
                <c:pt idx="2">
                  <c:v>4.12</c:v>
                </c:pt>
                <c:pt idx="3">
                  <c:v>4.22</c:v>
                </c:pt>
                <c:pt idx="4" formatCode="0.00">
                  <c:v>4.08</c:v>
                </c:pt>
                <c:pt idx="5" formatCode="0.00">
                  <c:v>3.9691358024691357</c:v>
                </c:pt>
              </c:numCache>
            </c:numRef>
          </c:val>
          <c:smooth val="0"/>
          <c:extLst>
            <c:ext xmlns:c16="http://schemas.microsoft.com/office/drawing/2014/chart" uri="{C3380CC4-5D6E-409C-BE32-E72D297353CC}">
              <c16:uniqueId val="{00000003-2CF6-4850-BC56-E3671F3630F2}"/>
            </c:ext>
          </c:extLst>
        </c:ser>
        <c:ser>
          <c:idx val="4"/>
          <c:order val="4"/>
          <c:tx>
            <c:strRef>
              <c:f>'COMPARISON 2018 NAUE'!$A$22</c:f>
              <c:strCache>
                <c:ptCount val="1"/>
                <c:pt idx="0">
                  <c:v>Mental Health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NAUE'!$B$22:$G$22</c:f>
              <c:numCache>
                <c:formatCode>###0.00</c:formatCode>
                <c:ptCount val="6"/>
                <c:pt idx="0">
                  <c:v>3.9999999999999969</c:v>
                </c:pt>
                <c:pt idx="1">
                  <c:v>3.939632545931758</c:v>
                </c:pt>
                <c:pt idx="2">
                  <c:v>4.12</c:v>
                </c:pt>
                <c:pt idx="3">
                  <c:v>4.1100000000000003</c:v>
                </c:pt>
                <c:pt idx="4" formatCode="0.00">
                  <c:v>3.84</c:v>
                </c:pt>
                <c:pt idx="5" formatCode="0.00">
                  <c:v>3.7927689594356262</c:v>
                </c:pt>
              </c:numCache>
            </c:numRef>
          </c:val>
          <c:smooth val="0"/>
          <c:extLst>
            <c:ext xmlns:c16="http://schemas.microsoft.com/office/drawing/2014/chart" uri="{C3380CC4-5D6E-409C-BE32-E72D297353CC}">
              <c16:uniqueId val="{00000004-2CF6-4850-BC56-E3671F3630F2}"/>
            </c:ext>
          </c:extLst>
        </c:ser>
        <c:ser>
          <c:idx val="5"/>
          <c:order val="5"/>
          <c:tx>
            <c:strRef>
              <c:f>'COMPARISON 2018 NAUE'!$A$23</c:f>
              <c:strCache>
                <c:ptCount val="1"/>
                <c:pt idx="0">
                  <c:v>Children's Mental Health Initiative</c:v>
                </c:pt>
              </c:strCache>
            </c:strRef>
          </c:tx>
          <c:spPr>
            <a:ln w="28575" cap="rnd">
              <a:solidFill>
                <a:schemeClr val="accent6"/>
              </a:solidFill>
              <a:prstDash val="sysDash"/>
              <a:round/>
            </a:ln>
            <a:effectLst/>
          </c:spPr>
          <c:marker>
            <c:symbol val="circle"/>
            <c:size val="5"/>
            <c:spPr>
              <a:solidFill>
                <a:schemeClr val="accent6"/>
              </a:solidFill>
              <a:ln w="9525">
                <a:solidFill>
                  <a:schemeClr val="accent6"/>
                </a:solidFill>
                <a:prstDash val="sys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NAUE'!$B$23:$G$23</c:f>
              <c:numCache>
                <c:formatCode>General</c:formatCode>
                <c:ptCount val="6"/>
                <c:pt idx="2" formatCode="###0.00">
                  <c:v>3.49</c:v>
                </c:pt>
                <c:pt idx="3" formatCode="###0.00">
                  <c:v>3.85</c:v>
                </c:pt>
                <c:pt idx="4" formatCode="0.00">
                  <c:v>3.87</c:v>
                </c:pt>
                <c:pt idx="5" formatCode="0.00">
                  <c:v>3.7421503330161752</c:v>
                </c:pt>
              </c:numCache>
            </c:numRef>
          </c:val>
          <c:smooth val="0"/>
          <c:extLst>
            <c:ext xmlns:c16="http://schemas.microsoft.com/office/drawing/2014/chart" uri="{C3380CC4-5D6E-409C-BE32-E72D297353CC}">
              <c16:uniqueId val="{00000005-2CF6-4850-BC56-E3671F3630F2}"/>
            </c:ext>
          </c:extLst>
        </c:ser>
        <c:ser>
          <c:idx val="6"/>
          <c:order val="6"/>
          <c:tx>
            <c:strRef>
              <c:f>'COMPARISON 2018 NAUE'!$A$24</c:f>
              <c:strCache>
                <c:ptCount val="1"/>
                <c:pt idx="0">
                  <c:v>Comprehensive Home-based Services</c:v>
                </c:pt>
              </c:strCache>
            </c:strRef>
          </c:tx>
          <c:spPr>
            <a:ln w="28575" cap="rnd">
              <a:solidFill>
                <a:schemeClr val="accent1">
                  <a:lumMod val="60000"/>
                </a:schemeClr>
              </a:solidFill>
              <a:prstDash val="lgDash"/>
              <a:round/>
            </a:ln>
            <a:effectLst/>
          </c:spPr>
          <c:marker>
            <c:symbol val="circle"/>
            <c:size val="5"/>
            <c:spPr>
              <a:solidFill>
                <a:schemeClr val="accent1">
                  <a:lumMod val="60000"/>
                </a:schemeClr>
              </a:solidFill>
              <a:ln w="9525">
                <a:solidFill>
                  <a:schemeClr val="accent1">
                    <a:lumMod val="60000"/>
                  </a:schemeClr>
                </a:solidFill>
                <a:prstDash val="lg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NAUE'!$B$24:$G$24</c:f>
              <c:numCache>
                <c:formatCode>General</c:formatCode>
                <c:ptCount val="6"/>
                <c:pt idx="2" formatCode="###0.00">
                  <c:v>3.58</c:v>
                </c:pt>
                <c:pt idx="3" formatCode="###0.00">
                  <c:v>3.94</c:v>
                </c:pt>
                <c:pt idx="4" formatCode="0.00">
                  <c:v>3.89</c:v>
                </c:pt>
                <c:pt idx="5" formatCode="0.00">
                  <c:v>3.8956356736242883</c:v>
                </c:pt>
              </c:numCache>
            </c:numRef>
          </c:val>
          <c:smooth val="0"/>
          <c:extLst>
            <c:ext xmlns:c16="http://schemas.microsoft.com/office/drawing/2014/chart" uri="{C3380CC4-5D6E-409C-BE32-E72D297353CC}">
              <c16:uniqueId val="{00000006-2CF6-4850-BC56-E3671F3630F2}"/>
            </c:ext>
          </c:extLst>
        </c:ser>
        <c:ser>
          <c:idx val="7"/>
          <c:order val="7"/>
          <c:tx>
            <c:strRef>
              <c:f>'COMPARISON 2018 NAUE'!$A$25</c:f>
              <c:strCache>
                <c:ptCount val="1"/>
                <c:pt idx="0">
                  <c:v>Family Centered Treatment</c:v>
                </c:pt>
              </c:strCache>
            </c:strRef>
          </c:tx>
          <c:spPr>
            <a:ln w="28575" cap="rnd">
              <a:solidFill>
                <a:schemeClr val="accent2">
                  <a:lumMod val="60000"/>
                </a:schemeClr>
              </a:solidFill>
              <a:prstDash val="lgDashDot"/>
              <a:round/>
            </a:ln>
            <a:effectLst/>
          </c:spPr>
          <c:marker>
            <c:symbol val="circle"/>
            <c:size val="5"/>
            <c:spPr>
              <a:solidFill>
                <a:schemeClr val="accent2">
                  <a:lumMod val="60000"/>
                </a:schemeClr>
              </a:solidFill>
              <a:ln w="9525">
                <a:solidFill>
                  <a:schemeClr val="accent2">
                    <a:lumMod val="60000"/>
                  </a:schemeClr>
                </a:solidFill>
                <a:prstDash val="lgDashDot"/>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NAUE'!$B$25:$G$25</c:f>
              <c:numCache>
                <c:formatCode>General</c:formatCode>
                <c:ptCount val="6"/>
                <c:pt idx="2" formatCode="###0.00">
                  <c:v>3.82</c:v>
                </c:pt>
                <c:pt idx="3" formatCode="###0.00">
                  <c:v>3.85</c:v>
                </c:pt>
                <c:pt idx="4" formatCode="0.00">
                  <c:v>3.52</c:v>
                </c:pt>
                <c:pt idx="5" formatCode="0.00">
                  <c:v>3.7338403041825097</c:v>
                </c:pt>
              </c:numCache>
            </c:numRef>
          </c:val>
          <c:smooth val="0"/>
          <c:extLst>
            <c:ext xmlns:c16="http://schemas.microsoft.com/office/drawing/2014/chart" uri="{C3380CC4-5D6E-409C-BE32-E72D297353CC}">
              <c16:uniqueId val="{00000007-2CF6-4850-BC56-E3671F3630F2}"/>
            </c:ext>
          </c:extLst>
        </c:ser>
        <c:ser>
          <c:idx val="8"/>
          <c:order val="8"/>
          <c:tx>
            <c:strRef>
              <c:f>'COMPARISON 2018 NAUE'!$A$26</c:f>
              <c:strCache>
                <c:ptCount val="1"/>
                <c:pt idx="0">
                  <c:v>Motivational Interviewing</c:v>
                </c:pt>
              </c:strCache>
            </c:strRef>
          </c:tx>
          <c:spPr>
            <a:ln w="28575" cap="rnd">
              <a:solidFill>
                <a:schemeClr val="accent3">
                  <a:lumMod val="60000"/>
                </a:schemeClr>
              </a:solidFill>
              <a:prstDash val="sysDash"/>
              <a:round/>
            </a:ln>
            <a:effectLst/>
          </c:spPr>
          <c:marker>
            <c:symbol val="circle"/>
            <c:size val="5"/>
            <c:spPr>
              <a:solidFill>
                <a:schemeClr val="accent3">
                  <a:lumMod val="60000"/>
                </a:schemeClr>
              </a:solidFill>
              <a:ln w="9525">
                <a:solidFill>
                  <a:schemeClr val="accent3">
                    <a:lumMod val="60000"/>
                  </a:schemeClr>
                </a:solidFill>
                <a:prstDash val="sys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NAUE'!$B$26:$G$26</c:f>
              <c:numCache>
                <c:formatCode>General</c:formatCode>
                <c:ptCount val="6"/>
                <c:pt idx="2" formatCode="###0.00">
                  <c:v>3.68</c:v>
                </c:pt>
                <c:pt idx="3" formatCode="###0.00">
                  <c:v>4.09</c:v>
                </c:pt>
                <c:pt idx="4" formatCode="0.00">
                  <c:v>4.13</c:v>
                </c:pt>
                <c:pt idx="5" formatCode="0.00">
                  <c:v>4.0248328557784143</c:v>
                </c:pt>
              </c:numCache>
            </c:numRef>
          </c:val>
          <c:smooth val="0"/>
          <c:extLst>
            <c:ext xmlns:c16="http://schemas.microsoft.com/office/drawing/2014/chart" uri="{C3380CC4-5D6E-409C-BE32-E72D297353CC}">
              <c16:uniqueId val="{00000008-2CF6-4850-BC56-E3671F3630F2}"/>
            </c:ext>
          </c:extLst>
        </c:ser>
        <c:ser>
          <c:idx val="9"/>
          <c:order val="9"/>
          <c:tx>
            <c:strRef>
              <c:f>'COMPARISON 2018 NAUE'!$A$27</c:f>
              <c:strCache>
                <c:ptCount val="1"/>
                <c:pt idx="0">
                  <c:v>Trauma Focused-Cognitive Behavioral Therapy</c:v>
                </c:pt>
              </c:strCache>
            </c:strRef>
          </c:tx>
          <c:spPr>
            <a:ln w="28575" cap="rnd">
              <a:solidFill>
                <a:schemeClr val="bg2">
                  <a:lumMod val="75000"/>
                </a:schemeClr>
              </a:solidFill>
              <a:prstDash val="dash"/>
              <a:round/>
            </a:ln>
            <a:effectLst/>
          </c:spPr>
          <c:marker>
            <c:symbol val="circle"/>
            <c:size val="5"/>
            <c:spPr>
              <a:solidFill>
                <a:schemeClr val="bg2">
                  <a:lumMod val="75000"/>
                </a:schemeClr>
              </a:solidFill>
              <a:ln w="9525">
                <a:solidFill>
                  <a:schemeClr val="bg2">
                    <a:lumMod val="75000"/>
                  </a:schemeClr>
                </a:solidFill>
                <a:prstDash val="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NAUE'!$B$27:$G$27</c:f>
              <c:numCache>
                <c:formatCode>General</c:formatCode>
                <c:ptCount val="6"/>
                <c:pt idx="2" formatCode="###0.00">
                  <c:v>3.27</c:v>
                </c:pt>
                <c:pt idx="3" formatCode="###0.00">
                  <c:v>3.89</c:v>
                </c:pt>
                <c:pt idx="4" formatCode="0.00">
                  <c:v>3.8</c:v>
                </c:pt>
                <c:pt idx="5" formatCode="0.00">
                  <c:v>3.744518589132507</c:v>
                </c:pt>
              </c:numCache>
            </c:numRef>
          </c:val>
          <c:smooth val="0"/>
          <c:extLst>
            <c:ext xmlns:c16="http://schemas.microsoft.com/office/drawing/2014/chart" uri="{C3380CC4-5D6E-409C-BE32-E72D297353CC}">
              <c16:uniqueId val="{00000009-2CF6-4850-BC56-E3671F3630F2}"/>
            </c:ext>
          </c:extLst>
        </c:ser>
        <c:ser>
          <c:idx val="10"/>
          <c:order val="10"/>
          <c:tx>
            <c:strRef>
              <c:f>'COMPARISON 2018 NAUE'!$A$28</c:f>
              <c:strCache>
                <c:ptCount val="1"/>
                <c:pt idx="0">
                  <c:v>Child-Parent Psychotherapy</c:v>
                </c:pt>
              </c:strCache>
            </c:strRef>
          </c:tx>
          <c:spPr>
            <a:ln w="28575" cap="rnd">
              <a:solidFill>
                <a:schemeClr val="accent5">
                  <a:lumMod val="60000"/>
                </a:schemeClr>
              </a:solidFill>
              <a:prstDash val="lgDashDotDot"/>
              <a:round/>
            </a:ln>
            <a:effectLst/>
          </c:spPr>
          <c:marker>
            <c:symbol val="circle"/>
            <c:size val="5"/>
            <c:spPr>
              <a:solidFill>
                <a:schemeClr val="accent5">
                  <a:lumMod val="60000"/>
                </a:schemeClr>
              </a:solidFill>
              <a:ln w="9525">
                <a:solidFill>
                  <a:schemeClr val="accent5">
                    <a:lumMod val="60000"/>
                  </a:schemeClr>
                </a:solidFill>
                <a:prstDash val="lgDashDotDot"/>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NAUE'!$B$28:$G$28</c:f>
              <c:numCache>
                <c:formatCode>General</c:formatCode>
                <c:ptCount val="6"/>
                <c:pt idx="2" formatCode="###0.00">
                  <c:v>3.52</c:v>
                </c:pt>
                <c:pt idx="3" formatCode="###0.00">
                  <c:v>3.87</c:v>
                </c:pt>
                <c:pt idx="4" formatCode="0.00">
                  <c:v>3.87</c:v>
                </c:pt>
                <c:pt idx="5" formatCode="0.00">
                  <c:v>3.6676190476190476</c:v>
                </c:pt>
              </c:numCache>
            </c:numRef>
          </c:val>
          <c:smooth val="0"/>
          <c:extLst>
            <c:ext xmlns:c16="http://schemas.microsoft.com/office/drawing/2014/chart" uri="{C3380CC4-5D6E-409C-BE32-E72D297353CC}">
              <c16:uniqueId val="{0000000A-2CF6-4850-BC56-E3671F3630F2}"/>
            </c:ext>
          </c:extLst>
        </c:ser>
        <c:dLbls>
          <c:showLegendKey val="0"/>
          <c:showVal val="0"/>
          <c:showCatName val="0"/>
          <c:showSerName val="0"/>
          <c:showPercent val="0"/>
          <c:showBubbleSize val="0"/>
        </c:dLbls>
        <c:marker val="1"/>
        <c:smooth val="0"/>
        <c:axId val="-1167338704"/>
        <c:axId val="-1167328912"/>
      </c:lineChart>
      <c:catAx>
        <c:axId val="-116733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167328912"/>
        <c:crosses val="autoZero"/>
        <c:auto val="1"/>
        <c:lblAlgn val="ctr"/>
        <c:lblOffset val="100"/>
        <c:noMultiLvlLbl val="0"/>
      </c:catAx>
      <c:valAx>
        <c:axId val="-1167328912"/>
        <c:scaling>
          <c:orientation val="minMax"/>
          <c:max val="4.3"/>
          <c:min val="2.9"/>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673387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'COMPARISON 2018 NAUE'!$A$32</c:f>
              <c:strCache>
                <c:ptCount val="1"/>
                <c:pt idx="0">
                  <c:v>Domestic/Intimate Partner Violence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NAUE'!$B$32:$G$32</c:f>
              <c:numCache>
                <c:formatCode>###0.00</c:formatCode>
                <c:ptCount val="6"/>
                <c:pt idx="0">
                  <c:v>3.5982800982800986</c:v>
                </c:pt>
                <c:pt idx="1">
                  <c:v>3.4166666666666665</c:v>
                </c:pt>
                <c:pt idx="2">
                  <c:v>3.35</c:v>
                </c:pt>
                <c:pt idx="3">
                  <c:v>3.58</c:v>
                </c:pt>
                <c:pt idx="4" formatCode="0.00">
                  <c:v>3.52</c:v>
                </c:pt>
                <c:pt idx="5" formatCode="0.00">
                  <c:v>3.4430493273542599</c:v>
                </c:pt>
              </c:numCache>
            </c:numRef>
          </c:val>
          <c:smooth val="0"/>
          <c:extLst>
            <c:ext xmlns:c16="http://schemas.microsoft.com/office/drawing/2014/chart" uri="{C3380CC4-5D6E-409C-BE32-E72D297353CC}">
              <c16:uniqueId val="{00000000-511E-496A-B274-65BF26D80936}"/>
            </c:ext>
          </c:extLst>
        </c:ser>
        <c:ser>
          <c:idx val="1"/>
          <c:order val="1"/>
          <c:tx>
            <c:strRef>
              <c:f>'COMPARISON 2018 NAUE'!$A$33</c:f>
              <c:strCache>
                <c:ptCount val="1"/>
                <c:pt idx="0">
                  <c:v>Global Funds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NAUE'!$B$33:$G$33</c:f>
              <c:numCache>
                <c:formatCode>###0.00</c:formatCode>
                <c:ptCount val="6"/>
                <c:pt idx="0">
                  <c:v>3.7728983688833084</c:v>
                </c:pt>
                <c:pt idx="1">
                  <c:v>3.6395348837209309</c:v>
                </c:pt>
                <c:pt idx="2">
                  <c:v>3.68</c:v>
                </c:pt>
                <c:pt idx="3">
                  <c:v>3.86</c:v>
                </c:pt>
                <c:pt idx="4" formatCode="0.00">
                  <c:v>3.57</c:v>
                </c:pt>
                <c:pt idx="5" formatCode="0.00">
                  <c:v>3.6717352415026832</c:v>
                </c:pt>
              </c:numCache>
            </c:numRef>
          </c:val>
          <c:smooth val="0"/>
          <c:extLst>
            <c:ext xmlns:c16="http://schemas.microsoft.com/office/drawing/2014/chart" uri="{C3380CC4-5D6E-409C-BE32-E72D297353CC}">
              <c16:uniqueId val="{00000001-511E-496A-B274-65BF26D80936}"/>
            </c:ext>
          </c:extLst>
        </c:ser>
        <c:ser>
          <c:idx val="2"/>
          <c:order val="2"/>
          <c:tx>
            <c:strRef>
              <c:f>'COMPARISON 2018 NAUE'!$A$34</c:f>
              <c:strCache>
                <c:ptCount val="1"/>
                <c:pt idx="0">
                  <c:v>Basic Needs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NAUE'!$B$34:$G$34</c:f>
              <c:numCache>
                <c:formatCode>###0.00</c:formatCode>
                <c:ptCount val="6"/>
                <c:pt idx="0">
                  <c:v>3.903266331658295</c:v>
                </c:pt>
                <c:pt idx="1">
                  <c:v>3.9233983286908098</c:v>
                </c:pt>
                <c:pt idx="2">
                  <c:v>3.9046242774566462</c:v>
                </c:pt>
                <c:pt idx="3">
                  <c:v>4.04</c:v>
                </c:pt>
                <c:pt idx="4" formatCode="0.00">
                  <c:v>3.98</c:v>
                </c:pt>
                <c:pt idx="5" formatCode="0.00">
                  <c:v>3.9046345811051695</c:v>
                </c:pt>
              </c:numCache>
            </c:numRef>
          </c:val>
          <c:smooth val="0"/>
          <c:extLst>
            <c:ext xmlns:c16="http://schemas.microsoft.com/office/drawing/2014/chart" uri="{C3380CC4-5D6E-409C-BE32-E72D297353CC}">
              <c16:uniqueId val="{00000002-511E-496A-B274-65BF26D80936}"/>
            </c:ext>
          </c:extLst>
        </c:ser>
        <c:ser>
          <c:idx val="3"/>
          <c:order val="3"/>
          <c:tx>
            <c:strRef>
              <c:f>'COMPARISON 2018 NAUE'!$A$35</c:f>
              <c:strCache>
                <c:ptCount val="1"/>
                <c:pt idx="0">
                  <c:v>Substance Use/Abuse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NAUE'!$B$35:$G$35</c:f>
              <c:numCache>
                <c:formatCode>###0.00</c:formatCode>
                <c:ptCount val="6"/>
                <c:pt idx="0">
                  <c:v>4.0701330108827047</c:v>
                </c:pt>
                <c:pt idx="1">
                  <c:v>4.0862533692722396</c:v>
                </c:pt>
                <c:pt idx="2">
                  <c:v>4.0493482309124724</c:v>
                </c:pt>
                <c:pt idx="3">
                  <c:v>4.18</c:v>
                </c:pt>
                <c:pt idx="4" formatCode="0.00">
                  <c:v>4.1500000000000004</c:v>
                </c:pt>
                <c:pt idx="5" formatCode="0.00">
                  <c:v>3.9730941704035874</c:v>
                </c:pt>
              </c:numCache>
            </c:numRef>
          </c:val>
          <c:smooth val="0"/>
          <c:extLst>
            <c:ext xmlns:c16="http://schemas.microsoft.com/office/drawing/2014/chart" uri="{C3380CC4-5D6E-409C-BE32-E72D297353CC}">
              <c16:uniqueId val="{00000003-511E-496A-B274-65BF26D80936}"/>
            </c:ext>
          </c:extLst>
        </c:ser>
        <c:ser>
          <c:idx val="4"/>
          <c:order val="4"/>
          <c:tx>
            <c:strRef>
              <c:f>'COMPARISON 2018 NAUE'!$A$36</c:f>
              <c:strCache>
                <c:ptCount val="1"/>
                <c:pt idx="0">
                  <c:v>Mental Health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NAUE'!$B$36:$G$36</c:f>
              <c:numCache>
                <c:formatCode>###0.00</c:formatCode>
                <c:ptCount val="6"/>
                <c:pt idx="0">
                  <c:v>4.0858524788391755</c:v>
                </c:pt>
                <c:pt idx="1">
                  <c:v>4.0687331536388109</c:v>
                </c:pt>
                <c:pt idx="2">
                  <c:v>4.0474860335195588</c:v>
                </c:pt>
                <c:pt idx="3">
                  <c:v>4.0999999999999996</c:v>
                </c:pt>
                <c:pt idx="4" formatCode="0.00">
                  <c:v>4</c:v>
                </c:pt>
                <c:pt idx="5" formatCode="0.00">
                  <c:v>3.96505376344086</c:v>
                </c:pt>
              </c:numCache>
            </c:numRef>
          </c:val>
          <c:smooth val="0"/>
          <c:extLst>
            <c:ext xmlns:c16="http://schemas.microsoft.com/office/drawing/2014/chart" uri="{C3380CC4-5D6E-409C-BE32-E72D297353CC}">
              <c16:uniqueId val="{00000004-511E-496A-B274-65BF26D80936}"/>
            </c:ext>
          </c:extLst>
        </c:ser>
        <c:ser>
          <c:idx val="5"/>
          <c:order val="5"/>
          <c:tx>
            <c:strRef>
              <c:f>'COMPARISON 2018 NAUE'!$A$37</c:f>
              <c:strCache>
                <c:ptCount val="1"/>
                <c:pt idx="0">
                  <c:v>Children's Mental Health Initiative</c:v>
                </c:pt>
              </c:strCache>
            </c:strRef>
          </c:tx>
          <c:spPr>
            <a:ln w="28575" cap="rnd">
              <a:solidFill>
                <a:schemeClr val="accent6"/>
              </a:solidFill>
              <a:prstDash val="sysDash"/>
              <a:round/>
            </a:ln>
            <a:effectLst/>
          </c:spPr>
          <c:marker>
            <c:symbol val="circle"/>
            <c:size val="5"/>
            <c:spPr>
              <a:solidFill>
                <a:schemeClr val="accent6"/>
              </a:solidFill>
              <a:ln w="9525">
                <a:solidFill>
                  <a:schemeClr val="accent6"/>
                </a:solidFill>
                <a:prstDash val="sys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NAUE'!$B$37:$G$37</c:f>
              <c:numCache>
                <c:formatCode>General</c:formatCode>
                <c:ptCount val="6"/>
                <c:pt idx="2" formatCode="###0.00">
                  <c:v>3.2081339712918666</c:v>
                </c:pt>
                <c:pt idx="3" formatCode="###0.00">
                  <c:v>3.81</c:v>
                </c:pt>
                <c:pt idx="4" formatCode="0.00">
                  <c:v>3.78</c:v>
                </c:pt>
                <c:pt idx="5" formatCode="0.00">
                  <c:v>3.767397521448999</c:v>
                </c:pt>
              </c:numCache>
            </c:numRef>
          </c:val>
          <c:smooth val="0"/>
          <c:extLst>
            <c:ext xmlns:c16="http://schemas.microsoft.com/office/drawing/2014/chart" uri="{C3380CC4-5D6E-409C-BE32-E72D297353CC}">
              <c16:uniqueId val="{00000005-511E-496A-B274-65BF26D80936}"/>
            </c:ext>
          </c:extLst>
        </c:ser>
        <c:ser>
          <c:idx val="6"/>
          <c:order val="6"/>
          <c:tx>
            <c:strRef>
              <c:f>'COMPARISON 2018 NAUE'!$A$38</c:f>
              <c:strCache>
                <c:ptCount val="1"/>
                <c:pt idx="0">
                  <c:v>Comprehensive Home-based Services</c:v>
                </c:pt>
              </c:strCache>
            </c:strRef>
          </c:tx>
          <c:spPr>
            <a:ln w="28575" cap="rnd">
              <a:solidFill>
                <a:schemeClr val="accent1">
                  <a:lumMod val="60000"/>
                </a:schemeClr>
              </a:solidFill>
              <a:prstDash val="lgDash"/>
              <a:round/>
            </a:ln>
            <a:effectLst/>
          </c:spPr>
          <c:marker>
            <c:symbol val="circle"/>
            <c:size val="5"/>
            <c:spPr>
              <a:solidFill>
                <a:schemeClr val="accent1">
                  <a:lumMod val="60000"/>
                </a:schemeClr>
              </a:solidFill>
              <a:ln w="9525">
                <a:solidFill>
                  <a:schemeClr val="accent1">
                    <a:lumMod val="60000"/>
                  </a:schemeClr>
                </a:solidFill>
                <a:prstDash val="lg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NAUE'!$B$38:$G$38</c:f>
              <c:numCache>
                <c:formatCode>General</c:formatCode>
                <c:ptCount val="6"/>
                <c:pt idx="2" formatCode="###0.00">
                  <c:v>3.3364485981308434</c:v>
                </c:pt>
                <c:pt idx="3" formatCode="###0.00">
                  <c:v>3.94</c:v>
                </c:pt>
                <c:pt idx="4" formatCode="0.00">
                  <c:v>3.92</c:v>
                </c:pt>
                <c:pt idx="5" formatCode="0.00">
                  <c:v>3.9363117870722433</c:v>
                </c:pt>
              </c:numCache>
            </c:numRef>
          </c:val>
          <c:smooth val="0"/>
          <c:extLst>
            <c:ext xmlns:c16="http://schemas.microsoft.com/office/drawing/2014/chart" uri="{C3380CC4-5D6E-409C-BE32-E72D297353CC}">
              <c16:uniqueId val="{00000006-511E-496A-B274-65BF26D80936}"/>
            </c:ext>
          </c:extLst>
        </c:ser>
        <c:ser>
          <c:idx val="7"/>
          <c:order val="7"/>
          <c:tx>
            <c:strRef>
              <c:f>'COMPARISON 2018 NAUE'!$A$39</c:f>
              <c:strCache>
                <c:ptCount val="1"/>
                <c:pt idx="0">
                  <c:v>Family Centered Treatment</c:v>
                </c:pt>
              </c:strCache>
            </c:strRef>
          </c:tx>
          <c:spPr>
            <a:ln w="28575" cap="rnd">
              <a:solidFill>
                <a:schemeClr val="accent2">
                  <a:lumMod val="60000"/>
                </a:schemeClr>
              </a:solidFill>
              <a:prstDash val="lgDashDot"/>
              <a:round/>
            </a:ln>
            <a:effectLst/>
          </c:spPr>
          <c:marker>
            <c:symbol val="circle"/>
            <c:size val="5"/>
            <c:spPr>
              <a:solidFill>
                <a:schemeClr val="accent2">
                  <a:lumMod val="60000"/>
                </a:schemeClr>
              </a:solidFill>
              <a:ln w="9525">
                <a:solidFill>
                  <a:schemeClr val="accent2">
                    <a:lumMod val="60000"/>
                  </a:schemeClr>
                </a:solidFill>
                <a:prstDash val="lgDashDot"/>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NAUE'!$B$39:$G$39</c:f>
              <c:numCache>
                <c:formatCode>General</c:formatCode>
                <c:ptCount val="6"/>
                <c:pt idx="2" formatCode="###0.00">
                  <c:v>3.7165948275862069</c:v>
                </c:pt>
                <c:pt idx="3" formatCode="###0.00">
                  <c:v>3.72</c:v>
                </c:pt>
                <c:pt idx="4" formatCode="0.00">
                  <c:v>3.39</c:v>
                </c:pt>
                <c:pt idx="5" formatCode="0.00">
                  <c:v>3.6045627376425857</c:v>
                </c:pt>
              </c:numCache>
            </c:numRef>
          </c:val>
          <c:smooth val="0"/>
          <c:extLst>
            <c:ext xmlns:c16="http://schemas.microsoft.com/office/drawing/2014/chart" uri="{C3380CC4-5D6E-409C-BE32-E72D297353CC}">
              <c16:uniqueId val="{00000007-511E-496A-B274-65BF26D80936}"/>
            </c:ext>
          </c:extLst>
        </c:ser>
        <c:ser>
          <c:idx val="8"/>
          <c:order val="8"/>
          <c:tx>
            <c:strRef>
              <c:f>'COMPARISON 2018 NAUE'!$A$40</c:f>
              <c:strCache>
                <c:ptCount val="1"/>
                <c:pt idx="0">
                  <c:v>Motivational Interviewing</c:v>
                </c:pt>
              </c:strCache>
            </c:strRef>
          </c:tx>
          <c:spPr>
            <a:ln w="28575" cap="rnd">
              <a:solidFill>
                <a:schemeClr val="accent3">
                  <a:lumMod val="60000"/>
                </a:schemeClr>
              </a:solidFill>
              <a:prstDash val="sysDash"/>
              <a:round/>
            </a:ln>
            <a:effectLst/>
          </c:spPr>
          <c:marker>
            <c:symbol val="circle"/>
            <c:size val="5"/>
            <c:spPr>
              <a:solidFill>
                <a:schemeClr val="accent3">
                  <a:lumMod val="60000"/>
                </a:schemeClr>
              </a:solidFill>
              <a:ln w="9525">
                <a:solidFill>
                  <a:schemeClr val="accent3">
                    <a:lumMod val="60000"/>
                  </a:schemeClr>
                </a:solidFill>
                <a:prstDash val="sys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NAUE'!$B$40:$G$40</c:f>
              <c:numCache>
                <c:formatCode>General</c:formatCode>
                <c:ptCount val="6"/>
                <c:pt idx="2" formatCode="###0.00">
                  <c:v>3.3600891861761437</c:v>
                </c:pt>
                <c:pt idx="3" formatCode="###0.00">
                  <c:v>3.78</c:v>
                </c:pt>
                <c:pt idx="4" formatCode="0.00">
                  <c:v>3.78</c:v>
                </c:pt>
                <c:pt idx="5" formatCode="0.00">
                  <c:v>3.6593511450381677</c:v>
                </c:pt>
              </c:numCache>
            </c:numRef>
          </c:val>
          <c:smooth val="0"/>
          <c:extLst>
            <c:ext xmlns:c16="http://schemas.microsoft.com/office/drawing/2014/chart" uri="{C3380CC4-5D6E-409C-BE32-E72D297353CC}">
              <c16:uniqueId val="{00000008-511E-496A-B274-65BF26D80936}"/>
            </c:ext>
          </c:extLst>
        </c:ser>
        <c:ser>
          <c:idx val="9"/>
          <c:order val="9"/>
          <c:tx>
            <c:strRef>
              <c:f>'COMPARISON 2018 NAUE'!$A$41</c:f>
              <c:strCache>
                <c:ptCount val="1"/>
                <c:pt idx="0">
                  <c:v>Trauma Focused-Cognitive Behavioral Therapy</c:v>
                </c:pt>
              </c:strCache>
            </c:strRef>
          </c:tx>
          <c:spPr>
            <a:ln w="28575" cap="rnd">
              <a:solidFill>
                <a:schemeClr val="bg2">
                  <a:lumMod val="75000"/>
                </a:schemeClr>
              </a:solidFill>
              <a:prstDash val="dash"/>
              <a:round/>
            </a:ln>
            <a:effectLst/>
          </c:spPr>
          <c:marker>
            <c:symbol val="circle"/>
            <c:size val="5"/>
            <c:spPr>
              <a:solidFill>
                <a:schemeClr val="bg2">
                  <a:lumMod val="75000"/>
                </a:schemeClr>
              </a:solidFill>
              <a:ln w="9525">
                <a:solidFill>
                  <a:schemeClr val="bg2">
                    <a:lumMod val="75000"/>
                  </a:schemeClr>
                </a:solidFill>
                <a:prstDash val="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NAUE'!$B$41:$G$41</c:f>
              <c:numCache>
                <c:formatCode>General</c:formatCode>
                <c:ptCount val="6"/>
                <c:pt idx="2" formatCode="###0.00">
                  <c:v>3.3415204678362564</c:v>
                </c:pt>
                <c:pt idx="3" formatCode="###0.00">
                  <c:v>3.82</c:v>
                </c:pt>
                <c:pt idx="4" formatCode="0.00">
                  <c:v>3.79</c:v>
                </c:pt>
                <c:pt idx="5" formatCode="0.00">
                  <c:v>3.7163323782234956</c:v>
                </c:pt>
              </c:numCache>
            </c:numRef>
          </c:val>
          <c:smooth val="0"/>
          <c:extLst>
            <c:ext xmlns:c16="http://schemas.microsoft.com/office/drawing/2014/chart" uri="{C3380CC4-5D6E-409C-BE32-E72D297353CC}">
              <c16:uniqueId val="{00000009-511E-496A-B274-65BF26D80936}"/>
            </c:ext>
          </c:extLst>
        </c:ser>
        <c:ser>
          <c:idx val="10"/>
          <c:order val="10"/>
          <c:tx>
            <c:strRef>
              <c:f>'COMPARISON 2018 NAUE'!$A$42</c:f>
              <c:strCache>
                <c:ptCount val="1"/>
                <c:pt idx="0">
                  <c:v>Child-Parent Psychotherapy</c:v>
                </c:pt>
              </c:strCache>
            </c:strRef>
          </c:tx>
          <c:spPr>
            <a:ln w="28575" cap="rnd">
              <a:solidFill>
                <a:schemeClr val="accent5">
                  <a:lumMod val="60000"/>
                </a:schemeClr>
              </a:solidFill>
              <a:prstDash val="lgDashDotDot"/>
              <a:round/>
            </a:ln>
            <a:effectLst/>
          </c:spPr>
          <c:marker>
            <c:symbol val="circle"/>
            <c:size val="5"/>
            <c:spPr>
              <a:solidFill>
                <a:schemeClr val="accent5">
                  <a:lumMod val="60000"/>
                </a:schemeClr>
              </a:solidFill>
              <a:ln w="9525">
                <a:solidFill>
                  <a:schemeClr val="accent5">
                    <a:lumMod val="60000"/>
                  </a:schemeClr>
                </a:solidFill>
                <a:prstDash val="lgDashDotDot"/>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NAUE'!$B$42:$G$42</c:f>
              <c:numCache>
                <c:formatCode>General</c:formatCode>
                <c:ptCount val="6"/>
                <c:pt idx="2" formatCode="###0.00">
                  <c:v>2.84</c:v>
                </c:pt>
                <c:pt idx="3" formatCode="###0.00">
                  <c:v>3.72</c:v>
                </c:pt>
                <c:pt idx="4" formatCode="0.00">
                  <c:v>3.69</c:v>
                </c:pt>
                <c:pt idx="5" formatCode="0.00">
                  <c:v>3.5874524714828899</c:v>
                </c:pt>
              </c:numCache>
            </c:numRef>
          </c:val>
          <c:smooth val="0"/>
          <c:extLst>
            <c:ext xmlns:c16="http://schemas.microsoft.com/office/drawing/2014/chart" uri="{C3380CC4-5D6E-409C-BE32-E72D297353CC}">
              <c16:uniqueId val="{0000000A-511E-496A-B274-65BF26D80936}"/>
            </c:ext>
          </c:extLst>
        </c:ser>
        <c:dLbls>
          <c:showLegendKey val="0"/>
          <c:showVal val="0"/>
          <c:showCatName val="0"/>
          <c:showSerName val="0"/>
          <c:showPercent val="0"/>
          <c:showBubbleSize val="0"/>
        </c:dLbls>
        <c:marker val="1"/>
        <c:smooth val="0"/>
        <c:axId val="-1167339248"/>
        <c:axId val="-1167328368"/>
      </c:lineChart>
      <c:catAx>
        <c:axId val="-116733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167328368"/>
        <c:crosses val="autoZero"/>
        <c:auto val="1"/>
        <c:lblAlgn val="ctr"/>
        <c:lblOffset val="100"/>
        <c:noMultiLvlLbl val="0"/>
      </c:catAx>
      <c:valAx>
        <c:axId val="-1167328368"/>
        <c:scaling>
          <c:orientation val="minMax"/>
          <c:max val="4.3"/>
          <c:min val="2.9"/>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673392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'COMPARISON 2018 NAUE'!$A$46</c:f>
              <c:strCache>
                <c:ptCount val="1"/>
                <c:pt idx="0">
                  <c:v>Domestic/Intimate Partner Violence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NAUE'!$B$46:$G$46</c:f>
              <c:numCache>
                <c:formatCode>###0.00</c:formatCode>
                <c:ptCount val="6"/>
                <c:pt idx="0">
                  <c:v>3.2206982543640921</c:v>
                </c:pt>
                <c:pt idx="1">
                  <c:v>2.8944281524926714</c:v>
                </c:pt>
                <c:pt idx="2">
                  <c:v>2.9719042663891777</c:v>
                </c:pt>
                <c:pt idx="3">
                  <c:v>3.37</c:v>
                </c:pt>
                <c:pt idx="4" formatCode="0.00">
                  <c:v>3.86</c:v>
                </c:pt>
                <c:pt idx="5" formatCode="0.00">
                  <c:v>3.2163636363636363</c:v>
                </c:pt>
              </c:numCache>
            </c:numRef>
          </c:val>
          <c:smooth val="0"/>
          <c:extLst>
            <c:ext xmlns:c16="http://schemas.microsoft.com/office/drawing/2014/chart" uri="{C3380CC4-5D6E-409C-BE32-E72D297353CC}">
              <c16:uniqueId val="{00000000-3B8B-453E-875B-98B94E9BD414}"/>
            </c:ext>
          </c:extLst>
        </c:ser>
        <c:ser>
          <c:idx val="1"/>
          <c:order val="1"/>
          <c:tx>
            <c:strRef>
              <c:f>'COMPARISON 2018 NAUE'!$A$47</c:f>
              <c:strCache>
                <c:ptCount val="1"/>
                <c:pt idx="0">
                  <c:v>Global Funds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NAUE'!$B$47:$G$47</c:f>
              <c:numCache>
                <c:formatCode>###0.00</c:formatCode>
                <c:ptCount val="6"/>
                <c:pt idx="0">
                  <c:v>3.8096446700507589</c:v>
                </c:pt>
                <c:pt idx="1">
                  <c:v>3.5328358208955208</c:v>
                </c:pt>
                <c:pt idx="2">
                  <c:v>3.4621761658031112</c:v>
                </c:pt>
                <c:pt idx="3">
                  <c:v>3.7</c:v>
                </c:pt>
                <c:pt idx="4" formatCode="0.00">
                  <c:v>3.58</c:v>
                </c:pt>
                <c:pt idx="5" formatCode="0.00">
                  <c:v>3.5742753623188408</c:v>
                </c:pt>
              </c:numCache>
            </c:numRef>
          </c:val>
          <c:smooth val="0"/>
          <c:extLst>
            <c:ext xmlns:c16="http://schemas.microsoft.com/office/drawing/2014/chart" uri="{C3380CC4-5D6E-409C-BE32-E72D297353CC}">
              <c16:uniqueId val="{00000001-3B8B-453E-875B-98B94E9BD414}"/>
            </c:ext>
          </c:extLst>
        </c:ser>
        <c:ser>
          <c:idx val="2"/>
          <c:order val="2"/>
          <c:tx>
            <c:strRef>
              <c:f>'COMPARISON 2018 NAUE'!$A$48</c:f>
              <c:strCache>
                <c:ptCount val="1"/>
                <c:pt idx="0">
                  <c:v>Basic Needs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NAUE'!$B$48:$G$48</c:f>
              <c:numCache>
                <c:formatCode>###0.00</c:formatCode>
                <c:ptCount val="6"/>
                <c:pt idx="0">
                  <c:v>3.6543837357052102</c:v>
                </c:pt>
                <c:pt idx="1">
                  <c:v>3.5462304409672831</c:v>
                </c:pt>
                <c:pt idx="2">
                  <c:v>3.612326043737573</c:v>
                </c:pt>
                <c:pt idx="3">
                  <c:v>3.77</c:v>
                </c:pt>
                <c:pt idx="4" formatCode="0.00">
                  <c:v>3.75</c:v>
                </c:pt>
                <c:pt idx="5" formatCode="0.00">
                  <c:v>3.7115732368896928</c:v>
                </c:pt>
              </c:numCache>
            </c:numRef>
          </c:val>
          <c:smooth val="0"/>
          <c:extLst>
            <c:ext xmlns:c16="http://schemas.microsoft.com/office/drawing/2014/chart" uri="{C3380CC4-5D6E-409C-BE32-E72D297353CC}">
              <c16:uniqueId val="{00000002-3B8B-453E-875B-98B94E9BD414}"/>
            </c:ext>
          </c:extLst>
        </c:ser>
        <c:ser>
          <c:idx val="3"/>
          <c:order val="3"/>
          <c:tx>
            <c:strRef>
              <c:f>'COMPARISON 2018 NAUE'!$A$49</c:f>
              <c:strCache>
                <c:ptCount val="1"/>
                <c:pt idx="0">
                  <c:v>Substance Use/Abuse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NAUE'!$B$49:$G$49</c:f>
              <c:numCache>
                <c:formatCode>###0.00</c:formatCode>
                <c:ptCount val="6"/>
                <c:pt idx="0">
                  <c:v>3.0826245443499389</c:v>
                </c:pt>
                <c:pt idx="1">
                  <c:v>2.9201101928374644</c:v>
                </c:pt>
                <c:pt idx="2">
                  <c:v>3.1083650190114036</c:v>
                </c:pt>
                <c:pt idx="3">
                  <c:v>3.19</c:v>
                </c:pt>
                <c:pt idx="4" formatCode="0.00">
                  <c:v>3.15</c:v>
                </c:pt>
                <c:pt idx="5" formatCode="0.00">
                  <c:v>3.045372050816697</c:v>
                </c:pt>
              </c:numCache>
            </c:numRef>
          </c:val>
          <c:smooth val="0"/>
          <c:extLst>
            <c:ext xmlns:c16="http://schemas.microsoft.com/office/drawing/2014/chart" uri="{C3380CC4-5D6E-409C-BE32-E72D297353CC}">
              <c16:uniqueId val="{00000003-3B8B-453E-875B-98B94E9BD414}"/>
            </c:ext>
          </c:extLst>
        </c:ser>
        <c:ser>
          <c:idx val="4"/>
          <c:order val="4"/>
          <c:tx>
            <c:strRef>
              <c:f>'COMPARISON 2018 NAUE'!$A$50</c:f>
              <c:strCache>
                <c:ptCount val="1"/>
                <c:pt idx="0">
                  <c:v>Mental Health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NAUE'!$B$50:$G$50</c:f>
              <c:numCache>
                <c:formatCode>###0.00</c:formatCode>
                <c:ptCount val="6"/>
                <c:pt idx="0">
                  <c:v>3.2721749696233267</c:v>
                </c:pt>
                <c:pt idx="1">
                  <c:v>3.1586867305061546</c:v>
                </c:pt>
                <c:pt idx="2">
                  <c:v>3.3145853193517598</c:v>
                </c:pt>
                <c:pt idx="3">
                  <c:v>3.42</c:v>
                </c:pt>
                <c:pt idx="4" formatCode="0.00">
                  <c:v>3.35</c:v>
                </c:pt>
                <c:pt idx="5" formatCode="0.00">
                  <c:v>3.2295825771324864</c:v>
                </c:pt>
              </c:numCache>
            </c:numRef>
          </c:val>
          <c:smooth val="0"/>
          <c:extLst>
            <c:ext xmlns:c16="http://schemas.microsoft.com/office/drawing/2014/chart" uri="{C3380CC4-5D6E-409C-BE32-E72D297353CC}">
              <c16:uniqueId val="{00000004-3B8B-453E-875B-98B94E9BD414}"/>
            </c:ext>
          </c:extLst>
        </c:ser>
        <c:ser>
          <c:idx val="5"/>
          <c:order val="5"/>
          <c:tx>
            <c:strRef>
              <c:f>'COMPARISON 2018 NAUE'!$A$51</c:f>
              <c:strCache>
                <c:ptCount val="1"/>
                <c:pt idx="0">
                  <c:v>Children's Mental Health Initiative</c:v>
                </c:pt>
              </c:strCache>
            </c:strRef>
          </c:tx>
          <c:spPr>
            <a:ln w="28575" cap="rnd">
              <a:solidFill>
                <a:schemeClr val="accent6"/>
              </a:solidFill>
              <a:prstDash val="sysDash"/>
              <a:round/>
            </a:ln>
            <a:effectLst/>
          </c:spPr>
          <c:marker>
            <c:symbol val="circle"/>
            <c:size val="5"/>
            <c:spPr>
              <a:solidFill>
                <a:schemeClr val="accent6"/>
              </a:solidFill>
              <a:ln w="9525">
                <a:solidFill>
                  <a:schemeClr val="accent6"/>
                </a:solidFill>
                <a:prstDash val="sys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NAUE'!$B$51:$G$51</c:f>
              <c:numCache>
                <c:formatCode>General</c:formatCode>
                <c:ptCount val="6"/>
                <c:pt idx="2" formatCode="###0.00">
                  <c:v>3.1865079365079376</c:v>
                </c:pt>
                <c:pt idx="3" formatCode="###0.00">
                  <c:v>3.82</c:v>
                </c:pt>
                <c:pt idx="4" formatCode="0.00">
                  <c:v>3.93</c:v>
                </c:pt>
                <c:pt idx="5" formatCode="0.00">
                  <c:v>3.7726829268292681</c:v>
                </c:pt>
              </c:numCache>
            </c:numRef>
          </c:val>
          <c:smooth val="0"/>
          <c:extLst>
            <c:ext xmlns:c16="http://schemas.microsoft.com/office/drawing/2014/chart" uri="{C3380CC4-5D6E-409C-BE32-E72D297353CC}">
              <c16:uniqueId val="{00000005-3B8B-453E-875B-98B94E9BD414}"/>
            </c:ext>
          </c:extLst>
        </c:ser>
        <c:ser>
          <c:idx val="6"/>
          <c:order val="6"/>
          <c:tx>
            <c:strRef>
              <c:f>'COMPARISON 2018 NAUE'!$A$52</c:f>
              <c:strCache>
                <c:ptCount val="1"/>
                <c:pt idx="0">
                  <c:v>Comprehensive Home-based Services</c:v>
                </c:pt>
              </c:strCache>
            </c:strRef>
          </c:tx>
          <c:spPr>
            <a:ln w="28575" cap="rnd">
              <a:solidFill>
                <a:schemeClr val="accent1">
                  <a:lumMod val="60000"/>
                </a:schemeClr>
              </a:solidFill>
              <a:prstDash val="lgDash"/>
              <a:round/>
            </a:ln>
            <a:effectLst/>
          </c:spPr>
          <c:marker>
            <c:symbol val="circle"/>
            <c:size val="5"/>
            <c:spPr>
              <a:solidFill>
                <a:schemeClr val="accent1">
                  <a:lumMod val="60000"/>
                </a:schemeClr>
              </a:solidFill>
              <a:ln w="9525">
                <a:solidFill>
                  <a:schemeClr val="accent1">
                    <a:lumMod val="60000"/>
                  </a:schemeClr>
                </a:solidFill>
                <a:prstDash val="lg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NAUE'!$B$52:$G$52</c:f>
              <c:numCache>
                <c:formatCode>General</c:formatCode>
                <c:ptCount val="6"/>
                <c:pt idx="2" formatCode="###0.00">
                  <c:v>3.1662468513853876</c:v>
                </c:pt>
                <c:pt idx="3" formatCode="###0.00">
                  <c:v>3.71</c:v>
                </c:pt>
                <c:pt idx="4" formatCode="0.00">
                  <c:v>3.73</c:v>
                </c:pt>
                <c:pt idx="5" formatCode="0.00">
                  <c:v>3.5901162790697674</c:v>
                </c:pt>
              </c:numCache>
            </c:numRef>
          </c:val>
          <c:smooth val="0"/>
          <c:extLst>
            <c:ext xmlns:c16="http://schemas.microsoft.com/office/drawing/2014/chart" uri="{C3380CC4-5D6E-409C-BE32-E72D297353CC}">
              <c16:uniqueId val="{00000006-3B8B-453E-875B-98B94E9BD414}"/>
            </c:ext>
          </c:extLst>
        </c:ser>
        <c:ser>
          <c:idx val="7"/>
          <c:order val="7"/>
          <c:tx>
            <c:strRef>
              <c:f>'COMPARISON 2018 NAUE'!$A$53</c:f>
              <c:strCache>
                <c:ptCount val="1"/>
                <c:pt idx="0">
                  <c:v>Family Centered Treatment</c:v>
                </c:pt>
              </c:strCache>
            </c:strRef>
          </c:tx>
          <c:spPr>
            <a:ln w="28575" cap="rnd">
              <a:solidFill>
                <a:schemeClr val="accent2">
                  <a:lumMod val="60000"/>
                </a:schemeClr>
              </a:solidFill>
              <a:prstDash val="lgDashDot"/>
              <a:round/>
            </a:ln>
            <a:effectLst/>
          </c:spPr>
          <c:marker>
            <c:symbol val="circle"/>
            <c:size val="5"/>
            <c:spPr>
              <a:solidFill>
                <a:schemeClr val="accent2">
                  <a:lumMod val="60000"/>
                </a:schemeClr>
              </a:solidFill>
              <a:ln w="9525">
                <a:solidFill>
                  <a:schemeClr val="accent2">
                    <a:lumMod val="60000"/>
                  </a:schemeClr>
                </a:solidFill>
                <a:prstDash val="lgDashDot"/>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NAUE'!$B$53:$G$53</c:f>
              <c:numCache>
                <c:formatCode>General</c:formatCode>
                <c:ptCount val="6"/>
                <c:pt idx="2" formatCode="###0.00">
                  <c:v>3.369127516778526</c:v>
                </c:pt>
                <c:pt idx="3" formatCode="###0.00">
                  <c:v>3.76</c:v>
                </c:pt>
                <c:pt idx="4" formatCode="0.00">
                  <c:v>3.58</c:v>
                </c:pt>
                <c:pt idx="5" formatCode="0.00">
                  <c:v>3.759223300970874</c:v>
                </c:pt>
              </c:numCache>
            </c:numRef>
          </c:val>
          <c:smooth val="0"/>
          <c:extLst>
            <c:ext xmlns:c16="http://schemas.microsoft.com/office/drawing/2014/chart" uri="{C3380CC4-5D6E-409C-BE32-E72D297353CC}">
              <c16:uniqueId val="{00000007-3B8B-453E-875B-98B94E9BD414}"/>
            </c:ext>
          </c:extLst>
        </c:ser>
        <c:ser>
          <c:idx val="8"/>
          <c:order val="8"/>
          <c:tx>
            <c:strRef>
              <c:f>'COMPARISON 2018 NAUE'!$A$54</c:f>
              <c:strCache>
                <c:ptCount val="1"/>
                <c:pt idx="0">
                  <c:v>Motivational Interviewing</c:v>
                </c:pt>
              </c:strCache>
            </c:strRef>
          </c:tx>
          <c:spPr>
            <a:ln w="28575" cap="rnd">
              <a:solidFill>
                <a:schemeClr val="accent3">
                  <a:lumMod val="60000"/>
                </a:schemeClr>
              </a:solidFill>
              <a:prstDash val="sysDash"/>
              <a:round/>
            </a:ln>
            <a:effectLst/>
          </c:spPr>
          <c:marker>
            <c:symbol val="circle"/>
            <c:size val="5"/>
            <c:spPr>
              <a:solidFill>
                <a:schemeClr val="accent3">
                  <a:lumMod val="60000"/>
                </a:schemeClr>
              </a:solidFill>
              <a:ln w="9525">
                <a:solidFill>
                  <a:schemeClr val="accent3">
                    <a:lumMod val="60000"/>
                  </a:schemeClr>
                </a:solidFill>
                <a:prstDash val="sys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NAUE'!$B$54:$G$54</c:f>
              <c:numCache>
                <c:formatCode>General</c:formatCode>
                <c:ptCount val="6"/>
                <c:pt idx="2" formatCode="###0.00">
                  <c:v>3.2839951865222621</c:v>
                </c:pt>
                <c:pt idx="3" formatCode="###0.00">
                  <c:v>4.1100000000000003</c:v>
                </c:pt>
                <c:pt idx="4" formatCode="0.00">
                  <c:v>4.22</c:v>
                </c:pt>
                <c:pt idx="5" formatCode="0.00">
                  <c:v>4.1004878048780489</c:v>
                </c:pt>
              </c:numCache>
            </c:numRef>
          </c:val>
          <c:smooth val="0"/>
          <c:extLst>
            <c:ext xmlns:c16="http://schemas.microsoft.com/office/drawing/2014/chart" uri="{C3380CC4-5D6E-409C-BE32-E72D297353CC}">
              <c16:uniqueId val="{00000008-3B8B-453E-875B-98B94E9BD414}"/>
            </c:ext>
          </c:extLst>
        </c:ser>
        <c:ser>
          <c:idx val="9"/>
          <c:order val="9"/>
          <c:tx>
            <c:strRef>
              <c:f>'COMPARISON 2018 NAUE'!$A$55</c:f>
              <c:strCache>
                <c:ptCount val="1"/>
                <c:pt idx="0">
                  <c:v>Trauma Focused-Cognitive Behavioral Therapy</c:v>
                </c:pt>
              </c:strCache>
            </c:strRef>
          </c:tx>
          <c:spPr>
            <a:ln w="28575" cap="rnd">
              <a:solidFill>
                <a:schemeClr val="bg2">
                  <a:lumMod val="75000"/>
                </a:schemeClr>
              </a:solidFill>
              <a:prstDash val="dash"/>
              <a:round/>
            </a:ln>
            <a:effectLst/>
          </c:spPr>
          <c:marker>
            <c:symbol val="circle"/>
            <c:size val="5"/>
            <c:spPr>
              <a:solidFill>
                <a:schemeClr val="bg2">
                  <a:lumMod val="75000"/>
                </a:schemeClr>
              </a:solidFill>
              <a:ln w="9525">
                <a:solidFill>
                  <a:schemeClr val="bg2">
                    <a:lumMod val="75000"/>
                  </a:schemeClr>
                </a:solidFill>
                <a:prstDash val="dash"/>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NAUE'!$B$55:$G$55</c:f>
              <c:numCache>
                <c:formatCode>General</c:formatCode>
                <c:ptCount val="6"/>
                <c:pt idx="2" formatCode="###0.00">
                  <c:v>3.3438287153652348</c:v>
                </c:pt>
                <c:pt idx="3" formatCode="###0.00">
                  <c:v>3.98</c:v>
                </c:pt>
                <c:pt idx="4" formatCode="0.00">
                  <c:v>4.1100000000000003</c:v>
                </c:pt>
                <c:pt idx="5" formatCode="0.00">
                  <c:v>3.9105058365758754</c:v>
                </c:pt>
              </c:numCache>
            </c:numRef>
          </c:val>
          <c:smooth val="0"/>
          <c:extLst>
            <c:ext xmlns:c16="http://schemas.microsoft.com/office/drawing/2014/chart" uri="{C3380CC4-5D6E-409C-BE32-E72D297353CC}">
              <c16:uniqueId val="{00000009-3B8B-453E-875B-98B94E9BD414}"/>
            </c:ext>
          </c:extLst>
        </c:ser>
        <c:ser>
          <c:idx val="10"/>
          <c:order val="10"/>
          <c:tx>
            <c:strRef>
              <c:f>'COMPARISON 2018 NAUE'!$A$56</c:f>
              <c:strCache>
                <c:ptCount val="1"/>
                <c:pt idx="0">
                  <c:v>Child-Parent Psychotherapy</c:v>
                </c:pt>
              </c:strCache>
            </c:strRef>
          </c:tx>
          <c:spPr>
            <a:ln w="28575" cap="rnd">
              <a:solidFill>
                <a:schemeClr val="accent5">
                  <a:lumMod val="60000"/>
                </a:schemeClr>
              </a:solidFill>
              <a:prstDash val="lgDashDotDot"/>
              <a:round/>
            </a:ln>
            <a:effectLst/>
          </c:spPr>
          <c:marker>
            <c:symbol val="circle"/>
            <c:size val="5"/>
            <c:spPr>
              <a:solidFill>
                <a:schemeClr val="accent5">
                  <a:lumMod val="60000"/>
                </a:schemeClr>
              </a:solidFill>
              <a:ln w="9525">
                <a:solidFill>
                  <a:schemeClr val="accent5">
                    <a:lumMod val="60000"/>
                  </a:schemeClr>
                </a:solidFill>
                <a:prstDash val="lgDashDotDot"/>
              </a:ln>
              <a:effectLst/>
            </c:spPr>
          </c:marker>
          <c:cat>
            <c:strRef>
              <c:f>'COMPARISON 2018 NAUE'!$B$2:$G$2</c:f>
              <c:strCache>
                <c:ptCount val="6"/>
                <c:pt idx="0">
                  <c:v>2013</c:v>
                </c:pt>
                <c:pt idx="1">
                  <c:v>2014</c:v>
                </c:pt>
                <c:pt idx="2">
                  <c:v>2015</c:v>
                </c:pt>
                <c:pt idx="3">
                  <c:v>2016</c:v>
                </c:pt>
                <c:pt idx="4">
                  <c:v>2017</c:v>
                </c:pt>
                <c:pt idx="5">
                  <c:v>2018</c:v>
                </c:pt>
              </c:strCache>
            </c:strRef>
          </c:cat>
          <c:val>
            <c:numRef>
              <c:f>'COMPARISON 2018 NAUE'!$B$56:$G$56</c:f>
              <c:numCache>
                <c:formatCode>General</c:formatCode>
                <c:ptCount val="6"/>
                <c:pt idx="2" formatCode="###0.00">
                  <c:v>3.21</c:v>
                </c:pt>
                <c:pt idx="3" formatCode="###0.00">
                  <c:v>3.97</c:v>
                </c:pt>
                <c:pt idx="4" formatCode="0.00">
                  <c:v>4.0199999999999996</c:v>
                </c:pt>
                <c:pt idx="5" formatCode="0.00">
                  <c:v>3.9512195121951219</c:v>
                </c:pt>
              </c:numCache>
            </c:numRef>
          </c:val>
          <c:smooth val="0"/>
          <c:extLst>
            <c:ext xmlns:c16="http://schemas.microsoft.com/office/drawing/2014/chart" uri="{C3380CC4-5D6E-409C-BE32-E72D297353CC}">
              <c16:uniqueId val="{0000000A-3B8B-453E-875B-98B94E9BD414}"/>
            </c:ext>
          </c:extLst>
        </c:ser>
        <c:dLbls>
          <c:showLegendKey val="0"/>
          <c:showVal val="0"/>
          <c:showCatName val="0"/>
          <c:showSerName val="0"/>
          <c:showPercent val="0"/>
          <c:showBubbleSize val="0"/>
        </c:dLbls>
        <c:marker val="1"/>
        <c:smooth val="0"/>
        <c:axId val="-1167332176"/>
        <c:axId val="-1167337072"/>
      </c:lineChart>
      <c:catAx>
        <c:axId val="-116733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167337072"/>
        <c:crosses val="autoZero"/>
        <c:auto val="1"/>
        <c:lblAlgn val="ctr"/>
        <c:lblOffset val="100"/>
        <c:noMultiLvlLbl val="0"/>
      </c:catAx>
      <c:valAx>
        <c:axId val="-1167337072"/>
        <c:scaling>
          <c:orientation val="minMax"/>
          <c:max val="4.3"/>
          <c:min val="2.9"/>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673321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53937007874016E-2"/>
          <c:y val="5.0925925925925923E-2"/>
          <c:w val="0.86601618547681536"/>
          <c:h val="0.8416746864975212"/>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4"/>
              </a:solidFill>
              <a:ln>
                <a:noFill/>
              </a:ln>
              <a:effectLst/>
            </c:spPr>
            <c:extLst>
              <c:ext xmlns:c16="http://schemas.microsoft.com/office/drawing/2014/chart" uri="{C3380CC4-5D6E-409C-BE32-E72D297353CC}">
                <c16:uniqueId val="{00000001-250F-495F-ACDF-7DA9758AE677}"/>
              </c:ext>
            </c:extLst>
          </c:dPt>
          <c:dPt>
            <c:idx val="1"/>
            <c:invertIfNegative val="0"/>
            <c:bubble3D val="0"/>
            <c:spPr>
              <a:solidFill>
                <a:schemeClr val="accent6"/>
              </a:solidFill>
              <a:ln>
                <a:noFill/>
              </a:ln>
              <a:effectLst/>
            </c:spPr>
            <c:extLst>
              <c:ext xmlns:c16="http://schemas.microsoft.com/office/drawing/2014/chart" uri="{C3380CC4-5D6E-409C-BE32-E72D297353CC}">
                <c16:uniqueId val="{00000003-250F-495F-ACDF-7DA9758AE677}"/>
              </c:ext>
            </c:extLst>
          </c:dPt>
          <c:dPt>
            <c:idx val="2"/>
            <c:invertIfNegative val="0"/>
            <c:bubble3D val="0"/>
            <c:spPr>
              <a:solidFill>
                <a:schemeClr val="accent5"/>
              </a:solidFill>
              <a:ln>
                <a:noFill/>
              </a:ln>
              <a:effectLst/>
            </c:spPr>
            <c:extLst>
              <c:ext xmlns:c16="http://schemas.microsoft.com/office/drawing/2014/chart" uri="{C3380CC4-5D6E-409C-BE32-E72D297353CC}">
                <c16:uniqueId val="{00000005-250F-495F-ACDF-7DA9758AE677}"/>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0F-495F-ACDF-7DA9758AE677}"/>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0F-495F-ACDF-7DA9758AE677}"/>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0F-495F-ACDF-7DA9758AE677}"/>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ConcreteServices!$B$14:$D$14</c:f>
              <c:numCache>
                <c:formatCode>General</c:formatCode>
                <c:ptCount val="3"/>
                <c:pt idx="0">
                  <c:v>2016</c:v>
                </c:pt>
                <c:pt idx="1">
                  <c:v>2017</c:v>
                </c:pt>
                <c:pt idx="2">
                  <c:v>2018</c:v>
                </c:pt>
              </c:numCache>
            </c:numRef>
          </c:cat>
          <c:val>
            <c:numRef>
              <c:f>ConcreteServices!$B$15:$D$15</c:f>
              <c:numCache>
                <c:formatCode>0.0%</c:formatCode>
                <c:ptCount val="3"/>
                <c:pt idx="0">
                  <c:v>0.20902090209020902</c:v>
                </c:pt>
                <c:pt idx="1">
                  <c:v>0.28059701492537314</c:v>
                </c:pt>
                <c:pt idx="2">
                  <c:v>0.27893518518518501</c:v>
                </c:pt>
              </c:numCache>
            </c:numRef>
          </c:val>
          <c:extLst>
            <c:ext xmlns:c16="http://schemas.microsoft.com/office/drawing/2014/chart" uri="{C3380CC4-5D6E-409C-BE32-E72D297353CC}">
              <c16:uniqueId val="{00000006-250F-495F-ACDF-7DA9758AE677}"/>
            </c:ext>
          </c:extLst>
        </c:ser>
        <c:dLbls>
          <c:showLegendKey val="0"/>
          <c:showVal val="0"/>
          <c:showCatName val="0"/>
          <c:showSerName val="0"/>
          <c:showPercent val="0"/>
          <c:showBubbleSize val="0"/>
        </c:dLbls>
        <c:gapWidth val="219"/>
        <c:overlap val="-27"/>
        <c:axId val="-1167334352"/>
        <c:axId val="-1167332720"/>
      </c:barChart>
      <c:catAx>
        <c:axId val="-116733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332720"/>
        <c:crosses val="autoZero"/>
        <c:auto val="1"/>
        <c:lblAlgn val="ctr"/>
        <c:lblOffset val="100"/>
        <c:noMultiLvlLbl val="0"/>
      </c:catAx>
      <c:valAx>
        <c:axId val="-11673327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334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6">
  <a:schemeClr val="accent3"/>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6">
  <a:schemeClr val="accent3"/>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F7A40BB312D543B0B1C9D435F78E10" ma:contentTypeVersion="10" ma:contentTypeDescription="Create a new document." ma:contentTypeScope="" ma:versionID="7801872998097b0461451b6aa329fc7e">
  <xsd:schema xmlns:xsd="http://www.w3.org/2001/XMLSchema" xmlns:xs="http://www.w3.org/2001/XMLSchema" xmlns:p="http://schemas.microsoft.com/office/2006/metadata/properties" xmlns:ns1="http://schemas.microsoft.com/sharepoint/v3" xmlns:ns3="d596dd68-fde4-4c77-b97b-054feca7c14d" xmlns:ns4="11cde537-4bb5-4c91-a114-2ae61ded45d8" targetNamespace="http://schemas.microsoft.com/office/2006/metadata/properties" ma:root="true" ma:fieldsID="d99c5e99bfec597ed3377e809109cf3e" ns1:_="" ns3:_="" ns4:_="">
    <xsd:import namespace="http://schemas.microsoft.com/sharepoint/v3"/>
    <xsd:import namespace="d596dd68-fde4-4c77-b97b-054feca7c14d"/>
    <xsd:import namespace="11cde537-4bb5-4c91-a114-2ae61ded45d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96dd68-fde4-4c77-b97b-054feca7c1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cde537-4bb5-4c91-a114-2ae61ded45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F0D76-83B5-4456-9F3D-981760129241}">
  <ds:schemaRefs>
    <ds:schemaRef ds:uri="http://schemas.microsoft.com/sharepoint/v3/contenttype/forms"/>
  </ds:schemaRefs>
</ds:datastoreItem>
</file>

<file path=customXml/itemProps2.xml><?xml version="1.0" encoding="utf-8"?>
<ds:datastoreItem xmlns:ds="http://schemas.openxmlformats.org/officeDocument/2006/customXml" ds:itemID="{87D8F6A3-903F-448F-9290-9896AC574018}">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D80767A-6E3A-4786-8003-FD9E2C20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96dd68-fde4-4c77-b97b-054feca7c14d"/>
    <ds:schemaRef ds:uri="11cde537-4bb5-4c91-a114-2ae61ded4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44813F-6A93-4CC3-BDAA-45464A64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31286</Words>
  <Characters>178333</Characters>
  <Application>Microsoft Office Word</Application>
  <DocSecurity>0</DocSecurity>
  <Lines>1486</Lines>
  <Paragraphs>418</Paragraphs>
  <ScaleCrop>false</ScaleCrop>
  <HeadingPairs>
    <vt:vector size="2" baseType="variant">
      <vt:variant>
        <vt:lpstr>Title</vt:lpstr>
      </vt:variant>
      <vt:variant>
        <vt:i4>1</vt:i4>
      </vt:variant>
    </vt:vector>
  </HeadingPairs>
  <TitlesOfParts>
    <vt:vector size="1" baseType="lpstr">
      <vt:lpstr>Indiana Department of Child Services                                                                             Title IV-E Waiver Demonstration</vt:lpstr>
    </vt:vector>
  </TitlesOfParts>
  <Company>Department of Pediatrics</Company>
  <LinksUpToDate>false</LinksUpToDate>
  <CharactersWithSpaces>209201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Indiana Department of Child Services                                                                             Title IV-E Waiver Demonstration</dc:title>
  <dc:subject/>
  <dc:creator>Cummings, Tracy</dc:creator>
  <cp:keywords/>
  <dc:description/>
  <cp:lastModifiedBy>Imburgia, Tracy</cp:lastModifiedBy>
  <cp:revision>7</cp:revision>
  <cp:lastPrinted>2017-12-07T15:48:00Z</cp:lastPrinted>
  <dcterms:created xsi:type="dcterms:W3CDTF">2020-06-24T14:20:00Z</dcterms:created>
  <dcterms:modified xsi:type="dcterms:W3CDTF">2020-06-24T14:45:00Z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0x010100F2F7A40BB312D543B0B1C9D435F78E10</vt:lpwstr>
  </property>
</Properties>
</file>