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E806" w14:textId="6730449D" w:rsidR="006D6791" w:rsidRDefault="006D6791" w:rsidP="006D6791">
      <w:pPr>
        <w:pStyle w:val="Subtitle"/>
        <w:spacing w:after="360"/>
      </w:pPr>
      <w:bookmarkStart w:id="0" w:name="_Toc132376866"/>
      <w:r>
        <w:t>[INSERT CASE CAPTION HERE]</w:t>
      </w:r>
    </w:p>
    <w:p w14:paraId="307D7C1F" w14:textId="193C8FD7" w:rsidR="00EF2BAF" w:rsidRPr="006D6791" w:rsidRDefault="00EF2BAF" w:rsidP="006D6791">
      <w:pPr>
        <w:pStyle w:val="Title"/>
      </w:pPr>
      <w:r w:rsidRPr="006D6791">
        <w:t>Stipulated Discovery Protocol (With ESI)</w:t>
      </w:r>
      <w:bookmarkEnd w:id="0"/>
    </w:p>
    <w:p w14:paraId="590F8076" w14:textId="77777777" w:rsidR="00EF2BAF" w:rsidRDefault="00EF2BAF" w:rsidP="00EF2BAF">
      <w:pPr>
        <w:tabs>
          <w:tab w:val="left" w:pos="2880"/>
          <w:tab w:val="left" w:pos="5040"/>
        </w:tabs>
        <w:spacing w:before="0" w:after="0" w:line="240" w:lineRule="auto"/>
        <w:rPr>
          <w:rFonts w:eastAsia="Times New Roman" w:cs="Segoe UI"/>
          <w:szCs w:val="24"/>
        </w:rPr>
      </w:pPr>
    </w:p>
    <w:p w14:paraId="1401A7A2" w14:textId="77777777" w:rsidR="00EF2BAF" w:rsidRPr="00901D78" w:rsidRDefault="00EF2BAF" w:rsidP="00EF2BAF">
      <w:pPr>
        <w:rPr>
          <w:b/>
          <w:bCs/>
          <w:sz w:val="28"/>
          <w:szCs w:val="22"/>
        </w:rPr>
      </w:pPr>
      <w:r w:rsidRPr="00901D78">
        <w:rPr>
          <w:b/>
          <w:bCs/>
          <w:sz w:val="28"/>
          <w:szCs w:val="22"/>
        </w:rPr>
        <w:t xml:space="preserve">1. </w:t>
      </w:r>
      <w:r>
        <w:rPr>
          <w:b/>
          <w:bCs/>
          <w:sz w:val="28"/>
          <w:szCs w:val="22"/>
        </w:rPr>
        <w:tab/>
      </w:r>
      <w:r w:rsidRPr="00901D78">
        <w:rPr>
          <w:b/>
          <w:bCs/>
          <w:sz w:val="28"/>
          <w:szCs w:val="22"/>
        </w:rPr>
        <w:t>PURPOSE</w:t>
      </w:r>
    </w:p>
    <w:p w14:paraId="1E88A10F" w14:textId="77777777" w:rsidR="00EF2BAF" w:rsidRPr="00FA7317" w:rsidRDefault="00EF2BAF" w:rsidP="00EF2BAF">
      <w:pPr>
        <w:pStyle w:val="NoSpacing"/>
        <w:spacing w:line="276" w:lineRule="auto"/>
        <w:rPr>
          <w:rFonts w:ascii="Segoe UI" w:hAnsi="Segoe UI" w:cs="Segoe UI"/>
          <w:sz w:val="24"/>
          <w:szCs w:val="24"/>
        </w:rPr>
      </w:pPr>
      <w:r w:rsidRPr="00FA7317">
        <w:rPr>
          <w:rFonts w:ascii="Segoe UI" w:hAnsi="Segoe UI" w:cs="Segoe UI"/>
          <w:sz w:val="24"/>
          <w:szCs w:val="24"/>
        </w:rPr>
        <w:t xml:space="preserve">This Stipulated Discovery Protocol </w:t>
      </w:r>
      <w:r>
        <w:rPr>
          <w:rFonts w:ascii="Segoe UI" w:hAnsi="Segoe UI" w:cs="Segoe UI"/>
          <w:sz w:val="24"/>
          <w:szCs w:val="24"/>
        </w:rPr>
        <w:t>(</w:t>
      </w:r>
      <w:r w:rsidRPr="00FA7317">
        <w:rPr>
          <w:rFonts w:ascii="Segoe UI" w:hAnsi="Segoe UI" w:cs="Segoe UI"/>
          <w:sz w:val="24"/>
          <w:szCs w:val="24"/>
        </w:rPr>
        <w:t>Protocol</w:t>
      </w:r>
      <w:r>
        <w:rPr>
          <w:rFonts w:ascii="Segoe UI" w:hAnsi="Segoe UI" w:cs="Segoe UI"/>
          <w:sz w:val="24"/>
          <w:szCs w:val="24"/>
        </w:rPr>
        <w:t>)</w:t>
      </w:r>
      <w:r w:rsidRPr="00FA7317">
        <w:rPr>
          <w:rFonts w:ascii="Segoe UI" w:hAnsi="Segoe UI" w:cs="Segoe UI"/>
          <w:sz w:val="24"/>
          <w:szCs w:val="24"/>
        </w:rPr>
        <w:t xml:space="preserve"> will facilitate the exchange of electronically stored information </w:t>
      </w:r>
      <w:r>
        <w:rPr>
          <w:rFonts w:ascii="Segoe UI" w:hAnsi="Segoe UI" w:cs="Segoe UI"/>
          <w:sz w:val="24"/>
          <w:szCs w:val="24"/>
        </w:rPr>
        <w:t>(</w:t>
      </w:r>
      <w:r w:rsidRPr="00FA7317">
        <w:rPr>
          <w:rFonts w:ascii="Segoe UI" w:hAnsi="Segoe UI" w:cs="Segoe UI"/>
          <w:sz w:val="24"/>
          <w:szCs w:val="24"/>
        </w:rPr>
        <w:t>ESI</w:t>
      </w:r>
      <w:r>
        <w:rPr>
          <w:rFonts w:ascii="Segoe UI" w:hAnsi="Segoe UI" w:cs="Segoe UI"/>
          <w:sz w:val="24"/>
          <w:szCs w:val="24"/>
        </w:rPr>
        <w:t>)</w:t>
      </w:r>
      <w:r w:rsidRPr="00FA7317">
        <w:rPr>
          <w:rFonts w:ascii="Segoe UI" w:hAnsi="Segoe UI" w:cs="Segoe UI"/>
          <w:sz w:val="24"/>
          <w:szCs w:val="24"/>
        </w:rPr>
        <w:t xml:space="preserve"> and hard copy documents in this case as a supplement to the Indiana Rules of Trial Procedure, </w:t>
      </w:r>
      <w:r>
        <w:rPr>
          <w:rFonts w:ascii="Segoe UI" w:hAnsi="Segoe UI" w:cs="Segoe UI"/>
          <w:sz w:val="24"/>
          <w:szCs w:val="24"/>
        </w:rPr>
        <w:t>l</w:t>
      </w:r>
      <w:r w:rsidRPr="00FA7317">
        <w:rPr>
          <w:rFonts w:ascii="Segoe UI" w:hAnsi="Segoe UI" w:cs="Segoe UI"/>
          <w:sz w:val="24"/>
          <w:szCs w:val="24"/>
        </w:rPr>
        <w:t xml:space="preserve">ocal </w:t>
      </w:r>
      <w:r>
        <w:rPr>
          <w:rFonts w:ascii="Segoe UI" w:hAnsi="Segoe UI" w:cs="Segoe UI"/>
          <w:sz w:val="24"/>
          <w:szCs w:val="24"/>
        </w:rPr>
        <w:t>r</w:t>
      </w:r>
      <w:r w:rsidRPr="00FA7317">
        <w:rPr>
          <w:rFonts w:ascii="Segoe UI" w:hAnsi="Segoe UI" w:cs="Segoe UI"/>
          <w:sz w:val="24"/>
          <w:szCs w:val="24"/>
        </w:rPr>
        <w:t xml:space="preserve">ules, and any other applicable </w:t>
      </w:r>
      <w:r>
        <w:rPr>
          <w:rFonts w:ascii="Segoe UI" w:hAnsi="Segoe UI" w:cs="Segoe UI"/>
          <w:sz w:val="24"/>
          <w:szCs w:val="24"/>
        </w:rPr>
        <w:t>p</w:t>
      </w:r>
      <w:r w:rsidRPr="00FA7317">
        <w:rPr>
          <w:rFonts w:ascii="Segoe UI" w:hAnsi="Segoe UI" w:cs="Segoe UI"/>
          <w:sz w:val="24"/>
          <w:szCs w:val="24"/>
        </w:rPr>
        <w:t xml:space="preserve">rotocols and rules.  </w:t>
      </w:r>
    </w:p>
    <w:p w14:paraId="7A97808E" w14:textId="77777777" w:rsidR="00EF2BAF" w:rsidRPr="00901D78" w:rsidRDefault="00EF2BAF" w:rsidP="00EF2BAF">
      <w:pPr>
        <w:rPr>
          <w:b/>
          <w:bCs/>
          <w:sz w:val="28"/>
          <w:szCs w:val="22"/>
        </w:rPr>
      </w:pPr>
      <w:r w:rsidRPr="00901D78">
        <w:rPr>
          <w:b/>
          <w:bCs/>
          <w:sz w:val="28"/>
          <w:szCs w:val="22"/>
        </w:rPr>
        <w:t>2.</w:t>
      </w:r>
      <w:r w:rsidRPr="00901D78">
        <w:rPr>
          <w:b/>
          <w:bCs/>
          <w:sz w:val="28"/>
          <w:szCs w:val="22"/>
        </w:rPr>
        <w:tab/>
        <w:t>COOPERATION</w:t>
      </w:r>
    </w:p>
    <w:p w14:paraId="212BCC10" w14:textId="77777777" w:rsidR="00EF2BAF" w:rsidRDefault="00EF2BAF" w:rsidP="00EF2BAF">
      <w:pPr>
        <w:rPr>
          <w:noProof/>
        </w:rPr>
      </w:pPr>
      <w:r w:rsidRPr="0057708F">
        <w:t>The parties are aware of the importance the Court places on cooperation and commit to cooperate in good faith throughout discovery in the matter consistent with this Protocol.  The parties have agreed that this Protocol governs discovery in the case, and intend to be mutually bound thereby.</w:t>
      </w:r>
      <w:r w:rsidRPr="0057708F">
        <w:rPr>
          <w:noProof/>
        </w:rPr>
        <w:t xml:space="preserve">  </w:t>
      </w:r>
    </w:p>
    <w:p w14:paraId="28403AAF" w14:textId="77777777" w:rsidR="00EF2BAF" w:rsidRPr="00901D78" w:rsidRDefault="00EF2BAF" w:rsidP="00EF2BAF">
      <w:pPr>
        <w:rPr>
          <w:b/>
          <w:bCs/>
          <w:sz w:val="28"/>
          <w:szCs w:val="22"/>
        </w:rPr>
      </w:pPr>
      <w:r w:rsidRPr="00901D78">
        <w:rPr>
          <w:b/>
          <w:bCs/>
          <w:sz w:val="28"/>
          <w:szCs w:val="22"/>
        </w:rPr>
        <w:t>3.</w:t>
      </w:r>
      <w:r w:rsidRPr="00901D78">
        <w:rPr>
          <w:b/>
          <w:bCs/>
          <w:sz w:val="28"/>
          <w:szCs w:val="22"/>
        </w:rPr>
        <w:tab/>
        <w:t xml:space="preserve">INITIAL DISCLOSURES </w:t>
      </w:r>
    </w:p>
    <w:p w14:paraId="4318203E" w14:textId="77777777" w:rsidR="00EF2BAF" w:rsidRPr="0014485C" w:rsidRDefault="00EF2BAF" w:rsidP="00EF2BAF">
      <w:r w:rsidRPr="0014485C">
        <w:t>The information and documents identified in the Initial Disclosures are those most likely to be automatically requested by experienced counsel in a similar case and which will most likely to be u</w:t>
      </w:r>
      <w:r>
        <w:t>seful in narrowing the issues.  Unless otherwise indicated by the Court or the parties herein, t</w:t>
      </w:r>
      <w:r w:rsidRPr="0014485C">
        <w:t>hese Initial Disclosures are not intended to be exhaustive of what should be shared by the parties or to preclude other necessary discovery.</w:t>
      </w:r>
      <w:r>
        <w:t xml:space="preserve">  </w:t>
      </w:r>
    </w:p>
    <w:p w14:paraId="0F99CE1B" w14:textId="77777777" w:rsidR="00EF2BAF" w:rsidRPr="0057708F" w:rsidRDefault="00EF2BAF" w:rsidP="00EF2BAF">
      <w:pPr>
        <w:ind w:left="720"/>
      </w:pPr>
      <w:r>
        <w:rPr>
          <w:rFonts w:ascii="MS Gothic" w:eastAsia="MS Gothic" w:hAnsi="MS Gothic" w:hint="eastAsia"/>
        </w:rPr>
        <w:t>☐</w:t>
      </w:r>
      <w:r w:rsidRPr="0057708F">
        <w:tab/>
        <w:t>NONE / NOT APPLICABLE</w:t>
      </w:r>
    </w:p>
    <w:p w14:paraId="1A84A4A6" w14:textId="77777777" w:rsidR="00EF2BAF" w:rsidRPr="0057708F" w:rsidRDefault="00EF2BAF" w:rsidP="00EF2BAF">
      <w:pPr>
        <w:ind w:left="720"/>
        <w:rPr>
          <w:bCs/>
        </w:rPr>
      </w:pPr>
      <w:r w:rsidRPr="0057708F">
        <w:rPr>
          <w:rFonts w:ascii="Segoe UI Symbol" w:eastAsia="MS Gothic" w:hAnsi="Segoe UI Symbol" w:cs="Segoe UI Symbol"/>
        </w:rPr>
        <w:t>☐</w:t>
      </w:r>
      <w:r w:rsidRPr="0057708F">
        <w:tab/>
      </w:r>
      <w:r w:rsidRPr="6C7FFB49">
        <w:rPr>
          <w:bCs/>
        </w:rPr>
        <w:t>STREAMLINED PATHWAY</w:t>
      </w:r>
    </w:p>
    <w:p w14:paraId="6DAD28AD" w14:textId="77777777" w:rsidR="00EF2BAF" w:rsidRPr="0057708F" w:rsidRDefault="00EF2BAF" w:rsidP="00EF2BAF">
      <w:r w:rsidRPr="6C7FFB49">
        <w:t>Within thirty (30) days of execution of this Protocol, a party must, without awaiting a discovery request, provide to the other parties:</w:t>
      </w:r>
    </w:p>
    <w:p w14:paraId="26FE73C7" w14:textId="77777777" w:rsidR="00EF2BAF" w:rsidRPr="0057708F" w:rsidRDefault="00EF2BAF" w:rsidP="00EF2BAF">
      <w:r w:rsidRPr="0057708F">
        <w:t>(i) the name, last-known title and dates of employment, if applicable, and, if known, the address and telephone number of each individual likely to have discoverable information—along with the subjects of that information—that the disclosing party may use to support its claims or defenses, unless the use would be solely for impeachment;</w:t>
      </w:r>
    </w:p>
    <w:p w14:paraId="0AAC67BF" w14:textId="0AAE9023" w:rsidR="00EF2BAF" w:rsidRPr="0057708F" w:rsidRDefault="00EF2BAF" w:rsidP="00EF2BAF">
      <w:r w:rsidRPr="0057708F">
        <w:t>(ii) a copy—or a description by category and location—of all documents, electronically stored information, and tangible things that the disclosing party has in its possession, custody, or control and may use to support its claims or defenses, unless the use would be solely for impeachment</w:t>
      </w:r>
      <w:r w:rsidR="008510E2">
        <w:t>.</w:t>
      </w:r>
    </w:p>
    <w:p w14:paraId="1314C4AF" w14:textId="77777777" w:rsidR="00EF2BAF" w:rsidRPr="0057708F" w:rsidRDefault="00EF2BAF" w:rsidP="00EF2BAF">
      <w:pPr>
        <w:ind w:left="720"/>
      </w:pPr>
      <w:r w:rsidRPr="0057708F">
        <w:rPr>
          <w:rFonts w:ascii="Segoe UI Symbol" w:eastAsia="MS Gothic" w:hAnsi="Segoe UI Symbol" w:cs="Segoe UI Symbol"/>
        </w:rPr>
        <w:lastRenderedPageBreak/>
        <w:t>☐</w:t>
      </w:r>
      <w:r w:rsidRPr="0057708F">
        <w:tab/>
      </w:r>
      <w:r w:rsidRPr="6C7FFB49">
        <w:t>COMPLEX PATHWAY</w:t>
      </w:r>
    </w:p>
    <w:p w14:paraId="1ECA2D31" w14:textId="77777777" w:rsidR="00EF2BAF" w:rsidRPr="0057708F" w:rsidRDefault="00EF2BAF" w:rsidP="00EF2BAF">
      <w:r w:rsidRPr="0057708F">
        <w:t>Within forty-five (45) days of execution of this Protocol, a party must, without awaiting a discovery request, provide to the other parties:</w:t>
      </w:r>
    </w:p>
    <w:p w14:paraId="4D346C71" w14:textId="77777777" w:rsidR="00EF2BAF" w:rsidRPr="0057708F" w:rsidRDefault="00EF2BAF" w:rsidP="00EF2BAF">
      <w:r w:rsidRPr="6C7FFB49">
        <w:t>(i) the name, last-known title and dates of employment, if applicable, and, if known, the address and telephone number of each individual likely to have discoverable information—along with the subjects of that information—that the disclosing party may use to support its claims or defenses, unless the use would be solely for impeachment;</w:t>
      </w:r>
    </w:p>
    <w:p w14:paraId="6F311B5E" w14:textId="77777777" w:rsidR="00EF2BAF" w:rsidRPr="0057708F" w:rsidRDefault="00EF2BAF" w:rsidP="00EF2BAF">
      <w:r w:rsidRPr="0057708F">
        <w:t>(ii) a copy—or a description by category and location—of all documents, electronically stored information, and tangible things that the disclosing party has in its possession, custody, or control and may use to support its claims or defenses, unless the use would be solely for impeachment;</w:t>
      </w:r>
    </w:p>
    <w:p w14:paraId="49F3C9B4" w14:textId="77777777" w:rsidR="00EF2BAF" w:rsidRPr="0057708F" w:rsidRDefault="00EF2BAF" w:rsidP="00EF2BAF">
      <w:r w:rsidRPr="6C7FFB49">
        <w:t xml:space="preserve">(iii) a computation of each category of damages claimed by the disclosing party—who must also make available for inspection and copying as under </w:t>
      </w:r>
      <w:r>
        <w:t>Trial Rule</w:t>
      </w:r>
      <w:r w:rsidRPr="6C7FFB49">
        <w:t xml:space="preserve"> 34 the documents or other evidentiary material, unless privileged or protected from disclosure, on which each computation is based, including materials bearing on the nature and extent of injuries suffered; </w:t>
      </w:r>
    </w:p>
    <w:p w14:paraId="288DCF3D" w14:textId="77777777" w:rsidR="00EF2BAF" w:rsidRPr="0057708F" w:rsidRDefault="00EF2BAF" w:rsidP="00EF2BAF">
      <w:r w:rsidRPr="6C7FFB49">
        <w:t xml:space="preserve">(iv) for inspection and copying as under </w:t>
      </w:r>
      <w:r>
        <w:t>Trial Rule</w:t>
      </w:r>
      <w:r w:rsidRPr="6C7FFB49">
        <w:t xml:space="preserve"> 34, any insurance agreement under which an insurance business may be liable to satisfy all or part of a possible judgment in the action or to indemnify or reimburse for payments made to satisfy the judgment; and</w:t>
      </w:r>
    </w:p>
    <w:p w14:paraId="6354309F" w14:textId="77777777" w:rsidR="00EF2BAF" w:rsidRDefault="00EF2BAF" w:rsidP="00EF2BAF">
      <w:pPr>
        <w:rPr>
          <w:szCs w:val="24"/>
        </w:rPr>
      </w:pPr>
      <w:r w:rsidRPr="6C7FFB49">
        <w:t>(v) documents that support any irreparable harm being alleged by the Plaintiff or any concerning any damages that Plaintiff is seeking in the Complaint.</w:t>
      </w:r>
    </w:p>
    <w:p w14:paraId="2FDA3F52" w14:textId="77777777" w:rsidR="00EF2BAF" w:rsidRPr="00585DA1" w:rsidRDefault="00EF2BAF" w:rsidP="00EF2BAF">
      <w:pPr>
        <w:ind w:left="720"/>
        <w:rPr>
          <w:b/>
          <w:bCs/>
        </w:rPr>
      </w:pPr>
      <w:r w:rsidRPr="00585DA1">
        <w:rPr>
          <w:rFonts w:ascii="MS Gothic" w:eastAsia="MS Gothic" w:hAnsi="MS Gothic" w:hint="eastAsia"/>
          <w:b/>
          <w:bCs/>
        </w:rPr>
        <w:t>☐</w:t>
      </w:r>
      <w:r w:rsidRPr="00585DA1">
        <w:rPr>
          <w:b/>
          <w:bCs/>
        </w:rPr>
        <w:tab/>
        <w:t>GENERAL PATHWAY</w:t>
      </w:r>
    </w:p>
    <w:p w14:paraId="62BBF46B" w14:textId="77777777" w:rsidR="00EF2BAF" w:rsidRPr="0057708F" w:rsidRDefault="00EF2BAF" w:rsidP="00EF2BAF">
      <w:r w:rsidRPr="0057708F">
        <w:t>Within forty-five (45) days of execution of this Protocol, a party must, without awaiting a discovery request, provide to the other parties:</w:t>
      </w:r>
    </w:p>
    <w:p w14:paraId="5F9C9F96" w14:textId="77777777" w:rsidR="00EF2BAF" w:rsidRPr="0057708F" w:rsidRDefault="00EF2BAF" w:rsidP="00EF2BAF">
      <w:r w:rsidRPr="0057708F">
        <w:t>(i) the name, last-known title and dates of employment, if applicable, and, if known, the address and telephone number of each individual likely to have discoverable information—along with the subjects of that information—that the disclosing party may use to support its claims or defenses, unless the use would be solely for impeachment;</w:t>
      </w:r>
    </w:p>
    <w:p w14:paraId="16A31ADB" w14:textId="77777777" w:rsidR="00EF2BAF" w:rsidRPr="0057708F" w:rsidRDefault="00EF2BAF" w:rsidP="00EF2BAF">
      <w:r w:rsidRPr="0057708F">
        <w:t>(ii) a copy—or a description by category and location—of all documents, electronically stored information, and tangible things that the disclosing party has in its possession, custody, or control and may use to support its claims or defenses, unless the use would be solely for impeachment;</w:t>
      </w:r>
    </w:p>
    <w:p w14:paraId="0A4A037A" w14:textId="3F5B79A1" w:rsidR="00EF2BAF" w:rsidRPr="0057708F" w:rsidRDefault="00EF2BAF" w:rsidP="00EF2BAF">
      <w:r w:rsidRPr="47A09716">
        <w:lastRenderedPageBreak/>
        <w:t xml:space="preserve">(iii) a computation of each category of damages claimed by the disclosing party—who must also make available for inspection and copying as under </w:t>
      </w:r>
      <w:r w:rsidR="00687043">
        <w:t>T.R</w:t>
      </w:r>
      <w:r w:rsidRPr="47A09716">
        <w:t>. 34 the documents or other evidentiary material, unless privileged or protected from disclosure, on which each computation is based, including materials bearing on the nature and extent of injuries suffered; and</w:t>
      </w:r>
    </w:p>
    <w:p w14:paraId="54741079" w14:textId="77777777" w:rsidR="00EF2BAF" w:rsidRDefault="00EF2BAF" w:rsidP="00EF2BAF">
      <w:pPr>
        <w:rPr>
          <w:color w:val="751D20"/>
          <w:szCs w:val="24"/>
          <w:u w:val="single"/>
        </w:rPr>
      </w:pPr>
      <w:r w:rsidRPr="6C7FFB49">
        <w:t>(iv) d</w:t>
      </w:r>
      <w:r w:rsidRPr="00F0129F">
        <w:t>ocuments that support any irreparable harm being alleged by the Plaintiff or any concerning any damages that Plaintiff is seeking in the Complaint.</w:t>
      </w:r>
    </w:p>
    <w:p w14:paraId="03A8D1CB" w14:textId="77777777" w:rsidR="00EF2BAF" w:rsidRPr="006423E1" w:rsidRDefault="00EF2BAF" w:rsidP="00EF2BAF">
      <w:pPr>
        <w:ind w:left="720"/>
        <w:rPr>
          <w:b/>
          <w:bCs/>
        </w:rPr>
      </w:pPr>
      <w:r w:rsidRPr="006423E1">
        <w:rPr>
          <w:rFonts w:ascii="Segoe UI Symbol" w:eastAsia="MS Gothic" w:hAnsi="Segoe UI Symbol" w:cs="Segoe UI Symbol"/>
          <w:b/>
          <w:bCs/>
        </w:rPr>
        <w:t>☐</w:t>
      </w:r>
      <w:r w:rsidRPr="006423E1">
        <w:rPr>
          <w:b/>
          <w:bCs/>
        </w:rPr>
        <w:tab/>
        <w:t xml:space="preserve">OTHER: </w:t>
      </w:r>
    </w:p>
    <w:p w14:paraId="7E85186F" w14:textId="77777777" w:rsidR="00EF2BAF" w:rsidRPr="00901D78" w:rsidRDefault="00EF2BAF" w:rsidP="00EF2BAF">
      <w:pPr>
        <w:rPr>
          <w:b/>
          <w:bCs/>
          <w:sz w:val="28"/>
          <w:szCs w:val="22"/>
        </w:rPr>
      </w:pPr>
      <w:r w:rsidRPr="00901D78">
        <w:rPr>
          <w:b/>
          <w:bCs/>
          <w:sz w:val="28"/>
          <w:szCs w:val="22"/>
        </w:rPr>
        <w:t>4.</w:t>
      </w:r>
      <w:r w:rsidRPr="00901D78">
        <w:rPr>
          <w:b/>
          <w:bCs/>
          <w:sz w:val="28"/>
          <w:szCs w:val="22"/>
        </w:rPr>
        <w:tab/>
        <w:t>SEARCH AND PRODUCTION LIMITATIONS – PATHWAY SPECIFIC</w:t>
      </w:r>
    </w:p>
    <w:p w14:paraId="5307434C" w14:textId="77777777" w:rsidR="00EF2BAF" w:rsidRPr="006423E1" w:rsidRDefault="00EF2BAF" w:rsidP="00EF2BAF">
      <w:pPr>
        <w:ind w:left="720"/>
        <w:rPr>
          <w:b/>
          <w:bCs/>
        </w:rPr>
      </w:pPr>
      <w:r w:rsidRPr="006423E1">
        <w:rPr>
          <w:rFonts w:ascii="Segoe UI Symbol" w:eastAsia="MS Gothic" w:hAnsi="Segoe UI Symbol" w:cs="Segoe UI Symbol"/>
          <w:b/>
          <w:bCs/>
        </w:rPr>
        <w:t>☐</w:t>
      </w:r>
      <w:r w:rsidRPr="006423E1">
        <w:rPr>
          <w:b/>
          <w:bCs/>
        </w:rPr>
        <w:tab/>
        <w:t>NONE / NOT APPLICABLE</w:t>
      </w:r>
    </w:p>
    <w:p w14:paraId="58ADA6E1" w14:textId="77777777" w:rsidR="00EF2BAF" w:rsidRPr="006423E1" w:rsidRDefault="00EF2BAF" w:rsidP="00EF2BAF">
      <w:pPr>
        <w:ind w:left="720"/>
        <w:rPr>
          <w:b/>
          <w:bCs/>
        </w:rPr>
      </w:pPr>
      <w:r w:rsidRPr="006423E1">
        <w:rPr>
          <w:rFonts w:ascii="Segoe UI Symbol" w:eastAsia="MS Gothic" w:hAnsi="Segoe UI Symbol" w:cs="Segoe UI Symbol"/>
          <w:b/>
          <w:bCs/>
        </w:rPr>
        <w:t>☐</w:t>
      </w:r>
      <w:r w:rsidRPr="006423E1">
        <w:rPr>
          <w:b/>
          <w:bCs/>
        </w:rPr>
        <w:tab/>
        <w:t>STREAMLINED PATHWAY</w:t>
      </w:r>
    </w:p>
    <w:p w14:paraId="18E7F1A3" w14:textId="77777777" w:rsidR="00EF2BAF" w:rsidRPr="00924D58" w:rsidRDefault="00EF2BAF" w:rsidP="00EF2BAF">
      <w:pPr>
        <w:rPr>
          <w:b/>
          <w:bCs/>
          <w:u w:val="single"/>
        </w:rPr>
      </w:pPr>
      <w:r w:rsidRPr="00924D58">
        <w:rPr>
          <w:b/>
          <w:bCs/>
          <w:u w:val="single"/>
        </w:rPr>
        <w:t>Discovery Limitations</w:t>
      </w:r>
    </w:p>
    <w:p w14:paraId="152DC346" w14:textId="77777777" w:rsidR="00EF2BAF" w:rsidRPr="00342C05" w:rsidRDefault="00EF2BAF" w:rsidP="00EF2BAF">
      <w:r w:rsidRPr="47A09716">
        <w:t xml:space="preserve">Unless otherwise agreed to by the parties or Court order, no party shall serve more than: fifteen (15) </w:t>
      </w:r>
      <w:r>
        <w:t xml:space="preserve">interrogatories, </w:t>
      </w:r>
      <w:r w:rsidRPr="47A09716">
        <w:t>fifteen (15) requests for production, and fifteen (15) requests for admission</w:t>
      </w:r>
      <w:r>
        <w:t xml:space="preserve"> (excluding authenticating business records).</w:t>
      </w:r>
      <w:r w:rsidRPr="47A09716">
        <w:t xml:space="preserve">  </w:t>
      </w:r>
      <w:r>
        <w:t>S</w:t>
      </w:r>
      <w:r w:rsidRPr="47A09716">
        <w:t>ub-parts</w:t>
      </w:r>
      <w:r>
        <w:t xml:space="preserve"> to interrogatories, requests for productions and requests for admission</w:t>
      </w:r>
      <w:r w:rsidRPr="47A09716">
        <w:t xml:space="preserve"> shall not be counted as part of the number served, provided that the subparts are related to the same topic (i.e., multiple questions within one question, such as 1(A)-(D))</w:t>
      </w:r>
      <w:r>
        <w:t>).</w:t>
      </w:r>
      <w:r w:rsidRPr="47A09716">
        <w:t xml:space="preserve"> </w:t>
      </w:r>
      <w:r>
        <w:t xml:space="preserve"> </w:t>
      </w:r>
      <w:r w:rsidRPr="47A09716">
        <w:t xml:space="preserve">Each party is limited to not more than two (2) depositions (excluding experts and parties or party representatives), with a </w:t>
      </w:r>
      <w:r>
        <w:t>three</w:t>
      </w:r>
      <w:r w:rsidRPr="47A09716">
        <w:t>-hour (</w:t>
      </w:r>
      <w:r>
        <w:t>3</w:t>
      </w:r>
      <w:r w:rsidRPr="47A09716">
        <w:t>) limit for each deposition (unless the deposition is of an expert, a party, or a party representative), unless otherwise agreed to by the parties or Court order.</w:t>
      </w:r>
    </w:p>
    <w:p w14:paraId="17A90BBB" w14:textId="77777777" w:rsidR="00EF2BAF" w:rsidRPr="00924D58" w:rsidRDefault="00EF2BAF" w:rsidP="00EF2BAF">
      <w:pPr>
        <w:ind w:left="720"/>
        <w:rPr>
          <w:b/>
          <w:bCs/>
        </w:rPr>
      </w:pPr>
      <w:r w:rsidRPr="00924D58">
        <w:rPr>
          <w:rFonts w:ascii="Segoe UI Symbol" w:eastAsia="MS Gothic" w:hAnsi="Segoe UI Symbol" w:cs="Segoe UI Symbol"/>
          <w:b/>
          <w:bCs/>
        </w:rPr>
        <w:t>☐</w:t>
      </w:r>
      <w:r w:rsidRPr="00924D58">
        <w:rPr>
          <w:b/>
          <w:bCs/>
        </w:rPr>
        <w:tab/>
        <w:t>COMPLEX PATHWAY</w:t>
      </w:r>
    </w:p>
    <w:p w14:paraId="4B33BA5B" w14:textId="77777777" w:rsidR="00EF2BAF" w:rsidRPr="00901D78" w:rsidRDefault="00EF2BAF" w:rsidP="00EF2BAF">
      <w:pPr>
        <w:rPr>
          <w:b/>
          <w:bCs/>
          <w:u w:val="single"/>
        </w:rPr>
      </w:pPr>
      <w:r w:rsidRPr="00901D78">
        <w:rPr>
          <w:b/>
          <w:bCs/>
          <w:u w:val="single"/>
        </w:rPr>
        <w:t>Discovery Limitations</w:t>
      </w:r>
    </w:p>
    <w:p w14:paraId="1A812275" w14:textId="77777777" w:rsidR="00EF2BAF" w:rsidRPr="00091635" w:rsidRDefault="00EF2BAF" w:rsidP="00EF2BAF">
      <w:r w:rsidRPr="0034489D">
        <w:t xml:space="preserve">Unless otherwise agreed to by the parties or Court order, no party shall serve more than: </w:t>
      </w:r>
      <w:r>
        <w:t>forty (40</w:t>
      </w:r>
      <w:r w:rsidRPr="0034489D">
        <w:t xml:space="preserve">) interrogatories, </w:t>
      </w:r>
      <w:r>
        <w:t>forty (40</w:t>
      </w:r>
      <w:r w:rsidRPr="0034489D">
        <w:t xml:space="preserve">) requests for production, and </w:t>
      </w:r>
      <w:r>
        <w:t>forty (40</w:t>
      </w:r>
      <w:r w:rsidRPr="0034489D">
        <w:t xml:space="preserve">) requests for admission (excluding authenticating business records).  Sub-parts to interrogatories, requests for productions and requests for admission shall not be counted as part of the number served, provided that the subparts are related to the same topic (i.e., multiple questions within one question, such as 1(A)-(D))).  </w:t>
      </w:r>
      <w:r w:rsidRPr="47A09716">
        <w:t>Each party is limited to not more than ten (10) depositions (excluding experts and parties or party representatives), with a seven-hour (7) limit for each deposition (unless the deposition is of an expert, a party, or a party representative), unless otherwise agreed to by the parties or Court order.</w:t>
      </w:r>
    </w:p>
    <w:p w14:paraId="67139D78" w14:textId="77777777" w:rsidR="00EF2BAF" w:rsidRPr="00901D78" w:rsidRDefault="00EF2BAF" w:rsidP="00EF2BAF">
      <w:pPr>
        <w:ind w:left="720"/>
        <w:rPr>
          <w:b/>
          <w:bCs/>
        </w:rPr>
      </w:pPr>
      <w:r w:rsidRPr="00901D78">
        <w:rPr>
          <w:rFonts w:ascii="Segoe UI Symbol" w:hAnsi="Segoe UI Symbol" w:cs="Segoe UI Symbol"/>
          <w:b/>
          <w:bCs/>
        </w:rPr>
        <w:t>☐</w:t>
      </w:r>
      <w:r w:rsidRPr="00901D78">
        <w:rPr>
          <w:b/>
          <w:bCs/>
        </w:rPr>
        <w:tab/>
        <w:t>GENERAL PATHWAY</w:t>
      </w:r>
    </w:p>
    <w:p w14:paraId="768D02EB" w14:textId="77777777" w:rsidR="00EF2BAF" w:rsidRPr="00901D78" w:rsidRDefault="00EF2BAF" w:rsidP="00EF2BAF">
      <w:pPr>
        <w:rPr>
          <w:b/>
          <w:bCs/>
          <w:u w:val="single"/>
        </w:rPr>
      </w:pPr>
      <w:r w:rsidRPr="00901D78">
        <w:rPr>
          <w:b/>
          <w:bCs/>
          <w:u w:val="single"/>
        </w:rPr>
        <w:lastRenderedPageBreak/>
        <w:t>Discovery Limitations</w:t>
      </w:r>
    </w:p>
    <w:p w14:paraId="1AB5FB04" w14:textId="77777777" w:rsidR="00EF2BAF" w:rsidRPr="00901D78" w:rsidRDefault="00EF2BAF" w:rsidP="00EF2BAF">
      <w:r w:rsidRPr="00901D78">
        <w:t xml:space="preserve">Unless otherwise agreed to by the parties or Court order, no party shall serve more than: twenty-five (25) interrogatories, twenty-five (25) requests for production, and twenty-five (25) requests for admission (excluding authenticating business records).  Sub-parts to interrogatories, requests for productions and requests for admission shall not be counted as part of the number served, provided that the subparts are related to the same topic (i.e., multiple questions within one question, such as 1(A)-(D))).  Each party is limited to not more than five (5) depositions (excluding experts), with a </w:t>
      </w:r>
      <w:r>
        <w:t>three</w:t>
      </w:r>
      <w:r w:rsidRPr="00901D78">
        <w:t>-hour (</w:t>
      </w:r>
      <w:r>
        <w:t>3</w:t>
      </w:r>
      <w:r w:rsidRPr="00901D78">
        <w:t>) limit for each deposition (unless the deposition is of an expert, a party, or a party representative), unless otherwise agreed to by the parties or Court order.</w:t>
      </w:r>
    </w:p>
    <w:p w14:paraId="526B95DA" w14:textId="77777777" w:rsidR="00EF2BAF" w:rsidRPr="00901D78" w:rsidRDefault="00EF2BAF" w:rsidP="00EF2BAF">
      <w:pPr>
        <w:ind w:left="720"/>
        <w:rPr>
          <w:b/>
          <w:bCs/>
        </w:rPr>
      </w:pPr>
      <w:r w:rsidRPr="00901D78">
        <w:rPr>
          <w:rFonts w:ascii="Segoe UI Symbol" w:hAnsi="Segoe UI Symbol" w:cs="Segoe UI Symbol"/>
          <w:b/>
          <w:bCs/>
        </w:rPr>
        <w:t>☐</w:t>
      </w:r>
      <w:r w:rsidRPr="00901D78">
        <w:rPr>
          <w:b/>
          <w:bCs/>
        </w:rPr>
        <w:tab/>
        <w:t xml:space="preserve">OTHER: </w:t>
      </w:r>
    </w:p>
    <w:p w14:paraId="0460BE64" w14:textId="2DB0AD82" w:rsidR="00EF2BAF" w:rsidRPr="00901D78" w:rsidRDefault="00EF2BAF" w:rsidP="00EF2BAF">
      <w:pPr>
        <w:keepNext/>
        <w:rPr>
          <w:b/>
          <w:bCs/>
          <w:sz w:val="28"/>
          <w:szCs w:val="22"/>
        </w:rPr>
      </w:pPr>
      <w:r w:rsidRPr="00901D78">
        <w:rPr>
          <w:b/>
          <w:bCs/>
          <w:sz w:val="28"/>
          <w:szCs w:val="22"/>
        </w:rPr>
        <w:t>5.   SEARCH AND PRODUCTION LIMITATIONS – ALL PATHWAYS</w:t>
      </w:r>
    </w:p>
    <w:p w14:paraId="0E74AEEA" w14:textId="77777777" w:rsidR="00EF2BAF" w:rsidRPr="00901D78" w:rsidRDefault="00EF2BAF" w:rsidP="00EF2BAF">
      <w:pPr>
        <w:keepNext/>
        <w:rPr>
          <w:b/>
          <w:bCs/>
          <w:u w:val="single"/>
        </w:rPr>
      </w:pPr>
      <w:r w:rsidRPr="00901D78">
        <w:rPr>
          <w:b/>
          <w:bCs/>
          <w:u w:val="single"/>
        </w:rPr>
        <w:t xml:space="preserve">Scope and Proportionality </w:t>
      </w:r>
    </w:p>
    <w:p w14:paraId="2D66FD68" w14:textId="77777777" w:rsidR="00EF2BAF" w:rsidRPr="001847B3" w:rsidRDefault="00EF2BAF" w:rsidP="00EF2BAF">
      <w:r w:rsidRPr="47A09716">
        <w:t>Unless otherwise limited by Court order, the scope of discovery is as follows:</w:t>
      </w:r>
      <w:r w:rsidRPr="001847B3">
        <w:rPr>
          <w:rFonts w:cs="Segoe UI"/>
          <w:color w:val="000000"/>
        </w:rPr>
        <w:t xml:space="preserve"> </w:t>
      </w:r>
      <w:r w:rsidRPr="001847B3">
        <w:t>Parties may obtain discovery regarding any matter, not privileged, which is relevant to the claim or defense of the party seeking discovery or the claim or defense of any other party, including the existence, description, nature, custody, condition and location of any books, documents, or other tangible things and the identity and location of persons having knowledge of any discoverable matter and is proportional to the needs of the case, the amount in controversy, the parties’ resources, the importance of the issues at stake in the litigation, the importance of the proposed discovery in resolving the issues and whether the burden or expense of the proposed discovery outweighs its likely benefit</w:t>
      </w:r>
      <w:r>
        <w:t xml:space="preserve">.  </w:t>
      </w:r>
      <w:r w:rsidRPr="001847B3">
        <w:rPr>
          <w:rFonts w:eastAsia="Georgia"/>
          <w:color w:val="000000" w:themeColor="text1"/>
        </w:rPr>
        <w:t>It is not ground for objection that the information sought will be inadmissible at the trial if the information sought appears reasonably calculated to lead to the discovery of admissible evidence.</w:t>
      </w:r>
    </w:p>
    <w:p w14:paraId="631453AC" w14:textId="77777777" w:rsidR="00EF2BAF" w:rsidRPr="00901D78" w:rsidRDefault="00EF2BAF" w:rsidP="00EF2BAF">
      <w:pPr>
        <w:spacing w:line="440" w:lineRule="exact"/>
        <w:ind w:firstLine="720"/>
        <w:rPr>
          <w:rFonts w:cs="Segoe UI"/>
          <w:b/>
          <w:szCs w:val="24"/>
          <w:u w:val="single"/>
        </w:rPr>
      </w:pPr>
      <w:r w:rsidRPr="00901D78">
        <w:rPr>
          <w:rFonts w:cs="Segoe UI"/>
          <w:b/>
          <w:szCs w:val="24"/>
          <w:u w:val="single"/>
        </w:rPr>
        <w:t xml:space="preserve">Relevant Time Period </w:t>
      </w:r>
    </w:p>
    <w:p w14:paraId="1DDAE5F9" w14:textId="77777777" w:rsidR="00EF2BAF" w:rsidRPr="00901D78" w:rsidRDefault="00EF2BAF" w:rsidP="00EF2BAF">
      <w:r w:rsidRPr="00901D78">
        <w:t xml:space="preserve">Generally, the relevant time period for all discovery is a period of six (6) years prior to the date of the adverse event/ action that forms the basis of the claim/counterclaim or defense, unless a different time is set by agreement of the parties or Court order. </w:t>
      </w:r>
    </w:p>
    <w:p w14:paraId="71B537ED" w14:textId="77777777" w:rsidR="00EF2BAF" w:rsidRPr="00901D78" w:rsidRDefault="00EF2BAF" w:rsidP="00EF2BAF">
      <w:pPr>
        <w:spacing w:line="440" w:lineRule="exact"/>
        <w:ind w:firstLine="720"/>
        <w:rPr>
          <w:rFonts w:cs="Segoe UI"/>
          <w:szCs w:val="24"/>
        </w:rPr>
      </w:pPr>
      <w:r w:rsidRPr="00901D78">
        <w:rPr>
          <w:rFonts w:cs="Segoe UI"/>
          <w:b/>
          <w:szCs w:val="24"/>
          <w:u w:val="single"/>
        </w:rPr>
        <w:t>Objections</w:t>
      </w:r>
    </w:p>
    <w:p w14:paraId="502F8153" w14:textId="77777777" w:rsidR="00EF2BAF" w:rsidRPr="00901D78" w:rsidRDefault="00EF2BAF" w:rsidP="00EF2BAF">
      <w:r w:rsidRPr="00901D78">
        <w:t xml:space="preserve">If a party objects to a discovery request, either in whole or in part, the objecting party must concisely state in detail the basis for the objection. If a party provides a partial or incomplete answer or response to a discovery request, the responding party must state specifically the reason that the </w:t>
      </w:r>
      <w:r w:rsidRPr="00901D78">
        <w:lastRenderedPageBreak/>
        <w:t>answer or response is partial or incomplete.  Any general objections (e.g., an objection that does not specifically state the grounds on which it was based or an objection that applies globally, not to specific requests) will be stricken and have no effect.</w:t>
      </w:r>
    </w:p>
    <w:p w14:paraId="49811B4D" w14:textId="77777777" w:rsidR="00EF2BAF" w:rsidRPr="00901D78" w:rsidRDefault="00EF2BAF" w:rsidP="00EF2BAF">
      <w:pPr>
        <w:keepNext/>
        <w:spacing w:line="440" w:lineRule="exact"/>
        <w:ind w:firstLine="720"/>
        <w:rPr>
          <w:rFonts w:cs="Segoe UI"/>
          <w:b/>
          <w:szCs w:val="24"/>
          <w:u w:val="single"/>
        </w:rPr>
      </w:pPr>
      <w:r w:rsidRPr="00901D78">
        <w:rPr>
          <w:rFonts w:cs="Segoe UI"/>
          <w:b/>
          <w:szCs w:val="24"/>
          <w:u w:val="single"/>
        </w:rPr>
        <w:t>Excluded File Types</w:t>
      </w:r>
    </w:p>
    <w:p w14:paraId="7901441E" w14:textId="77777777" w:rsidR="00EF2BAF" w:rsidRPr="00901D78" w:rsidRDefault="00EF2BAF" w:rsidP="00EF2BAF">
      <w:r w:rsidRPr="00901D78">
        <w:t>The parties agree that the cost of preserving, searching, collecting, processing, reviewing, and producing ESI from certain known sources is expected to outweigh the anticipated benefit of the ESI stored in those locations. Accordingly, the following categories of ESI are presumed to be not discoverable:</w:t>
      </w:r>
    </w:p>
    <w:p w14:paraId="409F295C"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ESI deleted in the normal course of business before the time a preservation obligation in this matter came into effect;</w:t>
      </w:r>
    </w:p>
    <w:p w14:paraId="35028F01"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Backup data files that are maintained in the normal course of business for purposes of disaster recovery;</w:t>
      </w:r>
    </w:p>
    <w:p w14:paraId="3E34F85F"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Deleted, “slack,” fragmented, or unallocated data only accessible by forensics;</w:t>
      </w:r>
    </w:p>
    <w:p w14:paraId="11293AA4"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Random access memory (RAM), temporary files, or other ephemeral data that are difficult to preserve without disabling the operating system;</w:t>
      </w:r>
    </w:p>
    <w:p w14:paraId="75BB6F28"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On-line access data such as (without limitation) temporary internet files, history files, cache files, and cookies;</w:t>
      </w:r>
    </w:p>
    <w:p w14:paraId="32A4399C"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Electronic data (</w:t>
      </w:r>
      <w:r w:rsidRPr="00901D78">
        <w:rPr>
          <w:rFonts w:cs="Segoe UI"/>
          <w:i/>
          <w:iCs/>
          <w:szCs w:val="24"/>
        </w:rPr>
        <w:t>e.g.</w:t>
      </w:r>
      <w:r w:rsidRPr="00901D78">
        <w:rPr>
          <w:rFonts w:cs="Segoe UI"/>
          <w:iCs/>
          <w:szCs w:val="24"/>
        </w:rPr>
        <w:t xml:space="preserve">, call logs, email, calendars, contact data, notes, </w:t>
      </w:r>
      <w:r w:rsidRPr="00901D78">
        <w:rPr>
          <w:rFonts w:cs="Segoe UI"/>
          <w:i/>
          <w:iCs/>
          <w:szCs w:val="24"/>
        </w:rPr>
        <w:t>etc.</w:t>
      </w:r>
      <w:r w:rsidRPr="00901D78">
        <w:rPr>
          <w:rFonts w:cs="Segoe UI"/>
          <w:iCs/>
          <w:szCs w:val="24"/>
        </w:rPr>
        <w:t>) sent to or from mobile devices, if a copy of such electronic data is routinely saved elsewhere (such as on a server, laptop, desktop computer, or “cloud” storage);</w:t>
      </w:r>
    </w:p>
    <w:p w14:paraId="6142D4AF"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Ephemeral data not retained in the ordinary course of business;</w:t>
      </w:r>
    </w:p>
    <w:p w14:paraId="5BE6348F"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Text messages and instant messages not retained in the ordinary course of business;</w:t>
      </w:r>
    </w:p>
    <w:p w14:paraId="297B3CE0"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Server, system, network, or software application logs;</w:t>
      </w:r>
    </w:p>
    <w:p w14:paraId="77DB1891"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Data remaining from systems no longer in use that is unintelligible on the systems in use;</w:t>
      </w:r>
    </w:p>
    <w:p w14:paraId="2B4A5F8C"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Electronic data temporarily stored by laboratory equipment or attached electronic equipment, provided that such data is not ordinarily preserved as part of a laboratory report;</w:t>
      </w:r>
    </w:p>
    <w:p w14:paraId="5F4054D9" w14:textId="7777777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Software files included on the National Institute of Standards and Technology (NIST) Modern RDS  (minimal) list obtained from</w:t>
      </w:r>
      <w:r w:rsidRPr="00901D78">
        <w:rPr>
          <w:rFonts w:cs="Segoe UI"/>
          <w:iCs/>
          <w:color w:val="0563C1"/>
          <w:szCs w:val="24"/>
          <w:u w:val="single"/>
        </w:rPr>
        <w:t xml:space="preserve"> </w:t>
      </w:r>
      <w:hyperlink r:id="rId10" w:history="1">
        <w:r w:rsidRPr="00901D78">
          <w:rPr>
            <w:rFonts w:cs="Segoe UI"/>
            <w:iCs/>
            <w:color w:val="0563C1"/>
            <w:szCs w:val="24"/>
            <w:u w:val="single"/>
          </w:rPr>
          <w:t>https://www.nist.gov/itl/ssd/software-quality-group/national-software-reference-library-nsrl/nsrl-download/current-rds</w:t>
        </w:r>
      </w:hyperlink>
    </w:p>
    <w:p w14:paraId="4204049D" w14:textId="4A5F8440"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Structural files not material to individual file contents (e.g.</w:t>
      </w:r>
      <w:r w:rsidR="00B00EC9">
        <w:rPr>
          <w:rFonts w:cs="Segoe UI"/>
          <w:iCs/>
          <w:szCs w:val="24"/>
        </w:rPr>
        <w:t>,</w:t>
      </w:r>
      <w:r w:rsidRPr="00901D78">
        <w:rPr>
          <w:rFonts w:cs="Segoe UI"/>
          <w:iCs/>
          <w:szCs w:val="24"/>
        </w:rPr>
        <w:t xml:space="preserve"> .CSS, .XSL, .XML, .DTD, etc.);</w:t>
      </w:r>
    </w:p>
    <w:p w14:paraId="2F31D793" w14:textId="6B1399F7"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Operating System files that do not store user-created content (e.g.</w:t>
      </w:r>
      <w:r w:rsidR="00EB5444">
        <w:rPr>
          <w:rFonts w:cs="Segoe UI"/>
          <w:iCs/>
          <w:szCs w:val="24"/>
        </w:rPr>
        <w:t>,</w:t>
      </w:r>
      <w:r w:rsidRPr="00901D78">
        <w:rPr>
          <w:rFonts w:cs="Segoe UI"/>
          <w:iCs/>
          <w:szCs w:val="24"/>
        </w:rPr>
        <w:t xml:space="preserve"> CAT, DLL, DMP, EXE, FON, </w:t>
      </w:r>
      <w:r w:rsidRPr="00901D78">
        <w:rPr>
          <w:rFonts w:cs="Segoe UI"/>
          <w:iCs/>
          <w:szCs w:val="24"/>
        </w:rPr>
        <w:lastRenderedPageBreak/>
        <w:t xml:space="preserve">PNF, OPS, SYS, </w:t>
      </w:r>
      <w:r w:rsidRPr="00901D78">
        <w:rPr>
          <w:rFonts w:cs="Segoe UI"/>
          <w:i/>
          <w:iCs/>
          <w:szCs w:val="24"/>
        </w:rPr>
        <w:t>etc</w:t>
      </w:r>
      <w:r w:rsidRPr="00901D78">
        <w:rPr>
          <w:rFonts w:cs="Segoe UI"/>
          <w:iCs/>
          <w:szCs w:val="24"/>
        </w:rPr>
        <w:t>.);</w:t>
      </w:r>
    </w:p>
    <w:p w14:paraId="2627E265" w14:textId="26DCE5DC" w:rsidR="00EF2BAF" w:rsidRPr="00901D78" w:rsidRDefault="00EF2BAF" w:rsidP="00EF2BAF">
      <w:pPr>
        <w:pStyle w:val="ListParagraph"/>
        <w:widowControl w:val="0"/>
        <w:numPr>
          <w:ilvl w:val="0"/>
          <w:numId w:val="1"/>
        </w:numPr>
        <w:spacing w:line="240" w:lineRule="auto"/>
        <w:ind w:right="187"/>
        <w:outlineLvl w:val="3"/>
        <w:rPr>
          <w:rFonts w:cs="Segoe UI"/>
          <w:iCs/>
          <w:szCs w:val="24"/>
        </w:rPr>
      </w:pPr>
      <w:r w:rsidRPr="00901D78">
        <w:rPr>
          <w:rFonts w:cs="Segoe UI"/>
          <w:iCs/>
          <w:szCs w:val="24"/>
        </w:rPr>
        <w:t>Application source code, configuration, and other similar files necessary for the function of an application that do not store user-created content during ordinary use (</w:t>
      </w:r>
      <w:r w:rsidRPr="00901D78">
        <w:rPr>
          <w:rFonts w:cs="Segoe UI"/>
          <w:i/>
          <w:iCs/>
          <w:szCs w:val="24"/>
        </w:rPr>
        <w:t>E.g</w:t>
      </w:r>
      <w:r w:rsidRPr="00901D78">
        <w:rPr>
          <w:rFonts w:cs="Segoe UI"/>
          <w:iCs/>
          <w:szCs w:val="24"/>
        </w:rPr>
        <w:t>.</w:t>
      </w:r>
      <w:r w:rsidR="00EB5444">
        <w:rPr>
          <w:rFonts w:cs="Segoe UI"/>
          <w:iCs/>
          <w:szCs w:val="24"/>
        </w:rPr>
        <w:t>,</w:t>
      </w:r>
      <w:r w:rsidRPr="00901D78">
        <w:rPr>
          <w:rFonts w:cs="Segoe UI"/>
          <w:iCs/>
          <w:szCs w:val="24"/>
        </w:rPr>
        <w:t xml:space="preserve"> BAK, BIN, CFG, DBF, DAT, JS, JSON, JAR, LUA, MSB, RES, WINNT, YTR, </w:t>
      </w:r>
      <w:r w:rsidRPr="00901D78">
        <w:rPr>
          <w:rFonts w:cs="Segoe UI"/>
          <w:i/>
          <w:iCs/>
          <w:szCs w:val="24"/>
        </w:rPr>
        <w:t>etc</w:t>
      </w:r>
      <w:r w:rsidRPr="00901D78">
        <w:rPr>
          <w:rFonts w:cs="Segoe UI"/>
          <w:iCs/>
          <w:szCs w:val="24"/>
        </w:rPr>
        <w:t>.).</w:t>
      </w:r>
    </w:p>
    <w:p w14:paraId="6324F4D0" w14:textId="77777777" w:rsidR="00EF2BAF" w:rsidRPr="00901D78" w:rsidRDefault="00EF2BAF" w:rsidP="00EF2BAF">
      <w:pPr>
        <w:spacing w:line="440" w:lineRule="exact"/>
        <w:rPr>
          <w:rFonts w:cs="Segoe UI"/>
          <w:b/>
          <w:szCs w:val="24"/>
          <w:u w:val="single"/>
        </w:rPr>
      </w:pPr>
      <w:r w:rsidRPr="00901D78">
        <w:rPr>
          <w:rFonts w:cs="Segoe UI"/>
          <w:szCs w:val="24"/>
        </w:rPr>
        <w:tab/>
      </w:r>
      <w:r w:rsidRPr="00901D78">
        <w:rPr>
          <w:rFonts w:cs="Segoe UI"/>
          <w:b/>
          <w:szCs w:val="24"/>
          <w:u w:val="single"/>
        </w:rPr>
        <w:t>Mobile Devices</w:t>
      </w:r>
    </w:p>
    <w:p w14:paraId="1BD0AB47" w14:textId="77777777" w:rsidR="00EF2BAF" w:rsidRPr="00901D78" w:rsidRDefault="00EF2BAF" w:rsidP="00EF2BAF">
      <w:r w:rsidRPr="00901D78">
        <w:t>If any responsive electronic data (e.g., call logs, email, calendars, contact data, notes, etc.) sent to or from mobile devices uniquely resides on the mobile device (i.e., is not routinely saved elsewhere (such as on a server, laptop, desktop computer, or “cloud” storage)), the parties will meet and confer, including assessing burden and cost, and, if applicable, production format.</w:t>
      </w:r>
    </w:p>
    <w:p w14:paraId="2F4782DC" w14:textId="77777777" w:rsidR="00EF2BAF" w:rsidRPr="00901D78" w:rsidRDefault="00EF2BAF" w:rsidP="00EF2BAF">
      <w:pPr>
        <w:spacing w:line="440" w:lineRule="exact"/>
        <w:ind w:firstLine="720"/>
        <w:rPr>
          <w:rFonts w:cs="Segoe UI"/>
          <w:b/>
          <w:szCs w:val="24"/>
          <w:u w:val="single"/>
        </w:rPr>
      </w:pPr>
      <w:r w:rsidRPr="00901D78">
        <w:rPr>
          <w:rFonts w:cs="Segoe UI"/>
          <w:b/>
          <w:szCs w:val="24"/>
          <w:u w:val="single"/>
        </w:rPr>
        <w:t>Proprietary Software</w:t>
      </w:r>
    </w:p>
    <w:p w14:paraId="6573F102" w14:textId="77777777" w:rsidR="00EF2BAF" w:rsidRPr="00901D78" w:rsidRDefault="00EF2BAF" w:rsidP="00EF2BAF">
      <w:r w:rsidRPr="00901D78">
        <w:t>If responsive and non-privileged documents uniquely reside (i.e., not duplicative of any other source) on propriety software, which cannot be rendered or reviewed without the use of proprietary software, the Parties shall meet and confer to assess the production, including assessing burden and cost, and, if applicable, production format.</w:t>
      </w:r>
    </w:p>
    <w:p w14:paraId="2BF1D7AF" w14:textId="77777777" w:rsidR="00EF2BAF" w:rsidRPr="00901D78" w:rsidRDefault="00EF2BAF" w:rsidP="00EF2BAF">
      <w:pPr>
        <w:spacing w:line="440" w:lineRule="exact"/>
        <w:ind w:firstLine="720"/>
        <w:rPr>
          <w:rFonts w:cs="Segoe UI"/>
          <w:b/>
          <w:szCs w:val="24"/>
          <w:u w:val="single"/>
        </w:rPr>
      </w:pPr>
      <w:r w:rsidRPr="00901D78">
        <w:rPr>
          <w:rFonts w:cs="Segoe UI"/>
          <w:b/>
          <w:szCs w:val="24"/>
          <w:u w:val="single"/>
        </w:rPr>
        <w:t>Search Terms</w:t>
      </w:r>
    </w:p>
    <w:p w14:paraId="77EC1502" w14:textId="77777777" w:rsidR="00EF2BAF" w:rsidRPr="00901D78" w:rsidRDefault="00EF2BAF" w:rsidP="00EF2BAF">
      <w:r w:rsidRPr="00901D78">
        <w:t xml:space="preserve">The parties agree to the use of reasonable search filters such as word/phrase filters, proximity filters, or date filters, among other possible filters.  If any other party believes in good faith that use of the search filters resulted in deficiencies in production, the Parties will share the search filters applied, including an STR hit report, and work collaboratively on any revisions to such filters, on the understanding that this may be an iterative process.  </w:t>
      </w:r>
    </w:p>
    <w:p w14:paraId="36EEF606" w14:textId="77777777" w:rsidR="00EF2BAF" w:rsidRPr="00901D78" w:rsidRDefault="00EF2BAF" w:rsidP="00EF2BAF">
      <w:pPr>
        <w:keepNext/>
        <w:spacing w:line="440" w:lineRule="exact"/>
        <w:ind w:firstLine="720"/>
        <w:rPr>
          <w:rFonts w:cs="Segoe UI"/>
          <w:szCs w:val="24"/>
        </w:rPr>
      </w:pPr>
      <w:r w:rsidRPr="00901D78">
        <w:rPr>
          <w:rFonts w:cs="Segoe UI"/>
          <w:b/>
          <w:szCs w:val="24"/>
          <w:u w:val="single"/>
        </w:rPr>
        <w:t>Outside the United States</w:t>
      </w:r>
    </w:p>
    <w:p w14:paraId="0861073F" w14:textId="77777777" w:rsidR="00EF2BAF" w:rsidRPr="0057708F" w:rsidRDefault="00EF2BAF" w:rsidP="00EF2BAF">
      <w:pPr>
        <w:rPr>
          <w:b/>
        </w:rPr>
      </w:pPr>
      <w:r w:rsidRPr="0057708F">
        <w:t>If any identified custodian or data source is located outside the United States, the parties shall meet and confer.  Proportionality, availability from other sources, and privacy rights should be considered.</w:t>
      </w:r>
    </w:p>
    <w:p w14:paraId="0D5F9ECF" w14:textId="77777777" w:rsidR="00EF2BAF" w:rsidRPr="0049739D" w:rsidRDefault="00EF2BAF" w:rsidP="00EF2BAF">
      <w:pPr>
        <w:spacing w:line="440" w:lineRule="exact"/>
        <w:rPr>
          <w:rFonts w:cs="Segoe UI"/>
          <w:szCs w:val="24"/>
          <w:u w:val="single"/>
        </w:rPr>
      </w:pPr>
      <w:r w:rsidRPr="0049739D">
        <w:rPr>
          <w:rFonts w:cs="Segoe UI"/>
          <w:szCs w:val="24"/>
        </w:rPr>
        <w:tab/>
      </w:r>
      <w:r w:rsidRPr="0049739D">
        <w:rPr>
          <w:rFonts w:cs="Segoe UI"/>
          <w:b/>
          <w:szCs w:val="24"/>
          <w:u w:val="single"/>
        </w:rPr>
        <w:t>Discovery on Discovery</w:t>
      </w:r>
    </w:p>
    <w:p w14:paraId="285C110A" w14:textId="77777777" w:rsidR="00EF2BAF" w:rsidRPr="0049739D" w:rsidRDefault="00EF2BAF" w:rsidP="00EF2BAF">
      <w:pPr>
        <w:rPr>
          <w:rFonts w:cs="Segoe UI"/>
          <w:szCs w:val="24"/>
        </w:rPr>
      </w:pPr>
      <w:r w:rsidRPr="0049739D">
        <w:rPr>
          <w:rFonts w:cs="Segoe UI"/>
          <w:szCs w:val="24"/>
        </w:rPr>
        <w:t>Discovery concerning the preservation and collection efforts of another party can contribute to unnecessary expense and delay and may inappropriately implicate work product and attorney-client privileged matter.  Discovery on discovery may only be allowed by Court Order.</w:t>
      </w:r>
    </w:p>
    <w:p w14:paraId="6F067C0E" w14:textId="65DC3B25" w:rsidR="00EF2BAF" w:rsidRPr="0049739D" w:rsidRDefault="00EF2BAF" w:rsidP="00EF2BAF">
      <w:pPr>
        <w:rPr>
          <w:b/>
          <w:bCs/>
          <w:sz w:val="28"/>
          <w:szCs w:val="22"/>
        </w:rPr>
      </w:pPr>
      <w:r w:rsidRPr="0049739D">
        <w:rPr>
          <w:b/>
          <w:bCs/>
          <w:sz w:val="28"/>
          <w:szCs w:val="22"/>
        </w:rPr>
        <w:t>6.</w:t>
      </w:r>
      <w:r w:rsidRPr="0049739D">
        <w:rPr>
          <w:b/>
          <w:bCs/>
          <w:sz w:val="28"/>
          <w:szCs w:val="22"/>
        </w:rPr>
        <w:tab/>
        <w:t xml:space="preserve">TECHNOLOGY ASSISTED REVIEW </w:t>
      </w:r>
      <w:r>
        <w:rPr>
          <w:b/>
          <w:bCs/>
          <w:sz w:val="28"/>
          <w:szCs w:val="22"/>
        </w:rPr>
        <w:t>(</w:t>
      </w:r>
      <w:r w:rsidRPr="0049739D">
        <w:rPr>
          <w:b/>
          <w:bCs/>
          <w:sz w:val="28"/>
          <w:szCs w:val="22"/>
        </w:rPr>
        <w:t>TAR</w:t>
      </w:r>
      <w:r>
        <w:rPr>
          <w:b/>
          <w:bCs/>
          <w:sz w:val="28"/>
          <w:szCs w:val="22"/>
        </w:rPr>
        <w:t>)</w:t>
      </w:r>
    </w:p>
    <w:p w14:paraId="66D2139A" w14:textId="77777777" w:rsidR="00EF2BAF" w:rsidRPr="00293E00" w:rsidRDefault="00EF2BAF" w:rsidP="00EF2BAF">
      <w:pPr>
        <w:rPr>
          <w:iCs/>
        </w:rPr>
      </w:pPr>
      <w:r w:rsidRPr="0057708F">
        <w:lastRenderedPageBreak/>
        <w:t>The parties agree to the</w:t>
      </w:r>
      <w:r>
        <w:t xml:space="preserve"> use of TAR</w:t>
      </w:r>
      <w:r w:rsidRPr="0057708F">
        <w:t xml:space="preserve">.  </w:t>
      </w:r>
      <w:r w:rsidRPr="007766A0">
        <w:rPr>
          <w:iCs/>
        </w:rPr>
        <w:t xml:space="preserve">Nothing in this Protocol shall require the use of TAR.  </w:t>
      </w:r>
      <w:r w:rsidRPr="0057708F">
        <w:t xml:space="preserve">Only if any other party believes in good faith that use of the </w:t>
      </w:r>
      <w:r>
        <w:t>TAR</w:t>
      </w:r>
      <w:r w:rsidRPr="0057708F">
        <w:t xml:space="preserve"> resulted in deficiencies in production, the Parties will share</w:t>
      </w:r>
      <w:r>
        <w:t xml:space="preserve"> information related to the TAR process </w:t>
      </w:r>
      <w:r w:rsidRPr="0057708F">
        <w:t>and work collaboratively on any revisions</w:t>
      </w:r>
      <w:r>
        <w:t xml:space="preserve"> to</w:t>
      </w:r>
      <w:r w:rsidRPr="0057708F">
        <w:t xml:space="preserve"> </w:t>
      </w:r>
      <w:r>
        <w:t>the TAR process</w:t>
      </w:r>
      <w:r w:rsidRPr="0057708F">
        <w:t xml:space="preserve">, on the understanding that this may be an iterative process.  </w:t>
      </w:r>
      <w:r>
        <w:t xml:space="preserve"> If the parties desire to share additional information related to TAR, the parties will develop a separate TAR Protocol.</w:t>
      </w:r>
    </w:p>
    <w:p w14:paraId="2446F827" w14:textId="4CD5EFA1" w:rsidR="00EF2BAF" w:rsidRPr="0049739D" w:rsidRDefault="00EF2BAF" w:rsidP="00EF2BAF">
      <w:pPr>
        <w:rPr>
          <w:b/>
          <w:bCs/>
          <w:sz w:val="28"/>
          <w:szCs w:val="22"/>
        </w:rPr>
      </w:pPr>
      <w:r w:rsidRPr="0049739D">
        <w:rPr>
          <w:b/>
          <w:bCs/>
          <w:sz w:val="28"/>
          <w:szCs w:val="22"/>
        </w:rPr>
        <w:t>7</w:t>
      </w:r>
      <w:r w:rsidR="00AE3CC6" w:rsidRPr="0049739D">
        <w:rPr>
          <w:b/>
          <w:bCs/>
          <w:sz w:val="28"/>
          <w:szCs w:val="22"/>
        </w:rPr>
        <w:t>.</w:t>
      </w:r>
      <w:r w:rsidR="00AE3CC6">
        <w:rPr>
          <w:b/>
          <w:bCs/>
          <w:sz w:val="28"/>
          <w:szCs w:val="22"/>
        </w:rPr>
        <w:tab/>
      </w:r>
      <w:r w:rsidRPr="0049739D">
        <w:rPr>
          <w:b/>
          <w:bCs/>
          <w:sz w:val="28"/>
          <w:szCs w:val="22"/>
        </w:rPr>
        <w:t>GENERAL PRODUCTION FORMATTING</w:t>
      </w:r>
    </w:p>
    <w:p w14:paraId="51AAB7A6" w14:textId="77777777" w:rsidR="00EF2BAF" w:rsidRPr="00D8342A" w:rsidRDefault="00EF2BAF" w:rsidP="00EF2BAF">
      <w:pPr>
        <w:rPr>
          <w:b/>
          <w:bCs/>
          <w:u w:val="single"/>
        </w:rPr>
      </w:pPr>
      <w:r w:rsidRPr="0057708F">
        <w:tab/>
      </w:r>
      <w:r w:rsidRPr="00D8342A">
        <w:rPr>
          <w:b/>
          <w:bCs/>
          <w:u w:val="single"/>
        </w:rPr>
        <w:t>Global De-Duplication</w:t>
      </w:r>
    </w:p>
    <w:p w14:paraId="1D544016" w14:textId="77777777" w:rsidR="00EF2BAF" w:rsidRPr="0057708F" w:rsidRDefault="00EF2BAF" w:rsidP="00EF2BAF">
      <w:r w:rsidRPr="0057708F">
        <w:t>The parties may use global de-duplication across custodians from within their unique possession, custody or control to remove exact duplicates (based on MD-5 or SHA-1 hash values at the family level) so long as the suppression of documents from review tracks where the duplicates were residing so that it can be produced if warranted.</w:t>
      </w:r>
    </w:p>
    <w:p w14:paraId="442B4B3B" w14:textId="77777777" w:rsidR="00EF2BAF" w:rsidRPr="0057708F" w:rsidRDefault="00EF2BAF" w:rsidP="00EF2BAF">
      <w:r w:rsidRPr="0057708F">
        <w:t>In addition, in order to reduce unnecessary volume in the review and production of e-mails, the parties may utilize e-mail threading, which means in instances in which a group of e-mails are captured in an e-mail string, only the latest e-mail in the string will be produced along with all attachments included in the e-mail string. Emails containing unique attachments not otherwise contained in the inclusive email shall also be produced along with their parent email. E-mails suppressed under this paragraph need not be reflected on the party’s privilege log.</w:t>
      </w:r>
    </w:p>
    <w:p w14:paraId="4BF1FBF6" w14:textId="77777777" w:rsidR="00EF2BAF" w:rsidRPr="00D8342A" w:rsidRDefault="00EF2BAF" w:rsidP="00EF2BAF">
      <w:pPr>
        <w:ind w:left="720"/>
        <w:rPr>
          <w:b/>
          <w:bCs/>
          <w:u w:val="single"/>
        </w:rPr>
      </w:pPr>
      <w:r w:rsidRPr="00D8342A">
        <w:rPr>
          <w:b/>
          <w:bCs/>
          <w:u w:val="single"/>
        </w:rPr>
        <w:t xml:space="preserve">Color </w:t>
      </w:r>
    </w:p>
    <w:p w14:paraId="1D5BEAEE" w14:textId="77777777" w:rsidR="00EF2BAF" w:rsidRPr="0057708F" w:rsidRDefault="00EF2BAF" w:rsidP="00EF2BAF">
      <w:r w:rsidRPr="0057708F">
        <w:t>Generally speaking, documents can be produced in black and white. However, if an original document contains color and is incomprehensible without color, the party producing the document should, upon request, produce the document in color to assist the party requesting the document in understanding the document. The parties expect that there will be few instances in which such requests will be necessary and such requests should not unreasonably be denied by the Producing party. Production of color images will be in JPEG format.</w:t>
      </w:r>
    </w:p>
    <w:p w14:paraId="6A5068C7" w14:textId="77777777" w:rsidR="00EF2BAF" w:rsidRPr="00D8342A" w:rsidRDefault="00EF2BAF" w:rsidP="00EF2BAF">
      <w:pPr>
        <w:ind w:left="720"/>
        <w:rPr>
          <w:b/>
          <w:bCs/>
          <w:u w:val="single"/>
        </w:rPr>
      </w:pPr>
      <w:r w:rsidRPr="00D8342A">
        <w:rPr>
          <w:b/>
          <w:bCs/>
          <w:u w:val="single"/>
        </w:rPr>
        <w:t>Load File Format</w:t>
      </w:r>
    </w:p>
    <w:p w14:paraId="29D07C9A" w14:textId="77777777" w:rsidR="00EF2BAF" w:rsidRPr="00C806ED" w:rsidRDefault="00EF2BAF" w:rsidP="00EF2BAF">
      <w:r w:rsidRPr="00C806ED">
        <w:t>Unless otherwise agreed, each production will include a data load file in Concordance (*.</w:t>
      </w:r>
      <w:proofErr w:type="spellStart"/>
      <w:r w:rsidRPr="00C806ED">
        <w:t>dat</w:t>
      </w:r>
      <w:proofErr w:type="spellEnd"/>
      <w:r w:rsidRPr="00C806ED">
        <w:t xml:space="preserve">) format and an image load file in </w:t>
      </w:r>
      <w:proofErr w:type="spellStart"/>
      <w:r w:rsidRPr="00C806ED">
        <w:t>Opticon</w:t>
      </w:r>
      <w:proofErr w:type="spellEnd"/>
      <w:r w:rsidRPr="00C806ED">
        <w:t xml:space="preserve"> (*.opt) format. Load file names should contain the volume name of the production media. </w:t>
      </w:r>
    </w:p>
    <w:p w14:paraId="3E48DF69" w14:textId="77777777" w:rsidR="00EF2BAF" w:rsidRPr="00D8342A" w:rsidRDefault="00EF2BAF" w:rsidP="00EF2BAF">
      <w:pPr>
        <w:ind w:left="720"/>
        <w:rPr>
          <w:b/>
          <w:bCs/>
          <w:u w:val="single"/>
        </w:rPr>
      </w:pPr>
      <w:r w:rsidRPr="00D8342A">
        <w:rPr>
          <w:b/>
          <w:bCs/>
          <w:u w:val="single"/>
        </w:rPr>
        <w:t xml:space="preserve">Encryption </w:t>
      </w:r>
    </w:p>
    <w:p w14:paraId="0CAF9338" w14:textId="77777777" w:rsidR="00EF2BAF" w:rsidRPr="0008375B" w:rsidRDefault="00EF2BAF" w:rsidP="00EF2BAF">
      <w:r w:rsidRPr="0008375B">
        <w:lastRenderedPageBreak/>
        <w:t>All data transfers need to be done with some sort of Encryption (secure FTP or other mode of encryption such as password protected .ZIP, .RAR files or hard drives).</w:t>
      </w:r>
    </w:p>
    <w:p w14:paraId="46AF772D" w14:textId="77777777" w:rsidR="00EF2BAF" w:rsidRPr="00D8342A" w:rsidRDefault="00EF2BAF" w:rsidP="00EF2BAF">
      <w:pPr>
        <w:ind w:firstLine="720"/>
        <w:rPr>
          <w:b/>
          <w:bCs/>
          <w:u w:val="single"/>
        </w:rPr>
      </w:pPr>
      <w:r w:rsidRPr="00D8342A">
        <w:rPr>
          <w:b/>
          <w:bCs/>
          <w:u w:val="single"/>
        </w:rPr>
        <w:t>Metadata Fields</w:t>
      </w:r>
    </w:p>
    <w:p w14:paraId="547BDD27" w14:textId="77777777" w:rsidR="00EF2BAF" w:rsidRDefault="00EF2BAF" w:rsidP="00EF2BAF">
      <w:r w:rsidRPr="0057708F">
        <w:t>See Exhibit A.</w:t>
      </w:r>
    </w:p>
    <w:p w14:paraId="2EDFF8E9" w14:textId="77777777" w:rsidR="00EF2BAF" w:rsidRPr="00D8342A" w:rsidRDefault="00EF2BAF" w:rsidP="00EF2BAF">
      <w:pPr>
        <w:ind w:left="720"/>
        <w:rPr>
          <w:b/>
          <w:bCs/>
          <w:u w:val="single"/>
        </w:rPr>
      </w:pPr>
      <w:r w:rsidRPr="00D8342A">
        <w:rPr>
          <w:b/>
          <w:bCs/>
          <w:u w:val="single"/>
        </w:rPr>
        <w:t>Time Zone</w:t>
      </w:r>
    </w:p>
    <w:p w14:paraId="615CD105" w14:textId="77777777" w:rsidR="00EF2BAF" w:rsidRPr="0057708F" w:rsidRDefault="00EF2BAF" w:rsidP="00EF2BAF">
      <w:r w:rsidRPr="0057708F">
        <w:t>All provided metadata pertaining to dates and times will be standardized to Eastern Time.</w:t>
      </w:r>
    </w:p>
    <w:p w14:paraId="40CB8681" w14:textId="77777777" w:rsidR="00EF2BAF" w:rsidRPr="00D8342A" w:rsidRDefault="00EF2BAF" w:rsidP="00EF2BAF">
      <w:pPr>
        <w:rPr>
          <w:b/>
          <w:bCs/>
          <w:sz w:val="28"/>
          <w:szCs w:val="22"/>
        </w:rPr>
      </w:pPr>
      <w:r w:rsidRPr="00D8342A">
        <w:rPr>
          <w:b/>
          <w:bCs/>
          <w:sz w:val="28"/>
          <w:szCs w:val="22"/>
        </w:rPr>
        <w:t>8.</w:t>
      </w:r>
      <w:r w:rsidRPr="00D8342A">
        <w:rPr>
          <w:b/>
          <w:bCs/>
          <w:sz w:val="28"/>
          <w:szCs w:val="22"/>
        </w:rPr>
        <w:tab/>
        <w:t>SPECIFIC PRODUCTION FORMAT</w:t>
      </w:r>
    </w:p>
    <w:p w14:paraId="5AF3ECF6" w14:textId="77777777" w:rsidR="00EF2BAF" w:rsidRPr="007C1A99" w:rsidRDefault="00EF2BAF" w:rsidP="00EF2BAF">
      <w:pPr>
        <w:ind w:left="720"/>
        <w:rPr>
          <w:b/>
          <w:bCs/>
        </w:rPr>
      </w:pPr>
      <w:r w:rsidRPr="007C1A99">
        <w:rPr>
          <w:rFonts w:ascii="Segoe UI Symbol" w:eastAsia="MS Gothic" w:hAnsi="Segoe UI Symbol" w:cs="Segoe UI Symbol"/>
          <w:b/>
          <w:bCs/>
        </w:rPr>
        <w:t>☐</w:t>
      </w:r>
      <w:r w:rsidRPr="007C1A99">
        <w:rPr>
          <w:b/>
          <w:bCs/>
        </w:rPr>
        <w:tab/>
        <w:t>ELECTRONICALLY STORED INFORMATION</w:t>
      </w:r>
    </w:p>
    <w:p w14:paraId="5AD67AFF" w14:textId="77777777" w:rsidR="00EF2BAF" w:rsidRPr="007C1A99" w:rsidRDefault="00EF2BAF" w:rsidP="00EF2BAF">
      <w:pPr>
        <w:rPr>
          <w:b/>
          <w:bCs/>
          <w:u w:val="single"/>
        </w:rPr>
      </w:pPr>
      <w:r w:rsidRPr="007C1A99">
        <w:rPr>
          <w:b/>
          <w:bCs/>
        </w:rPr>
        <w:tab/>
      </w:r>
      <w:r w:rsidRPr="007C1A99">
        <w:rPr>
          <w:b/>
          <w:bCs/>
          <w:u w:val="single"/>
        </w:rPr>
        <w:t>De-</w:t>
      </w:r>
      <w:proofErr w:type="spellStart"/>
      <w:r w:rsidRPr="007C1A99">
        <w:rPr>
          <w:b/>
          <w:bCs/>
          <w:u w:val="single"/>
        </w:rPr>
        <w:t>NISTing</w:t>
      </w:r>
      <w:proofErr w:type="spellEnd"/>
    </w:p>
    <w:p w14:paraId="71397C79" w14:textId="77777777" w:rsidR="00EF2BAF" w:rsidRPr="0057708F" w:rsidRDefault="00EF2BAF" w:rsidP="00EF2BAF">
      <w:r w:rsidRPr="0057708F">
        <w:t>Electronic files will be De-NISTed, removing commercially available operating system and application file information contained on the current NIST file list.</w:t>
      </w:r>
    </w:p>
    <w:p w14:paraId="4569271E" w14:textId="77777777" w:rsidR="00EF2BAF" w:rsidRPr="007C1A99" w:rsidRDefault="00EF2BAF" w:rsidP="00EF2BAF">
      <w:pPr>
        <w:ind w:left="720"/>
        <w:rPr>
          <w:b/>
          <w:bCs/>
          <w:u w:val="single"/>
        </w:rPr>
      </w:pPr>
      <w:r w:rsidRPr="007C1A99">
        <w:rPr>
          <w:b/>
          <w:bCs/>
          <w:u w:val="single"/>
        </w:rPr>
        <w:t>File Formats</w:t>
      </w:r>
    </w:p>
    <w:p w14:paraId="6E0E78CC" w14:textId="77777777" w:rsidR="00EF2BAF" w:rsidRPr="0057708F" w:rsidRDefault="00EF2BAF" w:rsidP="00EF2BAF">
      <w:r w:rsidRPr="0057708F">
        <w:t xml:space="preserve">All spreadsheet (e.g., Microsoft Excel, Corel Quattro, etc.) files shall be produced as native files with TIFF placeholder images. </w:t>
      </w:r>
    </w:p>
    <w:p w14:paraId="3C3D0E37" w14:textId="77777777" w:rsidR="00EF2BAF" w:rsidRPr="0057708F" w:rsidRDefault="00EF2BAF" w:rsidP="00EF2BAF">
      <w:r>
        <w:t>If spreadsheet files require redaction, the redacted spreadsheet(s) may be produced as TIFF image(s), if native redaction tools are not available or are costly.</w:t>
      </w:r>
    </w:p>
    <w:p w14:paraId="0D57213C" w14:textId="77777777" w:rsidR="00EF2BAF" w:rsidRPr="0057708F" w:rsidRDefault="00EF2BAF" w:rsidP="00EF2BAF">
      <w:r w:rsidRPr="0057708F">
        <w:t xml:space="preserve">All photographs (e.g., .jpg, .gif) shall be produced as native files with TIFF placeholder images. </w:t>
      </w:r>
    </w:p>
    <w:p w14:paraId="62A2B8B0" w14:textId="77777777" w:rsidR="00EF2BAF" w:rsidRPr="0057708F" w:rsidRDefault="00EF2BAF" w:rsidP="00EF2BAF">
      <w:r w:rsidRPr="0057708F">
        <w:t xml:space="preserve">All media files, such as audio and video files, shall be produced as native files with TIFF placeholder images. </w:t>
      </w:r>
    </w:p>
    <w:p w14:paraId="17941321" w14:textId="77777777" w:rsidR="00EF2BAF" w:rsidRPr="0057708F" w:rsidRDefault="00EF2BAF" w:rsidP="00EF2BAF">
      <w:r w:rsidRPr="0057708F">
        <w:t xml:space="preserve">Emails, word processing (e.g., Microsoft Word, WordPerfect), presentations (e.g., Microsoft PowerPoint), and PDF files shall be produced as TIFFs. </w:t>
      </w:r>
    </w:p>
    <w:p w14:paraId="26AE8EA4" w14:textId="77777777" w:rsidR="00EF2BAF" w:rsidRPr="00E12A2B" w:rsidRDefault="00EF2BAF" w:rsidP="00EF2BAF">
      <w:r w:rsidRPr="00E12A2B">
        <w:t xml:space="preserve">The Parties shall produce other file types in TIFF format, where possible, and for other file types not suitable for imaging, in a reasonably useable format. </w:t>
      </w:r>
    </w:p>
    <w:p w14:paraId="11A2DF28" w14:textId="77777777" w:rsidR="00EF2BAF" w:rsidRDefault="00EF2BAF" w:rsidP="00EF2BAF">
      <w:pPr>
        <w:ind w:left="720"/>
        <w:rPr>
          <w:b/>
          <w:u w:val="single"/>
        </w:rPr>
      </w:pPr>
      <w:r w:rsidRPr="0057708F">
        <w:rPr>
          <w:b/>
          <w:u w:val="single"/>
        </w:rPr>
        <w:t>Technical Issues</w:t>
      </w:r>
    </w:p>
    <w:p w14:paraId="3057B023" w14:textId="77777777" w:rsidR="00EF2BAF" w:rsidRPr="00CA656A" w:rsidRDefault="00EF2BAF" w:rsidP="00EF2BAF">
      <w:r w:rsidRPr="0057708F">
        <w:t>Parties shall take reasonable steps to</w:t>
      </w:r>
      <w:r>
        <w:t xml:space="preserve"> resolve any technical issues</w:t>
      </w:r>
      <w:r w:rsidRPr="0057708F">
        <w:t xml:space="preserve"> prior to production. </w:t>
      </w:r>
      <w:r>
        <w:t xml:space="preserve"> If a technical issue cannot be resolved, the Producing Party will either produce a slip-sheet or mark the document not responsive, as directed by the Receiving Party. </w:t>
      </w:r>
    </w:p>
    <w:p w14:paraId="2F0D07CE" w14:textId="77777777" w:rsidR="00EF2BAF" w:rsidRPr="0057708F" w:rsidRDefault="00EF2BAF" w:rsidP="00EF2BAF">
      <w:pPr>
        <w:ind w:left="720"/>
        <w:rPr>
          <w:b/>
          <w:u w:val="single"/>
        </w:rPr>
      </w:pPr>
      <w:r w:rsidRPr="0057708F">
        <w:rPr>
          <w:b/>
          <w:u w:val="single"/>
        </w:rPr>
        <w:lastRenderedPageBreak/>
        <w:t>Embedded and Encrypted Files</w:t>
      </w:r>
    </w:p>
    <w:p w14:paraId="21F1428E" w14:textId="77777777" w:rsidR="00EF2BAF" w:rsidRPr="0057708F" w:rsidRDefault="00EF2BAF" w:rsidP="00EF2BAF">
      <w:r w:rsidRPr="0057708F">
        <w:t xml:space="preserve">Embedded files, except for images embedded in emails, are to be produced as family groups. Embedded files should be assigned </w:t>
      </w:r>
      <w:r>
        <w:t>Bates</w:t>
      </w:r>
      <w:r w:rsidRPr="0057708F">
        <w:t xml:space="preserve"> numbers that directly follow the </w:t>
      </w:r>
      <w:r>
        <w:t>Bates</w:t>
      </w:r>
      <w:r w:rsidRPr="0057708F">
        <w:t xml:space="preserve"> numbers on the documents within which they are embedded.</w:t>
      </w:r>
    </w:p>
    <w:p w14:paraId="3F92F776" w14:textId="77777777" w:rsidR="00EF2BAF" w:rsidRPr="0057708F" w:rsidRDefault="00EF2BAF" w:rsidP="00EF2BAF">
      <w:pPr>
        <w:rPr>
          <w:b/>
          <w:u w:val="single"/>
        </w:rPr>
      </w:pPr>
      <w:r w:rsidRPr="0057708F">
        <w:t xml:space="preserve">Parties shall take reasonable steps to unencrypt all files prior to production. If a password protected document is found during review, </w:t>
      </w:r>
      <w:r>
        <w:t>parties</w:t>
      </w:r>
      <w:r w:rsidRPr="0057708F">
        <w:t xml:space="preserve"> will take all reasonable steps to produce the password and/or cure the encryption associated with the document. </w:t>
      </w:r>
    </w:p>
    <w:p w14:paraId="042C345A" w14:textId="77777777" w:rsidR="00EF2BAF" w:rsidRPr="005D577F" w:rsidRDefault="00EF2BAF" w:rsidP="00EF2BAF">
      <w:pPr>
        <w:ind w:left="720"/>
        <w:rPr>
          <w:b/>
          <w:bCs/>
          <w:u w:val="single"/>
        </w:rPr>
      </w:pPr>
      <w:r w:rsidRPr="005D577F">
        <w:rPr>
          <w:b/>
          <w:bCs/>
          <w:u w:val="single"/>
        </w:rPr>
        <w:t>Structured Data</w:t>
      </w:r>
    </w:p>
    <w:p w14:paraId="2EE102F0" w14:textId="6D88A3F5" w:rsidR="00EF2BAF" w:rsidRDefault="00EF2BAF" w:rsidP="00EF2BAF">
      <w:r w:rsidRPr="0057708F">
        <w:t>If data from structured data systems (e.g.</w:t>
      </w:r>
      <w:r w:rsidR="00EB5444">
        <w:t>,</w:t>
      </w:r>
      <w:r w:rsidRPr="0057708F">
        <w:t xml:space="preserve"> databases) </w:t>
      </w:r>
      <w:r>
        <w:t>are</w:t>
      </w:r>
      <w:r w:rsidRPr="0057708F">
        <w:t xml:space="preserve"> responsive to particular requests and will otherwise be produced, the parties agree that the responding party will notify the requesting party of its intended production format prior to the actual production and the parties will discuss in good faith the most reasonable production format for the particular information. Where possible, relevant and responsive information from databases will be either produced in standard (a/k/a canned) reports or as pipe-delimited ASCII format with the first row including data field headings/names.</w:t>
      </w:r>
    </w:p>
    <w:p w14:paraId="093A8B68" w14:textId="77777777" w:rsidR="00EF2BAF" w:rsidRPr="005D577F" w:rsidRDefault="00EF2BAF" w:rsidP="00EF2BAF">
      <w:pPr>
        <w:ind w:left="720"/>
        <w:rPr>
          <w:b/>
          <w:bCs/>
          <w:u w:val="single"/>
        </w:rPr>
      </w:pPr>
      <w:r w:rsidRPr="005D577F">
        <w:rPr>
          <w:b/>
          <w:bCs/>
          <w:u w:val="single"/>
        </w:rPr>
        <w:t>Email Threading</w:t>
      </w:r>
    </w:p>
    <w:p w14:paraId="2602BC92" w14:textId="77777777" w:rsidR="00EF2BAF" w:rsidRPr="0057708F" w:rsidRDefault="00EF2BAF" w:rsidP="00EF2BAF">
      <w:r w:rsidRPr="0057708F">
        <w:t>Parties may utilize email thread suppression.  E-mail threads are email communications that contain prior or lesser-included e-mail communications that also may exist separately in the electronic files. A most inclusive e-mail thread is one that contains all of the prior or lesser-included e-mails, including attachments, for that branch of the e-mail thread. For the avoidance of doubt, only email messages for which the parent document and all attachments are contained in the more inclusive email message will be considered less inclusive e-mail messages that need not be produced; if the later message contains different text (such as where the later message adds in-line comments to the body of the earlier message, or branches to a different conversation string), or does not include an attachment that was part of the earlier message, the earlier message must be produced. To the extent that an e-mail thread contains privileged communications, such communications can be redacted. If an e-mail thread contains responsive, non-privileged communications, the entire e-mail thread cannot be withheld as privileged.</w:t>
      </w:r>
    </w:p>
    <w:p w14:paraId="5208F1D3" w14:textId="77777777" w:rsidR="00EF2BAF" w:rsidRPr="005D577F" w:rsidRDefault="00EF2BAF" w:rsidP="00EF2BAF">
      <w:pPr>
        <w:ind w:left="720"/>
        <w:rPr>
          <w:b/>
          <w:bCs/>
          <w:u w:val="single"/>
        </w:rPr>
      </w:pPr>
      <w:r w:rsidRPr="005D577F">
        <w:rPr>
          <w:b/>
          <w:bCs/>
          <w:u w:val="single"/>
        </w:rPr>
        <w:t xml:space="preserve">Parent-Child Relationships </w:t>
      </w:r>
    </w:p>
    <w:p w14:paraId="3C31FBC0" w14:textId="77777777" w:rsidR="00EF2BAF" w:rsidRPr="002D02A8" w:rsidRDefault="00EF2BAF" w:rsidP="00EF2BAF">
      <w:r w:rsidRPr="00293E00">
        <w:t>Producing Party may elect to produce or slip-sheet non-</w:t>
      </w:r>
      <w:r>
        <w:t>responsive family members.  P</w:t>
      </w:r>
      <w:r w:rsidRPr="0057708F">
        <w:t xml:space="preserve">arent-child relationships (the association between an attachment and its “parent” document) that have been </w:t>
      </w:r>
      <w:r w:rsidRPr="0057708F">
        <w:lastRenderedPageBreak/>
        <w:t>maintained in the ordinary course of business should be preserved</w:t>
      </w:r>
      <w:r>
        <w:t xml:space="preserve"> (i.e., consecutively produced)</w:t>
      </w:r>
      <w:r w:rsidRPr="0057708F">
        <w:t xml:space="preserve"> to the</w:t>
      </w:r>
      <w:r>
        <w:t xml:space="preserve"> extent reasonably practicable</w:t>
      </w:r>
      <w:r w:rsidRPr="0057708F">
        <w:t>.</w:t>
      </w:r>
      <w:r>
        <w:t xml:space="preserve">  </w:t>
      </w:r>
    </w:p>
    <w:p w14:paraId="6493D541" w14:textId="77777777" w:rsidR="00EF2BAF" w:rsidRPr="005D577F" w:rsidRDefault="00EF2BAF" w:rsidP="00EF2BAF">
      <w:pPr>
        <w:ind w:left="720"/>
        <w:rPr>
          <w:b/>
          <w:bCs/>
        </w:rPr>
      </w:pPr>
      <w:r w:rsidRPr="005D577F">
        <w:rPr>
          <w:rFonts w:ascii="Segoe UI Symbol" w:eastAsia="MS Gothic" w:hAnsi="Segoe UI Symbol" w:cs="Segoe UI Symbol"/>
          <w:b/>
          <w:bCs/>
        </w:rPr>
        <w:t>☐</w:t>
      </w:r>
      <w:r w:rsidRPr="005D577F">
        <w:rPr>
          <w:b/>
          <w:bCs/>
        </w:rPr>
        <w:tab/>
        <w:t>HARD COPY</w:t>
      </w:r>
    </w:p>
    <w:p w14:paraId="16691D05" w14:textId="77777777" w:rsidR="00EF2BAF" w:rsidRPr="005D577F" w:rsidRDefault="00EF2BAF" w:rsidP="00EF2BAF">
      <w:pPr>
        <w:ind w:left="720"/>
        <w:rPr>
          <w:b/>
          <w:bCs/>
          <w:u w:val="single"/>
        </w:rPr>
      </w:pPr>
      <w:r w:rsidRPr="005D577F">
        <w:rPr>
          <w:b/>
          <w:bCs/>
          <w:u w:val="single"/>
        </w:rPr>
        <w:t>Unitization</w:t>
      </w:r>
    </w:p>
    <w:p w14:paraId="598B0CB3" w14:textId="77777777" w:rsidR="00EF2BAF" w:rsidRPr="00DE15A9" w:rsidRDefault="00EF2BAF" w:rsidP="00EF2BAF">
      <w:pPr>
        <w:rPr>
          <w:iCs/>
        </w:rPr>
      </w:pPr>
      <w:r w:rsidRPr="00DE15A9">
        <w:rPr>
          <w:iCs/>
        </w:rPr>
        <w:t>In scanning hardcopy documents, multiple distinct documents should not be merged into a single record, and single documents should not be split into multiple records (</w:t>
      </w:r>
      <w:r w:rsidRPr="00DE15A9">
        <w:rPr>
          <w:i/>
          <w:iCs/>
        </w:rPr>
        <w:t>i.e.</w:t>
      </w:r>
      <w:r w:rsidRPr="00DE15A9">
        <w:rPr>
          <w:iCs/>
        </w:rPr>
        <w:t>, hard copy documents should be logically or physically unitized).</w:t>
      </w:r>
    </w:p>
    <w:p w14:paraId="46731E98" w14:textId="77777777" w:rsidR="00EF2BAF" w:rsidRPr="00DE15A9" w:rsidRDefault="00EF2BAF" w:rsidP="00EF2BAF">
      <w:pPr>
        <w:rPr>
          <w:iCs/>
        </w:rPr>
      </w:pPr>
      <w:r w:rsidRPr="00DE15A9">
        <w:rPr>
          <w:iCs/>
        </w:rPr>
        <w:t>In the case of an organized compilation of separate hardcopy documents—for example, a binder containing several separate documents behind numbered tabs—the document behind each tab should be scanned separately, but the relationship among the documents in the binder should be reflected in proper coding of the family fields set out below.</w:t>
      </w:r>
    </w:p>
    <w:p w14:paraId="496998D1" w14:textId="77777777" w:rsidR="00EF2BAF" w:rsidRPr="005D577F" w:rsidRDefault="00EF2BAF" w:rsidP="00EF2BAF">
      <w:pPr>
        <w:ind w:left="720"/>
        <w:rPr>
          <w:b/>
          <w:bCs/>
          <w:u w:val="single"/>
        </w:rPr>
      </w:pPr>
      <w:r w:rsidRPr="005D577F">
        <w:rPr>
          <w:b/>
          <w:bCs/>
          <w:u w:val="single"/>
        </w:rPr>
        <w:t>Production Format</w:t>
      </w:r>
    </w:p>
    <w:p w14:paraId="73185D78" w14:textId="77777777" w:rsidR="00EF2BAF" w:rsidRDefault="00EF2BAF" w:rsidP="00EF2BAF">
      <w:r w:rsidRPr="0057708F">
        <w:t>When the parties produce hard copy (paper) documents, the paper will be scanned and produced electronically as single page TIFF images, 300 DPI, named the same as their Bates number (Acrobat PDF scans will comply with this requirement). To the extent an image is i</w:t>
      </w:r>
      <w:r>
        <w:t xml:space="preserve">llegible or difficult to read, the Requesting Party </w:t>
      </w:r>
      <w:r w:rsidRPr="0057708F">
        <w:t xml:space="preserve">may ask to for the document to be rescanned; if rescanning does not resolve the issue, the Requesting </w:t>
      </w:r>
      <w:r>
        <w:t>P</w:t>
      </w:r>
      <w:r w:rsidRPr="0057708F">
        <w:t>arty may ask to see the original document, in which case the original shall promptly be made available by the producing party. Each TIFF should be endorsed with a unique document identifier (i.e., Bates Label).</w:t>
      </w:r>
      <w:r>
        <w:t xml:space="preserve">  </w:t>
      </w:r>
      <w:r w:rsidRPr="00DE15A9">
        <w:t>The scanning of original hardcopy documents does not otherwise require that the scanned images be treated as ESI.</w:t>
      </w:r>
    </w:p>
    <w:p w14:paraId="08C6B2BE" w14:textId="77777777" w:rsidR="00EF2BAF" w:rsidRPr="005D577F" w:rsidRDefault="00EF2BAF" w:rsidP="00EF2BAF">
      <w:pPr>
        <w:ind w:left="720"/>
        <w:rPr>
          <w:b/>
          <w:bCs/>
          <w:u w:val="single"/>
        </w:rPr>
      </w:pPr>
      <w:r w:rsidRPr="005D577F">
        <w:rPr>
          <w:b/>
          <w:bCs/>
          <w:u w:val="single"/>
        </w:rPr>
        <w:t>OCR</w:t>
      </w:r>
    </w:p>
    <w:p w14:paraId="49C3D719" w14:textId="77777777" w:rsidR="00EF2BAF" w:rsidRPr="00DE15A9" w:rsidRDefault="00EF2BAF" w:rsidP="00EF2BAF">
      <w:pPr>
        <w:rPr>
          <w:iCs/>
        </w:rPr>
      </w:pPr>
      <w:r w:rsidRPr="00DE15A9">
        <w:rPr>
          <w:iCs/>
        </w:rPr>
        <w:t>For scanned images of hard copy documents, OCR should be performed on a document level and provided in document-level *.txt files named to match the production number of the first page of the document to which the OCR text corresponds. OCR text should not be delivered in the data load file or any other delimited text file.</w:t>
      </w:r>
    </w:p>
    <w:p w14:paraId="791FBD22" w14:textId="77777777" w:rsidR="00EF2BAF" w:rsidRPr="003571C9" w:rsidRDefault="00EF2BAF" w:rsidP="00EF2BAF">
      <w:pPr>
        <w:ind w:left="720"/>
        <w:rPr>
          <w:b/>
          <w:bCs/>
        </w:rPr>
      </w:pPr>
      <w:r w:rsidRPr="003571C9">
        <w:rPr>
          <w:rFonts w:ascii="Segoe UI Symbol" w:eastAsia="MS Gothic" w:hAnsi="Segoe UI Symbol" w:cs="Segoe UI Symbol"/>
          <w:b/>
          <w:bCs/>
        </w:rPr>
        <w:t>☐</w:t>
      </w:r>
      <w:r w:rsidRPr="003571C9">
        <w:rPr>
          <w:b/>
          <w:bCs/>
        </w:rPr>
        <w:tab/>
        <w:t xml:space="preserve">OTHER: </w:t>
      </w:r>
    </w:p>
    <w:p w14:paraId="51A7C680" w14:textId="4656D0A0" w:rsidR="00EF2BAF" w:rsidRPr="005745AE" w:rsidRDefault="00EF2BAF" w:rsidP="00EF2BAF">
      <w:pPr>
        <w:rPr>
          <w:b/>
          <w:bCs/>
          <w:sz w:val="28"/>
          <w:szCs w:val="22"/>
        </w:rPr>
      </w:pPr>
      <w:r w:rsidRPr="005745AE">
        <w:rPr>
          <w:b/>
          <w:bCs/>
          <w:sz w:val="28"/>
          <w:szCs w:val="22"/>
        </w:rPr>
        <w:t>9.</w:t>
      </w:r>
      <w:r w:rsidRPr="005745AE">
        <w:rPr>
          <w:b/>
          <w:bCs/>
          <w:sz w:val="28"/>
          <w:szCs w:val="22"/>
        </w:rPr>
        <w:tab/>
        <w:t>CONFIDENTIALITY</w:t>
      </w:r>
    </w:p>
    <w:p w14:paraId="2C76EDCC" w14:textId="77777777" w:rsidR="00EF2BAF" w:rsidRPr="005745AE" w:rsidRDefault="00EF2BAF" w:rsidP="00EF2BAF">
      <w:pPr>
        <w:ind w:left="720"/>
        <w:rPr>
          <w:b/>
          <w:bCs/>
          <w:u w:val="single"/>
        </w:rPr>
      </w:pPr>
      <w:r w:rsidRPr="005745AE">
        <w:rPr>
          <w:b/>
          <w:bCs/>
          <w:u w:val="single"/>
        </w:rPr>
        <w:t>Native File Names</w:t>
      </w:r>
    </w:p>
    <w:p w14:paraId="698D8805" w14:textId="77777777" w:rsidR="00EF2BAF" w:rsidRDefault="00EF2BAF" w:rsidP="00EF2BAF">
      <w:r w:rsidRPr="0057708F">
        <w:lastRenderedPageBreak/>
        <w:t xml:space="preserve">For each native file produced, the production will include a TIFF image slip-sheet indicating the production number of the native file and the confidentiality designation, and stating “File Provided Natively.”  The file name of the native will include the </w:t>
      </w:r>
      <w:r>
        <w:t>Bates</w:t>
      </w:r>
      <w:r w:rsidRPr="0057708F">
        <w:t xml:space="preserve"> number, and if the file is anything other than not confidential, the confidentiality designation must be placed in the file name.  </w:t>
      </w:r>
    </w:p>
    <w:p w14:paraId="75A80AA5" w14:textId="77777777" w:rsidR="00EF2BAF" w:rsidRPr="005745AE" w:rsidRDefault="00EF2BAF" w:rsidP="00EF2BAF">
      <w:pPr>
        <w:ind w:left="720"/>
        <w:rPr>
          <w:b/>
          <w:bCs/>
          <w:u w:val="single"/>
        </w:rPr>
      </w:pPr>
      <w:r w:rsidRPr="005745AE">
        <w:rPr>
          <w:b/>
          <w:bCs/>
          <w:u w:val="single"/>
        </w:rPr>
        <w:t>Requests to Seal Information</w:t>
      </w:r>
    </w:p>
    <w:p w14:paraId="4AAD4C2F" w14:textId="77777777" w:rsidR="00EF2BAF" w:rsidRDefault="00EF2BAF" w:rsidP="00EF2BAF">
      <w:r w:rsidRPr="00973221">
        <w:t xml:space="preserve">Requests to seal information from public access must conform with </w:t>
      </w:r>
      <w:r>
        <w:t>Access to Court Records Rule 6</w:t>
      </w:r>
      <w:r w:rsidRPr="00973221">
        <w:t>.</w:t>
      </w:r>
    </w:p>
    <w:p w14:paraId="755084CE" w14:textId="77777777" w:rsidR="00EF2BAF" w:rsidRPr="005745AE" w:rsidRDefault="00EF2BAF" w:rsidP="00EF2BAF">
      <w:pPr>
        <w:ind w:left="720"/>
        <w:rPr>
          <w:b/>
          <w:bCs/>
          <w:u w:val="single"/>
        </w:rPr>
      </w:pPr>
      <w:r w:rsidRPr="005745AE">
        <w:rPr>
          <w:b/>
          <w:bCs/>
          <w:u w:val="single"/>
        </w:rPr>
        <w:t>Protective Order</w:t>
      </w:r>
    </w:p>
    <w:p w14:paraId="2D03DBF5" w14:textId="77777777" w:rsidR="00EF2BAF" w:rsidRDefault="00EF2BAF" w:rsidP="00EF2BAF">
      <w:r w:rsidRPr="6C7FFB49">
        <w:t>Before seeking a protective order from the Court, the parties must confer in good faith in an effort to agree to a stipulated protective order regarding the disclosure and exchange of any discovery documents. The Court will not consider any protective order unless:</w:t>
      </w:r>
    </w:p>
    <w:p w14:paraId="081A0912" w14:textId="77777777" w:rsidR="00EF2BAF" w:rsidRPr="00357125" w:rsidRDefault="00EF2BAF" w:rsidP="00EF2BAF">
      <w:pPr>
        <w:pStyle w:val="ListParagraph"/>
        <w:widowControl w:val="0"/>
        <w:numPr>
          <w:ilvl w:val="0"/>
          <w:numId w:val="1"/>
        </w:numPr>
        <w:spacing w:line="240" w:lineRule="auto"/>
        <w:ind w:right="187"/>
        <w:rPr>
          <w:szCs w:val="24"/>
        </w:rPr>
      </w:pPr>
      <w:r w:rsidRPr="00357125">
        <w:rPr>
          <w:szCs w:val="24"/>
        </w:rPr>
        <w:t>the parties verify to the court that they have face-to-face or telephonically conferred regarding the need for and form of the protective order, or</w:t>
      </w:r>
    </w:p>
    <w:p w14:paraId="69DA9A74" w14:textId="77777777" w:rsidR="00EF2BAF" w:rsidRPr="00357125" w:rsidRDefault="00EF2BAF" w:rsidP="00EF2BAF">
      <w:pPr>
        <w:pStyle w:val="ListParagraph"/>
        <w:widowControl w:val="0"/>
        <w:numPr>
          <w:ilvl w:val="0"/>
          <w:numId w:val="1"/>
        </w:numPr>
        <w:spacing w:line="240" w:lineRule="auto"/>
        <w:ind w:right="187"/>
        <w:rPr>
          <w:szCs w:val="24"/>
        </w:rPr>
      </w:pPr>
      <w:r w:rsidRPr="00357125">
        <w:rPr>
          <w:szCs w:val="24"/>
        </w:rPr>
        <w:t>the party seeking the protective order can demonstrate that its meaningful and continued efforts to confer face-to-face or telephonically were unsuccessful, and time is of the essence in considering the need for a protective order. A single exchange of an email or letter alone is insufficient.</w:t>
      </w:r>
    </w:p>
    <w:p w14:paraId="026446B6" w14:textId="0B8E5B80" w:rsidR="00EF2BAF" w:rsidRPr="00357125" w:rsidRDefault="00EF2BAF" w:rsidP="00EF2BAF">
      <w:pPr>
        <w:rPr>
          <w:b/>
          <w:bCs/>
          <w:sz w:val="28"/>
          <w:szCs w:val="22"/>
        </w:rPr>
      </w:pPr>
      <w:r w:rsidRPr="00357125">
        <w:rPr>
          <w:b/>
          <w:bCs/>
          <w:sz w:val="28"/>
          <w:szCs w:val="22"/>
        </w:rPr>
        <w:t>10</w:t>
      </w:r>
      <w:r w:rsidR="00AE3CC6" w:rsidRPr="00357125">
        <w:rPr>
          <w:b/>
          <w:bCs/>
          <w:sz w:val="28"/>
          <w:szCs w:val="22"/>
        </w:rPr>
        <w:t>.</w:t>
      </w:r>
      <w:r w:rsidR="00AE3CC6">
        <w:rPr>
          <w:b/>
          <w:bCs/>
          <w:sz w:val="28"/>
          <w:szCs w:val="22"/>
        </w:rPr>
        <w:tab/>
      </w:r>
      <w:r w:rsidRPr="00357125">
        <w:rPr>
          <w:b/>
          <w:bCs/>
          <w:sz w:val="28"/>
          <w:szCs w:val="22"/>
        </w:rPr>
        <w:t>BATES LABELING AND BRANDING</w:t>
      </w:r>
    </w:p>
    <w:p w14:paraId="5BF95D2D" w14:textId="77777777" w:rsidR="00EF2BAF" w:rsidRPr="00357125" w:rsidRDefault="00EF2BAF" w:rsidP="00EF2BAF">
      <w:pPr>
        <w:ind w:left="720"/>
        <w:rPr>
          <w:b/>
          <w:bCs/>
          <w:u w:val="single"/>
        </w:rPr>
      </w:pPr>
      <w:r w:rsidRPr="00357125">
        <w:rPr>
          <w:b/>
          <w:bCs/>
          <w:u w:val="single"/>
        </w:rPr>
        <w:t>Bates Labelling</w:t>
      </w:r>
    </w:p>
    <w:p w14:paraId="087875DF" w14:textId="3CB03528" w:rsidR="00EF2BAF" w:rsidRPr="0057708F" w:rsidRDefault="00EF2BAF" w:rsidP="00EF2BAF">
      <w:r w:rsidRPr="0057708F">
        <w:t>For each Custodial Document, produced as TIFF images, the Producing party should electronically endorse a legible, unique Bates number onto each page at a location that does not obliterate, conceal or interfere with any information from the source document. For documents produced in native format, the Bates number shall be included in the file name of the produced document. Each Producing party should use unique Bates Labels to identify its images and documents. A Bates Label should begin with at least three alphabetical characters and followed by at least seven numbers (e.g.</w:t>
      </w:r>
      <w:r w:rsidR="00AE3CC6">
        <w:t>,</w:t>
      </w:r>
      <w:r w:rsidRPr="0057708F">
        <w:t xml:space="preserve"> ABC0000001 or ACME00000023 or JUPITER0000004).</w:t>
      </w:r>
    </w:p>
    <w:p w14:paraId="104EB36C" w14:textId="77777777" w:rsidR="00EF2BAF" w:rsidRPr="00357125" w:rsidRDefault="00EF2BAF" w:rsidP="00EF2BAF">
      <w:pPr>
        <w:ind w:left="720"/>
        <w:rPr>
          <w:b/>
          <w:bCs/>
          <w:u w:val="single"/>
        </w:rPr>
      </w:pPr>
      <w:r w:rsidRPr="00357125">
        <w:rPr>
          <w:b/>
          <w:bCs/>
          <w:u w:val="single"/>
        </w:rPr>
        <w:t>Confidentiality Branding</w:t>
      </w:r>
    </w:p>
    <w:p w14:paraId="3645EDAF" w14:textId="77777777" w:rsidR="00EF2BAF" w:rsidRPr="0056496D" w:rsidRDefault="00EF2BAF" w:rsidP="00EF2BAF">
      <w:r>
        <w:t>Confidentiality branding should be applied consistent with the Protective Order.  If the Protective Order does not address</w:t>
      </w:r>
      <w:r w:rsidRPr="4703702E">
        <w:t xml:space="preserve"> such branding, then</w:t>
      </w:r>
      <w:r>
        <w:t xml:space="preserve"> confidentiality branding shall be done by agreement of the parties.  As an example, for a Confidential documents, the documents shall be branded with “Confidential” in the bottom left corner of each page of the Confidential document.</w:t>
      </w:r>
    </w:p>
    <w:p w14:paraId="33BC15F0" w14:textId="6F58FB03" w:rsidR="00EF2BAF" w:rsidRPr="00357125" w:rsidRDefault="00EF2BAF" w:rsidP="00EF2BAF">
      <w:pPr>
        <w:rPr>
          <w:b/>
          <w:bCs/>
          <w:sz w:val="28"/>
          <w:szCs w:val="22"/>
        </w:rPr>
      </w:pPr>
      <w:r w:rsidRPr="00357125">
        <w:rPr>
          <w:b/>
          <w:bCs/>
          <w:sz w:val="28"/>
          <w:szCs w:val="22"/>
        </w:rPr>
        <w:lastRenderedPageBreak/>
        <w:t>11</w:t>
      </w:r>
      <w:r w:rsidR="00AE3CC6" w:rsidRPr="00357125">
        <w:rPr>
          <w:b/>
          <w:bCs/>
          <w:sz w:val="28"/>
          <w:szCs w:val="22"/>
        </w:rPr>
        <w:t>.</w:t>
      </w:r>
      <w:r w:rsidR="00AE3CC6">
        <w:rPr>
          <w:b/>
          <w:bCs/>
          <w:sz w:val="28"/>
          <w:szCs w:val="22"/>
        </w:rPr>
        <w:tab/>
      </w:r>
      <w:r w:rsidRPr="00357125">
        <w:rPr>
          <w:b/>
          <w:bCs/>
          <w:sz w:val="28"/>
          <w:szCs w:val="22"/>
        </w:rPr>
        <w:t xml:space="preserve">REDACTIONS </w:t>
      </w:r>
    </w:p>
    <w:p w14:paraId="51A256FA" w14:textId="77777777" w:rsidR="00EF2BAF" w:rsidRPr="00357125" w:rsidRDefault="00EF2BAF" w:rsidP="00EF2BAF">
      <w:pPr>
        <w:ind w:left="720"/>
        <w:rPr>
          <w:b/>
          <w:bCs/>
          <w:u w:val="single"/>
        </w:rPr>
      </w:pPr>
      <w:r w:rsidRPr="00357125">
        <w:rPr>
          <w:b/>
          <w:bCs/>
          <w:u w:val="single"/>
        </w:rPr>
        <w:t>Available Redactions</w:t>
      </w:r>
    </w:p>
    <w:p w14:paraId="5BEF96E6" w14:textId="77777777" w:rsidR="00EF2BAF" w:rsidRPr="0024130C" w:rsidRDefault="00EF2BAF" w:rsidP="00EF2BAF">
      <w:r>
        <w:t xml:space="preserve">The parties agree to the use of the following redactions:  </w:t>
      </w:r>
      <w:r w:rsidRPr="0024130C">
        <w:t xml:space="preserve">privacy, privilege, </w:t>
      </w:r>
      <w:r>
        <w:t xml:space="preserve">unrelated to subject matter, </w:t>
      </w:r>
      <w:r w:rsidRPr="0024130C">
        <w:t xml:space="preserve">confidentiality, </w:t>
      </w:r>
      <w:r>
        <w:t xml:space="preserve">and any other per agreement of the parties.  </w:t>
      </w:r>
    </w:p>
    <w:p w14:paraId="117CECD8" w14:textId="77777777" w:rsidR="00EF2BAF" w:rsidRPr="00357125" w:rsidRDefault="00EF2BAF" w:rsidP="00EF2BAF">
      <w:pPr>
        <w:ind w:left="720"/>
        <w:rPr>
          <w:b/>
          <w:bCs/>
          <w:u w:val="single"/>
        </w:rPr>
      </w:pPr>
      <w:r w:rsidRPr="00357125">
        <w:rPr>
          <w:b/>
          <w:bCs/>
          <w:u w:val="single"/>
        </w:rPr>
        <w:t>Redaction Format</w:t>
      </w:r>
    </w:p>
    <w:p w14:paraId="0096D48B" w14:textId="77777777" w:rsidR="00EF2BAF" w:rsidRPr="0024130C" w:rsidRDefault="00EF2BAF" w:rsidP="00EF2BAF">
      <w:r>
        <w:t xml:space="preserve">The redaction </w:t>
      </w:r>
      <w:r w:rsidRPr="0024130C">
        <w:t xml:space="preserve">shall be clearly indicated on the face of the document, with each redacted portion of the document stating that it has been redacted and the basis for the redaction, and a metadata field shall indicate that the document contains redactions and the basis for the redaction (e.g., “A/C Privilege”). Where a responsive and non-privileged document contains both redacted and non-redacted content, </w:t>
      </w:r>
      <w:r>
        <w:t>the parties</w:t>
      </w:r>
      <w:r w:rsidRPr="0024130C">
        <w:t xml:space="preserve"> shall produce the remainder of the non-redacted portions of the document and the text/OCR corresponding to the non-redacted portions.</w:t>
      </w:r>
    </w:p>
    <w:p w14:paraId="35648335" w14:textId="43A2A72A" w:rsidR="00EF2BAF" w:rsidRPr="00357125" w:rsidRDefault="00EF2BAF" w:rsidP="00EF2BAF">
      <w:pPr>
        <w:rPr>
          <w:b/>
          <w:bCs/>
          <w:sz w:val="28"/>
          <w:szCs w:val="22"/>
        </w:rPr>
      </w:pPr>
      <w:r w:rsidRPr="00357125">
        <w:rPr>
          <w:b/>
          <w:bCs/>
          <w:sz w:val="28"/>
          <w:szCs w:val="22"/>
        </w:rPr>
        <w:t>12</w:t>
      </w:r>
      <w:r w:rsidR="00AE3CC6" w:rsidRPr="00357125">
        <w:rPr>
          <w:b/>
          <w:bCs/>
          <w:sz w:val="28"/>
          <w:szCs w:val="22"/>
        </w:rPr>
        <w:t>.</w:t>
      </w:r>
      <w:r w:rsidR="00AE3CC6">
        <w:rPr>
          <w:b/>
          <w:bCs/>
          <w:sz w:val="28"/>
          <w:szCs w:val="22"/>
        </w:rPr>
        <w:tab/>
      </w:r>
      <w:r w:rsidRPr="00357125">
        <w:rPr>
          <w:b/>
          <w:bCs/>
          <w:sz w:val="28"/>
          <w:szCs w:val="22"/>
        </w:rPr>
        <w:t>FOREIGN LANGUAGE</w:t>
      </w:r>
    </w:p>
    <w:p w14:paraId="6C0A5042" w14:textId="77777777" w:rsidR="00EF2BAF" w:rsidRPr="00E86D7A" w:rsidRDefault="00EF2BAF" w:rsidP="00EF2BAF">
      <w:r w:rsidRPr="00AC769A">
        <w:t xml:space="preserve">If foreign language documents are responsive and not privileged, </w:t>
      </w:r>
      <w:r>
        <w:t>the parties</w:t>
      </w:r>
      <w:r w:rsidRPr="00AC769A">
        <w:t xml:space="preserve"> will produce in the </w:t>
      </w:r>
      <w:r w:rsidRPr="00E86D7A">
        <w:t xml:space="preserve">original language or the language collected.  Producing Party will not be required to translate documents to English or any other language.  </w:t>
      </w:r>
    </w:p>
    <w:p w14:paraId="62B5EEA2" w14:textId="51F3C083" w:rsidR="00EF2BAF" w:rsidRPr="00357125" w:rsidRDefault="00EF2BAF" w:rsidP="00EF2BAF">
      <w:pPr>
        <w:rPr>
          <w:b/>
          <w:bCs/>
          <w:sz w:val="28"/>
          <w:szCs w:val="22"/>
        </w:rPr>
      </w:pPr>
      <w:r w:rsidRPr="00357125">
        <w:rPr>
          <w:b/>
          <w:bCs/>
          <w:sz w:val="28"/>
          <w:szCs w:val="22"/>
        </w:rPr>
        <w:t>13</w:t>
      </w:r>
      <w:r w:rsidR="00AE3CC6" w:rsidRPr="00357125">
        <w:rPr>
          <w:b/>
          <w:bCs/>
          <w:sz w:val="28"/>
          <w:szCs w:val="22"/>
        </w:rPr>
        <w:t>.</w:t>
      </w:r>
      <w:r w:rsidR="00AE3CC6">
        <w:rPr>
          <w:b/>
          <w:bCs/>
          <w:sz w:val="28"/>
          <w:szCs w:val="22"/>
        </w:rPr>
        <w:tab/>
      </w:r>
      <w:r w:rsidRPr="00357125">
        <w:rPr>
          <w:b/>
          <w:bCs/>
          <w:sz w:val="28"/>
          <w:szCs w:val="22"/>
        </w:rPr>
        <w:t>TIMING OF PRODUCTION</w:t>
      </w:r>
    </w:p>
    <w:p w14:paraId="7890A406" w14:textId="77777777" w:rsidR="00EF2BAF" w:rsidRPr="00E86D7A" w:rsidRDefault="00EF2BAF" w:rsidP="00EF2BAF">
      <w:r>
        <w:t>Productions shall be made within forty-five (45) days of receipt of the Request, unless otherwise agreed to by the parties in writing or ordered by the Court.  For the Complex Pathway, parties may employ rolling productions starting within forty-five (45) days of receipt of the Request.</w:t>
      </w:r>
    </w:p>
    <w:p w14:paraId="5FF17EF3" w14:textId="77777777" w:rsidR="00EF2BAF" w:rsidRPr="009E3B5D" w:rsidRDefault="00EF2BAF" w:rsidP="00EF2BAF">
      <w:pPr>
        <w:rPr>
          <w:b/>
          <w:bCs/>
          <w:sz w:val="28"/>
          <w:szCs w:val="22"/>
        </w:rPr>
      </w:pPr>
      <w:r w:rsidRPr="009E3B5D">
        <w:rPr>
          <w:b/>
          <w:bCs/>
          <w:sz w:val="28"/>
          <w:szCs w:val="22"/>
        </w:rPr>
        <w:t>14.</w:t>
      </w:r>
      <w:r w:rsidRPr="009E3B5D">
        <w:rPr>
          <w:b/>
          <w:bCs/>
          <w:sz w:val="28"/>
          <w:szCs w:val="22"/>
        </w:rPr>
        <w:tab/>
        <w:t>PRIVILEGED DOCUMENTS</w:t>
      </w:r>
    </w:p>
    <w:p w14:paraId="4EA02B62" w14:textId="77777777" w:rsidR="00EF2BAF" w:rsidRPr="009E3B5D" w:rsidRDefault="00EF2BAF" w:rsidP="00EF2BAF">
      <w:pPr>
        <w:ind w:left="720"/>
        <w:rPr>
          <w:b/>
          <w:bCs/>
          <w:u w:val="single"/>
        </w:rPr>
      </w:pPr>
      <w:r w:rsidRPr="009E3B5D">
        <w:rPr>
          <w:b/>
          <w:bCs/>
          <w:u w:val="single"/>
        </w:rPr>
        <w:t>Contents of Privilege Log</w:t>
      </w:r>
    </w:p>
    <w:p w14:paraId="71AD3926" w14:textId="77777777" w:rsidR="00EF2BAF" w:rsidRDefault="00EF2BAF" w:rsidP="00EF2BAF">
      <w:r>
        <w:t>Unless otherwise agreed by the parties or ordered by the Court, the Privilege Log shall contain the following fields:</w:t>
      </w:r>
    </w:p>
    <w:p w14:paraId="1D764BE3"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CONTROL NUMBER</w:t>
      </w:r>
    </w:p>
    <w:p w14:paraId="5E49F84A"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FIRST BATES</w:t>
      </w:r>
    </w:p>
    <w:p w14:paraId="56C70AE5"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LAST BATES</w:t>
      </w:r>
    </w:p>
    <w:p w14:paraId="2CF9CF21"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CUSTODIAN (LAST, FIRST, MIDDLE)</w:t>
      </w:r>
    </w:p>
    <w:p w14:paraId="068BF9F6"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DUPLICATE CUSTODIANS (LAST, FIRST, MIDDLE)</w:t>
      </w:r>
    </w:p>
    <w:p w14:paraId="43010518"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lastRenderedPageBreak/>
        <w:t>AUTHOR / FROM</w:t>
      </w:r>
    </w:p>
    <w:p w14:paraId="192D4270"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RECIPIENT / TO</w:t>
      </w:r>
    </w:p>
    <w:p w14:paraId="785A788F"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CC</w:t>
      </w:r>
    </w:p>
    <w:p w14:paraId="41CFF6CB"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BCC</w:t>
      </w:r>
    </w:p>
    <w:p w14:paraId="623B9280"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DATE SENT / RECEIVED / CREATED</w:t>
      </w:r>
    </w:p>
    <w:p w14:paraId="227020A7"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FILE NAME</w:t>
      </w:r>
    </w:p>
    <w:p w14:paraId="42A16C94"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FILE TYPE</w:t>
      </w:r>
    </w:p>
    <w:p w14:paraId="45CF2F4D"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STATUS OF PRIVILEGE DESIGNATION (E.G., ATTORNEY-CLIENT OR WORK PRODUCT) OR BASIS FOR REDACTION</w:t>
      </w:r>
    </w:p>
    <w:p w14:paraId="38566607"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FULLY PRIVILEGED OR REDACTED</w:t>
      </w:r>
    </w:p>
    <w:p w14:paraId="6594F834" w14:textId="77777777" w:rsidR="00EF2BAF" w:rsidRPr="009E3B5D" w:rsidRDefault="00EF2BAF" w:rsidP="00EF2BAF">
      <w:pPr>
        <w:pStyle w:val="ListParagraph"/>
        <w:widowControl w:val="0"/>
        <w:numPr>
          <w:ilvl w:val="0"/>
          <w:numId w:val="1"/>
        </w:numPr>
        <w:spacing w:line="240" w:lineRule="auto"/>
        <w:ind w:right="187"/>
        <w:rPr>
          <w:szCs w:val="24"/>
        </w:rPr>
      </w:pPr>
      <w:r w:rsidRPr="009E3B5D">
        <w:rPr>
          <w:szCs w:val="24"/>
        </w:rPr>
        <w:t>SUBJECT / PRIVILEGE OR REDACTION CLAIM DESCRIPTION</w:t>
      </w:r>
    </w:p>
    <w:p w14:paraId="1F02BEAE" w14:textId="77777777" w:rsidR="00EF2BAF" w:rsidRPr="00BC2698" w:rsidRDefault="00EF2BAF" w:rsidP="00EF2BAF">
      <w:pPr>
        <w:ind w:left="720"/>
        <w:rPr>
          <w:b/>
          <w:bCs/>
          <w:u w:val="single"/>
        </w:rPr>
      </w:pPr>
      <w:r w:rsidRPr="00BC2698">
        <w:rPr>
          <w:b/>
          <w:bCs/>
          <w:u w:val="single"/>
        </w:rPr>
        <w:t>Redactions for Privilege</w:t>
      </w:r>
    </w:p>
    <w:p w14:paraId="4759E03E" w14:textId="77777777" w:rsidR="00EF2BAF" w:rsidRPr="00293E00" w:rsidRDefault="00EF2BAF" w:rsidP="00EF2BAF">
      <w:r w:rsidRPr="0024130C">
        <w:t>Where a responsive and non-privileged document contains both redacted and non-redacted content, the parties shall produce the remainder of the non-redacted portions of the document and the text/OCR corresponding to the non-redacted portions</w:t>
      </w:r>
      <w:r>
        <w:t>.  These documents should be added to the Privilege Log.</w:t>
      </w:r>
    </w:p>
    <w:p w14:paraId="5DFC8BDB" w14:textId="77777777" w:rsidR="00EF2BAF" w:rsidRPr="00BC2698" w:rsidRDefault="00EF2BAF" w:rsidP="00EF2BAF">
      <w:pPr>
        <w:ind w:left="720"/>
        <w:rPr>
          <w:b/>
          <w:bCs/>
          <w:u w:val="single"/>
        </w:rPr>
      </w:pPr>
      <w:r w:rsidRPr="00BC2698">
        <w:rPr>
          <w:b/>
          <w:bCs/>
          <w:u w:val="single"/>
        </w:rPr>
        <w:t xml:space="preserve">Inadvertently Produced Privileged Information </w:t>
      </w:r>
    </w:p>
    <w:p w14:paraId="3C8E2886" w14:textId="77777777" w:rsidR="00EF2BAF" w:rsidRDefault="00EF2BAF" w:rsidP="00EF2BAF">
      <w:r w:rsidRPr="006933C1">
        <w:t>If, at any time, a party discovers that it produced information that it reasonably believes is subject to protection under the a</w:t>
      </w:r>
      <w:r>
        <w:t>ttorney/client, work-product,</w:t>
      </w:r>
      <w:r w:rsidRPr="006933C1">
        <w:t xml:space="preserve"> trial-preparation privileges</w:t>
      </w:r>
      <w:r>
        <w:t xml:space="preserve"> or any other applicable protection</w:t>
      </w:r>
      <w:r w:rsidRPr="006933C1">
        <w:t>, then it must promptly notify each Receiving Party of the claim for protection, the basis for it, amend its privilege log accordingly</w:t>
      </w:r>
      <w:r>
        <w:t>, if applicable</w:t>
      </w:r>
      <w:r w:rsidRPr="006933C1">
        <w:t xml:space="preserve">. </w:t>
      </w:r>
      <w:r>
        <w:t xml:space="preserve"> All Receiving Parties shall promptly return or destroy (and certify destruction in writing to the Producing Party) all copies of the information.  </w:t>
      </w:r>
      <w:r w:rsidRPr="006933C1">
        <w:t>Whenever possible, the producing party must produce substitute information that redacts the information subject to the claimed protection.  The parties must also comply with</w:t>
      </w:r>
      <w:r>
        <w:t xml:space="preserve"> Trial</w:t>
      </w:r>
      <w:r w:rsidRPr="006933C1">
        <w:t xml:space="preserve"> Rule 26(F) before seeking Court intervention to resolve any related dispute.</w:t>
      </w:r>
    </w:p>
    <w:p w14:paraId="34B57FF6" w14:textId="77777777" w:rsidR="00EF2BAF" w:rsidRPr="00CE1D56" w:rsidRDefault="00EF2BAF" w:rsidP="00EF2BAF">
      <w:r>
        <w:t xml:space="preserve">This </w:t>
      </w:r>
      <w:r w:rsidRPr="00CE1D56">
        <w:t>production, whether inadvertent or otherwise, is not a waiver of privilege or protection from discovery in this case or in any other federal or state proceeding. For example, the mere production of privileged or work-product-protected documents in this case as part of a mass production is not itself a waiver in this case or in any other federal or state proceeding.</w:t>
      </w:r>
    </w:p>
    <w:p w14:paraId="31FACDB2" w14:textId="77777777" w:rsidR="00EF2BAF" w:rsidRPr="00BC2698" w:rsidRDefault="00EF2BAF" w:rsidP="00EF2BAF">
      <w:pPr>
        <w:ind w:left="720"/>
        <w:rPr>
          <w:b/>
          <w:bCs/>
          <w:u w:val="single"/>
        </w:rPr>
      </w:pPr>
      <w:r w:rsidRPr="00BC2698">
        <w:rPr>
          <w:b/>
          <w:bCs/>
          <w:u w:val="single"/>
        </w:rPr>
        <w:t>Privilege Log Exclusions</w:t>
      </w:r>
    </w:p>
    <w:p w14:paraId="7DB1EA85" w14:textId="77777777" w:rsidR="00EF2BAF" w:rsidRDefault="00EF2BAF" w:rsidP="00EF2BAF">
      <w:r w:rsidRPr="009B6420">
        <w:lastRenderedPageBreak/>
        <w:t>A party need only log the topmost e-mail in a thread so long as the description of the subject matter includes enough information sufficient to demonstrate the privilege and as long as all lesser-contained e-mails are also independently privileged.  If all lesser-contained e-mails are not independently privileged, the topmost e-mail thread must be redacted rather than withheld.</w:t>
      </w:r>
    </w:p>
    <w:p w14:paraId="2D7EEDBF" w14:textId="77777777" w:rsidR="00EF2BAF" w:rsidRDefault="00EF2BAF" w:rsidP="00EF2BAF">
      <w:r>
        <w:t>D</w:t>
      </w:r>
      <w:r w:rsidRPr="009B6420">
        <w:t>ocuments comprising attorney client communications and/or attorney work product relating solely to the defense of this litigation, and solely between outside counsel or outside counsel and in-house counsel, and dated after the start of the litigation, need not be included on a privilege log.</w:t>
      </w:r>
    </w:p>
    <w:p w14:paraId="797394EC" w14:textId="77777777" w:rsidR="00EF2BAF" w:rsidRPr="00BC2698" w:rsidRDefault="00EF2BAF" w:rsidP="00EF2BAF">
      <w:pPr>
        <w:rPr>
          <w:b/>
          <w:bCs/>
          <w:sz w:val="28"/>
          <w:szCs w:val="22"/>
        </w:rPr>
      </w:pPr>
      <w:r w:rsidRPr="00BC2698">
        <w:rPr>
          <w:b/>
          <w:bCs/>
          <w:sz w:val="28"/>
          <w:szCs w:val="22"/>
        </w:rPr>
        <w:t>15.</w:t>
      </w:r>
      <w:r w:rsidRPr="00BC2698">
        <w:rPr>
          <w:b/>
          <w:bCs/>
          <w:sz w:val="28"/>
          <w:szCs w:val="22"/>
        </w:rPr>
        <w:tab/>
        <w:t>NON-PARTY PRODUCTIONS</w:t>
      </w:r>
    </w:p>
    <w:p w14:paraId="62250816" w14:textId="77777777" w:rsidR="00EF2BAF" w:rsidRPr="0094176D" w:rsidRDefault="00EF2BAF" w:rsidP="00EF2BAF">
      <w:pPr>
        <w:ind w:left="720"/>
        <w:rPr>
          <w:b/>
          <w:bCs/>
          <w:u w:val="single"/>
        </w:rPr>
      </w:pPr>
      <w:r w:rsidRPr="0094176D">
        <w:rPr>
          <w:b/>
          <w:bCs/>
          <w:u w:val="single"/>
        </w:rPr>
        <w:t>Notice</w:t>
      </w:r>
    </w:p>
    <w:p w14:paraId="000AFAE0" w14:textId="77777777" w:rsidR="00687043" w:rsidRDefault="00EF2BAF" w:rsidP="00EF2BAF">
      <w:r w:rsidRPr="001F24BE">
        <w:t xml:space="preserve">Any party that </w:t>
      </w:r>
      <w:r>
        <w:t>requests</w:t>
      </w:r>
      <w:r w:rsidRPr="001F24BE">
        <w:t xml:space="preserve"> discovery from a </w:t>
      </w:r>
      <w:r>
        <w:t>non-party</w:t>
      </w:r>
      <w:r w:rsidRPr="001F24BE">
        <w:t xml:space="preserve"> via subpoena or FOIA shall </w:t>
      </w:r>
      <w:r>
        <w:t>provide notice to</w:t>
      </w:r>
      <w:r w:rsidRPr="001F24BE">
        <w:t xml:space="preserve"> all other parties </w:t>
      </w:r>
      <w:r>
        <w:t xml:space="preserve">in advance of serving the non-party request, pursuant to Trial Rule 34 (C). </w:t>
      </w:r>
      <w:r>
        <w:tab/>
      </w:r>
    </w:p>
    <w:p w14:paraId="41B412A0" w14:textId="3355DCF9" w:rsidR="00EF2BAF" w:rsidRPr="00885294" w:rsidRDefault="00EF2BAF" w:rsidP="00885294">
      <w:pPr>
        <w:ind w:firstLine="720"/>
        <w:rPr>
          <w:b/>
          <w:bCs/>
          <w:u w:val="single"/>
        </w:rPr>
      </w:pPr>
      <w:r w:rsidRPr="00885294">
        <w:rPr>
          <w:b/>
          <w:bCs/>
          <w:u w:val="single"/>
        </w:rPr>
        <w:t>Production</w:t>
      </w:r>
    </w:p>
    <w:p w14:paraId="343B6DC6" w14:textId="77777777" w:rsidR="00EF2BAF" w:rsidRDefault="00EF2BAF" w:rsidP="00EF2BAF">
      <w:r w:rsidRPr="001F24BE">
        <w:t xml:space="preserve">Any party that obtains discovery from a </w:t>
      </w:r>
      <w:r>
        <w:t>non-party</w:t>
      </w:r>
      <w:r w:rsidRPr="001F24BE">
        <w:t xml:space="preserve"> via subpoena or FOIA shall produce a copy of the discovery to all other parties within thirty (30) days, unless other deadlines necessitate a need for earlier production. The party in possession of the </w:t>
      </w:r>
      <w:r>
        <w:t>non-party</w:t>
      </w:r>
      <w:r w:rsidRPr="001F24BE">
        <w:t xml:space="preserve"> discovery may produce an exact copy of the </w:t>
      </w:r>
      <w:r>
        <w:t>non-party’s</w:t>
      </w:r>
      <w:r w:rsidRPr="001F24BE">
        <w:t xml:space="preserve"> production to all other parties and is under no obligation to satisfy the production format requirements set forth in this Protocol. </w:t>
      </w:r>
    </w:p>
    <w:p w14:paraId="66EF231D" w14:textId="77777777" w:rsidR="00EF2BAF" w:rsidRPr="001F24BE" w:rsidRDefault="00EF2BAF" w:rsidP="00EF2BAF">
      <w:r w:rsidRPr="6C7FFB49">
        <w:t>The producing party is encouraged, however, to ask the non-party to comply with this Protocol or at a minimum, Bates number the documents consistent with this Protocol.</w:t>
      </w:r>
    </w:p>
    <w:p w14:paraId="7F22F5BC" w14:textId="0F2D3BA8" w:rsidR="00EF2BAF" w:rsidRPr="0094176D" w:rsidRDefault="00EF2BAF" w:rsidP="00EF2BAF">
      <w:pPr>
        <w:rPr>
          <w:b/>
          <w:bCs/>
          <w:sz w:val="28"/>
          <w:szCs w:val="22"/>
        </w:rPr>
      </w:pPr>
      <w:r w:rsidRPr="0094176D">
        <w:rPr>
          <w:b/>
          <w:bCs/>
          <w:sz w:val="28"/>
          <w:szCs w:val="22"/>
        </w:rPr>
        <w:t>16</w:t>
      </w:r>
      <w:r w:rsidR="00AE3CC6" w:rsidRPr="0094176D">
        <w:rPr>
          <w:b/>
          <w:bCs/>
          <w:sz w:val="28"/>
          <w:szCs w:val="22"/>
        </w:rPr>
        <w:t>.</w:t>
      </w:r>
      <w:r w:rsidR="00AE3CC6">
        <w:rPr>
          <w:b/>
          <w:bCs/>
          <w:sz w:val="28"/>
          <w:szCs w:val="22"/>
        </w:rPr>
        <w:tab/>
      </w:r>
      <w:r w:rsidRPr="0094176D">
        <w:rPr>
          <w:b/>
          <w:bCs/>
          <w:sz w:val="28"/>
          <w:szCs w:val="22"/>
        </w:rPr>
        <w:t>EFFECT OF PROTOCOL AND DISPUTES</w:t>
      </w:r>
    </w:p>
    <w:p w14:paraId="7B3A2434" w14:textId="77777777" w:rsidR="00EF2BAF" w:rsidRPr="0094176D" w:rsidRDefault="00EF2BAF" w:rsidP="00EF2BAF">
      <w:pPr>
        <w:ind w:left="720"/>
        <w:rPr>
          <w:b/>
          <w:bCs/>
          <w:u w:val="single"/>
        </w:rPr>
      </w:pPr>
      <w:r w:rsidRPr="0094176D">
        <w:rPr>
          <w:b/>
          <w:bCs/>
          <w:u w:val="single"/>
        </w:rPr>
        <w:t>Duration</w:t>
      </w:r>
    </w:p>
    <w:p w14:paraId="008BE94A" w14:textId="77777777" w:rsidR="00EF2BAF" w:rsidRDefault="00EF2BAF" w:rsidP="00EF2BAF">
      <w:r w:rsidRPr="0057708F">
        <w:t>This agreement will remain in effect during the pendency of the Case, including any appeals.</w:t>
      </w:r>
    </w:p>
    <w:p w14:paraId="12815BE1" w14:textId="77777777" w:rsidR="00EF2BAF" w:rsidRPr="0094176D" w:rsidRDefault="00EF2BAF" w:rsidP="00EF2BAF">
      <w:pPr>
        <w:ind w:left="720"/>
        <w:rPr>
          <w:b/>
          <w:bCs/>
          <w:u w:val="single"/>
        </w:rPr>
      </w:pPr>
      <w:r w:rsidRPr="0094176D">
        <w:rPr>
          <w:b/>
          <w:bCs/>
          <w:u w:val="single"/>
        </w:rPr>
        <w:t>Supplementation</w:t>
      </w:r>
    </w:p>
    <w:p w14:paraId="07AE8FB9" w14:textId="77777777" w:rsidR="00EF2BAF" w:rsidRPr="00973221" w:rsidRDefault="00EF2BAF" w:rsidP="00EF2BAF">
      <w:r>
        <w:t>This Protocol shall not modify the requirement in Trial Rule 26(E) that a</w:t>
      </w:r>
      <w:r w:rsidRPr="00973221">
        <w:t xml:space="preserve">ll Discovery, including Initial Disclosures, </w:t>
      </w:r>
      <w:r>
        <w:t xml:space="preserve">for supplementation. </w:t>
      </w:r>
    </w:p>
    <w:p w14:paraId="4ECC6809" w14:textId="77777777" w:rsidR="00EF2BAF" w:rsidRPr="0094176D" w:rsidRDefault="00EF2BAF" w:rsidP="00EF2BAF">
      <w:pPr>
        <w:ind w:left="720"/>
        <w:rPr>
          <w:b/>
          <w:bCs/>
          <w:u w:val="single"/>
        </w:rPr>
      </w:pPr>
      <w:r w:rsidRPr="0094176D">
        <w:rPr>
          <w:b/>
          <w:bCs/>
          <w:u w:val="single"/>
        </w:rPr>
        <w:t>Resolving Discovery Disputes</w:t>
      </w:r>
    </w:p>
    <w:p w14:paraId="12C00FD4" w14:textId="77777777" w:rsidR="00EF2BAF" w:rsidRPr="004F7596" w:rsidRDefault="00EF2BAF" w:rsidP="00EF2BAF">
      <w:pPr>
        <w:rPr>
          <w:rFonts w:eastAsia="Times New Roman" w:cs="Segoe UI"/>
          <w:szCs w:val="24"/>
        </w:rPr>
      </w:pPr>
      <w:r w:rsidRPr="6C7FFB49">
        <w:t xml:space="preserve">Strict compliance with </w:t>
      </w:r>
      <w:r>
        <w:t xml:space="preserve">Trial Rule </w:t>
      </w:r>
      <w:r w:rsidRPr="6C7FFB49">
        <w:t>26(F) meet and confer requirements in resolving discovery disputes is mandatory. Strict compliance with</w:t>
      </w:r>
      <w:r>
        <w:t xml:space="preserve"> Trial Rule </w:t>
      </w:r>
      <w:r w:rsidRPr="6C7FFB49">
        <w:t xml:space="preserve">26(F) meet and confer requirements in resolving discovery disputes is mandatory. </w:t>
      </w:r>
      <w:r>
        <w:t xml:space="preserve">For any discovery disputes, parties agree to either meet in person, </w:t>
      </w:r>
      <w:r>
        <w:lastRenderedPageBreak/>
        <w:t xml:space="preserve">virtually, or by phone; email discussion is insufficient to satisfy Trial Rule 26(F). If parties are unable to agree after a meeting in person or by phone, parties will then ask for a short virtual or telephonic meeting with the judge to try resolve the dispute before filing a written motion. </w:t>
      </w:r>
      <w:r w:rsidRPr="6C7FFB49">
        <w:t>The parties agree that discovery dispute Motions (and any accompanying Memoranda and supporting materials) shall not exceed fifteen (15) double-spaced pages.</w:t>
      </w:r>
    </w:p>
    <w:p w14:paraId="6D2BFF0C" w14:textId="77777777" w:rsidR="00EF2BAF" w:rsidRDefault="00EF2BAF" w:rsidP="00EF2BAF">
      <w:r w:rsidRPr="00DA34DD">
        <w:t>The</w:t>
      </w:r>
      <w:r>
        <w:t xml:space="preserve"> parties’ consent to the use</w:t>
      </w:r>
      <w:r w:rsidRPr="00DA34DD">
        <w:t xml:space="preserve"> of a special master to resolve discovery disputes</w:t>
      </w:r>
      <w:r>
        <w:t xml:space="preserve"> in the event that one is necessary</w:t>
      </w:r>
      <w:r w:rsidRPr="00DA34DD">
        <w:t>.</w:t>
      </w:r>
      <w:r>
        <w:t xml:space="preserve">  </w:t>
      </w:r>
    </w:p>
    <w:p w14:paraId="4BE450B1" w14:textId="77777777" w:rsidR="00EF2BAF" w:rsidRPr="0094176D" w:rsidRDefault="00EF2BAF" w:rsidP="00EF2BAF">
      <w:pPr>
        <w:ind w:left="720"/>
        <w:rPr>
          <w:b/>
          <w:bCs/>
          <w:u w:val="single"/>
        </w:rPr>
      </w:pPr>
      <w:r w:rsidRPr="0094176D">
        <w:rPr>
          <w:b/>
          <w:bCs/>
          <w:u w:val="single"/>
        </w:rPr>
        <w:t>No Waiver</w:t>
      </w:r>
    </w:p>
    <w:p w14:paraId="10F86E58" w14:textId="77777777" w:rsidR="00EF2BAF" w:rsidRDefault="00EF2BAF" w:rsidP="00EF2BAF">
      <w:r w:rsidRPr="0094176D">
        <w:t>This Agreement shall not constitute a waiver of any objection, including, but not limited to the ultimate discoverability, authenticity, privilege, admissibility, or relevance of any records addressed herein.</w:t>
      </w:r>
    </w:p>
    <w:p w14:paraId="25ADE9DB" w14:textId="77777777" w:rsidR="00EF2BAF" w:rsidRPr="0094176D" w:rsidRDefault="00EF2BAF" w:rsidP="00EF2BAF">
      <w:pPr>
        <w:ind w:firstLine="720"/>
        <w:rPr>
          <w:b/>
          <w:bCs/>
          <w:u w:val="single"/>
        </w:rPr>
      </w:pPr>
      <w:r w:rsidRPr="0094176D">
        <w:rPr>
          <w:b/>
          <w:bCs/>
          <w:u w:val="single"/>
        </w:rPr>
        <w:t>Enforcement</w:t>
      </w:r>
    </w:p>
    <w:p w14:paraId="1BF13FC4" w14:textId="77777777" w:rsidR="00EF2BAF" w:rsidRPr="0094176D" w:rsidRDefault="00EF2BAF" w:rsidP="00EF2BAF">
      <w:r w:rsidRPr="0094176D">
        <w:t>The Parties agree that this Agreement has the same force as an order of the Court, and that the Court may enforce it accordingly.</w:t>
      </w:r>
    </w:p>
    <w:p w14:paraId="11280771" w14:textId="55565C3E" w:rsidR="00EF2BAF" w:rsidRPr="002B4055" w:rsidRDefault="00EF2BAF" w:rsidP="00EF2BAF">
      <w:pPr>
        <w:spacing w:before="240"/>
        <w:rPr>
          <w:b/>
          <w:bCs/>
          <w:sz w:val="28"/>
          <w:szCs w:val="22"/>
        </w:rPr>
      </w:pPr>
      <w:r w:rsidRPr="002B4055">
        <w:rPr>
          <w:b/>
          <w:bCs/>
          <w:sz w:val="28"/>
          <w:szCs w:val="22"/>
        </w:rPr>
        <w:t>17</w:t>
      </w:r>
      <w:r w:rsidR="00AE3CC6" w:rsidRPr="002B4055">
        <w:rPr>
          <w:b/>
          <w:bCs/>
          <w:sz w:val="28"/>
          <w:szCs w:val="22"/>
        </w:rPr>
        <w:t>.</w:t>
      </w:r>
      <w:r w:rsidR="00AE3CC6">
        <w:rPr>
          <w:b/>
          <w:bCs/>
          <w:sz w:val="28"/>
          <w:szCs w:val="22"/>
        </w:rPr>
        <w:tab/>
      </w:r>
      <w:r w:rsidRPr="002B4055">
        <w:rPr>
          <w:b/>
          <w:bCs/>
          <w:sz w:val="28"/>
          <w:szCs w:val="22"/>
        </w:rPr>
        <w:t xml:space="preserve">MODIFICATION OR AMENDMENT TO PROTOCOL </w:t>
      </w:r>
    </w:p>
    <w:p w14:paraId="47B2273B" w14:textId="77777777" w:rsidR="00EF2BAF" w:rsidRPr="00E86D7A" w:rsidRDefault="00EF2BAF" w:rsidP="00EF2BAF">
      <w:r w:rsidRPr="0057708F">
        <w:t>This Protocol may be modified by written agreement of the parties or by the Court for good cause shown.</w:t>
      </w:r>
    </w:p>
    <w:p w14:paraId="1897F095" w14:textId="77777777" w:rsidR="00EF2BAF" w:rsidRPr="0057708F" w:rsidRDefault="00EF2BAF" w:rsidP="00EF2BAF">
      <w:pPr>
        <w:pStyle w:val="BodyText"/>
        <w:spacing w:line="440" w:lineRule="exact"/>
        <w:ind w:firstLine="720"/>
        <w:rPr>
          <w:sz w:val="22"/>
          <w:szCs w:val="22"/>
        </w:rPr>
      </w:pPr>
      <w:r w:rsidRPr="0057708F">
        <w:rPr>
          <w:b/>
          <w:sz w:val="22"/>
          <w:szCs w:val="22"/>
        </w:rPr>
        <w:t>IT IS SO STIPULATED</w:t>
      </w:r>
      <w:r w:rsidRPr="0057708F">
        <w:rPr>
          <w:sz w:val="22"/>
          <w:szCs w:val="22"/>
        </w:rPr>
        <w:t>, through parties and/or Counsel of Record.</w:t>
      </w:r>
    </w:p>
    <w:p w14:paraId="17F5380F" w14:textId="77777777" w:rsidR="00EF2BAF" w:rsidRDefault="00EF2BAF" w:rsidP="00EF2BAF">
      <w:pPr>
        <w:pStyle w:val="BodyText"/>
        <w:tabs>
          <w:tab w:val="left" w:pos="720"/>
          <w:tab w:val="left" w:pos="4320"/>
        </w:tabs>
        <w:spacing w:line="240" w:lineRule="auto"/>
        <w:rPr>
          <w:sz w:val="22"/>
          <w:szCs w:val="22"/>
        </w:rPr>
      </w:pPr>
      <w:r>
        <w:rPr>
          <w:sz w:val="22"/>
          <w:szCs w:val="22"/>
        </w:rPr>
        <w:tab/>
      </w:r>
    </w:p>
    <w:p w14:paraId="35744635" w14:textId="77777777" w:rsidR="00EF2BAF" w:rsidRDefault="00EF2BAF" w:rsidP="00EF2BAF">
      <w:pPr>
        <w:pStyle w:val="BodyText"/>
        <w:tabs>
          <w:tab w:val="left" w:pos="720"/>
          <w:tab w:val="left" w:pos="4320"/>
        </w:tabs>
        <w:spacing w:line="240" w:lineRule="auto"/>
        <w:rPr>
          <w:sz w:val="22"/>
          <w:szCs w:val="22"/>
        </w:rPr>
      </w:pPr>
      <w:r>
        <w:rPr>
          <w:sz w:val="22"/>
          <w:szCs w:val="22"/>
        </w:rPr>
        <w:t>Dated: _______________</w:t>
      </w:r>
      <w:r>
        <w:rPr>
          <w:sz w:val="22"/>
          <w:szCs w:val="22"/>
        </w:rPr>
        <w:tab/>
        <w:t>__________________________________________________</w:t>
      </w:r>
    </w:p>
    <w:p w14:paraId="48B61FEB" w14:textId="77777777" w:rsidR="00EF2BAF" w:rsidRDefault="00EF2BAF" w:rsidP="00EF2BAF">
      <w:pPr>
        <w:pStyle w:val="BodyText"/>
        <w:tabs>
          <w:tab w:val="left" w:pos="720"/>
          <w:tab w:val="left" w:pos="4320"/>
        </w:tabs>
        <w:spacing w:line="240" w:lineRule="auto"/>
        <w:rPr>
          <w:sz w:val="22"/>
          <w:szCs w:val="22"/>
        </w:rPr>
      </w:pPr>
      <w:r>
        <w:rPr>
          <w:sz w:val="22"/>
          <w:szCs w:val="22"/>
        </w:rPr>
        <w:tab/>
      </w:r>
      <w:r>
        <w:rPr>
          <w:sz w:val="22"/>
          <w:szCs w:val="22"/>
        </w:rPr>
        <w:tab/>
        <w:t>Plaintiff(s) / Counsel for Plaintiff(s)</w:t>
      </w:r>
    </w:p>
    <w:p w14:paraId="0DF34AD9" w14:textId="2652D3A7" w:rsidR="00EF2BAF" w:rsidRDefault="00EF2BAF" w:rsidP="00EF2BAF">
      <w:pPr>
        <w:pStyle w:val="BodyText"/>
        <w:tabs>
          <w:tab w:val="left" w:pos="720"/>
          <w:tab w:val="left" w:pos="4320"/>
        </w:tabs>
        <w:spacing w:line="240" w:lineRule="auto"/>
        <w:rPr>
          <w:sz w:val="22"/>
          <w:szCs w:val="22"/>
        </w:rPr>
      </w:pPr>
      <w:r>
        <w:rPr>
          <w:sz w:val="22"/>
          <w:szCs w:val="22"/>
        </w:rPr>
        <w:t>Dated: _______________</w:t>
      </w:r>
      <w:r>
        <w:rPr>
          <w:sz w:val="22"/>
          <w:szCs w:val="22"/>
        </w:rPr>
        <w:tab/>
        <w:t>__________________________________________________</w:t>
      </w:r>
    </w:p>
    <w:p w14:paraId="498B1D74" w14:textId="77777777" w:rsidR="00EF2BAF" w:rsidRPr="0057708F" w:rsidRDefault="00EF2BAF" w:rsidP="00EF2BAF">
      <w:pPr>
        <w:pStyle w:val="BodyText"/>
        <w:tabs>
          <w:tab w:val="left" w:pos="720"/>
          <w:tab w:val="left" w:pos="4320"/>
        </w:tabs>
        <w:spacing w:line="240" w:lineRule="auto"/>
        <w:rPr>
          <w:sz w:val="22"/>
          <w:szCs w:val="22"/>
        </w:rPr>
      </w:pPr>
      <w:r>
        <w:rPr>
          <w:sz w:val="22"/>
          <w:szCs w:val="22"/>
        </w:rPr>
        <w:tab/>
      </w:r>
      <w:r>
        <w:rPr>
          <w:sz w:val="22"/>
          <w:szCs w:val="22"/>
        </w:rPr>
        <w:tab/>
        <w:t>Defendant(s) / Counsel for Defendant(s)</w:t>
      </w:r>
    </w:p>
    <w:p w14:paraId="78F5D4F0" w14:textId="77777777" w:rsidR="00EF2BAF" w:rsidRPr="004823CC" w:rsidRDefault="00EF2BAF" w:rsidP="00EF2BAF">
      <w:pPr>
        <w:spacing w:before="0" w:line="264" w:lineRule="auto"/>
        <w:rPr>
          <w:b/>
          <w:bCs/>
          <w:u w:val="single"/>
        </w:rPr>
      </w:pPr>
    </w:p>
    <w:p w14:paraId="5505DFC3" w14:textId="77777777" w:rsidR="00581A66" w:rsidRDefault="00581A66"/>
    <w:sectPr w:rsidR="00581A66" w:rsidSect="00EF2BAF">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838F3" w14:textId="77777777" w:rsidR="004B1474" w:rsidRDefault="004B1474" w:rsidP="00EF2BAF">
      <w:pPr>
        <w:spacing w:before="0" w:after="0" w:line="240" w:lineRule="auto"/>
      </w:pPr>
      <w:r>
        <w:separator/>
      </w:r>
    </w:p>
  </w:endnote>
  <w:endnote w:type="continuationSeparator" w:id="0">
    <w:p w14:paraId="084D9C21" w14:textId="77777777" w:rsidR="004B1474" w:rsidRDefault="004B1474" w:rsidP="00EF2B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5C97" w14:textId="52F26E07" w:rsidR="007279F3" w:rsidRPr="00134761" w:rsidRDefault="007279F3" w:rsidP="007279F3">
    <w:pPr>
      <w:pStyle w:val="Footer"/>
      <w:rPr>
        <w:rFonts w:cs="Segoe UI"/>
        <w:sz w:val="21"/>
        <w:szCs w:val="21"/>
      </w:rPr>
    </w:pPr>
    <w:r w:rsidRPr="00134761">
      <w:rPr>
        <w:rFonts w:cs="Segoe UI"/>
        <w:b/>
        <w:bCs/>
        <w:sz w:val="21"/>
        <w:szCs w:val="21"/>
        <w:shd w:val="clear" w:color="auto" w:fill="FFFFFF"/>
      </w:rPr>
      <w:t>ADA Notice:</w:t>
    </w:r>
    <w:r w:rsidRPr="00134761">
      <w:rPr>
        <w:rFonts w:cs="Segoe UI"/>
        <w:sz w:val="21"/>
        <w:szCs w:val="21"/>
        <w:shd w:val="clear" w:color="auto" w:fill="FFFFFF"/>
      </w:rPr>
      <w:t xml:space="preserve"> The Indiana Judicial Branch complies with the Americans with Disabilities Act (ADA). If you need a reasonable accommodation, contact </w:t>
    </w:r>
    <w:r w:rsidR="0030305D" w:rsidRPr="00134761">
      <w:rPr>
        <w:rFonts w:cs="Segoe UI"/>
        <w:sz w:val="21"/>
        <w:szCs w:val="21"/>
        <w:shd w:val="clear" w:color="auto" w:fill="FFFFFF"/>
      </w:rPr>
      <w:t>the court office where your case is pending</w:t>
    </w:r>
    <w:r w:rsidRPr="00134761">
      <w:rPr>
        <w:rFonts w:cs="Segoe UI"/>
        <w:sz w:val="21"/>
        <w:szCs w:val="21"/>
        <w:shd w:val="clear" w:color="auto" w:fill="FFFFFF"/>
      </w:rPr>
      <w:t>.</w:t>
    </w:r>
    <w:r w:rsidRPr="00134761">
      <w:rPr>
        <w:rFonts w:cs="Segoe UI"/>
        <w:sz w:val="21"/>
        <w:szCs w:val="21"/>
      </w:rPr>
      <w:br/>
    </w:r>
    <w:r w:rsidRPr="00134761">
      <w:rPr>
        <w:rFonts w:cs="Segoe UI"/>
        <w:b/>
        <w:bCs/>
        <w:sz w:val="21"/>
        <w:szCs w:val="21"/>
        <w:shd w:val="clear" w:color="auto" w:fill="FFFFFF"/>
      </w:rPr>
      <w:t>Language Services:</w:t>
    </w:r>
    <w:r w:rsidRPr="00134761">
      <w:rPr>
        <w:rFonts w:cs="Segoe UI"/>
        <w:sz w:val="21"/>
        <w:szCs w:val="21"/>
        <w:shd w:val="clear" w:color="auto" w:fill="FFFFFF"/>
      </w:rPr>
      <w:t xml:space="preserve"> For language assistance and interpreters, contact </w:t>
    </w:r>
    <w:r w:rsidR="0030305D" w:rsidRPr="00134761">
      <w:rPr>
        <w:rFonts w:cs="Segoe UI"/>
        <w:sz w:val="21"/>
        <w:szCs w:val="21"/>
        <w:shd w:val="clear" w:color="auto" w:fill="FFFFFF"/>
      </w:rPr>
      <w:t>the court office where your case is pending.</w:t>
    </w:r>
  </w:p>
  <w:sdt>
    <w:sdtPr>
      <w:id w:val="840895880"/>
      <w:docPartObj>
        <w:docPartGallery w:val="Page Numbers (Bottom of Page)"/>
        <w:docPartUnique/>
      </w:docPartObj>
    </w:sdtPr>
    <w:sdtEndPr/>
    <w:sdtContent>
      <w:sdt>
        <w:sdtPr>
          <w:id w:val="-1769616900"/>
          <w:docPartObj>
            <w:docPartGallery w:val="Page Numbers (Top of Page)"/>
            <w:docPartUnique/>
          </w:docPartObj>
        </w:sdtPr>
        <w:sdtEndPr/>
        <w:sdtContent>
          <w:p w14:paraId="19CAFD49" w14:textId="4E655E9C" w:rsidR="00EF2BAF" w:rsidRDefault="007279F3" w:rsidP="007279F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BA39D" w14:textId="77777777" w:rsidR="004B1474" w:rsidRDefault="004B1474" w:rsidP="00EF2BAF">
      <w:pPr>
        <w:spacing w:before="0" w:after="0" w:line="240" w:lineRule="auto"/>
      </w:pPr>
      <w:r>
        <w:separator/>
      </w:r>
    </w:p>
  </w:footnote>
  <w:footnote w:type="continuationSeparator" w:id="0">
    <w:p w14:paraId="10C88FF4" w14:textId="77777777" w:rsidR="004B1474" w:rsidRDefault="004B1474" w:rsidP="00EF2B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21B9" w14:textId="2E36111F" w:rsidR="00EF2BAF" w:rsidRPr="006D6791" w:rsidRDefault="006D6791" w:rsidP="006D6791">
    <w:pPr>
      <w:pStyle w:val="Subtitle"/>
    </w:pPr>
    <w:r w:rsidRPr="006D6791">
      <w:t>SAMPLE FORM: CASE MANAGEMENT PATHWAYS PILOT</w:t>
    </w:r>
  </w:p>
  <w:p w14:paraId="4564D405" w14:textId="77777777" w:rsidR="00EF2BAF" w:rsidRPr="00EF2BAF" w:rsidRDefault="00EF2BAF" w:rsidP="00EF2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E5F80"/>
    <w:multiLevelType w:val="hybridMultilevel"/>
    <w:tmpl w:val="7EE82F62"/>
    <w:lvl w:ilvl="0" w:tplc="6B1A1DA4">
      <w:start w:val="1"/>
      <w:numFmt w:val="bullet"/>
      <w:lvlText w:val=""/>
      <w:lvlJc w:val="left"/>
      <w:pPr>
        <w:ind w:left="5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14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AF"/>
    <w:rsid w:val="00134761"/>
    <w:rsid w:val="0030305D"/>
    <w:rsid w:val="00373D17"/>
    <w:rsid w:val="00450927"/>
    <w:rsid w:val="004B1474"/>
    <w:rsid w:val="00581A66"/>
    <w:rsid w:val="00687043"/>
    <w:rsid w:val="006B6950"/>
    <w:rsid w:val="006D6791"/>
    <w:rsid w:val="007279F3"/>
    <w:rsid w:val="007407A8"/>
    <w:rsid w:val="008510E2"/>
    <w:rsid w:val="00885294"/>
    <w:rsid w:val="009D7F52"/>
    <w:rsid w:val="00A457AE"/>
    <w:rsid w:val="00AE3CC6"/>
    <w:rsid w:val="00B00EC9"/>
    <w:rsid w:val="00BB7BFB"/>
    <w:rsid w:val="00EB5444"/>
    <w:rsid w:val="00EF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AE59"/>
  <w15:chartTrackingRefBased/>
  <w15:docId w15:val="{5262FDD9-EFD3-4EA7-B4DC-5DFE9136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AF"/>
    <w:pPr>
      <w:spacing w:before="120" w:after="120" w:line="276" w:lineRule="auto"/>
    </w:pPr>
    <w:rPr>
      <w:rFonts w:ascii="Segoe UI" w:eastAsiaTheme="minorEastAsia" w:hAnsi="Segoe UI"/>
      <w:kern w:val="0"/>
      <w:sz w:val="24"/>
      <w:szCs w:val="20"/>
    </w:rPr>
  </w:style>
  <w:style w:type="paragraph" w:styleId="Heading1">
    <w:name w:val="heading 1"/>
    <w:basedOn w:val="BodyText"/>
    <w:next w:val="Normal"/>
    <w:link w:val="Heading1Char"/>
    <w:uiPriority w:val="9"/>
    <w:qFormat/>
    <w:rsid w:val="00EF2BAF"/>
    <w:pPr>
      <w:tabs>
        <w:tab w:val="left" w:pos="720"/>
        <w:tab w:val="left" w:pos="1440"/>
        <w:tab w:val="left" w:pos="3600"/>
        <w:tab w:val="left" w:pos="5040"/>
      </w:tabs>
      <w:spacing w:before="0" w:after="0" w:line="240" w:lineRule="auto"/>
      <w:outlineLvl w:val="0"/>
    </w:pPr>
    <w:rPr>
      <w:rFonts w:cs="Segoe U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BAF"/>
    <w:rPr>
      <w:rFonts w:ascii="Segoe UI" w:eastAsiaTheme="minorEastAsia" w:hAnsi="Segoe UI" w:cs="Segoe UI"/>
      <w:color w:val="000000" w:themeColor="text1"/>
      <w:kern w:val="0"/>
      <w:sz w:val="26"/>
      <w:szCs w:val="26"/>
    </w:rPr>
  </w:style>
  <w:style w:type="paragraph" w:styleId="ListParagraph">
    <w:name w:val="List Paragraph"/>
    <w:basedOn w:val="Normal"/>
    <w:uiPriority w:val="34"/>
    <w:qFormat/>
    <w:rsid w:val="00EF2BAF"/>
    <w:pPr>
      <w:ind w:left="720"/>
    </w:pPr>
  </w:style>
  <w:style w:type="paragraph" w:styleId="NoSpacing">
    <w:name w:val="No Spacing"/>
    <w:link w:val="NoSpacingChar"/>
    <w:uiPriority w:val="99"/>
    <w:qFormat/>
    <w:rsid w:val="00EF2BAF"/>
    <w:pPr>
      <w:spacing w:after="0" w:line="240" w:lineRule="auto"/>
    </w:pPr>
    <w:rPr>
      <w:rFonts w:eastAsiaTheme="minorEastAsia"/>
      <w:kern w:val="0"/>
      <w:sz w:val="20"/>
      <w:szCs w:val="20"/>
    </w:rPr>
  </w:style>
  <w:style w:type="character" w:customStyle="1" w:styleId="NoSpacingChar">
    <w:name w:val="No Spacing Char"/>
    <w:basedOn w:val="DefaultParagraphFont"/>
    <w:link w:val="NoSpacing"/>
    <w:uiPriority w:val="99"/>
    <w:rsid w:val="00EF2BAF"/>
    <w:rPr>
      <w:rFonts w:eastAsiaTheme="minorEastAsia"/>
      <w:kern w:val="0"/>
      <w:sz w:val="20"/>
      <w:szCs w:val="20"/>
    </w:rPr>
  </w:style>
  <w:style w:type="paragraph" w:styleId="BodyText">
    <w:name w:val="Body Text"/>
    <w:aliases w:val="b"/>
    <w:basedOn w:val="Normal"/>
    <w:link w:val="BodyTextChar"/>
    <w:unhideWhenUsed/>
    <w:rsid w:val="00EF2BAF"/>
  </w:style>
  <w:style w:type="character" w:customStyle="1" w:styleId="BodyTextChar">
    <w:name w:val="Body Text Char"/>
    <w:aliases w:val="b Char"/>
    <w:basedOn w:val="DefaultParagraphFont"/>
    <w:link w:val="BodyText"/>
    <w:rsid w:val="00EF2BAF"/>
    <w:rPr>
      <w:rFonts w:ascii="Segoe UI" w:eastAsiaTheme="minorEastAsia" w:hAnsi="Segoe UI"/>
      <w:kern w:val="0"/>
      <w:sz w:val="24"/>
      <w:szCs w:val="20"/>
    </w:rPr>
  </w:style>
  <w:style w:type="paragraph" w:styleId="Header">
    <w:name w:val="header"/>
    <w:basedOn w:val="Normal"/>
    <w:link w:val="HeaderChar"/>
    <w:uiPriority w:val="99"/>
    <w:unhideWhenUsed/>
    <w:rsid w:val="00EF2B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2BAF"/>
    <w:rPr>
      <w:rFonts w:ascii="Segoe UI" w:eastAsiaTheme="minorEastAsia" w:hAnsi="Segoe UI"/>
      <w:kern w:val="0"/>
      <w:sz w:val="24"/>
      <w:szCs w:val="20"/>
    </w:rPr>
  </w:style>
  <w:style w:type="paragraph" w:styleId="Footer">
    <w:name w:val="footer"/>
    <w:basedOn w:val="Normal"/>
    <w:link w:val="FooterChar"/>
    <w:uiPriority w:val="99"/>
    <w:unhideWhenUsed/>
    <w:rsid w:val="00EF2B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2BAF"/>
    <w:rPr>
      <w:rFonts w:ascii="Segoe UI" w:eastAsiaTheme="minorEastAsia" w:hAnsi="Segoe UI"/>
      <w:kern w:val="0"/>
      <w:sz w:val="24"/>
      <w:szCs w:val="20"/>
    </w:rPr>
  </w:style>
  <w:style w:type="paragraph" w:styleId="Revision">
    <w:name w:val="Revision"/>
    <w:hidden/>
    <w:uiPriority w:val="99"/>
    <w:semiHidden/>
    <w:rsid w:val="008510E2"/>
    <w:pPr>
      <w:spacing w:after="0" w:line="240" w:lineRule="auto"/>
    </w:pPr>
    <w:rPr>
      <w:rFonts w:ascii="Segoe UI" w:eastAsiaTheme="minorEastAsia" w:hAnsi="Segoe UI"/>
      <w:kern w:val="0"/>
      <w:sz w:val="24"/>
      <w:szCs w:val="20"/>
    </w:rPr>
  </w:style>
  <w:style w:type="paragraph" w:styleId="Subtitle">
    <w:name w:val="Subtitle"/>
    <w:basedOn w:val="Normal"/>
    <w:next w:val="Normal"/>
    <w:link w:val="SubtitleChar"/>
    <w:uiPriority w:val="11"/>
    <w:qFormat/>
    <w:rsid w:val="006D6791"/>
    <w:pPr>
      <w:numPr>
        <w:ilvl w:val="1"/>
      </w:numPr>
      <w:jc w:val="center"/>
    </w:pPr>
    <w:rPr>
      <w:rFonts w:cs="Segoe UI"/>
      <w:color w:val="5A5A5A" w:themeColor="text1" w:themeTint="A5"/>
      <w:spacing w:val="70"/>
      <w:sz w:val="18"/>
      <w:szCs w:val="18"/>
    </w:rPr>
  </w:style>
  <w:style w:type="character" w:customStyle="1" w:styleId="SubtitleChar">
    <w:name w:val="Subtitle Char"/>
    <w:basedOn w:val="DefaultParagraphFont"/>
    <w:link w:val="Subtitle"/>
    <w:uiPriority w:val="11"/>
    <w:rsid w:val="006D6791"/>
    <w:rPr>
      <w:rFonts w:ascii="Segoe UI" w:eastAsiaTheme="minorEastAsia" w:hAnsi="Segoe UI" w:cs="Segoe UI"/>
      <w:color w:val="5A5A5A" w:themeColor="text1" w:themeTint="A5"/>
      <w:spacing w:val="70"/>
      <w:kern w:val="0"/>
      <w:sz w:val="18"/>
      <w:szCs w:val="18"/>
    </w:rPr>
  </w:style>
  <w:style w:type="paragraph" w:styleId="Title">
    <w:name w:val="Title"/>
    <w:basedOn w:val="Normal"/>
    <w:next w:val="Normal"/>
    <w:link w:val="TitleChar"/>
    <w:uiPriority w:val="10"/>
    <w:qFormat/>
    <w:rsid w:val="006D6791"/>
    <w:pPr>
      <w:spacing w:before="0" w:after="0" w:line="240" w:lineRule="auto"/>
      <w:contextualSpacing/>
      <w:jc w:val="center"/>
    </w:pPr>
    <w:rPr>
      <w:rFonts w:asciiTheme="minorHAnsi" w:eastAsia="Times New Roman" w:hAnsiTheme="minorHAnsi" w:cstheme="minorHAnsi"/>
      <w:spacing w:val="-10"/>
      <w:kern w:val="28"/>
      <w:sz w:val="40"/>
      <w:szCs w:val="40"/>
    </w:rPr>
  </w:style>
  <w:style w:type="character" w:customStyle="1" w:styleId="TitleChar">
    <w:name w:val="Title Char"/>
    <w:basedOn w:val="DefaultParagraphFont"/>
    <w:link w:val="Title"/>
    <w:uiPriority w:val="10"/>
    <w:rsid w:val="006D6791"/>
    <w:rPr>
      <w:rFonts w:eastAsia="Times New Roman" w:cstheme="minorHAnsi"/>
      <w:spacing w:val="-10"/>
      <w:kern w:val="2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ist.gov/itl/ssd/software-quality-group/national-software-reference-library-nsrl/nsrl-download/current-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C7A9D3C819843BF6881CAA0B72C87" ma:contentTypeVersion="8" ma:contentTypeDescription="Create a new document." ma:contentTypeScope="" ma:versionID="c59ae019a22b16218e176ce8d5edcecc">
  <xsd:schema xmlns:xsd="http://www.w3.org/2001/XMLSchema" xmlns:xs="http://www.w3.org/2001/XMLSchema" xmlns:p="http://schemas.microsoft.com/office/2006/metadata/properties" xmlns:ns2="4f0c09b6-7553-4e5c-bf64-5d015f8c58f0" xmlns:ns3="208869be-e891-4657-9338-2ad03232c97b" targetNamespace="http://schemas.microsoft.com/office/2006/metadata/properties" ma:root="true" ma:fieldsID="22c9b0e0870b79903d08978a0379a245" ns2:_="" ns3:_="">
    <xsd:import namespace="4f0c09b6-7553-4e5c-bf64-5d015f8c58f0"/>
    <xsd:import namespace="208869be-e891-4657-9338-2ad03232c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ocumentCategory" minOccurs="0"/>
                <xsd:element ref="ns2:Form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c09b6-7553-4e5c-bf64-5d015f8c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ocumentCategory" ma:index="14" nillable="true" ma:displayName="Document Category" ma:description="labeling system to eliminate folders from this list of meeting related documents: draft, minutes, agenda, meeting packet, roster, Order" ma:format="Dropdown" ma:internalName="DocumentCategory">
      <xsd:simpleType>
        <xsd:restriction base="dms:Choice">
          <xsd:enumeration value="draft"/>
          <xsd:enumeration value="minutes"/>
          <xsd:enumeration value="agenda"/>
          <xsd:enumeration value="meeting packet"/>
          <xsd:enumeration value="membership roster"/>
          <xsd:enumeration value="Court Order"/>
          <xsd:enumeration value="Presentation"/>
          <xsd:enumeration value="Resource"/>
          <xsd:enumeration value="future meeting template"/>
        </xsd:restriction>
      </xsd:simpleType>
    </xsd:element>
    <xsd:element name="FormType" ma:index="15" nillable="true" ma:displayName="Form Type" ma:description="Order or Proposed Orders, and other Court forms for the Case Management Pathways Pilot" ma:format="Dropdown" ma:internalName="FormType">
      <xsd:simpleType>
        <xsd:restriction base="dms:Choice">
          <xsd:enumeration value="Order"/>
          <xsd:enumeration value="Proposed Order"/>
          <xsd:enumeration value="Guidelines"/>
          <xsd:enumeration value="Discovery Protocol"/>
          <xsd:enumeration value="Other legal form"/>
          <xsd:enumeration value="Attorney Form"/>
        </xsd:restriction>
      </xsd:simpleType>
    </xsd:element>
  </xsd:schema>
  <xsd:schema xmlns:xsd="http://www.w3.org/2001/XMLSchema" xmlns:xs="http://www.w3.org/2001/XMLSchema" xmlns:dms="http://schemas.microsoft.com/office/2006/documentManagement/types" xmlns:pc="http://schemas.microsoft.com/office/infopath/2007/PartnerControls" targetNamespace="208869be-e891-4657-9338-2ad03232c9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Type xmlns="4f0c09b6-7553-4e5c-bf64-5d015f8c58f0">Attorney Form</FormType>
    <DocumentCategory xmlns="4f0c09b6-7553-4e5c-bf64-5d015f8c58f0" xsi:nil="true"/>
    <SharedWithUsers xmlns="208869be-e891-4657-9338-2ad03232c97b">
      <UserInfo>
        <DisplayName>Borschel, Lindsey</DisplayName>
        <AccountId>100</AccountId>
        <AccountType/>
      </UserInfo>
      <UserInfo>
        <DisplayName>Fullen, Beth</DisplayName>
        <AccountId>73</AccountId>
        <AccountType/>
      </UserInfo>
      <UserInfo>
        <DisplayName>Wishin, Amanda</DisplayName>
        <AccountId>14</AccountId>
        <AccountType/>
      </UserInfo>
      <UserInfo>
        <DisplayName>Rath, Robert</DisplayName>
        <AccountId>12</AccountId>
        <AccountType/>
      </UserInfo>
      <UserInfo>
        <DisplayName>Mead, Kate</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EE6E6-09C8-4C12-AA60-171B930B9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c09b6-7553-4e5c-bf64-5d015f8c58f0"/>
    <ds:schemaRef ds:uri="208869be-e891-4657-9338-2ad03232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55B9F-0CB6-48DF-8470-CF19B2FBC03A}">
  <ds:schemaRefs>
    <ds:schemaRef ds:uri="http://purl.org/dc/terms/"/>
    <ds:schemaRef ds:uri="http://www.w3.org/XML/1998/namespace"/>
    <ds:schemaRef ds:uri="http://schemas.microsoft.com/office/infopath/2007/PartnerControls"/>
    <ds:schemaRef ds:uri="4f0c09b6-7553-4e5c-bf64-5d015f8c58f0"/>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208869be-e891-4657-9338-2ad03232c97b"/>
    <ds:schemaRef ds:uri="http://purl.org/dc/dcmitype/"/>
  </ds:schemaRefs>
</ds:datastoreItem>
</file>

<file path=customXml/itemProps3.xml><?xml version="1.0" encoding="utf-8"?>
<ds:datastoreItem xmlns:ds="http://schemas.openxmlformats.org/officeDocument/2006/customXml" ds:itemID="{9FAADAC1-2F9B-4395-93FB-6F0C45DEB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4646</Words>
  <Characters>26484</Characters>
  <Application>Microsoft Office Word</Application>
  <DocSecurity>0</DocSecurity>
  <Lines>220</Lines>
  <Paragraphs>62</Paragraphs>
  <ScaleCrop>false</ScaleCrop>
  <Company/>
  <LinksUpToDate>false</LinksUpToDate>
  <CharactersWithSpaces>31068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 Kate</dc:creator>
  <cp:keywords/>
  <dc:description/>
  <cp:lastModifiedBy>Lindsey Borschel</cp:lastModifiedBy>
  <cp:revision>2</cp:revision>
  <dcterms:created xsi:type="dcterms:W3CDTF">2023-05-26T16:00:00Z</dcterms:created>
  <dcterms:modified xsi:type="dcterms:W3CDTF">2023-05-26T16:00:00Z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0x010100803C7A9D3C819843BF6881CAA0B72C87</vt:lpwstr>
  </property>
</Properties>
</file>