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6C" w:rsidRPr="00EF056C" w:rsidRDefault="00EF056C" w:rsidP="00EF056C">
      <w:pPr>
        <w:widowControl w:val="0"/>
        <w:autoSpaceDE w:val="0"/>
        <w:autoSpaceDN w:val="0"/>
        <w:jc w:val="center"/>
        <w:rPr>
          <w:bCs/>
          <w:iCs/>
          <w:snapToGrid w:val="0"/>
          <w:sz w:val="28"/>
          <w:szCs w:val="28"/>
        </w:rPr>
      </w:pPr>
      <w:r w:rsidRPr="00EF056C">
        <w:rPr>
          <w:bCs/>
          <w:iCs/>
          <w:snapToGrid w:val="0"/>
          <w:sz w:val="28"/>
          <w:szCs w:val="28"/>
        </w:rPr>
        <w:t xml:space="preserve">PROTOCOL FOR </w:t>
      </w:r>
    </w:p>
    <w:p w:rsidR="00EF056C" w:rsidRPr="00EF056C" w:rsidRDefault="00EF056C" w:rsidP="00EF056C">
      <w:pPr>
        <w:widowControl w:val="0"/>
        <w:autoSpaceDE w:val="0"/>
        <w:autoSpaceDN w:val="0"/>
        <w:jc w:val="center"/>
        <w:rPr>
          <w:bCs/>
          <w:iCs/>
          <w:snapToGrid w:val="0"/>
          <w:sz w:val="28"/>
          <w:szCs w:val="28"/>
        </w:rPr>
      </w:pPr>
      <w:r w:rsidRPr="00EF056C">
        <w:rPr>
          <w:bCs/>
          <w:iCs/>
          <w:snapToGrid w:val="0"/>
          <w:sz w:val="28"/>
          <w:szCs w:val="28"/>
        </w:rPr>
        <w:t xml:space="preserve">MACROINVERTEBRATE SAMPLE COLLECTIONS AND </w:t>
      </w:r>
    </w:p>
    <w:p w:rsidR="00EF056C" w:rsidRDefault="00EF056C" w:rsidP="00EF056C">
      <w:pPr>
        <w:widowControl w:val="0"/>
        <w:autoSpaceDE w:val="0"/>
        <w:autoSpaceDN w:val="0"/>
        <w:jc w:val="center"/>
        <w:rPr>
          <w:bCs/>
          <w:iCs/>
          <w:snapToGrid w:val="0"/>
          <w:sz w:val="28"/>
          <w:szCs w:val="28"/>
        </w:rPr>
      </w:pPr>
      <w:r w:rsidRPr="00EF056C">
        <w:rPr>
          <w:bCs/>
          <w:iCs/>
          <w:snapToGrid w:val="0"/>
          <w:sz w:val="28"/>
          <w:szCs w:val="28"/>
        </w:rPr>
        <w:t>INDEX CALCULATION</w:t>
      </w:r>
    </w:p>
    <w:p w:rsidR="0051033A" w:rsidRDefault="0051033A" w:rsidP="0051033A">
      <w:pPr>
        <w:jc w:val="center"/>
        <w:rPr>
          <w:b/>
          <w:sz w:val="24"/>
          <w:szCs w:val="24"/>
        </w:rPr>
      </w:pPr>
    </w:p>
    <w:p w:rsidR="0051033A" w:rsidRPr="0051033A" w:rsidRDefault="0051033A" w:rsidP="0051033A">
      <w:pPr>
        <w:jc w:val="center"/>
        <w:rPr>
          <w:b/>
          <w:sz w:val="24"/>
          <w:szCs w:val="24"/>
        </w:rPr>
      </w:pPr>
      <w:r w:rsidRPr="0051033A">
        <w:rPr>
          <w:b/>
          <w:sz w:val="24"/>
          <w:szCs w:val="24"/>
        </w:rPr>
        <w:t>LAKE AND RIVER ENHANCEMENT (LARE) PROGRAM</w:t>
      </w:r>
    </w:p>
    <w:p w:rsidR="0051033A" w:rsidRPr="0051033A" w:rsidRDefault="0051033A" w:rsidP="0051033A">
      <w:pPr>
        <w:widowControl w:val="0"/>
        <w:jc w:val="center"/>
        <w:rPr>
          <w:b/>
          <w:bCs/>
          <w:snapToGrid w:val="0"/>
          <w:sz w:val="24"/>
          <w:szCs w:val="24"/>
        </w:rPr>
      </w:pPr>
      <w:r w:rsidRPr="0051033A">
        <w:rPr>
          <w:b/>
          <w:bCs/>
          <w:snapToGrid w:val="0"/>
          <w:sz w:val="24"/>
          <w:szCs w:val="24"/>
        </w:rPr>
        <w:t>INDIANA DEPARTMENT OF NATURAL RESOURES</w:t>
      </w:r>
    </w:p>
    <w:p w:rsidR="0051033A" w:rsidRPr="0051033A" w:rsidRDefault="0051033A" w:rsidP="0051033A">
      <w:pPr>
        <w:widowControl w:val="0"/>
        <w:jc w:val="center"/>
        <w:rPr>
          <w:b/>
          <w:bCs/>
          <w:snapToGrid w:val="0"/>
          <w:sz w:val="24"/>
          <w:szCs w:val="24"/>
        </w:rPr>
      </w:pPr>
      <w:r w:rsidRPr="0051033A">
        <w:rPr>
          <w:b/>
          <w:bCs/>
          <w:snapToGrid w:val="0"/>
          <w:sz w:val="24"/>
          <w:szCs w:val="24"/>
        </w:rPr>
        <w:t>DIVISION OF FISH AND WILDLIFE</w:t>
      </w:r>
    </w:p>
    <w:p w:rsidR="00D67735" w:rsidRPr="00EF056C" w:rsidRDefault="00D67735" w:rsidP="00EF056C">
      <w:pPr>
        <w:widowControl w:val="0"/>
        <w:autoSpaceDE w:val="0"/>
        <w:autoSpaceDN w:val="0"/>
        <w:jc w:val="center"/>
        <w:rPr>
          <w:bCs/>
          <w:iCs/>
          <w:snapToGrid w:val="0"/>
          <w:sz w:val="28"/>
          <w:szCs w:val="28"/>
        </w:rPr>
      </w:pPr>
    </w:p>
    <w:p w:rsidR="00D67735" w:rsidRDefault="00D67735" w:rsidP="009B0928">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rPr>
      </w:pPr>
    </w:p>
    <w:p w:rsidR="00D67735" w:rsidRPr="005E7F22" w:rsidRDefault="00D67735" w:rsidP="00D67735">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ind w:left="572" w:hanging="572"/>
        <w:rPr>
          <w:b/>
          <w:sz w:val="24"/>
          <w:szCs w:val="24"/>
        </w:rPr>
      </w:pPr>
      <w:r w:rsidRPr="005E7F22">
        <w:rPr>
          <w:b/>
          <w:sz w:val="24"/>
          <w:szCs w:val="24"/>
        </w:rPr>
        <w:t>PURPOSE</w:t>
      </w:r>
    </w:p>
    <w:p w:rsidR="00E603FD" w:rsidRDefault="00E603FD" w:rsidP="00E603FD">
      <w:pPr>
        <w:autoSpaceDE w:val="0"/>
        <w:autoSpaceDN w:val="0"/>
        <w:adjustRightInd w:val="0"/>
        <w:rPr>
          <w:sz w:val="24"/>
          <w:szCs w:val="24"/>
        </w:rPr>
      </w:pPr>
      <w:r>
        <w:rPr>
          <w:sz w:val="24"/>
          <w:szCs w:val="24"/>
        </w:rPr>
        <w:t xml:space="preserve">The </w:t>
      </w:r>
      <w:smartTag w:uri="urn:schemas-microsoft-com:office:smarttags" w:element="place">
        <w:r>
          <w:rPr>
            <w:sz w:val="24"/>
            <w:szCs w:val="24"/>
          </w:rPr>
          <w:t>Lake</w:t>
        </w:r>
      </w:smartTag>
      <w:r>
        <w:rPr>
          <w:sz w:val="24"/>
          <w:szCs w:val="24"/>
        </w:rPr>
        <w:t xml:space="preserve"> and River Enhancement Program (LARE) uses biomonitoring to: </w:t>
      </w:r>
    </w:p>
    <w:p w:rsidR="00E603FD" w:rsidRDefault="00E603FD" w:rsidP="00E603FD">
      <w:pPr>
        <w:autoSpaceDE w:val="0"/>
        <w:autoSpaceDN w:val="0"/>
        <w:adjustRightInd w:val="0"/>
        <w:rPr>
          <w:sz w:val="24"/>
          <w:szCs w:val="24"/>
        </w:rPr>
      </w:pPr>
    </w:p>
    <w:p w:rsidR="00E603FD" w:rsidRDefault="00E603FD" w:rsidP="00E603FD">
      <w:pPr>
        <w:numPr>
          <w:ilvl w:val="0"/>
          <w:numId w:val="10"/>
        </w:numPr>
        <w:tabs>
          <w:tab w:val="clear" w:pos="1440"/>
          <w:tab w:val="num" w:pos="720"/>
        </w:tabs>
        <w:autoSpaceDE w:val="0"/>
        <w:autoSpaceDN w:val="0"/>
        <w:adjustRightInd w:val="0"/>
        <w:ind w:left="720"/>
        <w:rPr>
          <w:sz w:val="24"/>
          <w:szCs w:val="24"/>
        </w:rPr>
      </w:pPr>
      <w:r>
        <w:rPr>
          <w:sz w:val="24"/>
          <w:szCs w:val="24"/>
        </w:rPr>
        <w:t xml:space="preserve">Prioritize subwatersheds within an initial Diagnostic Study for future Watershed Land Treatment Projects (WTLP); </w:t>
      </w:r>
    </w:p>
    <w:p w:rsidR="00E603FD" w:rsidRDefault="00E603FD" w:rsidP="00E603FD">
      <w:pPr>
        <w:numPr>
          <w:ilvl w:val="0"/>
          <w:numId w:val="10"/>
        </w:numPr>
        <w:tabs>
          <w:tab w:val="clear" w:pos="1440"/>
          <w:tab w:val="num" w:pos="720"/>
        </w:tabs>
        <w:autoSpaceDE w:val="0"/>
        <w:autoSpaceDN w:val="0"/>
        <w:adjustRightInd w:val="0"/>
        <w:ind w:left="720"/>
        <w:rPr>
          <w:sz w:val="24"/>
          <w:szCs w:val="24"/>
        </w:rPr>
      </w:pPr>
      <w:r>
        <w:rPr>
          <w:sz w:val="24"/>
          <w:szCs w:val="24"/>
        </w:rPr>
        <w:t>Indicate whether conservation practices have improved stream conditions at the scale of a small subwatershed after 5-10 years of implementation with landowners compared to biomonitoring at the same sites</w:t>
      </w:r>
      <w:r w:rsidR="00257172">
        <w:rPr>
          <w:sz w:val="24"/>
          <w:szCs w:val="24"/>
        </w:rPr>
        <w:t xml:space="preserve"> prior to project implementation</w:t>
      </w:r>
      <w:r>
        <w:rPr>
          <w:sz w:val="24"/>
          <w:szCs w:val="24"/>
        </w:rPr>
        <w:t>; and</w:t>
      </w:r>
    </w:p>
    <w:p w:rsidR="00E603FD" w:rsidRPr="00D67735" w:rsidRDefault="00E603FD" w:rsidP="00E603FD">
      <w:pPr>
        <w:numPr>
          <w:ilvl w:val="0"/>
          <w:numId w:val="10"/>
        </w:numPr>
        <w:tabs>
          <w:tab w:val="clear" w:pos="1440"/>
          <w:tab w:val="num" w:pos="720"/>
        </w:tabs>
        <w:autoSpaceDE w:val="0"/>
        <w:autoSpaceDN w:val="0"/>
        <w:adjustRightInd w:val="0"/>
        <w:ind w:left="720"/>
        <w:rPr>
          <w:sz w:val="24"/>
          <w:szCs w:val="24"/>
        </w:rPr>
      </w:pPr>
      <w:r>
        <w:rPr>
          <w:sz w:val="24"/>
          <w:szCs w:val="24"/>
        </w:rPr>
        <w:t xml:space="preserve">Determine whether individual best management practices have improved stream conditions </w:t>
      </w:r>
      <w:r w:rsidR="00257172">
        <w:rPr>
          <w:sz w:val="24"/>
          <w:szCs w:val="24"/>
        </w:rPr>
        <w:t>compared</w:t>
      </w:r>
      <w:r>
        <w:rPr>
          <w:sz w:val="24"/>
          <w:szCs w:val="24"/>
        </w:rPr>
        <w:t xml:space="preserve"> to an upstream reference site (post-construction monitoring). </w:t>
      </w:r>
    </w:p>
    <w:p w:rsidR="00E603FD" w:rsidRPr="00D67735" w:rsidRDefault="00E603FD" w:rsidP="00E603FD">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ind w:left="572" w:hanging="572"/>
        <w:rPr>
          <w:sz w:val="24"/>
          <w:szCs w:val="24"/>
          <w:u w:val="single"/>
        </w:rPr>
      </w:pPr>
    </w:p>
    <w:p w:rsidR="00D67735" w:rsidRDefault="00D67735" w:rsidP="00D67735">
      <w:pPr>
        <w:tabs>
          <w:tab w:val="left" w:pos="-868"/>
          <w:tab w:val="left" w:pos="-148"/>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r w:rsidRPr="00D67735">
        <w:rPr>
          <w:sz w:val="24"/>
          <w:szCs w:val="24"/>
        </w:rPr>
        <w:t xml:space="preserve">This protocol </w:t>
      </w:r>
      <w:r w:rsidR="00806149">
        <w:rPr>
          <w:sz w:val="24"/>
          <w:szCs w:val="24"/>
        </w:rPr>
        <w:t>follows</w:t>
      </w:r>
      <w:r w:rsidR="00B408B5">
        <w:rPr>
          <w:sz w:val="24"/>
          <w:szCs w:val="24"/>
        </w:rPr>
        <w:t xml:space="preserve"> the </w:t>
      </w:r>
      <w:r w:rsidR="00257172">
        <w:rPr>
          <w:sz w:val="24"/>
          <w:szCs w:val="24"/>
        </w:rPr>
        <w:t xml:space="preserve">US </w:t>
      </w:r>
      <w:r w:rsidR="00B408B5">
        <w:rPr>
          <w:sz w:val="24"/>
          <w:szCs w:val="24"/>
        </w:rPr>
        <w:t xml:space="preserve">EPA Rapid Bioassessment Protocol </w:t>
      </w:r>
      <w:r w:rsidR="005E7F22">
        <w:rPr>
          <w:sz w:val="24"/>
          <w:szCs w:val="24"/>
        </w:rPr>
        <w:t>(RBP) which</w:t>
      </w:r>
      <w:r w:rsidRPr="00D67735">
        <w:rPr>
          <w:sz w:val="24"/>
          <w:szCs w:val="24"/>
        </w:rPr>
        <w:t xml:space="preserve"> must be used for all biomon</w:t>
      </w:r>
      <w:r w:rsidR="005E7F22">
        <w:rPr>
          <w:sz w:val="24"/>
          <w:szCs w:val="24"/>
        </w:rPr>
        <w:t>i</w:t>
      </w:r>
      <w:r w:rsidRPr="00D67735">
        <w:rPr>
          <w:sz w:val="24"/>
          <w:szCs w:val="24"/>
        </w:rPr>
        <w:t xml:space="preserve">toring efforts in LARE-funded projects, unless otherwise specified in the project scope. </w:t>
      </w:r>
      <w:r w:rsidR="00922326">
        <w:rPr>
          <w:sz w:val="24"/>
          <w:szCs w:val="24"/>
        </w:rPr>
        <w:t xml:space="preserve">In general, biomonitoring conducted for LARE diagnostic studies and watershed management plans identify macroinvertebrates to the family level and use associated metrics, while pre- and post-treatment monitoring of LARE watershed land treatment projects identify macroinvertebrates to the lowest taxonomic level (genus or species) to allow for finer resolution detection of changes in water quality.  </w:t>
      </w:r>
      <w:r w:rsidRPr="00D67735">
        <w:rPr>
          <w:sz w:val="24"/>
          <w:szCs w:val="24"/>
        </w:rPr>
        <w:t>Any deviations from the protocol must receive prior approval of the LARE Biologist.</w:t>
      </w:r>
      <w:r w:rsidR="00953CF9">
        <w:rPr>
          <w:sz w:val="24"/>
          <w:szCs w:val="24"/>
        </w:rPr>
        <w:t xml:space="preserve"> </w:t>
      </w:r>
    </w:p>
    <w:p w:rsidR="00E603FD" w:rsidRDefault="00E603FD" w:rsidP="00D67735">
      <w:pPr>
        <w:tabs>
          <w:tab w:val="left" w:pos="-868"/>
          <w:tab w:val="left" w:pos="-148"/>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D67735" w:rsidRPr="005E7F22" w:rsidRDefault="00D67735" w:rsidP="00D67735">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ind w:left="572" w:hanging="572"/>
        <w:rPr>
          <w:b/>
          <w:sz w:val="24"/>
          <w:szCs w:val="24"/>
        </w:rPr>
      </w:pPr>
      <w:r w:rsidRPr="005E7F22">
        <w:rPr>
          <w:b/>
          <w:sz w:val="24"/>
          <w:szCs w:val="24"/>
        </w:rPr>
        <w:t>TIME FRAME</w:t>
      </w:r>
    </w:p>
    <w:p w:rsidR="00D67735" w:rsidRDefault="00D67735"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color w:val="000000"/>
          <w:sz w:val="24"/>
          <w:szCs w:val="24"/>
        </w:rPr>
      </w:pPr>
      <w:r w:rsidRPr="00D67735">
        <w:rPr>
          <w:color w:val="000000"/>
          <w:sz w:val="24"/>
          <w:szCs w:val="24"/>
        </w:rPr>
        <w:t xml:space="preserve">The </w:t>
      </w:r>
      <w:r w:rsidR="005E7F22">
        <w:rPr>
          <w:color w:val="000000"/>
          <w:sz w:val="24"/>
          <w:szCs w:val="24"/>
        </w:rPr>
        <w:t xml:space="preserve">IDNR LARE </w:t>
      </w:r>
      <w:r w:rsidRPr="00D67735">
        <w:rPr>
          <w:color w:val="000000"/>
          <w:sz w:val="24"/>
          <w:szCs w:val="24"/>
        </w:rPr>
        <w:t>index period is from July 15 – November 30 with a preferred sampling window o</w:t>
      </w:r>
      <w:r w:rsidR="008A17FA">
        <w:rPr>
          <w:color w:val="000000"/>
          <w:sz w:val="24"/>
          <w:szCs w:val="24"/>
        </w:rPr>
        <w:t>f mid-September through October to maximize macroinvertebrate diversity and increased size of most organisms for more accurate identification.</w:t>
      </w:r>
    </w:p>
    <w:p w:rsidR="00654EAF" w:rsidRDefault="00654EAF"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color w:val="000000"/>
          <w:sz w:val="24"/>
          <w:szCs w:val="24"/>
        </w:rPr>
      </w:pPr>
    </w:p>
    <w:p w:rsidR="00654EAF" w:rsidRDefault="00654EAF"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color w:val="000000"/>
          <w:sz w:val="24"/>
          <w:szCs w:val="24"/>
        </w:rPr>
      </w:pPr>
      <w:r w:rsidRPr="00654EAF">
        <w:rPr>
          <w:b/>
          <w:color w:val="000000"/>
          <w:sz w:val="24"/>
          <w:szCs w:val="24"/>
        </w:rPr>
        <w:t>LICENSE REQUIREMENTS</w:t>
      </w:r>
    </w:p>
    <w:p w:rsidR="00654EAF" w:rsidRPr="00D76CF7" w:rsidRDefault="00654EAF" w:rsidP="00654EAF">
      <w:pPr>
        <w:rPr>
          <w:color w:val="000000"/>
          <w:sz w:val="24"/>
          <w:szCs w:val="24"/>
        </w:rPr>
      </w:pPr>
      <w:r w:rsidRPr="00B162E3">
        <w:rPr>
          <w:color w:val="000000"/>
          <w:sz w:val="24"/>
          <w:szCs w:val="24"/>
        </w:rPr>
        <w:t>A Scientific Purposes License is not needed to sample aquatic insects.  A fishing license or Scientific Purposes License is needed to collect crayfish, depending on the number and manner in which the crayfish will be taken.  The only mussels that can be taken or possessed without a Scientific Purposes License are Asiatic clams, quagga mussels and zebra mussels.  Individuals should not touch a mussel, or even just a dead shell, unless they know for sure that it is one of these three species listed above.  Otherwise, a Scientific Purposes License is required to collect or possess a native mussel or dead shell.</w:t>
      </w:r>
      <w:r>
        <w:rPr>
          <w:color w:val="000000"/>
          <w:sz w:val="24"/>
          <w:szCs w:val="24"/>
        </w:rPr>
        <w:t xml:space="preserve">  </w:t>
      </w:r>
      <w:r w:rsidRPr="00B162E3">
        <w:rPr>
          <w:color w:val="000000"/>
          <w:sz w:val="24"/>
          <w:szCs w:val="24"/>
        </w:rPr>
        <w:t>For threatened and endangered species, adhere to the restrictions imposed by the Scientific Purposes License.</w:t>
      </w:r>
    </w:p>
    <w:p w:rsidR="00654EAF" w:rsidRPr="00654EAF" w:rsidRDefault="00654EAF"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color w:val="000000"/>
          <w:sz w:val="24"/>
          <w:szCs w:val="24"/>
        </w:rPr>
      </w:pPr>
    </w:p>
    <w:p w:rsidR="00E709AE" w:rsidRDefault="00E709AE"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color w:val="000000"/>
          <w:sz w:val="24"/>
          <w:szCs w:val="24"/>
        </w:rPr>
      </w:pPr>
    </w:p>
    <w:p w:rsidR="00654EAF" w:rsidRDefault="00654EAF"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color w:val="000000"/>
          <w:sz w:val="24"/>
          <w:szCs w:val="24"/>
        </w:rPr>
      </w:pPr>
    </w:p>
    <w:p w:rsidR="00654EAF" w:rsidRDefault="00654EAF"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color w:val="000000"/>
          <w:sz w:val="24"/>
          <w:szCs w:val="24"/>
        </w:rPr>
      </w:pPr>
    </w:p>
    <w:p w:rsidR="00E709AE" w:rsidRPr="005E7F22" w:rsidRDefault="00E709AE" w:rsidP="00D67735">
      <w:pPr>
        <w:tabs>
          <w:tab w:val="left" w:pos="-868"/>
          <w:tab w:val="left" w:pos="270"/>
          <w:tab w:val="left" w:pos="720"/>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b/>
          <w:color w:val="000000"/>
          <w:sz w:val="24"/>
          <w:szCs w:val="24"/>
        </w:rPr>
      </w:pPr>
      <w:r w:rsidRPr="005E7F22">
        <w:rPr>
          <w:b/>
          <w:color w:val="000000"/>
          <w:sz w:val="24"/>
          <w:szCs w:val="24"/>
        </w:rPr>
        <w:t>US EPA RAPID BIOASSESSMENT PROTOCOL</w:t>
      </w:r>
    </w:p>
    <w:p w:rsidR="00F835E7" w:rsidRPr="00F835E7" w:rsidRDefault="00F0580C" w:rsidP="00F835E7">
      <w:pPr>
        <w:tabs>
          <w:tab w:val="left" w:pos="0"/>
        </w:tabs>
        <w:rPr>
          <w:sz w:val="24"/>
          <w:szCs w:val="24"/>
        </w:rPr>
      </w:pPr>
      <w:r w:rsidRPr="00F0580C">
        <w:rPr>
          <w:b/>
          <w:noProof/>
          <w:color w:val="000000"/>
          <w:sz w:val="24"/>
          <w:szCs w:val="24"/>
          <w:lang w:eastAsia="zh-TW"/>
        </w:rPr>
        <w:pict>
          <v:shapetype id="_x0000_t202" coordsize="21600,21600" o:spt="202" path="m,l,21600r21600,l21600,xe">
            <v:stroke joinstyle="miter"/>
            <v:path gradientshapeok="t" o:connecttype="rect"/>
          </v:shapetype>
          <v:shape id="_x0000_s1063" type="#_x0000_t202" style="position:absolute;margin-left:351.15pt;margin-top:195.55pt;width:102.9pt;height:18.7pt;z-index:251659776;mso-height-percent:200;mso-height-percent:200;mso-width-relative:margin;mso-height-relative:margin" stroked="f">
            <v:textbox style="mso-fit-shape-to-text:t">
              <w:txbxContent>
                <w:p w:rsidR="00071E76" w:rsidRDefault="00071E76">
                  <w:r>
                    <w:t>Photo credits:  IDEM</w:t>
                  </w:r>
                </w:p>
              </w:txbxContent>
            </v:textbox>
          </v:shape>
        </w:pict>
      </w:r>
      <w:r w:rsidR="002A7036">
        <w:rPr>
          <w:noProof/>
          <w:sz w:val="24"/>
          <w:szCs w:val="24"/>
        </w:rPr>
        <w:drawing>
          <wp:anchor distT="0" distB="0" distL="114300" distR="114300" simplePos="0" relativeHeight="251655680" behindDoc="1" locked="0" layoutInCell="1" allowOverlap="1">
            <wp:simplePos x="0" y="0"/>
            <wp:positionH relativeFrom="column">
              <wp:posOffset>3023235</wp:posOffset>
            </wp:positionH>
            <wp:positionV relativeFrom="paragraph">
              <wp:posOffset>426085</wp:posOffset>
            </wp:positionV>
            <wp:extent cx="2743200" cy="2057400"/>
            <wp:effectExtent l="19050" t="0" r="0" b="0"/>
            <wp:wrapTight wrapText="bothSides">
              <wp:wrapPolygon edited="0">
                <wp:start x="-150" y="0"/>
                <wp:lineTo x="-150" y="21400"/>
                <wp:lineTo x="21600" y="21400"/>
                <wp:lineTo x="21600" y="0"/>
                <wp:lineTo x="-150" y="0"/>
              </wp:wrapPolygon>
            </wp:wrapTight>
            <wp:docPr id="45" name="Picture 5" descr="Cleaning samp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ning sample 2"/>
                    <pic:cNvPicPr>
                      <a:picLocks noChangeAspect="1" noChangeArrowheads="1"/>
                    </pic:cNvPicPr>
                  </pic:nvPicPr>
                  <pic:blipFill>
                    <a:blip r:embed="rId8" cstate="email"/>
                    <a:srcRect/>
                    <a:stretch>
                      <a:fillRect/>
                    </a:stretch>
                  </pic:blipFill>
                  <pic:spPr bwMode="auto">
                    <a:xfrm>
                      <a:off x="0" y="0"/>
                      <a:ext cx="2743200" cy="2057400"/>
                    </a:xfrm>
                    <a:prstGeom prst="rect">
                      <a:avLst/>
                    </a:prstGeom>
                    <a:noFill/>
                    <a:ln w="9525">
                      <a:noFill/>
                      <a:miter lim="800000"/>
                      <a:headEnd/>
                      <a:tailEnd/>
                    </a:ln>
                  </pic:spPr>
                </pic:pic>
              </a:graphicData>
            </a:graphic>
          </wp:anchor>
        </w:drawing>
      </w:r>
      <w:r w:rsidR="00E709AE">
        <w:rPr>
          <w:sz w:val="24"/>
          <w:szCs w:val="24"/>
        </w:rPr>
        <w:t>The USEPA’s Benthic Macroinvertebrate Protocol</w:t>
      </w:r>
      <w:r w:rsidR="00CE08EB">
        <w:rPr>
          <w:sz w:val="24"/>
          <w:szCs w:val="24"/>
        </w:rPr>
        <w:t xml:space="preserve"> II (family-level) or RBP III (genus or species) </w:t>
      </w:r>
      <w:r w:rsidR="008A17FA" w:rsidRPr="00922326">
        <w:rPr>
          <w:i/>
          <w:sz w:val="24"/>
          <w:szCs w:val="24"/>
        </w:rPr>
        <w:t>single</w:t>
      </w:r>
      <w:r w:rsidR="00E709AE" w:rsidRPr="00922326">
        <w:rPr>
          <w:i/>
          <w:sz w:val="24"/>
          <w:szCs w:val="24"/>
        </w:rPr>
        <w:t xml:space="preserve"> </w:t>
      </w:r>
      <w:r w:rsidR="008A17FA" w:rsidRPr="00922326">
        <w:rPr>
          <w:i/>
          <w:sz w:val="24"/>
          <w:szCs w:val="24"/>
        </w:rPr>
        <w:t xml:space="preserve">habitat </w:t>
      </w:r>
      <w:r w:rsidR="00E709AE" w:rsidRPr="00922326">
        <w:rPr>
          <w:i/>
          <w:sz w:val="24"/>
          <w:szCs w:val="24"/>
        </w:rPr>
        <w:t>approach</w:t>
      </w:r>
      <w:r w:rsidR="00E709AE">
        <w:rPr>
          <w:sz w:val="24"/>
          <w:szCs w:val="24"/>
        </w:rPr>
        <w:t xml:space="preserve"> provides a systematic field collection and analysis method to determine how benthic macroinvertebrate assemblages reflect habitat and water quality </w:t>
      </w:r>
      <w:r w:rsidR="00E709AE" w:rsidRPr="00F835E7">
        <w:rPr>
          <w:sz w:val="24"/>
          <w:szCs w:val="24"/>
        </w:rPr>
        <w:t xml:space="preserve">conditions. </w:t>
      </w:r>
      <w:r w:rsidR="00F835E7" w:rsidRPr="00F835E7">
        <w:rPr>
          <w:sz w:val="24"/>
          <w:szCs w:val="24"/>
        </w:rPr>
        <w:t xml:space="preserve">High overall biodiversity (or number of families living in a particular place) indicates that there is a wide range of stable habitat and food resources in the area with very little pollution. Different families have particular needs for feeding, reproduction, and pollution tolerance.  The families are scored for each of these characteristics, according to what they indicate about the quality of the physical habitat or water chemistry.  </w:t>
      </w:r>
    </w:p>
    <w:p w:rsidR="00EA4A0F" w:rsidRDefault="00EA4A0F" w:rsidP="00E709AE">
      <w:pPr>
        <w:autoSpaceDE w:val="0"/>
        <w:autoSpaceDN w:val="0"/>
        <w:adjustRightInd w:val="0"/>
        <w:rPr>
          <w:sz w:val="24"/>
          <w:szCs w:val="24"/>
        </w:rPr>
      </w:pPr>
    </w:p>
    <w:p w:rsidR="00EF056C" w:rsidRDefault="00EF056C" w:rsidP="00E709AE">
      <w:pPr>
        <w:autoSpaceDE w:val="0"/>
        <w:autoSpaceDN w:val="0"/>
        <w:adjustRightInd w:val="0"/>
        <w:rPr>
          <w:sz w:val="24"/>
          <w:szCs w:val="24"/>
        </w:rPr>
      </w:pPr>
    </w:p>
    <w:p w:rsidR="00E709AE" w:rsidRDefault="008A17FA" w:rsidP="00E709AE">
      <w:pPr>
        <w:autoSpaceDE w:val="0"/>
        <w:autoSpaceDN w:val="0"/>
        <w:adjustRightInd w:val="0"/>
        <w:rPr>
          <w:sz w:val="24"/>
        </w:rPr>
      </w:pPr>
      <w:r>
        <w:rPr>
          <w:sz w:val="24"/>
          <w:szCs w:val="24"/>
        </w:rPr>
        <w:t xml:space="preserve">The survey </w:t>
      </w:r>
      <w:r>
        <w:rPr>
          <w:sz w:val="24"/>
        </w:rPr>
        <w:t>consists of a 100-organism subsample for the riffle/r</w:t>
      </w:r>
      <w:r w:rsidR="008259F8">
        <w:rPr>
          <w:sz w:val="24"/>
        </w:rPr>
        <w:t>un sample</w:t>
      </w:r>
      <w:r>
        <w:rPr>
          <w:sz w:val="24"/>
        </w:rPr>
        <w:t xml:space="preserve"> at each survey location.</w:t>
      </w:r>
      <w:r w:rsidR="00EA4A0F" w:rsidRPr="00EA4A0F">
        <w:rPr>
          <w:sz w:val="24"/>
        </w:rPr>
        <w:t xml:space="preserve"> </w:t>
      </w:r>
      <w:r w:rsidR="00EA4A0F">
        <w:rPr>
          <w:sz w:val="24"/>
        </w:rPr>
        <w:t xml:space="preserve">A voucher collection will be submitted to IDNR Division of Fish and Wildlife to be forwarded to the Department of Entomology, </w:t>
      </w:r>
      <w:smartTag w:uri="urn:schemas-microsoft-com:office:smarttags" w:element="place">
        <w:smartTag w:uri="urn:schemas-microsoft-com:office:smarttags" w:element="PlaceName">
          <w:r w:rsidR="00EA4A0F">
            <w:rPr>
              <w:sz w:val="24"/>
            </w:rPr>
            <w:t>Purdue</w:t>
          </w:r>
        </w:smartTag>
        <w:r w:rsidR="00EA4A0F">
          <w:rPr>
            <w:sz w:val="24"/>
          </w:rPr>
          <w:t xml:space="preserve"> </w:t>
        </w:r>
        <w:smartTag w:uri="urn:schemas-microsoft-com:office:smarttags" w:element="PlaceType">
          <w:r w:rsidR="00EA4A0F">
            <w:rPr>
              <w:sz w:val="24"/>
            </w:rPr>
            <w:t>University</w:t>
          </w:r>
        </w:smartTag>
      </w:smartTag>
      <w:r w:rsidR="00EA4A0F">
        <w:rPr>
          <w:sz w:val="24"/>
        </w:rPr>
        <w:t xml:space="preserve">.  See </w:t>
      </w:r>
      <w:r w:rsidR="00607A47">
        <w:rPr>
          <w:sz w:val="24"/>
        </w:rPr>
        <w:t>below</w:t>
      </w:r>
      <w:r w:rsidR="00EA4A0F">
        <w:rPr>
          <w:sz w:val="24"/>
        </w:rPr>
        <w:t xml:space="preserve"> for additional details.</w:t>
      </w:r>
    </w:p>
    <w:p w:rsidR="00CE08EB" w:rsidRDefault="00CE08EB" w:rsidP="00E709AE">
      <w:pPr>
        <w:autoSpaceDE w:val="0"/>
        <w:autoSpaceDN w:val="0"/>
        <w:adjustRightInd w:val="0"/>
        <w:rPr>
          <w:sz w:val="24"/>
        </w:rPr>
      </w:pPr>
    </w:p>
    <w:p w:rsidR="00C6700B" w:rsidRDefault="00C6700B">
      <w:pPr>
        <w:pStyle w:val="Heading1"/>
        <w:rPr>
          <w:b/>
          <w:sz w:val="24"/>
          <w:szCs w:val="24"/>
          <w:u w:val="none"/>
        </w:rPr>
      </w:pPr>
      <w:r w:rsidRPr="005E7F22">
        <w:rPr>
          <w:b/>
          <w:sz w:val="24"/>
          <w:szCs w:val="24"/>
          <w:u w:val="none"/>
        </w:rPr>
        <w:t xml:space="preserve">Field Collection </w:t>
      </w:r>
    </w:p>
    <w:p w:rsidR="00CA11FF" w:rsidRPr="00CA11FF" w:rsidRDefault="00CA11FF" w:rsidP="00CA11FF"/>
    <w:p w:rsidR="00CA11FF" w:rsidRPr="00CA11FF" w:rsidRDefault="00CA11FF" w:rsidP="00CA11FF">
      <w:pPr>
        <w:rPr>
          <w:b/>
          <w:sz w:val="24"/>
          <w:szCs w:val="24"/>
          <w:u w:val="single"/>
        </w:rPr>
      </w:pPr>
      <w:r w:rsidRPr="00CA11FF">
        <w:rPr>
          <w:b/>
          <w:sz w:val="24"/>
          <w:szCs w:val="24"/>
          <w:u w:val="single"/>
        </w:rPr>
        <w:t>Riffle – Run Sample</w:t>
      </w:r>
    </w:p>
    <w:p w:rsidR="00C6700B" w:rsidRPr="00985662" w:rsidRDefault="00C6700B" w:rsidP="00E6765B">
      <w:pPr>
        <w:rPr>
          <w:sz w:val="24"/>
          <w:szCs w:val="24"/>
        </w:rPr>
      </w:pPr>
      <w:r w:rsidRPr="00D67735">
        <w:rPr>
          <w:sz w:val="24"/>
          <w:szCs w:val="24"/>
        </w:rPr>
        <w:t xml:space="preserve">Make collections at riffles within the designated reach </w:t>
      </w:r>
      <w:r w:rsidR="00E6765B">
        <w:rPr>
          <w:sz w:val="24"/>
          <w:szCs w:val="24"/>
        </w:rPr>
        <w:t>(15 times the stream width or 100m in length).</w:t>
      </w:r>
      <w:r w:rsidRPr="00D67735">
        <w:rPr>
          <w:sz w:val="24"/>
          <w:szCs w:val="24"/>
        </w:rPr>
        <w:t xml:space="preserve"> </w:t>
      </w:r>
      <w:r w:rsidR="00E6765B" w:rsidRPr="00B162E3">
        <w:rPr>
          <w:sz w:val="24"/>
        </w:rPr>
        <w:t>Site locations should be well documented on maps, with photos</w:t>
      </w:r>
      <w:r w:rsidR="00E6765B">
        <w:rPr>
          <w:sz w:val="24"/>
        </w:rPr>
        <w:t xml:space="preserve"> and </w:t>
      </w:r>
      <w:r w:rsidR="00E6765B" w:rsidRPr="00B162E3">
        <w:rPr>
          <w:sz w:val="24"/>
        </w:rPr>
        <w:t>GPS coordinates.</w:t>
      </w:r>
      <w:r w:rsidR="00985662" w:rsidRPr="00985662">
        <w:rPr>
          <w:sz w:val="24"/>
          <w:szCs w:val="24"/>
        </w:rPr>
        <w:t xml:space="preserve"> All waypoints recorded should be done so using datum NAD83.  Waypoints should</w:t>
      </w:r>
      <w:r w:rsidR="00985662">
        <w:rPr>
          <w:sz w:val="24"/>
          <w:szCs w:val="24"/>
        </w:rPr>
        <w:t xml:space="preserve"> be displayed</w:t>
      </w:r>
      <w:r w:rsidR="00985662" w:rsidRPr="00985662">
        <w:rPr>
          <w:sz w:val="24"/>
          <w:szCs w:val="24"/>
        </w:rPr>
        <w:t xml:space="preserve"> using Latitude and Longitude expressed in decimal degrees</w:t>
      </w:r>
      <w:r w:rsidR="00985662">
        <w:rPr>
          <w:sz w:val="24"/>
          <w:szCs w:val="24"/>
        </w:rPr>
        <w:t xml:space="preserve">.  </w:t>
      </w:r>
      <w:r w:rsidRPr="00D67735">
        <w:rPr>
          <w:sz w:val="24"/>
          <w:szCs w:val="24"/>
        </w:rPr>
        <w:t>The selected riffle will be kicked twice to capture varying flow velocities, substrate types, canopy cover, or other entities that may enhance diversity in the riffle area.  Collect macroinvertebrate samples with a one-meter square kick screen.</w:t>
      </w: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r w:rsidRPr="00D67735">
        <w:rPr>
          <w:sz w:val="24"/>
          <w:szCs w:val="24"/>
        </w:rPr>
        <w:t>One crewmember holds the screen within or immediately below the riffle while another crewmember steps upstream of the screen and places large stones on the screen bottom.</w:t>
      </w:r>
      <w:r w:rsidR="00985662">
        <w:rPr>
          <w:sz w:val="24"/>
          <w:szCs w:val="24"/>
        </w:rPr>
        <w:t xml:space="preserve">  </w:t>
      </w:r>
      <w:r w:rsidRPr="00D67735">
        <w:rPr>
          <w:sz w:val="24"/>
          <w:szCs w:val="24"/>
        </w:rPr>
        <w:t>Kicker disturbs an area approximately one meter square of substrate immediately upstream of the screen.</w:t>
      </w:r>
      <w:r w:rsidR="002A7036">
        <w:rPr>
          <w:noProof/>
          <w:sz w:val="24"/>
          <w:szCs w:val="24"/>
        </w:rPr>
        <w:drawing>
          <wp:anchor distT="0" distB="0" distL="114300" distR="114300" simplePos="0" relativeHeight="251654656" behindDoc="1" locked="1" layoutInCell="1" allowOverlap="1">
            <wp:simplePos x="0" y="0"/>
            <wp:positionH relativeFrom="column">
              <wp:posOffset>-62865</wp:posOffset>
            </wp:positionH>
            <wp:positionV relativeFrom="paragraph">
              <wp:posOffset>551180</wp:posOffset>
            </wp:positionV>
            <wp:extent cx="2971800" cy="2228850"/>
            <wp:effectExtent l="19050" t="0" r="0" b="0"/>
            <wp:wrapTight wrapText="bothSides">
              <wp:wrapPolygon edited="0">
                <wp:start x="-138" y="0"/>
                <wp:lineTo x="-138" y="21415"/>
                <wp:lineTo x="21600" y="21415"/>
                <wp:lineTo x="21600" y="0"/>
                <wp:lineTo x="-138" y="0"/>
              </wp:wrapPolygon>
            </wp:wrapTight>
            <wp:docPr id="44" name="Picture 2" descr="Kick ne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ck net 2"/>
                    <pic:cNvPicPr>
                      <a:picLocks noChangeAspect="1" noChangeArrowheads="1"/>
                    </pic:cNvPicPr>
                  </pic:nvPicPr>
                  <pic:blipFill>
                    <a:blip r:embed="rId9" cstate="email"/>
                    <a:srcRect/>
                    <a:stretch>
                      <a:fillRect/>
                    </a:stretch>
                  </pic:blipFill>
                  <pic:spPr bwMode="auto">
                    <a:xfrm>
                      <a:off x="0" y="0"/>
                      <a:ext cx="2971800" cy="2228850"/>
                    </a:xfrm>
                    <a:prstGeom prst="rect">
                      <a:avLst/>
                    </a:prstGeom>
                    <a:noFill/>
                    <a:ln w="9525">
                      <a:noFill/>
                      <a:miter lim="800000"/>
                      <a:headEnd/>
                      <a:tailEnd/>
                    </a:ln>
                  </pic:spPr>
                </pic:pic>
              </a:graphicData>
            </a:graphic>
          </wp:anchor>
        </w:drawing>
      </w:r>
      <w:r w:rsidR="00985662">
        <w:rPr>
          <w:sz w:val="24"/>
          <w:szCs w:val="24"/>
        </w:rPr>
        <w:t xml:space="preserve">  </w:t>
      </w:r>
      <w:r w:rsidRPr="00D67735">
        <w:rPr>
          <w:sz w:val="24"/>
          <w:szCs w:val="24"/>
        </w:rPr>
        <w:t>Kicker wipes organisms off larger stones in the kick area and those holding down the screen.</w:t>
      </w: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r w:rsidRPr="00D67735">
        <w:rPr>
          <w:sz w:val="24"/>
          <w:szCs w:val="24"/>
        </w:rPr>
        <w:t xml:space="preserve">To prevent the loss of organisms in the kick screen, the kicker holds and raises the bottom of the net while the holder prevents flow of water over the top of the net.   </w:t>
      </w: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r w:rsidRPr="00D67735">
        <w:rPr>
          <w:sz w:val="24"/>
          <w:szCs w:val="24"/>
        </w:rPr>
        <w:lastRenderedPageBreak/>
        <w:t xml:space="preserve">Kicker and holder rinse the screen into a bucket using a number 35-mesh sieve to capture runoff.  </w:t>
      </w:r>
      <w:r w:rsidRPr="008259F8">
        <w:rPr>
          <w:sz w:val="24"/>
          <w:szCs w:val="24"/>
        </w:rPr>
        <w:t xml:space="preserve">Repeat </w:t>
      </w:r>
      <w:r w:rsidR="000B15BE" w:rsidRPr="008259F8">
        <w:rPr>
          <w:sz w:val="24"/>
          <w:szCs w:val="24"/>
        </w:rPr>
        <w:t xml:space="preserve">the above </w:t>
      </w:r>
      <w:r w:rsidR="008259F8" w:rsidRPr="008259F8">
        <w:rPr>
          <w:sz w:val="24"/>
          <w:szCs w:val="24"/>
        </w:rPr>
        <w:t>steps</w:t>
      </w:r>
      <w:r w:rsidRPr="00D67735">
        <w:rPr>
          <w:sz w:val="24"/>
          <w:szCs w:val="24"/>
        </w:rPr>
        <w:t xml:space="preserve"> at a second location in the riffle with a different flow velocity.  Pick off any organisms lingering on the screen with forceps and place in the sieve or sample jar (1 quart, wide mouth jar).</w:t>
      </w: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0B15BE" w:rsidRPr="00E278D8" w:rsidRDefault="00C6700B" w:rsidP="00E278D8">
      <w:pPr>
        <w:rPr>
          <w:color w:val="000000"/>
          <w:sz w:val="24"/>
          <w:szCs w:val="24"/>
        </w:rPr>
      </w:pPr>
      <w:r w:rsidRPr="00D67735">
        <w:rPr>
          <w:sz w:val="24"/>
          <w:szCs w:val="24"/>
        </w:rPr>
        <w:t>Rinse the debris in the bucket by repeatedly swirling the debris and then pouring the water through the sieve.  Repeat this process of rinsing and pouring through the sieve at least five times.  Place all vegetative debris from the sieve into the sample jar</w:t>
      </w:r>
      <w:r w:rsidR="00CF282C">
        <w:rPr>
          <w:sz w:val="24"/>
          <w:szCs w:val="24"/>
        </w:rPr>
        <w:t xml:space="preserve"> using forceps</w:t>
      </w:r>
      <w:r w:rsidRPr="00D67735">
        <w:rPr>
          <w:sz w:val="24"/>
          <w:szCs w:val="24"/>
        </w:rPr>
        <w:t xml:space="preserve">, </w:t>
      </w:r>
      <w:r w:rsidRPr="00CF282C">
        <w:rPr>
          <w:sz w:val="24"/>
          <w:szCs w:val="24"/>
        </w:rPr>
        <w:t>and rinse remaining material from the sieve into the jar using a squirt bottle.</w:t>
      </w:r>
      <w:r w:rsidRPr="00D67735">
        <w:rPr>
          <w:sz w:val="24"/>
          <w:szCs w:val="24"/>
        </w:rPr>
        <w:t xml:space="preserve">  The remaining rock and sand remaining in the bucket</w:t>
      </w:r>
      <w:r w:rsidR="00E278D8">
        <w:rPr>
          <w:sz w:val="24"/>
          <w:szCs w:val="24"/>
        </w:rPr>
        <w:t xml:space="preserve"> are scanned for snails</w:t>
      </w:r>
      <w:r w:rsidR="00CA11FF">
        <w:rPr>
          <w:sz w:val="24"/>
          <w:szCs w:val="24"/>
        </w:rPr>
        <w:t>, caddisfly</w:t>
      </w:r>
      <w:r w:rsidRPr="00D67735">
        <w:rPr>
          <w:sz w:val="24"/>
          <w:szCs w:val="24"/>
        </w:rPr>
        <w:t xml:space="preserve"> cases, etc. which are removed and placed in the s</w:t>
      </w:r>
      <w:r w:rsidR="00470DA6">
        <w:rPr>
          <w:sz w:val="24"/>
          <w:szCs w:val="24"/>
        </w:rPr>
        <w:t>ample jar</w:t>
      </w:r>
      <w:r w:rsidRPr="00D67735">
        <w:rPr>
          <w:sz w:val="24"/>
          <w:szCs w:val="24"/>
        </w:rPr>
        <w:t>.</w:t>
      </w:r>
      <w:r w:rsidR="00E278D8">
        <w:rPr>
          <w:sz w:val="24"/>
          <w:szCs w:val="24"/>
        </w:rPr>
        <w:t xml:space="preserve">  </w:t>
      </w:r>
      <w:r w:rsidR="00E278D8" w:rsidRPr="00B162E3">
        <w:rPr>
          <w:color w:val="000000"/>
          <w:sz w:val="24"/>
          <w:szCs w:val="24"/>
        </w:rPr>
        <w:t xml:space="preserve">The only mussels that can be taken or possessed without a Scientific Purposes License are Asiatic clams, quagga mussels and zebra mussels.  Individuals should not touch a mussel, or even just a dead shell, unless they know for sure that it is one of these three species listed above.  </w:t>
      </w:r>
      <w:r w:rsidR="00E278D8">
        <w:rPr>
          <w:color w:val="000000"/>
          <w:sz w:val="24"/>
          <w:szCs w:val="24"/>
        </w:rPr>
        <w:t xml:space="preserve">If a native mussel is collected in the sample it should be returned to a suitable area of the stream as soon as possible.  </w:t>
      </w:r>
    </w:p>
    <w:p w:rsidR="00C6700B" w:rsidRPr="00D67735" w:rsidRDefault="00C6700B">
      <w:pPr>
        <w:tabs>
          <w:tab w:val="left" w:pos="-868"/>
          <w:tab w:val="left" w:pos="-148"/>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6700B" w:rsidRPr="00D67735" w:rsidRDefault="00C6700B">
      <w:pPr>
        <w:tabs>
          <w:tab w:val="left" w:pos="-868"/>
          <w:tab w:val="left" w:pos="-148"/>
          <w:tab w:val="left" w:pos="57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E6765B" w:rsidRDefault="00C6700B" w:rsidP="00E6765B">
      <w:pPr>
        <w:rPr>
          <w:sz w:val="24"/>
        </w:rPr>
      </w:pPr>
      <w:r w:rsidRPr="00D67735">
        <w:rPr>
          <w:sz w:val="24"/>
          <w:szCs w:val="24"/>
        </w:rPr>
        <w:t xml:space="preserve">Place a waterproof label into the jar identifying the </w:t>
      </w:r>
      <w:r w:rsidR="00E6765B" w:rsidRPr="00B162E3">
        <w:rPr>
          <w:sz w:val="24"/>
        </w:rPr>
        <w:t>state and county where collected, exact location, date, collector, for example</w:t>
      </w:r>
      <w:r w:rsidR="00E6765B">
        <w:rPr>
          <w:sz w:val="24"/>
        </w:rPr>
        <w:t>:</w:t>
      </w:r>
      <w:r w:rsidR="00E6765B" w:rsidRPr="00B162E3">
        <w:rPr>
          <w:sz w:val="24"/>
        </w:rPr>
        <w:t xml:space="preserve"> </w:t>
      </w:r>
    </w:p>
    <w:p w:rsidR="00E6765B" w:rsidRPr="00B162E3" w:rsidRDefault="00E6765B" w:rsidP="00E6765B">
      <w:pPr>
        <w:rPr>
          <w:sz w:val="24"/>
        </w:rPr>
      </w:pP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IN:  Greene Co.  </w:t>
      </w: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Indian Creek at C.R.500N </w:t>
      </w: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Date: </w:t>
      </w:r>
      <w:smartTag w:uri="urn:schemas-microsoft-com:office:smarttags" w:element="date">
        <w:smartTagPr>
          <w:attr w:name="Month" w:val="5"/>
          <w:attr w:name="Day" w:val="10"/>
          <w:attr w:name="Year" w:val="2006"/>
        </w:smartTagPr>
        <w:r w:rsidRPr="00D1664D">
          <w:t>05-10-2006</w:t>
        </w:r>
      </w:smartTag>
      <w:r w:rsidRPr="00D1664D">
        <w:t xml:space="preserve">   Collected by: S. Beach</w:t>
      </w:r>
    </w:p>
    <w:p w:rsidR="00C6700B" w:rsidRPr="00D67735" w:rsidRDefault="00C6700B">
      <w:pPr>
        <w:tabs>
          <w:tab w:val="left" w:pos="-868"/>
          <w:tab w:val="left" w:pos="-148"/>
          <w:tab w:val="left" w:pos="57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6700B" w:rsidRDefault="00C6700B">
      <w:pPr>
        <w:tabs>
          <w:tab w:val="left" w:pos="-868"/>
          <w:tab w:val="left" w:pos="-148"/>
          <w:tab w:val="left" w:pos="57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r w:rsidRPr="00D67735">
        <w:rPr>
          <w:sz w:val="24"/>
          <w:szCs w:val="24"/>
        </w:rPr>
        <w:t xml:space="preserve">Preserve the macroinvertebrate sample by </w:t>
      </w:r>
      <w:r w:rsidR="00E52403">
        <w:rPr>
          <w:sz w:val="24"/>
          <w:szCs w:val="24"/>
        </w:rPr>
        <w:t>adding a sufficient volume of 70</w:t>
      </w:r>
      <w:r w:rsidR="004A7ACC">
        <w:rPr>
          <w:sz w:val="24"/>
          <w:szCs w:val="24"/>
        </w:rPr>
        <w:t>%</w:t>
      </w:r>
      <w:r w:rsidR="00E278D8">
        <w:rPr>
          <w:sz w:val="24"/>
          <w:szCs w:val="24"/>
        </w:rPr>
        <w:t xml:space="preserve"> ethyl</w:t>
      </w:r>
      <w:r w:rsidRPr="00D67735">
        <w:rPr>
          <w:sz w:val="24"/>
          <w:szCs w:val="24"/>
        </w:rPr>
        <w:t xml:space="preserve"> alcohol to inundate all sample material in the jar</w:t>
      </w:r>
      <w:r w:rsidR="00E52403">
        <w:rPr>
          <w:sz w:val="24"/>
          <w:szCs w:val="24"/>
        </w:rPr>
        <w:t>.</w:t>
      </w:r>
    </w:p>
    <w:p w:rsidR="00CA11FF" w:rsidRPr="00D67735" w:rsidRDefault="00CA11FF">
      <w:pPr>
        <w:tabs>
          <w:tab w:val="left" w:pos="-868"/>
          <w:tab w:val="left" w:pos="-148"/>
          <w:tab w:val="left" w:pos="572"/>
          <w:tab w:val="left" w:pos="2012"/>
          <w:tab w:val="left" w:pos="2732"/>
          <w:tab w:val="left" w:pos="3452"/>
          <w:tab w:val="left" w:pos="4172"/>
          <w:tab w:val="left" w:pos="4892"/>
          <w:tab w:val="left" w:pos="5612"/>
          <w:tab w:val="left" w:pos="6332"/>
          <w:tab w:val="left" w:pos="7052"/>
          <w:tab w:val="left" w:pos="7772"/>
          <w:tab w:val="left" w:pos="8492"/>
          <w:tab w:val="left" w:pos="9212"/>
          <w:tab w:val="left" w:pos="9932"/>
        </w:tabs>
        <w:rPr>
          <w:sz w:val="24"/>
          <w:szCs w:val="24"/>
        </w:rPr>
      </w:pPr>
    </w:p>
    <w:p w:rsidR="00CA11FF" w:rsidRDefault="00CA11FF" w:rsidP="00CA11FF">
      <w:pPr>
        <w:rPr>
          <w:b/>
          <w:sz w:val="24"/>
          <w:szCs w:val="24"/>
          <w:u w:val="single"/>
        </w:rPr>
      </w:pPr>
      <w:r>
        <w:rPr>
          <w:b/>
          <w:sz w:val="24"/>
          <w:szCs w:val="24"/>
          <w:u w:val="single"/>
        </w:rPr>
        <w:t>Leaf Pack</w:t>
      </w:r>
      <w:r w:rsidRPr="00CA11FF">
        <w:rPr>
          <w:b/>
          <w:sz w:val="24"/>
          <w:szCs w:val="24"/>
          <w:u w:val="single"/>
        </w:rPr>
        <w:t xml:space="preserve"> Sample</w:t>
      </w:r>
    </w:p>
    <w:p w:rsidR="00AC5FFA" w:rsidRDefault="00AC5FFA" w:rsidP="00CA11FF">
      <w:pPr>
        <w:rPr>
          <w:sz w:val="24"/>
          <w:szCs w:val="24"/>
        </w:rPr>
      </w:pPr>
      <w:r>
        <w:rPr>
          <w:sz w:val="24"/>
          <w:szCs w:val="24"/>
        </w:rPr>
        <w:t>In addition to the riffle-run sample a leaf pack sample should also be collected at the sample site to collect data on shredders.</w:t>
      </w:r>
      <w:r w:rsidR="00CC161E">
        <w:rPr>
          <w:sz w:val="24"/>
          <w:szCs w:val="24"/>
        </w:rPr>
        <w:t xml:space="preserve">  The sample should consist of collecting various plant parts such as leaves, twigs, bark, or their fragments.  Potential sources include leaf packs, near-shore zones, and depositional areas.  Only the upper surface of litter in the depositional areas should be sampled to ensure that they are from the aerobic zone.  A variety of sources should be collected if </w:t>
      </w:r>
      <w:r w:rsidR="00071E76">
        <w:rPr>
          <w:sz w:val="24"/>
          <w:szCs w:val="24"/>
        </w:rPr>
        <w:t>available;</w:t>
      </w:r>
      <w:r w:rsidR="00CC161E">
        <w:rPr>
          <w:sz w:val="24"/>
          <w:szCs w:val="24"/>
        </w:rPr>
        <w:t xml:space="preserve"> several handfuls of material should be adequate</w:t>
      </w:r>
      <w:r w:rsidR="008B2819">
        <w:rPr>
          <w:sz w:val="24"/>
          <w:szCs w:val="24"/>
        </w:rPr>
        <w:t xml:space="preserve">.  Care must be taken to avoid collecting recent or fully decomposed leaf litter to optimize collection of the shredder community.  Seasonality may influence the rate of decomposition and may have an important impact on shredder abundance.  </w:t>
      </w:r>
      <w:r w:rsidR="00CC161E">
        <w:rPr>
          <w:sz w:val="24"/>
          <w:szCs w:val="24"/>
        </w:rPr>
        <w:t xml:space="preserve"> </w:t>
      </w:r>
      <w:r>
        <w:rPr>
          <w:sz w:val="24"/>
          <w:szCs w:val="24"/>
        </w:rPr>
        <w:t xml:space="preserve">  </w:t>
      </w:r>
    </w:p>
    <w:p w:rsidR="00AC5FFA" w:rsidRDefault="00AC5FFA" w:rsidP="00CA11FF">
      <w:pPr>
        <w:rPr>
          <w:sz w:val="24"/>
          <w:szCs w:val="24"/>
        </w:rPr>
      </w:pPr>
    </w:p>
    <w:p w:rsidR="00CA11FF" w:rsidRPr="00AC5FFA" w:rsidRDefault="00AC5FFA" w:rsidP="00CA11FF">
      <w:pPr>
        <w:rPr>
          <w:sz w:val="24"/>
          <w:szCs w:val="24"/>
        </w:rPr>
      </w:pPr>
      <w:r>
        <w:rPr>
          <w:sz w:val="24"/>
          <w:szCs w:val="24"/>
        </w:rPr>
        <w:t xml:space="preserve">This </w:t>
      </w:r>
      <w:r w:rsidR="00CB1DEA">
        <w:rPr>
          <w:sz w:val="24"/>
          <w:szCs w:val="24"/>
        </w:rPr>
        <w:t xml:space="preserve">supplemental </w:t>
      </w:r>
      <w:r>
        <w:rPr>
          <w:sz w:val="24"/>
          <w:szCs w:val="24"/>
        </w:rPr>
        <w:t xml:space="preserve">sample is processed separately from the riffle-run sample and used only for </w:t>
      </w:r>
      <w:r w:rsidR="00CC161E">
        <w:rPr>
          <w:sz w:val="24"/>
          <w:szCs w:val="24"/>
        </w:rPr>
        <w:t>characterizing the function</w:t>
      </w:r>
      <w:r w:rsidR="00CB1DEA">
        <w:rPr>
          <w:sz w:val="24"/>
          <w:szCs w:val="24"/>
        </w:rPr>
        <w:t>al</w:t>
      </w:r>
      <w:r w:rsidR="00CC161E">
        <w:rPr>
          <w:sz w:val="24"/>
          <w:szCs w:val="24"/>
        </w:rPr>
        <w:t xml:space="preserve"> feeding groups.</w:t>
      </w:r>
      <w:r w:rsidR="00CB1DEA">
        <w:rPr>
          <w:sz w:val="24"/>
          <w:szCs w:val="24"/>
        </w:rPr>
        <w:t xml:space="preserve">  Taxonomic identification is not necessary for this sample and the organisms should be simply classified as shredder or non-shredder.  The sample may be field sorted in a small pan or in a sieve.  If a large number of macroinvertebrates are collected a representative subsample of 20 to 40 o</w:t>
      </w:r>
      <w:r w:rsidR="006A680F">
        <w:rPr>
          <w:sz w:val="24"/>
          <w:szCs w:val="24"/>
        </w:rPr>
        <w:t xml:space="preserve">rganisms may be removed for classification.  Numbers of individuals representing the shredder functional feeding group, as well as total number of organisms </w:t>
      </w:r>
      <w:r w:rsidR="00071E76">
        <w:rPr>
          <w:sz w:val="24"/>
          <w:szCs w:val="24"/>
        </w:rPr>
        <w:t>collected should be recorded and later used for calculating the rat</w:t>
      </w:r>
      <w:r w:rsidR="00DE6439">
        <w:rPr>
          <w:sz w:val="24"/>
          <w:szCs w:val="24"/>
        </w:rPr>
        <w:t>io of shredders to total</w:t>
      </w:r>
      <w:r w:rsidR="00071E76">
        <w:rPr>
          <w:sz w:val="24"/>
          <w:szCs w:val="24"/>
        </w:rPr>
        <w:t xml:space="preserve"> metric.  </w:t>
      </w:r>
      <w:r w:rsidR="00CB1DEA">
        <w:rPr>
          <w:sz w:val="24"/>
          <w:szCs w:val="24"/>
        </w:rPr>
        <w:t xml:space="preserve">      </w:t>
      </w:r>
      <w:r w:rsidR="00CC161E">
        <w:rPr>
          <w:sz w:val="24"/>
          <w:szCs w:val="24"/>
        </w:rPr>
        <w:t xml:space="preserve">  </w:t>
      </w:r>
    </w:p>
    <w:p w:rsidR="00C6700B" w:rsidRPr="00D67735" w:rsidRDefault="00C6700B">
      <w:pPr>
        <w:rPr>
          <w:sz w:val="24"/>
          <w:szCs w:val="24"/>
        </w:rPr>
      </w:pPr>
    </w:p>
    <w:p w:rsidR="00985662" w:rsidRDefault="00985662">
      <w:pPr>
        <w:pStyle w:val="Heading1"/>
        <w:rPr>
          <w:b/>
          <w:caps w:val="0"/>
          <w:sz w:val="24"/>
          <w:szCs w:val="24"/>
          <w:u w:val="none"/>
        </w:rPr>
      </w:pPr>
    </w:p>
    <w:p w:rsidR="00C6700B" w:rsidRPr="008868EE" w:rsidRDefault="00C6700B">
      <w:pPr>
        <w:pStyle w:val="Heading1"/>
        <w:rPr>
          <w:b/>
          <w:caps w:val="0"/>
          <w:sz w:val="24"/>
          <w:szCs w:val="24"/>
          <w:u w:val="none"/>
        </w:rPr>
      </w:pPr>
      <w:r w:rsidRPr="008868EE">
        <w:rPr>
          <w:b/>
          <w:caps w:val="0"/>
          <w:sz w:val="24"/>
          <w:szCs w:val="24"/>
          <w:u w:val="none"/>
        </w:rPr>
        <w:t>LABORATORY METHODOLOGY</w:t>
      </w:r>
    </w:p>
    <w:p w:rsidR="00C6700B" w:rsidRPr="00D67735" w:rsidRDefault="00C6700B">
      <w:pPr>
        <w:rPr>
          <w:sz w:val="24"/>
          <w:szCs w:val="24"/>
        </w:rPr>
      </w:pPr>
    </w:p>
    <w:p w:rsidR="00C6700B" w:rsidRPr="008868EE" w:rsidRDefault="00C6700B">
      <w:pPr>
        <w:rPr>
          <w:b/>
          <w:sz w:val="24"/>
          <w:szCs w:val="24"/>
          <w:u w:val="single"/>
        </w:rPr>
      </w:pPr>
      <w:r w:rsidRPr="008868EE">
        <w:rPr>
          <w:b/>
          <w:sz w:val="24"/>
          <w:szCs w:val="24"/>
          <w:u w:val="single"/>
        </w:rPr>
        <w:t>Sa</w:t>
      </w:r>
      <w:r w:rsidR="008868EE" w:rsidRPr="008868EE">
        <w:rPr>
          <w:b/>
          <w:sz w:val="24"/>
          <w:szCs w:val="24"/>
          <w:u w:val="single"/>
        </w:rPr>
        <w:t>mple Sorting and Identification</w:t>
      </w:r>
    </w:p>
    <w:p w:rsidR="00C6700B" w:rsidRPr="00D67735" w:rsidRDefault="00F0580C">
      <w:pP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166.05pt;margin-top:33.85pt;width:279pt;height:209.25pt;z-index:-251658752" wrapcoords="-43 0 -43 21542 21600 21542 21600 0 -43 0" fillcolor="#c9f" strokecolor="#ccecff">
            <v:fill color2="#00c"/>
            <v:imagedata r:id="rId10" o:title=""/>
            <v:shadow color="#006"/>
            <w10:wrap type="tight"/>
          </v:shape>
          <o:OLEObject Type="Embed" ProgID="MSPhotoEd.3" ShapeID="_x0000_s1035" DrawAspect="Content" ObjectID="_1443522268" r:id="rId11"/>
        </w:pict>
      </w:r>
      <w:r w:rsidR="00C6700B" w:rsidRPr="00D67735">
        <w:rPr>
          <w:sz w:val="24"/>
          <w:szCs w:val="24"/>
        </w:rPr>
        <w:t xml:space="preserve">A 100-organism subsample is recommended by USEPA (1990) as a time saving sorting procedure for use with the riffle/run sample.  The described method is based on that of Hilsenhoff (1987).  The procedure consists of evenly and randomly distributing the composite riffle/run sample in a </w:t>
      </w:r>
      <w:r w:rsidR="00E278D8" w:rsidRPr="00D67735">
        <w:rPr>
          <w:sz w:val="24"/>
          <w:szCs w:val="24"/>
        </w:rPr>
        <w:t>gridded pan</w:t>
      </w:r>
      <w:r w:rsidR="00C6700B" w:rsidRPr="00D67735">
        <w:rPr>
          <w:sz w:val="24"/>
          <w:szCs w:val="24"/>
        </w:rPr>
        <w:t xml:space="preserve"> that has a light colored bottom.  As numbered grids are randomly selected all organisms are removed until at least 100 organisms have been selected from the composite sample.  This method of subsampling provides a representative estimate of the benthic fauna as well as a consistent unit of effort.  Evaluations have shown that 100-organism subsamples provide an adequate estimate of community structure as compared to 200 and 300-organism subsamples (USEPA 1990, Shackleford 1988).  Greater sensitivity demonstrated with a 300-organism subsample is subtle and may not warrant the additional time expenditure required.  Laboratory sorting of each 100 organism subsample is estimated to require between 1 and 1.5 hours for an experienced biologist as opposed to 3 to 4.5 hours for a 300-organism subsample  The following procedure is performed for </w:t>
      </w:r>
      <w:r w:rsidR="00470DA6">
        <w:rPr>
          <w:sz w:val="24"/>
          <w:szCs w:val="24"/>
        </w:rPr>
        <w:t>all</w:t>
      </w:r>
      <w:r w:rsidR="00C6700B" w:rsidRPr="006862C5">
        <w:rPr>
          <w:sz w:val="24"/>
          <w:szCs w:val="24"/>
        </w:rPr>
        <w:t xml:space="preserve"> samples</w:t>
      </w:r>
      <w:r w:rsidR="00C6700B" w:rsidRPr="00D67735">
        <w:rPr>
          <w:sz w:val="24"/>
          <w:szCs w:val="24"/>
        </w:rPr>
        <w:t>.</w:t>
      </w:r>
    </w:p>
    <w:p w:rsidR="00C6700B" w:rsidRPr="00D67735" w:rsidRDefault="00C6700B">
      <w:pPr>
        <w:rPr>
          <w:sz w:val="24"/>
          <w:szCs w:val="24"/>
        </w:rPr>
      </w:pPr>
    </w:p>
    <w:p w:rsidR="00C6700B" w:rsidRPr="008868EE" w:rsidRDefault="008868EE">
      <w:pPr>
        <w:rPr>
          <w:b/>
          <w:sz w:val="24"/>
          <w:szCs w:val="24"/>
          <w:u w:val="single"/>
        </w:rPr>
      </w:pPr>
      <w:r w:rsidRPr="008868EE">
        <w:rPr>
          <w:b/>
          <w:sz w:val="24"/>
          <w:szCs w:val="24"/>
          <w:u w:val="single"/>
        </w:rPr>
        <w:t>Sorting Procedure</w:t>
      </w:r>
    </w:p>
    <w:p w:rsidR="00C6700B" w:rsidRPr="00D67735" w:rsidRDefault="00C6700B">
      <w:pPr>
        <w:rPr>
          <w:sz w:val="24"/>
          <w:szCs w:val="24"/>
        </w:rPr>
      </w:pPr>
      <w:r w:rsidRPr="00D67735">
        <w:rPr>
          <w:sz w:val="24"/>
          <w:szCs w:val="24"/>
        </w:rPr>
        <w:t>The sample is first thoroughly rinsed in a 500 micron screen or a sampling net to remove fine sediments.  Any large organic material (whole leaves, twigs, algal and macrophyte mats) should</w:t>
      </w:r>
      <w:r w:rsidR="00DE6439">
        <w:rPr>
          <w:sz w:val="24"/>
          <w:szCs w:val="24"/>
        </w:rPr>
        <w:t xml:space="preserve"> be</w:t>
      </w:r>
      <w:r w:rsidRPr="00D67735">
        <w:rPr>
          <w:sz w:val="24"/>
          <w:szCs w:val="24"/>
        </w:rPr>
        <w:t xml:space="preserve"> rinsed thoroughly, visually inspected, and discarded from the sample.  The sample contents are placed in a large, flat pan (approximately 30x45 cm or so) with a light colored bottom.  The bottom of the pan will be marked with a numbered grid pattern (77 squares).  Each grid will measure 5x5 cm.  Organisms should be evenly distributed in the pan. Samples too large to be effectively sorted in a single pan may be thoroughly mixed in a container with some water, half of the homogenized sample placed in each of two gridded pans.  Each half of the sample must be composed of the same kinds and quantity of debris. Also since the samples will be preserved in alcohol it will be necessary to soak the sample contents in water for about 15 minutes to hydrate the benthic organisms, preventing them from floating on the water surface during sorting.  Use only enough water to allow complete dispersion of the sample within the pan.  An excessive amount of water will allow sample material to shift within the grid during sorting.</w:t>
      </w:r>
    </w:p>
    <w:p w:rsidR="00C6700B" w:rsidRPr="00D67735" w:rsidRDefault="00C6700B">
      <w:pPr>
        <w:rPr>
          <w:sz w:val="24"/>
          <w:szCs w:val="24"/>
        </w:rPr>
      </w:pPr>
    </w:p>
    <w:p w:rsidR="00C6700B" w:rsidRPr="00D67735" w:rsidRDefault="002A7036">
      <w:pPr>
        <w:rPr>
          <w:sz w:val="24"/>
          <w:szCs w:val="24"/>
        </w:rPr>
      </w:pPr>
      <w:r>
        <w:rPr>
          <w:noProof/>
          <w:sz w:val="24"/>
          <w:szCs w:val="24"/>
        </w:rPr>
        <w:drawing>
          <wp:anchor distT="0" distB="0" distL="114300" distR="114300" simplePos="0" relativeHeight="251656704" behindDoc="1" locked="0" layoutInCell="1" allowOverlap="1">
            <wp:simplePos x="0" y="0"/>
            <wp:positionH relativeFrom="column">
              <wp:posOffset>51435</wp:posOffset>
            </wp:positionH>
            <wp:positionV relativeFrom="paragraph">
              <wp:posOffset>818515</wp:posOffset>
            </wp:positionV>
            <wp:extent cx="3337560" cy="2230755"/>
            <wp:effectExtent l="19050" t="0" r="0" b="0"/>
            <wp:wrapTight wrapText="bothSides">
              <wp:wrapPolygon edited="0">
                <wp:start x="-123" y="0"/>
                <wp:lineTo x="-123" y="21397"/>
                <wp:lineTo x="21575" y="21397"/>
                <wp:lineTo x="21575" y="0"/>
                <wp:lineTo x="-123" y="0"/>
              </wp:wrapPolygon>
            </wp:wrapTight>
            <wp:docPr id="43" name="Picture 8" descr="macsubsam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subsampling"/>
                    <pic:cNvPicPr>
                      <a:picLocks noChangeAspect="1" noChangeArrowheads="1"/>
                    </pic:cNvPicPr>
                  </pic:nvPicPr>
                  <pic:blipFill>
                    <a:blip r:embed="rId12" cstate="email"/>
                    <a:srcRect/>
                    <a:stretch>
                      <a:fillRect/>
                    </a:stretch>
                  </pic:blipFill>
                  <pic:spPr bwMode="auto">
                    <a:xfrm>
                      <a:off x="0" y="0"/>
                      <a:ext cx="3337560" cy="2230755"/>
                    </a:xfrm>
                    <a:prstGeom prst="rect">
                      <a:avLst/>
                    </a:prstGeom>
                    <a:noFill/>
                    <a:ln w="9525">
                      <a:noFill/>
                      <a:miter lim="800000"/>
                      <a:headEnd/>
                      <a:tailEnd/>
                    </a:ln>
                  </pic:spPr>
                </pic:pic>
              </a:graphicData>
            </a:graphic>
          </wp:anchor>
        </w:drawing>
      </w:r>
      <w:r w:rsidR="00C6700B" w:rsidRPr="00D67735">
        <w:rPr>
          <w:sz w:val="24"/>
          <w:szCs w:val="24"/>
        </w:rPr>
        <w:t xml:space="preserve">A random numbers table is used to select a number corresponding to a square within the gridded pan. Grid selection from pans is random in order to ensure a representative subsample.  </w:t>
      </w:r>
      <w:r w:rsidR="00E57FB2" w:rsidRPr="00D67735">
        <w:rPr>
          <w:sz w:val="24"/>
          <w:szCs w:val="24"/>
        </w:rPr>
        <w:t>Remove all debris and organisms from within</w:t>
      </w:r>
      <w:r w:rsidR="00E57FB2">
        <w:rPr>
          <w:sz w:val="24"/>
          <w:szCs w:val="24"/>
        </w:rPr>
        <w:t xml:space="preserve"> the</w:t>
      </w:r>
      <w:r w:rsidR="00E57FB2" w:rsidRPr="00D67735">
        <w:rPr>
          <w:sz w:val="24"/>
          <w:szCs w:val="24"/>
        </w:rPr>
        <w:t xml:space="preserve"> </w:t>
      </w:r>
      <w:r w:rsidR="00E57FB2">
        <w:rPr>
          <w:sz w:val="24"/>
          <w:szCs w:val="24"/>
        </w:rPr>
        <w:t>selected</w:t>
      </w:r>
      <w:r w:rsidR="00E57FB2" w:rsidRPr="00D67735">
        <w:rPr>
          <w:sz w:val="24"/>
          <w:szCs w:val="24"/>
        </w:rPr>
        <w:t xml:space="preserve"> square to a separate </w:t>
      </w:r>
      <w:r w:rsidR="00E278D8" w:rsidRPr="00D67735">
        <w:rPr>
          <w:sz w:val="24"/>
          <w:szCs w:val="24"/>
        </w:rPr>
        <w:t>Petri</w:t>
      </w:r>
      <w:r w:rsidR="00E57FB2" w:rsidRPr="00D67735">
        <w:rPr>
          <w:sz w:val="24"/>
          <w:szCs w:val="24"/>
        </w:rPr>
        <w:t xml:space="preserve"> dish and sort using low power under a microscope.  If you do not get at least 100 organisms from the random square, proceed with the process of selecting squares and removing organisms until the total number sorted from the finished square is within 10% of 100.  </w:t>
      </w:r>
      <w:r w:rsidR="00C6700B" w:rsidRPr="00D67735">
        <w:rPr>
          <w:sz w:val="24"/>
          <w:szCs w:val="24"/>
        </w:rPr>
        <w:t xml:space="preserve">If more than two pans are required to subsample, randomly select which pan to subsample from first.  Then select the random square </w:t>
      </w:r>
      <w:r w:rsidR="00AA27E8">
        <w:rPr>
          <w:sz w:val="24"/>
          <w:szCs w:val="24"/>
        </w:rPr>
        <w:t>from the first pan</w:t>
      </w:r>
      <w:r w:rsidR="00C6700B" w:rsidRPr="00D67735">
        <w:rPr>
          <w:sz w:val="24"/>
          <w:szCs w:val="24"/>
        </w:rPr>
        <w:t xml:space="preserve">.  If you </w:t>
      </w:r>
      <w:r w:rsidR="00C6700B" w:rsidRPr="00CF282C">
        <w:rPr>
          <w:sz w:val="24"/>
          <w:szCs w:val="24"/>
        </w:rPr>
        <w:t>do</w:t>
      </w:r>
      <w:r w:rsidR="007C6188">
        <w:rPr>
          <w:sz w:val="24"/>
          <w:szCs w:val="24"/>
        </w:rPr>
        <w:t xml:space="preserve"> not</w:t>
      </w:r>
      <w:r w:rsidR="00C6700B" w:rsidRPr="00D67735">
        <w:rPr>
          <w:sz w:val="24"/>
          <w:szCs w:val="24"/>
        </w:rPr>
        <w:t xml:space="preserve"> </w:t>
      </w:r>
      <w:r w:rsidR="00AA27E8">
        <w:rPr>
          <w:sz w:val="24"/>
          <w:szCs w:val="24"/>
        </w:rPr>
        <w:t>sort</w:t>
      </w:r>
      <w:r w:rsidR="00C6700B" w:rsidRPr="00D67735">
        <w:rPr>
          <w:sz w:val="24"/>
          <w:szCs w:val="24"/>
        </w:rPr>
        <w:t xml:space="preserve"> at least 100 organisms </w:t>
      </w:r>
      <w:r w:rsidR="00AA27E8">
        <w:rPr>
          <w:sz w:val="24"/>
          <w:szCs w:val="24"/>
        </w:rPr>
        <w:t xml:space="preserve">from the randomly selected square </w:t>
      </w:r>
      <w:r w:rsidR="00C6700B" w:rsidRPr="00D67735">
        <w:rPr>
          <w:sz w:val="24"/>
          <w:szCs w:val="24"/>
        </w:rPr>
        <w:t xml:space="preserve">in the first pan, </w:t>
      </w:r>
      <w:r w:rsidR="00AA27E8">
        <w:rPr>
          <w:sz w:val="24"/>
          <w:szCs w:val="24"/>
        </w:rPr>
        <w:t>select</w:t>
      </w:r>
      <w:r w:rsidR="00C6700B" w:rsidRPr="00D67735">
        <w:rPr>
          <w:sz w:val="24"/>
          <w:szCs w:val="24"/>
        </w:rPr>
        <w:t xml:space="preserve"> a random square in the second pan.  </w:t>
      </w:r>
      <w:r w:rsidR="00AA27E8">
        <w:rPr>
          <w:sz w:val="24"/>
          <w:szCs w:val="24"/>
        </w:rPr>
        <w:t xml:space="preserve">Continue alternating between pans until 100 </w:t>
      </w:r>
      <w:r w:rsidR="00E278D8">
        <w:rPr>
          <w:sz w:val="24"/>
          <w:szCs w:val="24"/>
        </w:rPr>
        <w:t>organisms</w:t>
      </w:r>
      <w:r w:rsidR="00AA27E8">
        <w:rPr>
          <w:sz w:val="24"/>
          <w:szCs w:val="24"/>
        </w:rPr>
        <w:t xml:space="preserve"> have been sorted.  </w:t>
      </w:r>
      <w:r w:rsidR="00C6700B" w:rsidRPr="00D67735">
        <w:rPr>
          <w:sz w:val="24"/>
          <w:szCs w:val="24"/>
        </w:rPr>
        <w:t>Any organism which is lying over a line separating two squares is considered to be in the square containing its head.  In those cases where it is not possible to deter</w:t>
      </w:r>
      <w:r w:rsidR="004A7ACC">
        <w:rPr>
          <w:sz w:val="24"/>
          <w:szCs w:val="24"/>
        </w:rPr>
        <w:t>mine the location of the head (</w:t>
      </w:r>
      <w:r w:rsidR="00C6700B" w:rsidRPr="00D67735">
        <w:rPr>
          <w:sz w:val="24"/>
          <w:szCs w:val="24"/>
        </w:rPr>
        <w:t>e.g. worms), the organism is considered to be in the square containing the largest portion of its body.  Any square sorted must be sorted in its entirety, even after the 100-organism count has been reached</w:t>
      </w:r>
    </w:p>
    <w:p w:rsidR="00C6700B" w:rsidRPr="00D67735" w:rsidRDefault="00C6700B">
      <w:pPr>
        <w:rPr>
          <w:sz w:val="24"/>
          <w:szCs w:val="24"/>
        </w:rPr>
      </w:pPr>
    </w:p>
    <w:p w:rsidR="00C6700B" w:rsidRPr="008868EE" w:rsidRDefault="008868EE">
      <w:pPr>
        <w:rPr>
          <w:b/>
          <w:sz w:val="24"/>
          <w:szCs w:val="24"/>
          <w:u w:val="single"/>
        </w:rPr>
      </w:pPr>
      <w:r>
        <w:rPr>
          <w:b/>
          <w:sz w:val="24"/>
          <w:szCs w:val="24"/>
          <w:u w:val="single"/>
        </w:rPr>
        <w:t>Organism Identification</w:t>
      </w:r>
    </w:p>
    <w:p w:rsidR="00985662" w:rsidRPr="00985662" w:rsidRDefault="00C6700B" w:rsidP="00985662">
      <w:pPr>
        <w:rPr>
          <w:sz w:val="24"/>
          <w:szCs w:val="24"/>
        </w:rPr>
      </w:pPr>
      <w:r w:rsidRPr="00D67735">
        <w:rPr>
          <w:sz w:val="24"/>
          <w:szCs w:val="24"/>
        </w:rPr>
        <w:t xml:space="preserve">All benthic macroinvertebrates in the subsample should be identified to the </w:t>
      </w:r>
      <w:r w:rsidR="00B3123C">
        <w:rPr>
          <w:sz w:val="24"/>
          <w:szCs w:val="24"/>
        </w:rPr>
        <w:t xml:space="preserve">appropriate taxonomic level (either family level or </w:t>
      </w:r>
      <w:r w:rsidRPr="00B3123C">
        <w:rPr>
          <w:sz w:val="24"/>
          <w:szCs w:val="24"/>
        </w:rPr>
        <w:t xml:space="preserve">lowest positively </w:t>
      </w:r>
      <w:r w:rsidRPr="00985662">
        <w:rPr>
          <w:sz w:val="24"/>
          <w:szCs w:val="24"/>
        </w:rPr>
        <w:t>identified taxonomic level</w:t>
      </w:r>
      <w:r w:rsidR="00B3123C" w:rsidRPr="00985662">
        <w:rPr>
          <w:sz w:val="24"/>
          <w:szCs w:val="24"/>
        </w:rPr>
        <w:t xml:space="preserve"> – </w:t>
      </w:r>
      <w:r w:rsidRPr="00985662">
        <w:rPr>
          <w:sz w:val="24"/>
          <w:szCs w:val="24"/>
        </w:rPr>
        <w:t>generally</w:t>
      </w:r>
      <w:r w:rsidR="00B3123C" w:rsidRPr="00985662">
        <w:rPr>
          <w:sz w:val="24"/>
          <w:szCs w:val="24"/>
        </w:rPr>
        <w:t xml:space="preserve"> </w:t>
      </w:r>
      <w:r w:rsidRPr="00985662">
        <w:rPr>
          <w:sz w:val="24"/>
          <w:szCs w:val="24"/>
        </w:rPr>
        <w:t>genus or species), enumerated, and recorded on the laboratory bench sheet</w:t>
      </w:r>
      <w:r w:rsidR="00806149" w:rsidRPr="00985662">
        <w:rPr>
          <w:sz w:val="24"/>
          <w:szCs w:val="24"/>
        </w:rPr>
        <w:t xml:space="preserve"> (Appendix A)</w:t>
      </w:r>
      <w:r w:rsidRPr="00985662">
        <w:rPr>
          <w:sz w:val="24"/>
          <w:szCs w:val="24"/>
        </w:rPr>
        <w:t>.</w:t>
      </w:r>
      <w:r w:rsidR="00985662" w:rsidRPr="00985662">
        <w:rPr>
          <w:sz w:val="24"/>
          <w:szCs w:val="24"/>
        </w:rPr>
        <w:t xml:space="preserve"> </w:t>
      </w:r>
    </w:p>
    <w:p w:rsidR="00E6765B" w:rsidRPr="00985662" w:rsidRDefault="00C6700B" w:rsidP="00E6765B">
      <w:pPr>
        <w:rPr>
          <w:sz w:val="24"/>
          <w:szCs w:val="24"/>
        </w:rPr>
      </w:pPr>
      <w:r w:rsidRPr="00D67735">
        <w:rPr>
          <w:sz w:val="24"/>
          <w:szCs w:val="24"/>
        </w:rPr>
        <w:t xml:space="preserve">  </w:t>
      </w:r>
    </w:p>
    <w:p w:rsidR="00E6765B" w:rsidRPr="00B162E3" w:rsidRDefault="00E6765B" w:rsidP="00E6765B">
      <w:pPr>
        <w:rPr>
          <w:sz w:val="24"/>
        </w:rPr>
      </w:pPr>
      <w:r w:rsidRPr="00B162E3">
        <w:rPr>
          <w:sz w:val="24"/>
        </w:rPr>
        <w:t xml:space="preserve">A voucher collection will be submitted to IDNR Division of Fish and Wildlife at the same time as the draft report is submitted, allowing two months for review by IDNR or outside specialists.  The collection will be forwarded to the Department of Entomology, </w:t>
      </w:r>
      <w:smartTag w:uri="urn:schemas-microsoft-com:office:smarttags" w:element="place">
        <w:smartTag w:uri="urn:schemas-microsoft-com:office:smarttags" w:element="PlaceName">
          <w:r w:rsidRPr="00B162E3">
            <w:rPr>
              <w:sz w:val="24"/>
            </w:rPr>
            <w:t>Purdue</w:t>
          </w:r>
        </w:smartTag>
        <w:r w:rsidRPr="00B162E3">
          <w:rPr>
            <w:sz w:val="24"/>
          </w:rPr>
          <w:t xml:space="preserve"> </w:t>
        </w:r>
        <w:smartTag w:uri="urn:schemas-microsoft-com:office:smarttags" w:element="PlaceType">
          <w:r w:rsidRPr="00B162E3">
            <w:rPr>
              <w:sz w:val="24"/>
            </w:rPr>
            <w:t>University</w:t>
          </w:r>
        </w:smartTag>
      </w:smartTag>
      <w:r w:rsidRPr="00B162E3">
        <w:rPr>
          <w:sz w:val="24"/>
        </w:rPr>
        <w:t>.  A voucher for each taxon identified at each site will be curated according to Purdue</w:t>
      </w:r>
      <w:r>
        <w:rPr>
          <w:sz w:val="24"/>
        </w:rPr>
        <w:t>’</w:t>
      </w:r>
      <w:r w:rsidRPr="00B162E3">
        <w:rPr>
          <w:sz w:val="24"/>
        </w:rPr>
        <w:t>s protocols for specimen handling, as follows:</w:t>
      </w:r>
    </w:p>
    <w:p w:rsidR="00E6765B" w:rsidRPr="00B162E3" w:rsidRDefault="00E6765B" w:rsidP="00E6765B">
      <w:pPr>
        <w:ind w:left="1440"/>
        <w:rPr>
          <w:sz w:val="24"/>
        </w:rPr>
      </w:pPr>
    </w:p>
    <w:p w:rsidR="00E6765B" w:rsidRPr="00B162E3" w:rsidRDefault="00E6765B" w:rsidP="00E6765B">
      <w:pPr>
        <w:numPr>
          <w:ilvl w:val="1"/>
          <w:numId w:val="12"/>
        </w:numPr>
        <w:rPr>
          <w:sz w:val="24"/>
        </w:rPr>
      </w:pPr>
      <w:r w:rsidRPr="00B162E3">
        <w:rPr>
          <w:sz w:val="24"/>
        </w:rPr>
        <w:t>Use a 2 dram vial with a neoprene stopper and 70 to 80% ethyl alcohol;</w:t>
      </w:r>
    </w:p>
    <w:p w:rsidR="00E6765B" w:rsidRPr="00B162E3" w:rsidRDefault="00E6765B" w:rsidP="00E6765B">
      <w:pPr>
        <w:numPr>
          <w:ilvl w:val="1"/>
          <w:numId w:val="12"/>
        </w:numPr>
        <w:rPr>
          <w:sz w:val="24"/>
        </w:rPr>
      </w:pPr>
      <w:r w:rsidRPr="00B162E3">
        <w:rPr>
          <w:sz w:val="24"/>
        </w:rPr>
        <w:t>Label format must include state, county, stream, location, date, collecting firm, contract or project number, voucher specimen;</w:t>
      </w:r>
    </w:p>
    <w:p w:rsidR="00E6765B" w:rsidRPr="00B162E3" w:rsidRDefault="00E6765B" w:rsidP="00E6765B">
      <w:pPr>
        <w:numPr>
          <w:ilvl w:val="1"/>
          <w:numId w:val="12"/>
        </w:numPr>
        <w:rPr>
          <w:sz w:val="24"/>
        </w:rPr>
      </w:pPr>
      <w:r w:rsidRPr="00B162E3">
        <w:rPr>
          <w:sz w:val="24"/>
        </w:rPr>
        <w:t>Identification to lowest taxonomic level indicated for the protocol;</w:t>
      </w:r>
    </w:p>
    <w:p w:rsidR="00E6765B" w:rsidRPr="00B162E3" w:rsidRDefault="00E6765B" w:rsidP="00E6765B">
      <w:pPr>
        <w:numPr>
          <w:ilvl w:val="1"/>
          <w:numId w:val="12"/>
        </w:numPr>
        <w:rPr>
          <w:sz w:val="24"/>
        </w:rPr>
      </w:pPr>
      <w:r w:rsidRPr="00B162E3">
        <w:rPr>
          <w:sz w:val="24"/>
        </w:rPr>
        <w:t xml:space="preserve">Vials tagged with two identification labels in the following format: </w:t>
      </w:r>
    </w:p>
    <w:p w:rsidR="00E6765B" w:rsidRPr="00B162E3" w:rsidRDefault="00E6765B" w:rsidP="00E6765B">
      <w:pPr>
        <w:numPr>
          <w:ilvl w:val="2"/>
          <w:numId w:val="12"/>
        </w:numPr>
        <w:rPr>
          <w:sz w:val="24"/>
        </w:rPr>
      </w:pPr>
      <w:r w:rsidRPr="00B162E3">
        <w:rPr>
          <w:sz w:val="24"/>
        </w:rPr>
        <w:t>taxonomic name, the individual who identified the specimen, and the date, for example</w:t>
      </w:r>
      <w:r>
        <w:rPr>
          <w:sz w:val="24"/>
        </w:rPr>
        <w:t>:</w:t>
      </w:r>
    </w:p>
    <w:p w:rsidR="00E6765B" w:rsidRPr="00D1664D" w:rsidRDefault="00E6765B" w:rsidP="00E6765B">
      <w:pPr>
        <w:pStyle w:val="Heading3"/>
        <w:pBdr>
          <w:top w:val="single" w:sz="4" w:space="1" w:color="auto"/>
          <w:left w:val="single" w:sz="4" w:space="4" w:color="auto"/>
          <w:bottom w:val="single" w:sz="4" w:space="1" w:color="auto"/>
          <w:right w:val="single" w:sz="4" w:space="31" w:color="auto"/>
        </w:pBdr>
        <w:ind w:left="2700" w:right="3420" w:firstLine="180"/>
        <w:rPr>
          <w:b w:val="0"/>
          <w:sz w:val="20"/>
        </w:rPr>
      </w:pPr>
      <w:r w:rsidRPr="00D1664D">
        <w:rPr>
          <w:b w:val="0"/>
          <w:sz w:val="20"/>
          <w:u w:val="single"/>
        </w:rPr>
        <w:t>Baetis flavistriga</w:t>
      </w:r>
    </w:p>
    <w:p w:rsidR="00E6765B" w:rsidRPr="00D1664D" w:rsidRDefault="004F2846" w:rsidP="00E6765B">
      <w:pPr>
        <w:pStyle w:val="Heading2"/>
        <w:pBdr>
          <w:top w:val="single" w:sz="4" w:space="1" w:color="auto"/>
          <w:left w:val="single" w:sz="4" w:space="4" w:color="auto"/>
          <w:bottom w:val="single" w:sz="4" w:space="1" w:color="auto"/>
          <w:right w:val="single" w:sz="4" w:space="31" w:color="auto"/>
        </w:pBdr>
        <w:ind w:left="2700" w:right="3420" w:firstLine="180"/>
      </w:pPr>
      <w:r>
        <w:rPr>
          <w:b w:val="0"/>
        </w:rPr>
        <w:t>Identified</w:t>
      </w:r>
      <w:r w:rsidR="00E6765B" w:rsidRPr="00D1664D">
        <w:rPr>
          <w:b w:val="0"/>
        </w:rPr>
        <w:t xml:space="preserve"> by: J. Doe      October 2005</w:t>
      </w:r>
    </w:p>
    <w:p w:rsidR="00E6765B" w:rsidRPr="00B162E3" w:rsidRDefault="00E6765B" w:rsidP="00E6765B"/>
    <w:p w:rsidR="00E6765B" w:rsidRPr="00B162E3" w:rsidRDefault="00E6765B" w:rsidP="00E6765B">
      <w:pPr>
        <w:numPr>
          <w:ilvl w:val="2"/>
          <w:numId w:val="12"/>
        </w:numPr>
        <w:rPr>
          <w:sz w:val="24"/>
        </w:rPr>
      </w:pPr>
      <w:r w:rsidRPr="00B162E3">
        <w:rPr>
          <w:sz w:val="24"/>
        </w:rPr>
        <w:t>state and county where collected, exact location, date, collector, for example</w:t>
      </w:r>
      <w:r>
        <w:rPr>
          <w:sz w:val="24"/>
        </w:rPr>
        <w:t>:</w:t>
      </w:r>
      <w:r w:rsidRPr="00B162E3">
        <w:rPr>
          <w:sz w:val="24"/>
        </w:rPr>
        <w:t xml:space="preserve"> </w:t>
      </w: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IN:  Greene Co.  </w:t>
      </w: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Indian Creek at C.R.500N </w:t>
      </w:r>
    </w:p>
    <w:p w:rsidR="00E6765B" w:rsidRPr="00D1664D" w:rsidRDefault="00E6765B" w:rsidP="00E6765B">
      <w:pPr>
        <w:pBdr>
          <w:top w:val="single" w:sz="4" w:space="1" w:color="auto"/>
          <w:left w:val="single" w:sz="4" w:space="1" w:color="auto"/>
          <w:bottom w:val="single" w:sz="4" w:space="1" w:color="auto"/>
          <w:right w:val="single" w:sz="4" w:space="1" w:color="auto"/>
        </w:pBdr>
        <w:tabs>
          <w:tab w:val="left" w:pos="6300"/>
        </w:tabs>
        <w:ind w:left="2520" w:right="2520" w:firstLine="180"/>
      </w:pPr>
      <w:r w:rsidRPr="00D1664D">
        <w:t xml:space="preserve">Date: </w:t>
      </w:r>
      <w:smartTag w:uri="urn:schemas-microsoft-com:office:smarttags" w:element="date">
        <w:smartTagPr>
          <w:attr w:name="Month" w:val="5"/>
          <w:attr w:name="Day" w:val="10"/>
          <w:attr w:name="Year" w:val="2006"/>
        </w:smartTagPr>
        <w:r w:rsidRPr="00D1664D">
          <w:t>05-10-2006</w:t>
        </w:r>
      </w:smartTag>
      <w:r w:rsidRPr="00D1664D">
        <w:t xml:space="preserve">   Collected by: S. Beach</w:t>
      </w:r>
    </w:p>
    <w:p w:rsidR="00E6765B" w:rsidRPr="00B162E3" w:rsidRDefault="00E6765B" w:rsidP="00E6765B">
      <w:pPr>
        <w:ind w:left="2520" w:hanging="360"/>
        <w:rPr>
          <w:sz w:val="24"/>
        </w:rPr>
      </w:pPr>
    </w:p>
    <w:p w:rsidR="00E6765B" w:rsidRPr="00B162E3" w:rsidRDefault="00E6765B" w:rsidP="00E6765B">
      <w:pPr>
        <w:numPr>
          <w:ilvl w:val="1"/>
          <w:numId w:val="12"/>
        </w:numPr>
        <w:rPr>
          <w:sz w:val="24"/>
        </w:rPr>
      </w:pPr>
      <w:r w:rsidRPr="00B162E3">
        <w:rPr>
          <w:sz w:val="24"/>
        </w:rPr>
        <w:t>Data sheet that indicates the number of individuals, taxon, location of collection, and vial number of voucher specimen.</w:t>
      </w:r>
    </w:p>
    <w:p w:rsidR="004F2846" w:rsidRDefault="004F2846" w:rsidP="004F2846">
      <w:pPr>
        <w:autoSpaceDE w:val="0"/>
        <w:autoSpaceDN w:val="0"/>
        <w:adjustRightInd w:val="0"/>
        <w:rPr>
          <w:sz w:val="24"/>
          <w:szCs w:val="24"/>
        </w:rPr>
      </w:pPr>
    </w:p>
    <w:p w:rsidR="004F2846" w:rsidRDefault="004F2846" w:rsidP="004F2846">
      <w:pPr>
        <w:autoSpaceDE w:val="0"/>
        <w:autoSpaceDN w:val="0"/>
        <w:adjustRightInd w:val="0"/>
        <w:rPr>
          <w:sz w:val="24"/>
          <w:szCs w:val="24"/>
        </w:rPr>
      </w:pPr>
    </w:p>
    <w:p w:rsidR="004F2846" w:rsidRPr="005E7F22" w:rsidRDefault="004F2846" w:rsidP="004F2846">
      <w:pPr>
        <w:pStyle w:val="Heading1"/>
        <w:rPr>
          <w:b/>
          <w:sz w:val="24"/>
          <w:szCs w:val="24"/>
          <w:u w:val="none"/>
        </w:rPr>
      </w:pPr>
      <w:r w:rsidRPr="005E7F22">
        <w:rPr>
          <w:b/>
          <w:sz w:val="24"/>
          <w:szCs w:val="24"/>
          <w:u w:val="none"/>
        </w:rPr>
        <w:t>Calculations FOR RBP II (family level) or RBP III (GENUS OR SPECIES)</w:t>
      </w:r>
    </w:p>
    <w:p w:rsidR="004F2846" w:rsidRDefault="004F2846" w:rsidP="004F2846">
      <w:pPr>
        <w:autoSpaceDE w:val="0"/>
        <w:autoSpaceDN w:val="0"/>
        <w:adjustRightInd w:val="0"/>
        <w:rPr>
          <w:sz w:val="24"/>
          <w:szCs w:val="24"/>
        </w:rPr>
      </w:pPr>
    </w:p>
    <w:p w:rsidR="004F2846" w:rsidRDefault="004F2846" w:rsidP="004F2846">
      <w:pPr>
        <w:autoSpaceDE w:val="0"/>
        <w:autoSpaceDN w:val="0"/>
        <w:adjustRightInd w:val="0"/>
        <w:rPr>
          <w:sz w:val="24"/>
          <w:szCs w:val="24"/>
        </w:rPr>
      </w:pPr>
      <w:r w:rsidRPr="00D426A9">
        <w:rPr>
          <w:sz w:val="24"/>
          <w:szCs w:val="24"/>
        </w:rPr>
        <w:t>Standard metrics for LARE reports are:</w:t>
      </w:r>
    </w:p>
    <w:p w:rsidR="004F2846" w:rsidRPr="00D426A9" w:rsidRDefault="004F2846" w:rsidP="004F2846">
      <w:pPr>
        <w:autoSpaceDE w:val="0"/>
        <w:autoSpaceDN w:val="0"/>
        <w:adjustRightInd w:val="0"/>
        <w:rPr>
          <w:sz w:val="24"/>
          <w:szCs w:val="24"/>
        </w:rPr>
      </w:pP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Number of Taxa</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 xml:space="preserve">EPT </w:t>
      </w:r>
      <w:r w:rsidR="00CE08EB">
        <w:rPr>
          <w:sz w:val="24"/>
          <w:szCs w:val="24"/>
        </w:rPr>
        <w:t>Index</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Percent Dominant Taxa</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Ratio of EPT/Chironomidae</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Modified Hilsenhoff Biotic Index</w:t>
      </w:r>
      <w:r w:rsidR="00E709AE">
        <w:rPr>
          <w:sz w:val="24"/>
          <w:szCs w:val="24"/>
        </w:rPr>
        <w:t xml:space="preserve"> (HBI)</w:t>
      </w:r>
    </w:p>
    <w:p w:rsidR="00D426A9" w:rsidRPr="00D426A9" w:rsidRDefault="00B74AA4" w:rsidP="00446D5E">
      <w:pPr>
        <w:numPr>
          <w:ilvl w:val="0"/>
          <w:numId w:val="6"/>
        </w:numPr>
        <w:tabs>
          <w:tab w:val="clear" w:pos="1440"/>
          <w:tab w:val="left" w:pos="1080"/>
        </w:tabs>
        <w:autoSpaceDE w:val="0"/>
        <w:autoSpaceDN w:val="0"/>
        <w:adjustRightInd w:val="0"/>
        <w:ind w:left="1080"/>
        <w:rPr>
          <w:sz w:val="24"/>
          <w:szCs w:val="24"/>
        </w:rPr>
      </w:pPr>
      <w:r>
        <w:rPr>
          <w:sz w:val="24"/>
          <w:szCs w:val="24"/>
        </w:rPr>
        <w:t>Ratio of Scraper/Filtering Collectors</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Ratio of Shredder/Nonshredder</w:t>
      </w:r>
    </w:p>
    <w:p w:rsidR="00D426A9" w:rsidRPr="00D426A9" w:rsidRDefault="00D426A9" w:rsidP="00446D5E">
      <w:pPr>
        <w:numPr>
          <w:ilvl w:val="0"/>
          <w:numId w:val="6"/>
        </w:numPr>
        <w:tabs>
          <w:tab w:val="clear" w:pos="1440"/>
          <w:tab w:val="left" w:pos="1080"/>
        </w:tabs>
        <w:autoSpaceDE w:val="0"/>
        <w:autoSpaceDN w:val="0"/>
        <w:adjustRightInd w:val="0"/>
        <w:ind w:left="1080"/>
        <w:rPr>
          <w:sz w:val="24"/>
          <w:szCs w:val="24"/>
        </w:rPr>
      </w:pPr>
      <w:r w:rsidRPr="00D426A9">
        <w:rPr>
          <w:sz w:val="24"/>
          <w:szCs w:val="24"/>
        </w:rPr>
        <w:t xml:space="preserve">Community Loss Index </w:t>
      </w:r>
    </w:p>
    <w:p w:rsidR="00C6700B" w:rsidRDefault="00C6700B" w:rsidP="00E709AE">
      <w:pPr>
        <w:rPr>
          <w:sz w:val="24"/>
          <w:szCs w:val="24"/>
        </w:rPr>
      </w:pPr>
    </w:p>
    <w:p w:rsidR="00090A76" w:rsidRDefault="00090A76" w:rsidP="00E709AE">
      <w:pPr>
        <w:rPr>
          <w:sz w:val="24"/>
        </w:rPr>
      </w:pPr>
      <w:r>
        <w:rPr>
          <w:sz w:val="24"/>
          <w:szCs w:val="24"/>
        </w:rPr>
        <w:t>Calculation of the standard metrics and interpretation of their meaning is described briefly below.</w:t>
      </w:r>
      <w:r w:rsidR="002B792A">
        <w:rPr>
          <w:sz w:val="24"/>
          <w:szCs w:val="24"/>
        </w:rPr>
        <w:t xml:space="preserve"> Additional detail</w:t>
      </w:r>
      <w:r w:rsidR="00853434">
        <w:rPr>
          <w:sz w:val="24"/>
          <w:szCs w:val="24"/>
        </w:rPr>
        <w:t>s</w:t>
      </w:r>
      <w:r w:rsidR="002B792A">
        <w:rPr>
          <w:sz w:val="24"/>
          <w:szCs w:val="24"/>
        </w:rPr>
        <w:t xml:space="preserve"> </w:t>
      </w:r>
      <w:r w:rsidR="00853434">
        <w:rPr>
          <w:sz w:val="24"/>
          <w:szCs w:val="24"/>
        </w:rPr>
        <w:t>are</w:t>
      </w:r>
      <w:r w:rsidR="002B792A">
        <w:rPr>
          <w:sz w:val="24"/>
          <w:szCs w:val="24"/>
        </w:rPr>
        <w:t xml:space="preserve"> on </w:t>
      </w:r>
      <w:r w:rsidR="002B792A" w:rsidRPr="00E848A6">
        <w:rPr>
          <w:sz w:val="24"/>
          <w:szCs w:val="24"/>
        </w:rPr>
        <w:t xml:space="preserve">pages </w:t>
      </w:r>
      <w:r w:rsidR="00E848A6">
        <w:rPr>
          <w:sz w:val="24"/>
          <w:szCs w:val="24"/>
        </w:rPr>
        <w:t>7-1</w:t>
      </w:r>
      <w:r w:rsidR="00634FD8">
        <w:rPr>
          <w:sz w:val="24"/>
          <w:szCs w:val="24"/>
        </w:rPr>
        <w:t>4</w:t>
      </w:r>
      <w:r w:rsidR="00E848A6">
        <w:rPr>
          <w:sz w:val="24"/>
          <w:szCs w:val="24"/>
        </w:rPr>
        <w:t xml:space="preserve"> to 7-18</w:t>
      </w:r>
      <w:r w:rsidR="002B792A" w:rsidRPr="00E848A6">
        <w:rPr>
          <w:sz w:val="24"/>
          <w:szCs w:val="24"/>
        </w:rPr>
        <w:t xml:space="preserve"> </w:t>
      </w:r>
      <w:r w:rsidR="00DA4DFA">
        <w:rPr>
          <w:sz w:val="24"/>
          <w:szCs w:val="24"/>
        </w:rPr>
        <w:t>of Barbour et al (1999)</w:t>
      </w:r>
      <w:r w:rsidR="009E12CE" w:rsidRPr="00DA4DFA">
        <w:rPr>
          <w:color w:val="FF0000"/>
          <w:sz w:val="24"/>
        </w:rPr>
        <w:t xml:space="preserve"> </w:t>
      </w:r>
      <w:r w:rsidR="009E12CE">
        <w:rPr>
          <w:sz w:val="24"/>
        </w:rPr>
        <w:t xml:space="preserve">and pages </w:t>
      </w:r>
      <w:r w:rsidR="00607A47">
        <w:rPr>
          <w:sz w:val="24"/>
        </w:rPr>
        <w:t>10</w:t>
      </w:r>
      <w:r w:rsidR="009E12CE">
        <w:rPr>
          <w:sz w:val="24"/>
        </w:rPr>
        <w:t>9</w:t>
      </w:r>
      <w:r w:rsidR="004523B5">
        <w:rPr>
          <w:sz w:val="24"/>
        </w:rPr>
        <w:t xml:space="preserve"> to </w:t>
      </w:r>
      <w:r w:rsidR="009E12CE">
        <w:rPr>
          <w:sz w:val="24"/>
        </w:rPr>
        <w:t xml:space="preserve">123 of the methods publication </w:t>
      </w:r>
      <w:r w:rsidR="009E12CE" w:rsidRPr="00E709AE">
        <w:rPr>
          <w:sz w:val="24"/>
          <w:szCs w:val="24"/>
        </w:rPr>
        <w:t>EPA/600/4-90/030</w:t>
      </w:r>
      <w:r w:rsidR="00CE167A" w:rsidRPr="00E848A6">
        <w:rPr>
          <w:sz w:val="24"/>
        </w:rPr>
        <w:t>.</w:t>
      </w:r>
    </w:p>
    <w:p w:rsidR="00B3123C" w:rsidRDefault="00B3123C" w:rsidP="00E709AE">
      <w:pPr>
        <w:rPr>
          <w:sz w:val="24"/>
        </w:rPr>
      </w:pPr>
    </w:p>
    <w:p w:rsidR="00DA4DFA" w:rsidRDefault="00B3123C" w:rsidP="00F41656">
      <w:pPr>
        <w:autoSpaceDE w:val="0"/>
        <w:autoSpaceDN w:val="0"/>
        <w:adjustRightInd w:val="0"/>
        <w:rPr>
          <w:sz w:val="24"/>
          <w:szCs w:val="24"/>
        </w:rPr>
      </w:pPr>
      <w:r>
        <w:rPr>
          <w:sz w:val="24"/>
        </w:rPr>
        <w:t>A description of genus-level functional feeding groups can be found on pages 644-652</w:t>
      </w:r>
      <w:r w:rsidR="00DF0A58">
        <w:rPr>
          <w:sz w:val="24"/>
        </w:rPr>
        <w:t xml:space="preserve"> in Merritt and </w:t>
      </w:r>
      <w:r w:rsidR="00DF0A58" w:rsidRPr="00F41656">
        <w:rPr>
          <w:sz w:val="24"/>
          <w:szCs w:val="24"/>
        </w:rPr>
        <w:t>Cummins (1984)</w:t>
      </w:r>
      <w:r w:rsidR="00DA4DFA">
        <w:rPr>
          <w:sz w:val="24"/>
          <w:szCs w:val="24"/>
        </w:rPr>
        <w:t>, and also in Appendix B of Barbour et al (1999)</w:t>
      </w:r>
      <w:r w:rsidR="00DF0A58" w:rsidRPr="00F41656">
        <w:rPr>
          <w:sz w:val="24"/>
          <w:szCs w:val="24"/>
        </w:rPr>
        <w:t>.</w:t>
      </w:r>
      <w:r w:rsidRPr="00F41656">
        <w:rPr>
          <w:sz w:val="24"/>
          <w:szCs w:val="24"/>
        </w:rPr>
        <w:t xml:space="preserve"> </w:t>
      </w:r>
      <w:r w:rsidR="00CF282C" w:rsidRPr="00F41656">
        <w:rPr>
          <w:sz w:val="24"/>
          <w:szCs w:val="24"/>
        </w:rPr>
        <w:t xml:space="preserve"> Family-level functional feeding groups can be found on pages 187-191 in Bouchard (2004). </w:t>
      </w:r>
    </w:p>
    <w:p w:rsidR="00DA4DFA" w:rsidRDefault="00DA4DFA" w:rsidP="00F41656">
      <w:pPr>
        <w:autoSpaceDE w:val="0"/>
        <w:autoSpaceDN w:val="0"/>
        <w:adjustRightInd w:val="0"/>
        <w:rPr>
          <w:sz w:val="24"/>
          <w:szCs w:val="24"/>
        </w:rPr>
      </w:pPr>
    </w:p>
    <w:p w:rsidR="00B3123C" w:rsidRPr="00F41656" w:rsidRDefault="00B3123C" w:rsidP="00F41656">
      <w:pPr>
        <w:autoSpaceDE w:val="0"/>
        <w:autoSpaceDN w:val="0"/>
        <w:adjustRightInd w:val="0"/>
        <w:rPr>
          <w:sz w:val="24"/>
          <w:szCs w:val="24"/>
        </w:rPr>
      </w:pPr>
      <w:r w:rsidRPr="00F41656">
        <w:rPr>
          <w:sz w:val="24"/>
          <w:szCs w:val="24"/>
        </w:rPr>
        <w:t>Hilsenhoff pollution tolerance values, ranging from 0 to 10, for families is on page 245-246 of the methods publication EPA/600/4-90/030</w:t>
      </w:r>
      <w:r w:rsidR="00F41656" w:rsidRPr="00F41656">
        <w:rPr>
          <w:sz w:val="24"/>
          <w:szCs w:val="24"/>
        </w:rPr>
        <w:t>, and can also be found in Hilsenhoff (1988)</w:t>
      </w:r>
      <w:r w:rsidRPr="00F41656">
        <w:rPr>
          <w:sz w:val="24"/>
          <w:szCs w:val="24"/>
        </w:rPr>
        <w:t>.</w:t>
      </w:r>
      <w:r w:rsidR="00F41656" w:rsidRPr="00F41656">
        <w:rPr>
          <w:sz w:val="24"/>
          <w:szCs w:val="24"/>
        </w:rPr>
        <w:t xml:space="preserve">  Hilsenhoff tolerance values can be supplemented with values from Bode (1988).  Families not assigned a tolerance value by either Hilsenhoff or Bode should be excluded from the HBI.  Hilsenhoff tolerance values for genus and species level calculation are available from Hilsenhoff (1987).  </w:t>
      </w:r>
      <w:r w:rsidRPr="00F41656">
        <w:rPr>
          <w:sz w:val="24"/>
          <w:szCs w:val="24"/>
        </w:rPr>
        <w:t xml:space="preserve"> </w:t>
      </w:r>
    </w:p>
    <w:p w:rsidR="00446D5E" w:rsidRPr="00D67735" w:rsidRDefault="00446D5E" w:rsidP="00E709AE">
      <w:pPr>
        <w:ind w:left="720" w:firstLine="720"/>
        <w:rPr>
          <w:sz w:val="24"/>
          <w:szCs w:val="24"/>
        </w:rPr>
      </w:pPr>
    </w:p>
    <w:p w:rsidR="008D5B8C" w:rsidRPr="008D5B8C" w:rsidRDefault="00C6700B" w:rsidP="00F835E7">
      <w:pPr>
        <w:pStyle w:val="BodyTextIndent"/>
        <w:numPr>
          <w:ilvl w:val="0"/>
          <w:numId w:val="2"/>
        </w:numPr>
        <w:spacing w:after="0"/>
      </w:pPr>
      <w:r w:rsidRPr="00D67735">
        <w:rPr>
          <w:b/>
          <w:sz w:val="24"/>
          <w:szCs w:val="24"/>
          <w:u w:val="single"/>
        </w:rPr>
        <w:t>Number of Taxa:</w:t>
      </w:r>
      <w:r w:rsidRPr="00D67735">
        <w:rPr>
          <w:sz w:val="24"/>
          <w:szCs w:val="24"/>
        </w:rPr>
        <w:t xml:space="preserve"> T</w:t>
      </w:r>
      <w:r w:rsidR="006F0D77">
        <w:rPr>
          <w:sz w:val="24"/>
          <w:szCs w:val="24"/>
        </w:rPr>
        <w:t>he number of families or genus/s</w:t>
      </w:r>
      <w:r w:rsidR="00437065">
        <w:rPr>
          <w:sz w:val="24"/>
          <w:szCs w:val="24"/>
        </w:rPr>
        <w:t>pecies</w:t>
      </w:r>
      <w:r w:rsidRPr="00D67735">
        <w:rPr>
          <w:sz w:val="24"/>
          <w:szCs w:val="24"/>
        </w:rPr>
        <w:t xml:space="preserve"> identified in the subsample.</w:t>
      </w:r>
      <w:r w:rsidR="00F835E7">
        <w:rPr>
          <w:sz w:val="24"/>
          <w:szCs w:val="24"/>
        </w:rPr>
        <w:t xml:space="preserve"> </w:t>
      </w:r>
    </w:p>
    <w:p w:rsidR="008D5B8C" w:rsidRPr="008D5B8C" w:rsidRDefault="008D5B8C" w:rsidP="008D5B8C">
      <w:pPr>
        <w:pStyle w:val="BodyTextIndent"/>
        <w:spacing w:after="0"/>
        <w:ind w:left="0"/>
        <w:rPr>
          <w:sz w:val="24"/>
          <w:szCs w:val="24"/>
          <w:u w:val="single"/>
        </w:rPr>
      </w:pPr>
    </w:p>
    <w:p w:rsidR="00390AB7" w:rsidRDefault="006F0D77" w:rsidP="006F0D77">
      <w:pPr>
        <w:pStyle w:val="BodyTextIndent"/>
        <w:spacing w:after="0"/>
        <w:rPr>
          <w:sz w:val="24"/>
          <w:szCs w:val="24"/>
        </w:rPr>
      </w:pPr>
      <w:r>
        <w:rPr>
          <w:sz w:val="24"/>
          <w:szCs w:val="24"/>
        </w:rPr>
        <w:t>Taxa are group</w:t>
      </w:r>
      <w:r w:rsidR="00DA6A96">
        <w:rPr>
          <w:sz w:val="24"/>
          <w:szCs w:val="24"/>
        </w:rPr>
        <w:t>s</w:t>
      </w:r>
      <w:r>
        <w:rPr>
          <w:sz w:val="24"/>
          <w:szCs w:val="24"/>
        </w:rPr>
        <w:t xml:space="preserve"> of organisms</w:t>
      </w:r>
      <w:r w:rsidRPr="008868EE">
        <w:rPr>
          <w:sz w:val="24"/>
          <w:szCs w:val="24"/>
        </w:rPr>
        <w:t xml:space="preserve"> and can refer to any level of </w:t>
      </w:r>
      <w:r>
        <w:rPr>
          <w:sz w:val="24"/>
          <w:szCs w:val="24"/>
        </w:rPr>
        <w:t xml:space="preserve">phylogenetic </w:t>
      </w:r>
      <w:r w:rsidRPr="008868EE">
        <w:rPr>
          <w:sz w:val="24"/>
          <w:szCs w:val="24"/>
        </w:rPr>
        <w:t xml:space="preserve">classification (kingdom, phylum, class, </w:t>
      </w:r>
      <w:r>
        <w:rPr>
          <w:sz w:val="24"/>
          <w:szCs w:val="24"/>
        </w:rPr>
        <w:t xml:space="preserve">order, family, genus, and species).  </w:t>
      </w:r>
      <w:r w:rsidRPr="008868EE">
        <w:rPr>
          <w:sz w:val="24"/>
          <w:szCs w:val="24"/>
        </w:rPr>
        <w:t xml:space="preserve">The number of different types </w:t>
      </w:r>
      <w:r>
        <w:rPr>
          <w:sz w:val="24"/>
          <w:szCs w:val="24"/>
        </w:rPr>
        <w:t>of any given taxa, or taxa richness,</w:t>
      </w:r>
      <w:r w:rsidRPr="008868EE">
        <w:rPr>
          <w:sz w:val="24"/>
          <w:szCs w:val="24"/>
        </w:rPr>
        <w:t xml:space="preserve"> in the collection </w:t>
      </w:r>
      <w:r>
        <w:rPr>
          <w:sz w:val="24"/>
          <w:szCs w:val="24"/>
        </w:rPr>
        <w:t>is a measure of</w:t>
      </w:r>
      <w:r w:rsidRPr="008868EE">
        <w:rPr>
          <w:sz w:val="24"/>
          <w:szCs w:val="24"/>
        </w:rPr>
        <w:t xml:space="preserve"> biodiversity.</w:t>
      </w:r>
      <w:r>
        <w:rPr>
          <w:sz w:val="24"/>
          <w:szCs w:val="24"/>
        </w:rPr>
        <w:t xml:space="preserve">  Taxa richness generally increases with increasing water quality, habitat diversity, and habitat suitability.</w:t>
      </w:r>
    </w:p>
    <w:p w:rsidR="00390AB7" w:rsidRDefault="00390AB7" w:rsidP="00390AB7">
      <w:pPr>
        <w:pStyle w:val="BodyTextIndent"/>
        <w:spacing w:after="0"/>
        <w:ind w:left="0"/>
        <w:rPr>
          <w:sz w:val="24"/>
          <w:szCs w:val="24"/>
          <w:u w:val="single"/>
        </w:rPr>
      </w:pPr>
    </w:p>
    <w:p w:rsidR="008868EE" w:rsidRDefault="00446D5E" w:rsidP="008868EE">
      <w:pPr>
        <w:numPr>
          <w:ilvl w:val="0"/>
          <w:numId w:val="2"/>
        </w:numPr>
        <w:rPr>
          <w:sz w:val="24"/>
          <w:szCs w:val="24"/>
        </w:rPr>
      </w:pPr>
      <w:r w:rsidRPr="00D67735">
        <w:rPr>
          <w:b/>
          <w:sz w:val="24"/>
          <w:szCs w:val="24"/>
          <w:u w:val="single"/>
        </w:rPr>
        <w:t xml:space="preserve">EPT </w:t>
      </w:r>
      <w:r w:rsidR="00CE08EB">
        <w:rPr>
          <w:b/>
          <w:sz w:val="24"/>
          <w:szCs w:val="24"/>
          <w:u w:val="single"/>
        </w:rPr>
        <w:t>Index</w:t>
      </w:r>
      <w:r w:rsidRPr="00D67735">
        <w:rPr>
          <w:b/>
          <w:sz w:val="24"/>
          <w:szCs w:val="24"/>
          <w:u w:val="single"/>
        </w:rPr>
        <w:t>:</w:t>
      </w:r>
      <w:r w:rsidR="00E603FD">
        <w:rPr>
          <w:sz w:val="24"/>
          <w:szCs w:val="24"/>
        </w:rPr>
        <w:t xml:space="preserve"> T</w:t>
      </w:r>
      <w:r w:rsidRPr="00D67735">
        <w:rPr>
          <w:sz w:val="24"/>
          <w:szCs w:val="24"/>
        </w:rPr>
        <w:t xml:space="preserve">otal number of </w:t>
      </w:r>
      <w:r w:rsidR="00922326">
        <w:rPr>
          <w:sz w:val="24"/>
          <w:szCs w:val="24"/>
        </w:rPr>
        <w:t>distinct taxa</w:t>
      </w:r>
      <w:r w:rsidR="00235A02">
        <w:rPr>
          <w:sz w:val="24"/>
          <w:szCs w:val="24"/>
        </w:rPr>
        <w:t xml:space="preserve"> in the</w:t>
      </w:r>
      <w:r w:rsidRPr="00D67735">
        <w:rPr>
          <w:sz w:val="24"/>
          <w:szCs w:val="24"/>
        </w:rPr>
        <w:t xml:space="preserve"> Orders Ephemeroptera, Plecoptera, and Trichoptera</w:t>
      </w:r>
      <w:r w:rsidR="009C353F">
        <w:rPr>
          <w:sz w:val="24"/>
          <w:szCs w:val="24"/>
        </w:rPr>
        <w:t>.</w:t>
      </w:r>
    </w:p>
    <w:p w:rsidR="008868EE" w:rsidRPr="008868EE" w:rsidRDefault="008868EE" w:rsidP="008868EE">
      <w:pPr>
        <w:rPr>
          <w:sz w:val="24"/>
          <w:szCs w:val="24"/>
        </w:rPr>
      </w:pPr>
    </w:p>
    <w:p w:rsidR="008868EE" w:rsidRPr="008868EE" w:rsidRDefault="008868EE" w:rsidP="008868EE">
      <w:pPr>
        <w:ind w:left="360"/>
        <w:rPr>
          <w:sz w:val="24"/>
          <w:szCs w:val="24"/>
        </w:rPr>
      </w:pPr>
      <w:r w:rsidRPr="008868EE">
        <w:rPr>
          <w:sz w:val="24"/>
          <w:szCs w:val="24"/>
        </w:rPr>
        <w:t>The EPT Index summarizes the richness</w:t>
      </w:r>
      <w:r w:rsidR="00207A2D">
        <w:rPr>
          <w:sz w:val="24"/>
          <w:szCs w:val="24"/>
        </w:rPr>
        <w:t xml:space="preserve"> in groups that are generally considered</w:t>
      </w:r>
      <w:r w:rsidRPr="008868EE">
        <w:rPr>
          <w:sz w:val="24"/>
          <w:szCs w:val="24"/>
        </w:rPr>
        <w:t xml:space="preserve"> pollution sensitive (</w:t>
      </w:r>
      <w:r w:rsidR="00207A2D" w:rsidRPr="00207A2D">
        <w:rPr>
          <w:sz w:val="24"/>
          <w:szCs w:val="24"/>
        </w:rPr>
        <w:t>E</w:t>
      </w:r>
      <w:r w:rsidRPr="008868EE">
        <w:rPr>
          <w:sz w:val="24"/>
          <w:szCs w:val="24"/>
        </w:rPr>
        <w:t xml:space="preserve">phemeroptera / </w:t>
      </w:r>
      <w:r w:rsidRPr="00207A2D">
        <w:rPr>
          <w:sz w:val="24"/>
          <w:szCs w:val="24"/>
        </w:rPr>
        <w:t xml:space="preserve">mayflies; Plecoptera / stoneflies; </w:t>
      </w:r>
      <w:r w:rsidR="00E278D8" w:rsidRPr="00207A2D">
        <w:rPr>
          <w:sz w:val="24"/>
          <w:szCs w:val="24"/>
        </w:rPr>
        <w:t>Trichoptera</w:t>
      </w:r>
      <w:r w:rsidRPr="00207A2D">
        <w:rPr>
          <w:sz w:val="24"/>
          <w:szCs w:val="24"/>
        </w:rPr>
        <w:t xml:space="preserve"> / caddisflies</w:t>
      </w:r>
      <w:r w:rsidRPr="008868EE">
        <w:rPr>
          <w:sz w:val="24"/>
          <w:szCs w:val="24"/>
        </w:rPr>
        <w:t>).</w:t>
      </w:r>
      <w:r w:rsidR="00235A02">
        <w:rPr>
          <w:sz w:val="24"/>
          <w:szCs w:val="24"/>
        </w:rPr>
        <w:t xml:space="preserve">  The EPT Index generally increases with increasing water quality.</w:t>
      </w:r>
      <w:r w:rsidRPr="008868EE">
        <w:rPr>
          <w:sz w:val="24"/>
          <w:szCs w:val="24"/>
        </w:rPr>
        <w:t xml:space="preserve">  This metric may be particularly useful for indicating nutrient enrichment in small streams.</w:t>
      </w:r>
    </w:p>
    <w:p w:rsidR="00090A76" w:rsidRPr="008868EE" w:rsidRDefault="00090A76" w:rsidP="00090A76">
      <w:pPr>
        <w:rPr>
          <w:sz w:val="24"/>
          <w:szCs w:val="24"/>
        </w:rPr>
      </w:pPr>
    </w:p>
    <w:p w:rsidR="008D5B8C" w:rsidRPr="008868EE" w:rsidRDefault="00446D5E" w:rsidP="00F835E7">
      <w:pPr>
        <w:pStyle w:val="BodyTextIndent"/>
        <w:numPr>
          <w:ilvl w:val="0"/>
          <w:numId w:val="2"/>
        </w:numPr>
        <w:spacing w:after="0"/>
        <w:rPr>
          <w:sz w:val="24"/>
          <w:szCs w:val="24"/>
        </w:rPr>
      </w:pPr>
      <w:r w:rsidRPr="008868EE">
        <w:rPr>
          <w:b/>
          <w:sz w:val="24"/>
          <w:szCs w:val="24"/>
          <w:u w:val="single"/>
        </w:rPr>
        <w:t>Percent Dominant Taxa:</w:t>
      </w:r>
      <w:r w:rsidR="004F327C">
        <w:rPr>
          <w:sz w:val="24"/>
          <w:szCs w:val="24"/>
        </w:rPr>
        <w:t xml:space="preserve"> The highest</w:t>
      </w:r>
      <w:r w:rsidRPr="008868EE">
        <w:rPr>
          <w:sz w:val="24"/>
          <w:szCs w:val="24"/>
        </w:rPr>
        <w:t xml:space="preserve"> number of individuals </w:t>
      </w:r>
      <w:r w:rsidR="00390AB7">
        <w:rPr>
          <w:sz w:val="24"/>
          <w:szCs w:val="24"/>
        </w:rPr>
        <w:t>in</w:t>
      </w:r>
      <w:r w:rsidR="00390AB7" w:rsidRPr="008868EE">
        <w:rPr>
          <w:sz w:val="24"/>
          <w:szCs w:val="24"/>
        </w:rPr>
        <w:t xml:space="preserve"> </w:t>
      </w:r>
      <w:r w:rsidRPr="008868EE">
        <w:rPr>
          <w:sz w:val="24"/>
          <w:szCs w:val="24"/>
        </w:rPr>
        <w:t xml:space="preserve">a given </w:t>
      </w:r>
      <w:r w:rsidR="00390AB7">
        <w:rPr>
          <w:sz w:val="24"/>
          <w:szCs w:val="24"/>
        </w:rPr>
        <w:t>taxa</w:t>
      </w:r>
      <w:r w:rsidRPr="008868EE">
        <w:rPr>
          <w:sz w:val="24"/>
          <w:szCs w:val="24"/>
        </w:rPr>
        <w:t xml:space="preserve"> divided by the total number of individuals in the subsample.</w:t>
      </w:r>
      <w:r w:rsidR="00F835E7" w:rsidRPr="008868EE">
        <w:rPr>
          <w:sz w:val="24"/>
          <w:szCs w:val="24"/>
        </w:rPr>
        <w:t xml:space="preserve"> </w:t>
      </w:r>
    </w:p>
    <w:p w:rsidR="008D5B8C" w:rsidRPr="008868EE" w:rsidRDefault="008D5B8C" w:rsidP="008D5B8C">
      <w:pPr>
        <w:pStyle w:val="BodyTextIndent"/>
        <w:spacing w:after="0"/>
        <w:ind w:left="0"/>
        <w:rPr>
          <w:b/>
          <w:sz w:val="24"/>
          <w:szCs w:val="24"/>
          <w:u w:val="single"/>
        </w:rPr>
      </w:pPr>
    </w:p>
    <w:p w:rsidR="00446D5E" w:rsidRPr="008868EE" w:rsidRDefault="008D5B8C" w:rsidP="008D5B8C">
      <w:pPr>
        <w:pStyle w:val="BodyTextIndent"/>
        <w:spacing w:after="0"/>
        <w:rPr>
          <w:sz w:val="24"/>
          <w:szCs w:val="24"/>
        </w:rPr>
      </w:pPr>
      <w:r w:rsidRPr="008868EE">
        <w:rPr>
          <w:sz w:val="24"/>
          <w:szCs w:val="24"/>
        </w:rPr>
        <w:t xml:space="preserve">The </w:t>
      </w:r>
      <w:r w:rsidR="004F327C">
        <w:rPr>
          <w:sz w:val="24"/>
          <w:szCs w:val="24"/>
        </w:rPr>
        <w:t>Percent</w:t>
      </w:r>
      <w:r w:rsidR="00F835E7" w:rsidRPr="008868EE">
        <w:rPr>
          <w:sz w:val="24"/>
          <w:szCs w:val="24"/>
        </w:rPr>
        <w:t xml:space="preserve"> Dominant </w:t>
      </w:r>
      <w:r w:rsidR="004F327C">
        <w:rPr>
          <w:sz w:val="24"/>
          <w:szCs w:val="24"/>
        </w:rPr>
        <w:t>Taxa</w:t>
      </w:r>
      <w:r w:rsidR="00F835E7" w:rsidRPr="008868EE">
        <w:rPr>
          <w:sz w:val="24"/>
          <w:szCs w:val="24"/>
        </w:rPr>
        <w:t xml:space="preserve"> </w:t>
      </w:r>
      <w:r w:rsidR="00C46F5F">
        <w:rPr>
          <w:sz w:val="24"/>
          <w:szCs w:val="24"/>
        </w:rPr>
        <w:t xml:space="preserve">can </w:t>
      </w:r>
      <w:r w:rsidR="00F835E7" w:rsidRPr="008868EE">
        <w:rPr>
          <w:sz w:val="24"/>
          <w:szCs w:val="24"/>
        </w:rPr>
        <w:t xml:space="preserve">reveal an overabundance of one group and little diversity in the community.  Characteristics of the dominant group can indicate the problem (e.g., only one habitat type present, little dissolved oxygen, high nutrients or presence of a particular toxin which does not affect the dominant group).  A high number indicates environmental stress. </w:t>
      </w:r>
    </w:p>
    <w:p w:rsidR="00090A76" w:rsidRPr="008868EE" w:rsidRDefault="00090A76" w:rsidP="00090A76">
      <w:pPr>
        <w:rPr>
          <w:sz w:val="24"/>
          <w:szCs w:val="24"/>
        </w:rPr>
      </w:pPr>
    </w:p>
    <w:p w:rsidR="00446D5E" w:rsidRPr="008868EE" w:rsidRDefault="00446D5E" w:rsidP="00446D5E">
      <w:pPr>
        <w:numPr>
          <w:ilvl w:val="0"/>
          <w:numId w:val="2"/>
        </w:numPr>
        <w:rPr>
          <w:sz w:val="24"/>
          <w:szCs w:val="24"/>
        </w:rPr>
      </w:pPr>
      <w:r w:rsidRPr="00B41211">
        <w:rPr>
          <w:b/>
          <w:sz w:val="24"/>
          <w:szCs w:val="24"/>
          <w:u w:val="single"/>
        </w:rPr>
        <w:t>Ratio of EPT to Chironomid</w:t>
      </w:r>
      <w:r w:rsidR="00C46F5F" w:rsidRPr="00B41211">
        <w:rPr>
          <w:b/>
          <w:sz w:val="24"/>
          <w:szCs w:val="24"/>
          <w:u w:val="single"/>
        </w:rPr>
        <w:t>ae</w:t>
      </w:r>
      <w:r w:rsidRPr="00B41211">
        <w:rPr>
          <w:b/>
          <w:sz w:val="24"/>
          <w:szCs w:val="24"/>
          <w:u w:val="single"/>
        </w:rPr>
        <w:t>:</w:t>
      </w:r>
      <w:r w:rsidR="00E603FD" w:rsidRPr="00B41211">
        <w:rPr>
          <w:sz w:val="24"/>
          <w:szCs w:val="24"/>
        </w:rPr>
        <w:t xml:space="preserve"> T</w:t>
      </w:r>
      <w:r w:rsidRPr="00B41211">
        <w:rPr>
          <w:sz w:val="24"/>
          <w:szCs w:val="24"/>
        </w:rPr>
        <w:t>otal number</w:t>
      </w:r>
      <w:r w:rsidRPr="008868EE">
        <w:rPr>
          <w:sz w:val="24"/>
          <w:szCs w:val="24"/>
        </w:rPr>
        <w:t xml:space="preserve"> of individuals </w:t>
      </w:r>
      <w:r w:rsidR="00C46F5F">
        <w:rPr>
          <w:sz w:val="24"/>
          <w:szCs w:val="24"/>
        </w:rPr>
        <w:t>in</w:t>
      </w:r>
      <w:r w:rsidR="00C46F5F" w:rsidRPr="008868EE">
        <w:rPr>
          <w:sz w:val="24"/>
          <w:szCs w:val="24"/>
        </w:rPr>
        <w:t xml:space="preserve"> </w:t>
      </w:r>
      <w:r w:rsidRPr="008868EE">
        <w:rPr>
          <w:sz w:val="24"/>
          <w:szCs w:val="24"/>
        </w:rPr>
        <w:t>Orders Ephemeroptera, Plecoptera, and Trichoptera divided by the total number of Chironomidae</w:t>
      </w:r>
      <w:r w:rsidR="00C46F5F">
        <w:rPr>
          <w:sz w:val="24"/>
          <w:szCs w:val="24"/>
        </w:rPr>
        <w:t xml:space="preserve"> individuals</w:t>
      </w:r>
      <w:r w:rsidRPr="008868EE">
        <w:rPr>
          <w:sz w:val="24"/>
          <w:szCs w:val="24"/>
        </w:rPr>
        <w:t>.</w:t>
      </w:r>
    </w:p>
    <w:p w:rsidR="008868EE" w:rsidRPr="008868EE" w:rsidRDefault="008868EE" w:rsidP="008868EE">
      <w:pPr>
        <w:rPr>
          <w:b/>
          <w:sz w:val="24"/>
          <w:szCs w:val="24"/>
          <w:u w:val="single"/>
        </w:rPr>
      </w:pPr>
    </w:p>
    <w:p w:rsidR="008868EE" w:rsidRPr="008868EE" w:rsidRDefault="008868EE" w:rsidP="008868EE">
      <w:pPr>
        <w:ind w:left="360"/>
        <w:rPr>
          <w:sz w:val="24"/>
          <w:szCs w:val="24"/>
        </w:rPr>
      </w:pPr>
      <w:r w:rsidRPr="00235A02">
        <w:rPr>
          <w:sz w:val="24"/>
          <w:szCs w:val="24"/>
        </w:rPr>
        <w:t xml:space="preserve">The Ratio of EPT </w:t>
      </w:r>
      <w:r w:rsidR="00C46F5F">
        <w:rPr>
          <w:sz w:val="24"/>
          <w:szCs w:val="24"/>
        </w:rPr>
        <w:t>to</w:t>
      </w:r>
      <w:r w:rsidR="00C46F5F" w:rsidRPr="00235A02">
        <w:rPr>
          <w:sz w:val="24"/>
          <w:szCs w:val="24"/>
        </w:rPr>
        <w:t xml:space="preserve"> </w:t>
      </w:r>
      <w:r w:rsidRPr="00235A02">
        <w:rPr>
          <w:sz w:val="24"/>
          <w:szCs w:val="24"/>
        </w:rPr>
        <w:t>Chironomidae abundance</w:t>
      </w:r>
      <w:r w:rsidRPr="008868EE">
        <w:rPr>
          <w:sz w:val="24"/>
          <w:szCs w:val="24"/>
        </w:rPr>
        <w:t xml:space="preserve"> shows the number of indiv</w:t>
      </w:r>
      <w:r w:rsidR="00B20CC5">
        <w:rPr>
          <w:sz w:val="24"/>
          <w:szCs w:val="24"/>
        </w:rPr>
        <w:t>iduals from</w:t>
      </w:r>
      <w:r w:rsidRPr="008868EE">
        <w:rPr>
          <w:sz w:val="24"/>
          <w:szCs w:val="24"/>
        </w:rPr>
        <w:t xml:space="preserve"> sensitive </w:t>
      </w:r>
      <w:r w:rsidR="00B20CC5">
        <w:rPr>
          <w:sz w:val="24"/>
          <w:szCs w:val="24"/>
        </w:rPr>
        <w:t>orders</w:t>
      </w:r>
      <w:r w:rsidRPr="00B20CC5">
        <w:rPr>
          <w:sz w:val="24"/>
          <w:szCs w:val="24"/>
        </w:rPr>
        <w:t xml:space="preserve"> (Ephemeroptera / mayflies; Plecoptera / stoneflies; </w:t>
      </w:r>
      <w:r w:rsidR="00E278D8" w:rsidRPr="00B20CC5">
        <w:rPr>
          <w:sz w:val="24"/>
          <w:szCs w:val="24"/>
        </w:rPr>
        <w:t>Trichoptera</w:t>
      </w:r>
      <w:r w:rsidRPr="008868EE">
        <w:rPr>
          <w:sz w:val="24"/>
          <w:szCs w:val="24"/>
        </w:rPr>
        <w:t xml:space="preserve"> / caddisflies) compared to pollution tolerant midges or gnats (Ch</w:t>
      </w:r>
      <w:r w:rsidR="00235A02">
        <w:rPr>
          <w:sz w:val="24"/>
          <w:szCs w:val="24"/>
        </w:rPr>
        <w:t>i</w:t>
      </w:r>
      <w:r w:rsidRPr="008868EE">
        <w:rPr>
          <w:sz w:val="24"/>
          <w:szCs w:val="24"/>
        </w:rPr>
        <w:t>r</w:t>
      </w:r>
      <w:r w:rsidR="00235A02">
        <w:rPr>
          <w:sz w:val="24"/>
          <w:szCs w:val="24"/>
        </w:rPr>
        <w:t>o</w:t>
      </w:r>
      <w:r w:rsidRPr="008868EE">
        <w:rPr>
          <w:sz w:val="24"/>
          <w:szCs w:val="24"/>
        </w:rPr>
        <w:t xml:space="preserve">nomidae).  </w:t>
      </w:r>
      <w:r w:rsidR="00C46F5F">
        <w:rPr>
          <w:sz w:val="24"/>
          <w:szCs w:val="24"/>
        </w:rPr>
        <w:t>A</w:t>
      </w:r>
      <w:r w:rsidR="00C46F5F" w:rsidRPr="008868EE">
        <w:rPr>
          <w:sz w:val="24"/>
          <w:szCs w:val="24"/>
        </w:rPr>
        <w:t xml:space="preserve"> </w:t>
      </w:r>
      <w:r w:rsidRPr="008868EE">
        <w:rPr>
          <w:sz w:val="24"/>
          <w:szCs w:val="24"/>
        </w:rPr>
        <w:t>high ratio indicates low levels of heavy metals (e.g., copper, mercury, aluminum), higher dissolved oxygen, and lower nutrients.</w:t>
      </w:r>
    </w:p>
    <w:p w:rsidR="00090A76" w:rsidRPr="008868EE" w:rsidRDefault="00090A76" w:rsidP="00090A76">
      <w:pPr>
        <w:rPr>
          <w:sz w:val="24"/>
          <w:szCs w:val="24"/>
        </w:rPr>
      </w:pPr>
    </w:p>
    <w:p w:rsidR="00446D5E" w:rsidRPr="00A125E0" w:rsidRDefault="008868EE" w:rsidP="00446D5E">
      <w:pPr>
        <w:numPr>
          <w:ilvl w:val="0"/>
          <w:numId w:val="2"/>
        </w:numPr>
        <w:rPr>
          <w:sz w:val="24"/>
          <w:szCs w:val="24"/>
        </w:rPr>
      </w:pPr>
      <w:r w:rsidRPr="008868EE">
        <w:rPr>
          <w:b/>
          <w:sz w:val="24"/>
          <w:szCs w:val="24"/>
          <w:u w:val="single"/>
        </w:rPr>
        <w:t xml:space="preserve">Modified </w:t>
      </w:r>
      <w:r w:rsidR="00446D5E" w:rsidRPr="00A125E0">
        <w:rPr>
          <w:b/>
          <w:sz w:val="24"/>
          <w:szCs w:val="24"/>
          <w:u w:val="single"/>
        </w:rPr>
        <w:t>Hilsenhoff Biotic Index (HBI):</w:t>
      </w:r>
      <w:r w:rsidR="00446D5E" w:rsidRPr="00A125E0">
        <w:rPr>
          <w:sz w:val="24"/>
          <w:szCs w:val="24"/>
        </w:rPr>
        <w:t xml:space="preserve"> Summation of the tolerance value times the number of individuals for a specific </w:t>
      </w:r>
      <w:r w:rsidR="00A125E0" w:rsidRPr="00A125E0">
        <w:rPr>
          <w:sz w:val="24"/>
          <w:szCs w:val="24"/>
        </w:rPr>
        <w:t>taxon</w:t>
      </w:r>
      <w:r w:rsidR="00446D5E" w:rsidRPr="00A125E0">
        <w:rPr>
          <w:sz w:val="24"/>
          <w:szCs w:val="24"/>
        </w:rPr>
        <w:t xml:space="preserve"> divided by the total count of individuals for </w:t>
      </w:r>
      <w:r w:rsidR="00A125E0" w:rsidRPr="00A125E0">
        <w:rPr>
          <w:sz w:val="24"/>
          <w:szCs w:val="24"/>
        </w:rPr>
        <w:t>all taxa</w:t>
      </w:r>
      <w:r w:rsidR="00446D5E" w:rsidRPr="00A125E0">
        <w:rPr>
          <w:sz w:val="24"/>
          <w:szCs w:val="24"/>
        </w:rPr>
        <w:t xml:space="preserve"> with a tolerance value.  </w:t>
      </w:r>
      <w:r w:rsidR="00F835E7" w:rsidRPr="00A125E0">
        <w:rPr>
          <w:sz w:val="24"/>
          <w:szCs w:val="24"/>
        </w:rPr>
        <w:t xml:space="preserve">The equation is </w:t>
      </w:r>
      <w:r w:rsidR="00A125E0" w:rsidRPr="00A125E0">
        <w:rPr>
          <w:sz w:val="24"/>
          <w:szCs w:val="24"/>
        </w:rPr>
        <w:t>H</w:t>
      </w:r>
      <w:r w:rsidR="00F835E7" w:rsidRPr="00A125E0">
        <w:rPr>
          <w:sz w:val="24"/>
          <w:szCs w:val="24"/>
        </w:rPr>
        <w:t xml:space="preserve">BI = sum of </w:t>
      </w:r>
      <w:r w:rsidR="008D5B8C" w:rsidRPr="00A125E0">
        <w:rPr>
          <w:sz w:val="24"/>
          <w:szCs w:val="24"/>
        </w:rPr>
        <w:t>[</w:t>
      </w:r>
      <w:r w:rsidR="00F835E7" w:rsidRPr="00A125E0">
        <w:rPr>
          <w:sz w:val="24"/>
          <w:szCs w:val="24"/>
        </w:rPr>
        <w:t>(</w:t>
      </w:r>
      <w:r w:rsidR="00F835E7" w:rsidRPr="00A125E0">
        <w:rPr>
          <w:i/>
          <w:sz w:val="24"/>
          <w:szCs w:val="24"/>
        </w:rPr>
        <w:t>x</w:t>
      </w:r>
      <w:r w:rsidR="00F835E7" w:rsidRPr="00A125E0">
        <w:rPr>
          <w:i/>
          <w:sz w:val="24"/>
          <w:szCs w:val="24"/>
          <w:vertAlign w:val="subscript"/>
        </w:rPr>
        <w:t>i</w:t>
      </w:r>
      <w:r w:rsidR="00F835E7" w:rsidRPr="00A125E0">
        <w:rPr>
          <w:sz w:val="24"/>
          <w:szCs w:val="24"/>
        </w:rPr>
        <w:t xml:space="preserve"> x </w:t>
      </w:r>
      <w:r w:rsidR="00F835E7" w:rsidRPr="00A125E0">
        <w:rPr>
          <w:i/>
          <w:sz w:val="24"/>
          <w:szCs w:val="24"/>
        </w:rPr>
        <w:t>t</w:t>
      </w:r>
      <w:r w:rsidR="008D5B8C" w:rsidRPr="00A125E0">
        <w:rPr>
          <w:i/>
          <w:sz w:val="24"/>
          <w:szCs w:val="24"/>
          <w:vertAlign w:val="subscript"/>
        </w:rPr>
        <w:t>i</w:t>
      </w:r>
      <w:r w:rsidR="00F835E7" w:rsidRPr="00A125E0">
        <w:rPr>
          <w:sz w:val="24"/>
          <w:szCs w:val="24"/>
        </w:rPr>
        <w:t xml:space="preserve">) / </w:t>
      </w:r>
      <w:r w:rsidR="00F835E7" w:rsidRPr="00A125E0">
        <w:rPr>
          <w:i/>
          <w:sz w:val="24"/>
          <w:szCs w:val="24"/>
        </w:rPr>
        <w:t>n</w:t>
      </w:r>
      <w:r w:rsidR="008D5B8C" w:rsidRPr="00A125E0">
        <w:rPr>
          <w:sz w:val="24"/>
          <w:szCs w:val="24"/>
        </w:rPr>
        <w:t>]</w:t>
      </w:r>
      <w:r w:rsidR="00F835E7" w:rsidRPr="00A125E0">
        <w:rPr>
          <w:sz w:val="24"/>
          <w:szCs w:val="24"/>
        </w:rPr>
        <w:t xml:space="preserve"> where </w:t>
      </w:r>
      <w:r w:rsidR="008D5B8C" w:rsidRPr="00A125E0">
        <w:rPr>
          <w:i/>
          <w:sz w:val="24"/>
          <w:szCs w:val="24"/>
        </w:rPr>
        <w:t>x</w:t>
      </w:r>
      <w:r w:rsidR="008D5B8C" w:rsidRPr="00A125E0">
        <w:rPr>
          <w:i/>
          <w:sz w:val="24"/>
          <w:szCs w:val="24"/>
          <w:vertAlign w:val="subscript"/>
        </w:rPr>
        <w:t>i</w:t>
      </w:r>
      <w:r w:rsidR="008D5B8C" w:rsidRPr="00A125E0">
        <w:rPr>
          <w:i/>
          <w:sz w:val="24"/>
          <w:szCs w:val="24"/>
        </w:rPr>
        <w:t xml:space="preserve"> </w:t>
      </w:r>
      <w:r w:rsidR="008D5B8C" w:rsidRPr="00A125E0">
        <w:rPr>
          <w:sz w:val="24"/>
          <w:szCs w:val="24"/>
        </w:rPr>
        <w:t xml:space="preserve">= number of individuals within a taxon; </w:t>
      </w:r>
      <w:r w:rsidR="008D5B8C" w:rsidRPr="00A125E0">
        <w:rPr>
          <w:i/>
          <w:sz w:val="24"/>
          <w:szCs w:val="24"/>
        </w:rPr>
        <w:t>t</w:t>
      </w:r>
      <w:r w:rsidR="008D5B8C" w:rsidRPr="00A125E0">
        <w:rPr>
          <w:i/>
          <w:sz w:val="24"/>
          <w:szCs w:val="24"/>
          <w:vertAlign w:val="subscript"/>
        </w:rPr>
        <w:t>i</w:t>
      </w:r>
      <w:r w:rsidR="008D5B8C" w:rsidRPr="00A125E0">
        <w:rPr>
          <w:sz w:val="24"/>
          <w:szCs w:val="24"/>
        </w:rPr>
        <w:t xml:space="preserve"> = tolerance value of that taxon and </w:t>
      </w:r>
      <w:r w:rsidR="008D5B8C" w:rsidRPr="007015B6">
        <w:rPr>
          <w:i/>
          <w:sz w:val="24"/>
          <w:szCs w:val="24"/>
        </w:rPr>
        <w:t>n</w:t>
      </w:r>
      <w:r w:rsidR="008D5B8C" w:rsidRPr="00A125E0">
        <w:rPr>
          <w:sz w:val="24"/>
          <w:szCs w:val="24"/>
        </w:rPr>
        <w:t xml:space="preserve"> = total number of organisms in the sample</w:t>
      </w:r>
      <w:r w:rsidR="00A125E0" w:rsidRPr="00A125E0">
        <w:rPr>
          <w:sz w:val="24"/>
          <w:szCs w:val="24"/>
        </w:rPr>
        <w:t xml:space="preserve"> with a tolerance value</w:t>
      </w:r>
      <w:r w:rsidR="008D5B8C" w:rsidRPr="00A125E0">
        <w:rPr>
          <w:sz w:val="24"/>
          <w:szCs w:val="24"/>
        </w:rPr>
        <w:t>.</w:t>
      </w:r>
      <w:r w:rsidR="00835B6C" w:rsidRPr="00A125E0">
        <w:rPr>
          <w:sz w:val="24"/>
          <w:szCs w:val="24"/>
        </w:rPr>
        <w:t xml:space="preserve"> </w:t>
      </w:r>
      <w:r w:rsidR="00A125E0" w:rsidRPr="00A125E0">
        <w:rPr>
          <w:sz w:val="24"/>
          <w:szCs w:val="24"/>
        </w:rPr>
        <w:t>H</w:t>
      </w:r>
      <w:r w:rsidR="00835B6C" w:rsidRPr="00A125E0">
        <w:rPr>
          <w:sz w:val="24"/>
          <w:szCs w:val="24"/>
        </w:rPr>
        <w:t>BI is the average of tolerance value of the sample.</w:t>
      </w:r>
    </w:p>
    <w:p w:rsidR="008868EE" w:rsidRPr="00A125E0" w:rsidRDefault="008868EE" w:rsidP="00446D5E">
      <w:pPr>
        <w:ind w:firstLine="360"/>
        <w:rPr>
          <w:sz w:val="24"/>
          <w:szCs w:val="24"/>
        </w:rPr>
      </w:pPr>
    </w:p>
    <w:p w:rsidR="00446D5E" w:rsidRPr="008868EE" w:rsidRDefault="00446D5E" w:rsidP="00446D5E">
      <w:pPr>
        <w:ind w:firstLine="360"/>
        <w:rPr>
          <w:sz w:val="24"/>
          <w:szCs w:val="24"/>
        </w:rPr>
      </w:pPr>
      <w:r w:rsidRPr="008868EE">
        <w:rPr>
          <w:sz w:val="24"/>
          <w:szCs w:val="24"/>
        </w:rPr>
        <w:t xml:space="preserve">Example:  </w:t>
      </w:r>
      <w:r w:rsidRPr="008868EE">
        <w:rPr>
          <w:sz w:val="24"/>
          <w:szCs w:val="24"/>
        </w:rPr>
        <w:tab/>
        <w:t xml:space="preserve">Belostomatidae </w:t>
      </w:r>
      <w:r w:rsidR="00721BAC" w:rsidRPr="008868EE">
        <w:rPr>
          <w:sz w:val="24"/>
          <w:szCs w:val="24"/>
        </w:rPr>
        <w:t xml:space="preserve">21 individuals </w:t>
      </w:r>
      <w:r w:rsidRPr="008868EE">
        <w:rPr>
          <w:sz w:val="24"/>
          <w:szCs w:val="24"/>
        </w:rPr>
        <w:t>(</w:t>
      </w:r>
      <w:r w:rsidR="00835B6C" w:rsidRPr="002741E5">
        <w:rPr>
          <w:i/>
          <w:sz w:val="24"/>
          <w:szCs w:val="24"/>
        </w:rPr>
        <w:t>t</w:t>
      </w:r>
      <w:r w:rsidR="00835B6C" w:rsidRPr="002741E5">
        <w:rPr>
          <w:i/>
          <w:sz w:val="24"/>
          <w:szCs w:val="24"/>
          <w:vertAlign w:val="subscript"/>
        </w:rPr>
        <w:t>i</w:t>
      </w:r>
      <w:r w:rsidR="00835B6C" w:rsidRPr="008868EE">
        <w:rPr>
          <w:sz w:val="24"/>
          <w:szCs w:val="24"/>
        </w:rPr>
        <w:t xml:space="preserve"> = </w:t>
      </w:r>
      <w:r w:rsidRPr="008868EE">
        <w:rPr>
          <w:sz w:val="24"/>
          <w:szCs w:val="24"/>
        </w:rPr>
        <w:t xml:space="preserve">no value) </w:t>
      </w:r>
    </w:p>
    <w:p w:rsidR="00446D5E" w:rsidRPr="008868EE" w:rsidRDefault="00446D5E" w:rsidP="00446D5E">
      <w:pPr>
        <w:ind w:left="720" w:firstLine="720"/>
        <w:rPr>
          <w:sz w:val="24"/>
          <w:szCs w:val="24"/>
        </w:rPr>
      </w:pPr>
      <w:r w:rsidRPr="008868EE">
        <w:rPr>
          <w:sz w:val="24"/>
          <w:szCs w:val="24"/>
        </w:rPr>
        <w:t xml:space="preserve">Baetidae </w:t>
      </w:r>
      <w:r w:rsidR="00721BAC" w:rsidRPr="008868EE">
        <w:rPr>
          <w:sz w:val="24"/>
          <w:szCs w:val="24"/>
        </w:rPr>
        <w:t xml:space="preserve">10 individuals </w:t>
      </w:r>
      <w:r w:rsidRPr="008868EE">
        <w:rPr>
          <w:sz w:val="24"/>
          <w:szCs w:val="24"/>
        </w:rPr>
        <w:t>(</w:t>
      </w:r>
      <w:r w:rsidR="00835B6C" w:rsidRPr="002741E5">
        <w:rPr>
          <w:i/>
          <w:sz w:val="24"/>
          <w:szCs w:val="24"/>
        </w:rPr>
        <w:t>t</w:t>
      </w:r>
      <w:r w:rsidR="00835B6C" w:rsidRPr="002741E5">
        <w:rPr>
          <w:i/>
          <w:sz w:val="24"/>
          <w:szCs w:val="24"/>
          <w:vertAlign w:val="subscript"/>
        </w:rPr>
        <w:t>i</w:t>
      </w:r>
      <w:r w:rsidR="00835B6C" w:rsidRPr="008868EE">
        <w:rPr>
          <w:sz w:val="24"/>
          <w:szCs w:val="24"/>
        </w:rPr>
        <w:t xml:space="preserve"> = </w:t>
      </w:r>
      <w:r w:rsidRPr="008868EE">
        <w:rPr>
          <w:sz w:val="24"/>
          <w:szCs w:val="24"/>
        </w:rPr>
        <w:t xml:space="preserve">4) </w:t>
      </w:r>
    </w:p>
    <w:p w:rsidR="00446D5E" w:rsidRPr="008868EE" w:rsidRDefault="00446D5E" w:rsidP="00446D5E">
      <w:pPr>
        <w:ind w:left="720" w:firstLine="720"/>
        <w:rPr>
          <w:sz w:val="24"/>
          <w:szCs w:val="24"/>
        </w:rPr>
      </w:pPr>
      <w:r w:rsidRPr="008868EE">
        <w:rPr>
          <w:sz w:val="24"/>
          <w:szCs w:val="24"/>
        </w:rPr>
        <w:t>Chironomidae (blood red)</w:t>
      </w:r>
      <w:r w:rsidR="00721BAC" w:rsidRPr="00721BAC">
        <w:rPr>
          <w:sz w:val="24"/>
          <w:szCs w:val="24"/>
        </w:rPr>
        <w:t xml:space="preserve"> </w:t>
      </w:r>
      <w:r w:rsidR="00721BAC" w:rsidRPr="008868EE">
        <w:rPr>
          <w:sz w:val="24"/>
          <w:szCs w:val="24"/>
        </w:rPr>
        <w:t xml:space="preserve">40 individuals </w:t>
      </w:r>
      <w:r w:rsidRPr="008868EE">
        <w:rPr>
          <w:sz w:val="24"/>
          <w:szCs w:val="24"/>
        </w:rPr>
        <w:t>(</w:t>
      </w:r>
      <w:r w:rsidR="00835B6C" w:rsidRPr="002741E5">
        <w:rPr>
          <w:i/>
          <w:sz w:val="24"/>
          <w:szCs w:val="24"/>
        </w:rPr>
        <w:t>t</w:t>
      </w:r>
      <w:r w:rsidR="00835B6C" w:rsidRPr="002741E5">
        <w:rPr>
          <w:i/>
          <w:sz w:val="24"/>
          <w:szCs w:val="24"/>
          <w:vertAlign w:val="subscript"/>
        </w:rPr>
        <w:t>i</w:t>
      </w:r>
      <w:r w:rsidR="00835B6C" w:rsidRPr="008868EE">
        <w:rPr>
          <w:sz w:val="24"/>
          <w:szCs w:val="24"/>
        </w:rPr>
        <w:t xml:space="preserve"> = </w:t>
      </w:r>
      <w:r w:rsidRPr="008868EE">
        <w:rPr>
          <w:sz w:val="24"/>
          <w:szCs w:val="24"/>
        </w:rPr>
        <w:t xml:space="preserve">8) </w:t>
      </w:r>
    </w:p>
    <w:p w:rsidR="00446D5E" w:rsidRPr="008868EE" w:rsidRDefault="00721BAC" w:rsidP="00446D5E">
      <w:pPr>
        <w:ind w:left="720" w:firstLine="720"/>
        <w:rPr>
          <w:sz w:val="24"/>
          <w:szCs w:val="24"/>
        </w:rPr>
      </w:pPr>
      <w:r>
        <w:rPr>
          <w:sz w:val="24"/>
          <w:szCs w:val="24"/>
        </w:rPr>
        <w:t>(10x4) + (40x8</w:t>
      </w:r>
      <w:r w:rsidR="00446D5E" w:rsidRPr="008868EE">
        <w:rPr>
          <w:sz w:val="24"/>
          <w:szCs w:val="24"/>
        </w:rPr>
        <w:t>) / (10 + 40</w:t>
      </w:r>
      <w:r w:rsidR="00EF056C" w:rsidRPr="008868EE">
        <w:rPr>
          <w:sz w:val="24"/>
          <w:szCs w:val="24"/>
        </w:rPr>
        <w:t>) =</w:t>
      </w:r>
      <w:r w:rsidR="00446D5E" w:rsidRPr="008868EE">
        <w:rPr>
          <w:sz w:val="24"/>
          <w:szCs w:val="24"/>
        </w:rPr>
        <w:t xml:space="preserve"> (40+320) / 50</w:t>
      </w:r>
      <w:r w:rsidR="00EF056C" w:rsidRPr="008868EE">
        <w:rPr>
          <w:sz w:val="24"/>
          <w:szCs w:val="24"/>
        </w:rPr>
        <w:t>= 7.2</w:t>
      </w:r>
      <w:r w:rsidR="00446D5E" w:rsidRPr="008868EE">
        <w:rPr>
          <w:sz w:val="24"/>
          <w:szCs w:val="24"/>
        </w:rPr>
        <w:t xml:space="preserve"> Family Level HBI score</w:t>
      </w:r>
    </w:p>
    <w:p w:rsidR="008D5B8C" w:rsidRPr="008868EE" w:rsidRDefault="008D5B8C" w:rsidP="00446D5E">
      <w:pPr>
        <w:ind w:left="720" w:firstLine="720"/>
        <w:rPr>
          <w:sz w:val="24"/>
          <w:szCs w:val="24"/>
        </w:rPr>
      </w:pPr>
    </w:p>
    <w:p w:rsidR="008D5B8C" w:rsidRPr="008868EE" w:rsidRDefault="008D5B8C" w:rsidP="008D5B8C">
      <w:pPr>
        <w:ind w:left="360"/>
        <w:rPr>
          <w:sz w:val="24"/>
          <w:szCs w:val="24"/>
        </w:rPr>
      </w:pPr>
      <w:r w:rsidRPr="008868EE">
        <w:rPr>
          <w:sz w:val="24"/>
          <w:szCs w:val="24"/>
        </w:rPr>
        <w:t>The HBI is a rating for tolerance to organic pollutants (nutrients / fertilizers), but may also indicate toxic pollutants (e.g., heavy metals, pesticides).  Pollution tolerant organisms have higher scores.</w:t>
      </w:r>
    </w:p>
    <w:p w:rsidR="00446D5E" w:rsidRPr="008868EE" w:rsidRDefault="00446D5E" w:rsidP="00446D5E">
      <w:pPr>
        <w:rPr>
          <w:sz w:val="24"/>
          <w:szCs w:val="24"/>
        </w:rPr>
      </w:pPr>
    </w:p>
    <w:p w:rsidR="00446D5E" w:rsidRPr="008868EE" w:rsidRDefault="00446D5E" w:rsidP="00446D5E">
      <w:pPr>
        <w:numPr>
          <w:ilvl w:val="0"/>
          <w:numId w:val="2"/>
        </w:numPr>
        <w:rPr>
          <w:sz w:val="24"/>
          <w:szCs w:val="24"/>
        </w:rPr>
      </w:pPr>
      <w:r w:rsidRPr="008868EE">
        <w:rPr>
          <w:b/>
          <w:sz w:val="24"/>
          <w:szCs w:val="24"/>
          <w:u w:val="single"/>
        </w:rPr>
        <w:t>Ratio of Sc</w:t>
      </w:r>
      <w:r w:rsidR="00B74AA4">
        <w:rPr>
          <w:b/>
          <w:sz w:val="24"/>
          <w:szCs w:val="24"/>
          <w:u w:val="single"/>
        </w:rPr>
        <w:t>rapers to Filtering Collectors</w:t>
      </w:r>
      <w:r w:rsidRPr="008868EE">
        <w:rPr>
          <w:b/>
          <w:sz w:val="24"/>
          <w:szCs w:val="24"/>
          <w:u w:val="single"/>
        </w:rPr>
        <w:t>:</w:t>
      </w:r>
      <w:r w:rsidR="00E603FD">
        <w:rPr>
          <w:sz w:val="24"/>
          <w:szCs w:val="24"/>
        </w:rPr>
        <w:t xml:space="preserve"> T</w:t>
      </w:r>
      <w:r w:rsidRPr="008868EE">
        <w:rPr>
          <w:sz w:val="24"/>
          <w:szCs w:val="24"/>
        </w:rPr>
        <w:t>otal number of individuals classified as a scr</w:t>
      </w:r>
      <w:r w:rsidR="00B74AA4">
        <w:rPr>
          <w:sz w:val="24"/>
          <w:szCs w:val="24"/>
        </w:rPr>
        <w:t>aper functional feeding group divided by</w:t>
      </w:r>
      <w:r w:rsidRPr="008868EE">
        <w:rPr>
          <w:sz w:val="24"/>
          <w:szCs w:val="24"/>
        </w:rPr>
        <w:t xml:space="preserve"> the total number of </w:t>
      </w:r>
      <w:r w:rsidR="00B74AA4">
        <w:rPr>
          <w:sz w:val="24"/>
          <w:szCs w:val="24"/>
        </w:rPr>
        <w:t>individuals feeding as a filte</w:t>
      </w:r>
      <w:r w:rsidRPr="008868EE">
        <w:rPr>
          <w:sz w:val="24"/>
          <w:szCs w:val="24"/>
        </w:rPr>
        <w:t>r</w:t>
      </w:r>
      <w:r w:rsidR="00B74AA4">
        <w:rPr>
          <w:sz w:val="24"/>
          <w:szCs w:val="24"/>
        </w:rPr>
        <w:t>ing collector</w:t>
      </w:r>
      <w:r w:rsidRPr="008868EE">
        <w:rPr>
          <w:sz w:val="24"/>
          <w:szCs w:val="24"/>
        </w:rPr>
        <w:t xml:space="preserve">. </w:t>
      </w:r>
    </w:p>
    <w:p w:rsidR="008D5B8C" w:rsidRPr="00E603FD" w:rsidRDefault="008D5B8C" w:rsidP="008D5B8C">
      <w:pPr>
        <w:rPr>
          <w:sz w:val="24"/>
          <w:szCs w:val="24"/>
          <w:u w:val="single"/>
        </w:rPr>
      </w:pPr>
    </w:p>
    <w:p w:rsidR="004748CD" w:rsidRDefault="00766FF4" w:rsidP="004748CD">
      <w:pPr>
        <w:ind w:left="360"/>
        <w:rPr>
          <w:sz w:val="24"/>
          <w:szCs w:val="24"/>
        </w:rPr>
      </w:pPr>
      <w:r>
        <w:rPr>
          <w:sz w:val="24"/>
          <w:szCs w:val="24"/>
        </w:rPr>
        <w:t>The proportion of the</w:t>
      </w:r>
      <w:r w:rsidR="007D11E0">
        <w:rPr>
          <w:sz w:val="24"/>
          <w:szCs w:val="24"/>
        </w:rPr>
        <w:t>se</w:t>
      </w:r>
      <w:r>
        <w:rPr>
          <w:sz w:val="24"/>
          <w:szCs w:val="24"/>
        </w:rPr>
        <w:t xml:space="preserve"> two feeding groups is important because predominance of a particular feeding type may reflect a stressed condition.</w:t>
      </w:r>
      <w:r w:rsidR="007D11E0">
        <w:rPr>
          <w:sz w:val="24"/>
          <w:szCs w:val="24"/>
        </w:rPr>
        <w:t xml:space="preserve">  Specialized feeders such as scrapers are more sensitive organisms and are thought to be well represented in healthy streams.  Whereas filtering collectors are considered to be generalists and are more tolerant to pollution that might alter availability of certain food.  Scrapers feed primarily on diatoms, and are not able to utilize filamentous algae, which often increases with organic enrichment.  </w:t>
      </w:r>
      <w:r w:rsidR="0070354F">
        <w:rPr>
          <w:sz w:val="24"/>
          <w:szCs w:val="24"/>
        </w:rPr>
        <w:t>Filtering collectors use</w:t>
      </w:r>
      <w:r w:rsidR="004748CD">
        <w:rPr>
          <w:sz w:val="24"/>
          <w:szCs w:val="24"/>
        </w:rPr>
        <w:t xml:space="preserve"> filamentous algae as attachment sites an</w:t>
      </w:r>
      <w:r w:rsidR="0070354F">
        <w:rPr>
          <w:sz w:val="24"/>
          <w:szCs w:val="24"/>
        </w:rPr>
        <w:t>d often increase</w:t>
      </w:r>
      <w:r w:rsidR="002343FC">
        <w:rPr>
          <w:sz w:val="24"/>
          <w:szCs w:val="24"/>
        </w:rPr>
        <w:t xml:space="preserve"> with organic enrichment</w:t>
      </w:r>
      <w:r w:rsidR="004748CD">
        <w:rPr>
          <w:sz w:val="24"/>
          <w:szCs w:val="24"/>
        </w:rPr>
        <w:t>.</w:t>
      </w:r>
      <w:r w:rsidR="000F3CFA">
        <w:rPr>
          <w:sz w:val="24"/>
          <w:szCs w:val="24"/>
        </w:rPr>
        <w:t xml:space="preserve">  However filter feeders are thought to be sensitive to toxicants bound to fine particles and may decrease in abundance when toxicants are present.  The Ratio of Scrapers to Filtering Collectors </w:t>
      </w:r>
      <w:r w:rsidR="00DD06DE">
        <w:rPr>
          <w:sz w:val="24"/>
          <w:szCs w:val="24"/>
        </w:rPr>
        <w:t xml:space="preserve">may not be a good indication of organic enrichment if adsorbing toxicants are present.  </w:t>
      </w:r>
      <w:r w:rsidR="002343FC">
        <w:rPr>
          <w:sz w:val="24"/>
          <w:szCs w:val="24"/>
        </w:rPr>
        <w:t xml:space="preserve">    </w:t>
      </w:r>
      <w:r w:rsidR="004748CD">
        <w:rPr>
          <w:sz w:val="24"/>
          <w:szCs w:val="24"/>
        </w:rPr>
        <w:t xml:space="preserve">  </w:t>
      </w:r>
    </w:p>
    <w:p w:rsidR="00446D5E" w:rsidRPr="008868EE" w:rsidRDefault="007D11E0" w:rsidP="004748CD">
      <w:pPr>
        <w:ind w:left="360"/>
        <w:rPr>
          <w:sz w:val="24"/>
          <w:szCs w:val="24"/>
        </w:rPr>
      </w:pPr>
      <w:r>
        <w:rPr>
          <w:sz w:val="24"/>
          <w:szCs w:val="24"/>
        </w:rPr>
        <w:t xml:space="preserve">  </w:t>
      </w:r>
      <w:r w:rsidR="00766FF4">
        <w:rPr>
          <w:sz w:val="24"/>
          <w:szCs w:val="24"/>
        </w:rPr>
        <w:t xml:space="preserve">  </w:t>
      </w:r>
    </w:p>
    <w:p w:rsidR="00446D5E" w:rsidRPr="008868EE" w:rsidRDefault="00446D5E" w:rsidP="00446D5E">
      <w:pPr>
        <w:numPr>
          <w:ilvl w:val="0"/>
          <w:numId w:val="2"/>
        </w:numPr>
        <w:rPr>
          <w:sz w:val="24"/>
          <w:szCs w:val="24"/>
        </w:rPr>
      </w:pPr>
      <w:r w:rsidRPr="008868EE">
        <w:rPr>
          <w:b/>
          <w:sz w:val="24"/>
          <w:szCs w:val="24"/>
          <w:u w:val="single"/>
        </w:rPr>
        <w:t xml:space="preserve">Ratio of </w:t>
      </w:r>
      <w:r w:rsidRPr="0044690D">
        <w:rPr>
          <w:b/>
          <w:sz w:val="24"/>
          <w:szCs w:val="24"/>
          <w:u w:val="single"/>
        </w:rPr>
        <w:t xml:space="preserve">Shredders to </w:t>
      </w:r>
      <w:r w:rsidR="0044690D" w:rsidRPr="0044690D">
        <w:rPr>
          <w:b/>
          <w:sz w:val="24"/>
          <w:szCs w:val="24"/>
          <w:u w:val="single"/>
        </w:rPr>
        <w:t>Total</w:t>
      </w:r>
      <w:r w:rsidRPr="0044690D">
        <w:rPr>
          <w:b/>
          <w:sz w:val="24"/>
          <w:szCs w:val="24"/>
          <w:u w:val="single"/>
        </w:rPr>
        <w:t>:</w:t>
      </w:r>
      <w:r w:rsidRPr="0044690D">
        <w:rPr>
          <w:sz w:val="24"/>
          <w:szCs w:val="24"/>
        </w:rPr>
        <w:t xml:space="preserve"> The</w:t>
      </w:r>
      <w:r w:rsidRPr="008868EE">
        <w:rPr>
          <w:sz w:val="24"/>
          <w:szCs w:val="24"/>
        </w:rPr>
        <w:t xml:space="preserve"> total number of individuals classified as a shredder functional feeding group</w:t>
      </w:r>
      <w:r w:rsidR="00DA4DFA">
        <w:rPr>
          <w:sz w:val="24"/>
          <w:szCs w:val="24"/>
        </w:rPr>
        <w:t xml:space="preserve"> divided by the total number of individuals.</w:t>
      </w:r>
      <w:r w:rsidR="003971C9">
        <w:rPr>
          <w:sz w:val="24"/>
          <w:szCs w:val="24"/>
        </w:rPr>
        <w:t xml:space="preserve"> </w:t>
      </w:r>
    </w:p>
    <w:p w:rsidR="00446D5E" w:rsidRPr="008868EE" w:rsidRDefault="00446D5E" w:rsidP="00446D5E">
      <w:pPr>
        <w:rPr>
          <w:sz w:val="24"/>
          <w:szCs w:val="24"/>
        </w:rPr>
      </w:pPr>
    </w:p>
    <w:p w:rsidR="008868EE" w:rsidRPr="008868EE" w:rsidRDefault="0044690D" w:rsidP="008868EE">
      <w:pPr>
        <w:ind w:left="360"/>
        <w:rPr>
          <w:sz w:val="24"/>
          <w:szCs w:val="24"/>
        </w:rPr>
      </w:pPr>
      <w:r>
        <w:rPr>
          <w:sz w:val="24"/>
          <w:szCs w:val="24"/>
        </w:rPr>
        <w:t>The Ratio of Shredders to Total</w:t>
      </w:r>
      <w:r w:rsidR="008868EE" w:rsidRPr="008868EE">
        <w:rPr>
          <w:sz w:val="24"/>
          <w:szCs w:val="24"/>
        </w:rPr>
        <w:t xml:space="preserve"> shows the number of individuals that feed by shredding leaf litter and organic debris that falls into the stream from riparian vegetation.  They are also susceptible to toxic pollutants that may be attached to riparian vegetation (e.g., herbicides, heavy metals).  A high ratio indicates a healthy streamside zone with well-established vegetation.</w:t>
      </w:r>
    </w:p>
    <w:p w:rsidR="008868EE" w:rsidRPr="008868EE" w:rsidRDefault="008868EE" w:rsidP="00446D5E">
      <w:pPr>
        <w:rPr>
          <w:sz w:val="24"/>
          <w:szCs w:val="24"/>
        </w:rPr>
      </w:pPr>
    </w:p>
    <w:p w:rsidR="00C6700B" w:rsidRPr="008868EE" w:rsidRDefault="00B408B5" w:rsidP="00E709AE">
      <w:pPr>
        <w:numPr>
          <w:ilvl w:val="0"/>
          <w:numId w:val="2"/>
        </w:numPr>
        <w:rPr>
          <w:sz w:val="24"/>
          <w:szCs w:val="24"/>
        </w:rPr>
      </w:pPr>
      <w:r w:rsidRPr="008868EE">
        <w:rPr>
          <w:b/>
          <w:sz w:val="24"/>
          <w:szCs w:val="24"/>
          <w:u w:val="single"/>
        </w:rPr>
        <w:t>Community Loss Index</w:t>
      </w:r>
      <w:r w:rsidR="00F61590">
        <w:rPr>
          <w:b/>
          <w:sz w:val="24"/>
          <w:szCs w:val="24"/>
          <w:u w:val="single"/>
        </w:rPr>
        <w:t xml:space="preserve"> (CLI)</w:t>
      </w:r>
      <w:r w:rsidRPr="008868EE">
        <w:rPr>
          <w:b/>
          <w:sz w:val="24"/>
          <w:szCs w:val="24"/>
          <w:u w:val="single"/>
        </w:rPr>
        <w:t>:</w:t>
      </w:r>
      <w:r w:rsidR="007015B6">
        <w:rPr>
          <w:sz w:val="24"/>
          <w:szCs w:val="24"/>
        </w:rPr>
        <w:t xml:space="preserve"> The CLI ranges from zero to infinity.</w:t>
      </w:r>
      <w:r w:rsidRPr="008868EE">
        <w:rPr>
          <w:sz w:val="24"/>
          <w:szCs w:val="24"/>
        </w:rPr>
        <w:t xml:space="preserve"> The formula for CLI is: </w:t>
      </w:r>
      <w:r w:rsidRPr="002741E5">
        <w:rPr>
          <w:i/>
          <w:sz w:val="24"/>
          <w:szCs w:val="24"/>
        </w:rPr>
        <w:t xml:space="preserve">I </w:t>
      </w:r>
      <w:r w:rsidRPr="008868EE">
        <w:rPr>
          <w:sz w:val="24"/>
          <w:szCs w:val="24"/>
        </w:rPr>
        <w:t xml:space="preserve">= </w:t>
      </w:r>
      <w:r w:rsidR="009E2869">
        <w:rPr>
          <w:sz w:val="24"/>
          <w:szCs w:val="24"/>
        </w:rPr>
        <w:t>(</w:t>
      </w:r>
      <w:r w:rsidRPr="002741E5">
        <w:rPr>
          <w:i/>
          <w:sz w:val="24"/>
          <w:szCs w:val="24"/>
        </w:rPr>
        <w:t>a</w:t>
      </w:r>
      <w:r w:rsidRPr="008868EE">
        <w:rPr>
          <w:sz w:val="24"/>
          <w:szCs w:val="24"/>
        </w:rPr>
        <w:t>-</w:t>
      </w:r>
      <w:r w:rsidRPr="002741E5">
        <w:rPr>
          <w:i/>
          <w:sz w:val="24"/>
          <w:szCs w:val="24"/>
        </w:rPr>
        <w:t>c</w:t>
      </w:r>
      <w:r w:rsidR="009E2869">
        <w:rPr>
          <w:sz w:val="24"/>
          <w:szCs w:val="24"/>
        </w:rPr>
        <w:t>)</w:t>
      </w:r>
      <w:r w:rsidRPr="008868EE">
        <w:rPr>
          <w:sz w:val="24"/>
          <w:szCs w:val="24"/>
        </w:rPr>
        <w:t>/</w:t>
      </w:r>
      <w:r w:rsidRPr="002741E5">
        <w:rPr>
          <w:i/>
          <w:sz w:val="24"/>
          <w:szCs w:val="24"/>
        </w:rPr>
        <w:t>b</w:t>
      </w:r>
      <w:r w:rsidRPr="008868EE">
        <w:rPr>
          <w:sz w:val="24"/>
          <w:szCs w:val="24"/>
        </w:rPr>
        <w:t xml:space="preserve"> where I = Coefficient of Community Loss, </w:t>
      </w:r>
      <w:r w:rsidRPr="002741E5">
        <w:rPr>
          <w:i/>
          <w:sz w:val="24"/>
          <w:szCs w:val="24"/>
        </w:rPr>
        <w:t>a</w:t>
      </w:r>
      <w:r w:rsidR="002741E5">
        <w:rPr>
          <w:sz w:val="24"/>
          <w:szCs w:val="24"/>
        </w:rPr>
        <w:t xml:space="preserve"> =</w:t>
      </w:r>
      <w:r w:rsidRPr="008868EE">
        <w:rPr>
          <w:sz w:val="24"/>
          <w:szCs w:val="24"/>
        </w:rPr>
        <w:t xml:space="preserve"> the number of taxa at the reference site, </w:t>
      </w:r>
      <w:r w:rsidRPr="002741E5">
        <w:rPr>
          <w:i/>
          <w:sz w:val="24"/>
          <w:szCs w:val="24"/>
        </w:rPr>
        <w:t>b</w:t>
      </w:r>
      <w:r w:rsidR="002741E5">
        <w:rPr>
          <w:sz w:val="24"/>
          <w:szCs w:val="24"/>
        </w:rPr>
        <w:t xml:space="preserve"> =</w:t>
      </w:r>
      <w:r w:rsidRPr="008868EE">
        <w:rPr>
          <w:sz w:val="24"/>
          <w:szCs w:val="24"/>
        </w:rPr>
        <w:t xml:space="preserve"> the number of taxa at the study site and </w:t>
      </w:r>
      <w:r w:rsidRPr="002741E5">
        <w:rPr>
          <w:i/>
          <w:sz w:val="24"/>
          <w:szCs w:val="24"/>
        </w:rPr>
        <w:t>c</w:t>
      </w:r>
      <w:r w:rsidR="002741E5">
        <w:rPr>
          <w:sz w:val="24"/>
          <w:szCs w:val="24"/>
        </w:rPr>
        <w:t xml:space="preserve"> =</w:t>
      </w:r>
      <w:r w:rsidRPr="008868EE">
        <w:rPr>
          <w:sz w:val="24"/>
          <w:szCs w:val="24"/>
        </w:rPr>
        <w:t xml:space="preserve"> the taxa common to both sites. The result is a ratio of the number of taxa assumed lost due to the pollution source (</w:t>
      </w:r>
      <w:r w:rsidRPr="002741E5">
        <w:rPr>
          <w:i/>
          <w:sz w:val="24"/>
          <w:szCs w:val="24"/>
        </w:rPr>
        <w:t>a</w:t>
      </w:r>
      <w:r w:rsidRPr="008868EE">
        <w:rPr>
          <w:sz w:val="24"/>
          <w:szCs w:val="24"/>
        </w:rPr>
        <w:t>-</w:t>
      </w:r>
      <w:r w:rsidRPr="002741E5">
        <w:rPr>
          <w:i/>
          <w:sz w:val="24"/>
          <w:szCs w:val="24"/>
        </w:rPr>
        <w:t>c</w:t>
      </w:r>
      <w:r w:rsidRPr="008868EE">
        <w:rPr>
          <w:sz w:val="24"/>
          <w:szCs w:val="24"/>
        </w:rPr>
        <w:t>) to the number of taxa remaining including any new taxa.</w:t>
      </w:r>
    </w:p>
    <w:p w:rsidR="008D5B8C" w:rsidRPr="008868EE" w:rsidRDefault="008D5B8C" w:rsidP="008D5B8C">
      <w:pPr>
        <w:ind w:left="360"/>
        <w:rPr>
          <w:sz w:val="24"/>
          <w:szCs w:val="24"/>
        </w:rPr>
      </w:pPr>
    </w:p>
    <w:p w:rsidR="008D5B8C" w:rsidRPr="008868EE" w:rsidRDefault="008D5B8C" w:rsidP="008D5B8C">
      <w:pPr>
        <w:ind w:left="360"/>
        <w:rPr>
          <w:sz w:val="24"/>
          <w:szCs w:val="24"/>
        </w:rPr>
      </w:pPr>
      <w:r w:rsidRPr="008868EE">
        <w:rPr>
          <w:sz w:val="24"/>
          <w:szCs w:val="24"/>
        </w:rPr>
        <w:t xml:space="preserve">The Community Loss Index </w:t>
      </w:r>
      <w:r w:rsidR="00E603FD" w:rsidRPr="008868EE">
        <w:rPr>
          <w:sz w:val="24"/>
          <w:szCs w:val="24"/>
        </w:rPr>
        <w:t xml:space="preserve">was developed by Courtemanch and Davies (1987) </w:t>
      </w:r>
      <w:r w:rsidR="00E603FD">
        <w:rPr>
          <w:sz w:val="24"/>
          <w:szCs w:val="24"/>
        </w:rPr>
        <w:t xml:space="preserve">and </w:t>
      </w:r>
      <w:r w:rsidRPr="008868EE">
        <w:rPr>
          <w:sz w:val="24"/>
          <w:szCs w:val="24"/>
        </w:rPr>
        <w:t>compares the diversity of the collection site with the expected or measured diversity in a reference site that has excellent water quality and habitat.  A higher number shows that more species are missing from the collection site than would have been expected under high quality conditions.</w:t>
      </w:r>
      <w:r w:rsidR="00E603FD" w:rsidRPr="00E603FD">
        <w:rPr>
          <w:sz w:val="24"/>
          <w:szCs w:val="24"/>
        </w:rPr>
        <w:t xml:space="preserve"> </w:t>
      </w:r>
    </w:p>
    <w:p w:rsidR="00E709AE" w:rsidRPr="008868EE" w:rsidRDefault="00E709AE" w:rsidP="00E709AE">
      <w:pPr>
        <w:rPr>
          <w:sz w:val="24"/>
          <w:szCs w:val="24"/>
        </w:rPr>
      </w:pPr>
    </w:p>
    <w:p w:rsidR="00D426A9" w:rsidRPr="00D426A9" w:rsidRDefault="00D426A9" w:rsidP="00D426A9">
      <w:pPr>
        <w:autoSpaceDE w:val="0"/>
        <w:autoSpaceDN w:val="0"/>
        <w:adjustRightInd w:val="0"/>
        <w:spacing w:line="480" w:lineRule="auto"/>
        <w:rPr>
          <w:b/>
          <w:sz w:val="24"/>
          <w:szCs w:val="24"/>
          <w:u w:val="single"/>
        </w:rPr>
      </w:pPr>
      <w:r w:rsidRPr="00D426A9">
        <w:rPr>
          <w:b/>
          <w:sz w:val="24"/>
          <w:szCs w:val="24"/>
          <w:u w:val="single"/>
        </w:rPr>
        <w:t>Comparison to Reference Site</w:t>
      </w:r>
    </w:p>
    <w:p w:rsidR="002C264D" w:rsidRDefault="002C264D" w:rsidP="00E709AE">
      <w:pPr>
        <w:autoSpaceDE w:val="0"/>
        <w:autoSpaceDN w:val="0"/>
        <w:adjustRightInd w:val="0"/>
        <w:rPr>
          <w:sz w:val="24"/>
          <w:szCs w:val="24"/>
        </w:rPr>
      </w:pPr>
      <w:r>
        <w:rPr>
          <w:sz w:val="24"/>
          <w:szCs w:val="24"/>
        </w:rPr>
        <w:t>The biological condition scoring criteria for each benthic macro</w:t>
      </w:r>
      <w:r w:rsidR="007015B6">
        <w:rPr>
          <w:sz w:val="24"/>
          <w:szCs w:val="24"/>
        </w:rPr>
        <w:t>invertebrate</w:t>
      </w:r>
      <w:r w:rsidR="00E709AE">
        <w:rPr>
          <w:sz w:val="24"/>
          <w:szCs w:val="24"/>
        </w:rPr>
        <w:t xml:space="preserve"> parameter assigns </w:t>
      </w:r>
      <w:r>
        <w:rPr>
          <w:sz w:val="24"/>
          <w:szCs w:val="24"/>
        </w:rPr>
        <w:t xml:space="preserve">numeric values of 6 for nonimpaired, 4 for slightly impaired, 2 for moderately </w:t>
      </w:r>
      <w:r w:rsidR="00D74677">
        <w:rPr>
          <w:sz w:val="24"/>
          <w:szCs w:val="24"/>
        </w:rPr>
        <w:t>impaired</w:t>
      </w:r>
      <w:r>
        <w:rPr>
          <w:sz w:val="24"/>
          <w:szCs w:val="24"/>
        </w:rPr>
        <w:t>, and 0 for</w:t>
      </w:r>
      <w:r w:rsidR="00E709AE">
        <w:rPr>
          <w:sz w:val="24"/>
          <w:szCs w:val="24"/>
        </w:rPr>
        <w:t xml:space="preserve"> </w:t>
      </w:r>
      <w:r>
        <w:rPr>
          <w:sz w:val="24"/>
          <w:szCs w:val="24"/>
        </w:rPr>
        <w:t>severely impaired</w:t>
      </w:r>
      <w:r w:rsidR="00235A02">
        <w:rPr>
          <w:sz w:val="24"/>
          <w:szCs w:val="24"/>
        </w:rPr>
        <w:t xml:space="preserve"> (Appendix B)</w:t>
      </w:r>
      <w:r>
        <w:rPr>
          <w:sz w:val="24"/>
          <w:szCs w:val="24"/>
        </w:rPr>
        <w:t xml:space="preserve">. </w:t>
      </w:r>
      <w:r w:rsidR="0092010C">
        <w:rPr>
          <w:sz w:val="24"/>
          <w:szCs w:val="24"/>
        </w:rPr>
        <w:t xml:space="preserve"> </w:t>
      </w:r>
      <w:r>
        <w:rPr>
          <w:sz w:val="24"/>
          <w:szCs w:val="24"/>
        </w:rPr>
        <w:t xml:space="preserve">The numeric values </w:t>
      </w:r>
      <w:r w:rsidR="00E6765B">
        <w:rPr>
          <w:sz w:val="24"/>
          <w:szCs w:val="24"/>
        </w:rPr>
        <w:t xml:space="preserve">for each </w:t>
      </w:r>
      <w:r w:rsidR="009E12CE">
        <w:rPr>
          <w:sz w:val="24"/>
          <w:szCs w:val="24"/>
        </w:rPr>
        <w:t>site</w:t>
      </w:r>
      <w:r w:rsidR="00E6765B">
        <w:rPr>
          <w:sz w:val="24"/>
          <w:szCs w:val="24"/>
        </w:rPr>
        <w:t xml:space="preserve"> </w:t>
      </w:r>
      <w:r>
        <w:rPr>
          <w:sz w:val="24"/>
          <w:szCs w:val="24"/>
        </w:rPr>
        <w:t>are then totaled</w:t>
      </w:r>
      <w:r w:rsidR="00E709AE">
        <w:rPr>
          <w:sz w:val="24"/>
          <w:szCs w:val="24"/>
        </w:rPr>
        <w:t xml:space="preserve"> </w:t>
      </w:r>
      <w:r>
        <w:rPr>
          <w:sz w:val="24"/>
          <w:szCs w:val="24"/>
        </w:rPr>
        <w:t xml:space="preserve">and </w:t>
      </w:r>
      <w:r w:rsidR="00411B09">
        <w:rPr>
          <w:sz w:val="24"/>
          <w:szCs w:val="24"/>
        </w:rPr>
        <w:t xml:space="preserve">divided into the score for the reference site </w:t>
      </w:r>
      <w:r>
        <w:rPr>
          <w:sz w:val="24"/>
          <w:szCs w:val="24"/>
        </w:rPr>
        <w:t>so that the reference location</w:t>
      </w:r>
      <w:r w:rsidR="00411B09">
        <w:rPr>
          <w:sz w:val="24"/>
          <w:szCs w:val="24"/>
        </w:rPr>
        <w:t xml:space="preserve"> is</w:t>
      </w:r>
      <w:r>
        <w:rPr>
          <w:sz w:val="24"/>
          <w:szCs w:val="24"/>
        </w:rPr>
        <w:t xml:space="preserve"> equal to 100</w:t>
      </w:r>
      <w:r w:rsidR="00411B09">
        <w:rPr>
          <w:sz w:val="24"/>
          <w:szCs w:val="24"/>
        </w:rPr>
        <w:t>%</w:t>
      </w:r>
      <w:r>
        <w:rPr>
          <w:sz w:val="24"/>
          <w:szCs w:val="24"/>
        </w:rPr>
        <w:t xml:space="preserve">. </w:t>
      </w:r>
      <w:r w:rsidR="0092010C">
        <w:rPr>
          <w:sz w:val="24"/>
          <w:szCs w:val="24"/>
        </w:rPr>
        <w:t xml:space="preserve"> </w:t>
      </w:r>
      <w:r w:rsidR="00235A02">
        <w:rPr>
          <w:sz w:val="24"/>
          <w:szCs w:val="24"/>
        </w:rPr>
        <w:t xml:space="preserve">Site </w:t>
      </w:r>
      <w:r>
        <w:rPr>
          <w:sz w:val="24"/>
          <w:szCs w:val="24"/>
        </w:rPr>
        <w:t>scores are then</w:t>
      </w:r>
      <w:r w:rsidR="00E709AE">
        <w:rPr>
          <w:sz w:val="24"/>
          <w:szCs w:val="24"/>
        </w:rPr>
        <w:t xml:space="preserve"> </w:t>
      </w:r>
      <w:r>
        <w:rPr>
          <w:sz w:val="24"/>
          <w:szCs w:val="24"/>
        </w:rPr>
        <w:t xml:space="preserve">compared to the reference </w:t>
      </w:r>
      <w:r w:rsidR="00235A02">
        <w:rPr>
          <w:sz w:val="24"/>
          <w:szCs w:val="24"/>
        </w:rPr>
        <w:t xml:space="preserve">site </w:t>
      </w:r>
      <w:r>
        <w:rPr>
          <w:sz w:val="24"/>
          <w:szCs w:val="24"/>
        </w:rPr>
        <w:t>and assigned biological condition categories based on</w:t>
      </w:r>
      <w:r w:rsidR="00E709AE">
        <w:rPr>
          <w:sz w:val="24"/>
          <w:szCs w:val="24"/>
        </w:rPr>
        <w:t xml:space="preserve"> </w:t>
      </w:r>
      <w:r>
        <w:rPr>
          <w:sz w:val="24"/>
          <w:szCs w:val="24"/>
        </w:rPr>
        <w:t xml:space="preserve">percent comparison to the reference </w:t>
      </w:r>
      <w:r w:rsidR="00235A02">
        <w:rPr>
          <w:sz w:val="24"/>
          <w:szCs w:val="24"/>
        </w:rPr>
        <w:t xml:space="preserve">site </w:t>
      </w:r>
      <w:r>
        <w:rPr>
          <w:sz w:val="24"/>
          <w:szCs w:val="24"/>
        </w:rPr>
        <w:t>score.</w:t>
      </w:r>
      <w:r w:rsidR="0092010C">
        <w:rPr>
          <w:sz w:val="24"/>
          <w:szCs w:val="24"/>
        </w:rPr>
        <w:t xml:space="preserve">  It should be noted that the biological condition categories are slightly different depending on which protocol is used.  </w:t>
      </w:r>
      <w:r w:rsidR="00BC63A0">
        <w:rPr>
          <w:sz w:val="24"/>
          <w:szCs w:val="24"/>
        </w:rPr>
        <w:t>An example of a completed metric scoring report is included in Appendix C.</w:t>
      </w:r>
    </w:p>
    <w:p w:rsidR="00D426A9" w:rsidRDefault="00D426A9" w:rsidP="00463693">
      <w:pPr>
        <w:pStyle w:val="Heading2"/>
        <w:rPr>
          <w:sz w:val="24"/>
        </w:rPr>
      </w:pPr>
    </w:p>
    <w:p w:rsidR="00D426A9" w:rsidRDefault="00D426A9" w:rsidP="00E603FD">
      <w:pPr>
        <w:pStyle w:val="Heading2"/>
        <w:spacing w:line="240" w:lineRule="auto"/>
        <w:rPr>
          <w:sz w:val="24"/>
        </w:rPr>
      </w:pPr>
      <w:r>
        <w:rPr>
          <w:sz w:val="24"/>
        </w:rPr>
        <w:t xml:space="preserve">IDNR Contact for </w:t>
      </w:r>
      <w:r w:rsidR="00257172">
        <w:rPr>
          <w:sz w:val="24"/>
        </w:rPr>
        <w:t xml:space="preserve">LARE </w:t>
      </w:r>
      <w:r>
        <w:rPr>
          <w:sz w:val="24"/>
        </w:rPr>
        <w:t>Biomonitoring</w:t>
      </w:r>
      <w:r w:rsidR="00235A02">
        <w:rPr>
          <w:sz w:val="24"/>
        </w:rPr>
        <w:t>:</w:t>
      </w:r>
    </w:p>
    <w:p w:rsidR="00E603FD" w:rsidRDefault="00E603FD" w:rsidP="00E603FD">
      <w:pPr>
        <w:rPr>
          <w:sz w:val="24"/>
        </w:rPr>
      </w:pPr>
    </w:p>
    <w:p w:rsidR="00D426A9" w:rsidRDefault="009E2869" w:rsidP="00E603FD">
      <w:pPr>
        <w:rPr>
          <w:sz w:val="24"/>
        </w:rPr>
      </w:pPr>
      <w:r>
        <w:rPr>
          <w:sz w:val="24"/>
        </w:rPr>
        <w:t xml:space="preserve">Rod Edgell, </w:t>
      </w:r>
      <w:hyperlink r:id="rId13" w:history="1">
        <w:r w:rsidRPr="00140BB8">
          <w:rPr>
            <w:rStyle w:val="Hyperlink"/>
            <w:sz w:val="24"/>
          </w:rPr>
          <w:t>redgell@dnr.in.gov</w:t>
        </w:r>
      </w:hyperlink>
      <w:r>
        <w:rPr>
          <w:sz w:val="24"/>
        </w:rPr>
        <w:t>, 260-244-6805</w:t>
      </w:r>
    </w:p>
    <w:p w:rsidR="00654EAF" w:rsidRDefault="00654EAF" w:rsidP="00257172">
      <w:pPr>
        <w:autoSpaceDE w:val="0"/>
        <w:autoSpaceDN w:val="0"/>
        <w:adjustRightInd w:val="0"/>
        <w:rPr>
          <w:sz w:val="24"/>
          <w:szCs w:val="24"/>
        </w:rPr>
      </w:pPr>
    </w:p>
    <w:p w:rsidR="00257172" w:rsidRPr="008A17FA" w:rsidRDefault="00257172" w:rsidP="00257172">
      <w:pPr>
        <w:autoSpaceDE w:val="0"/>
        <w:autoSpaceDN w:val="0"/>
        <w:adjustRightInd w:val="0"/>
        <w:rPr>
          <w:b/>
          <w:sz w:val="24"/>
          <w:szCs w:val="24"/>
          <w:u w:val="single"/>
        </w:rPr>
      </w:pPr>
      <w:r w:rsidRPr="008A17FA">
        <w:rPr>
          <w:b/>
          <w:sz w:val="24"/>
          <w:szCs w:val="24"/>
          <w:u w:val="single"/>
        </w:rPr>
        <w:t xml:space="preserve">References </w:t>
      </w:r>
    </w:p>
    <w:p w:rsidR="00806149" w:rsidRDefault="00806149" w:rsidP="00AF6B81">
      <w:pPr>
        <w:autoSpaceDE w:val="0"/>
        <w:autoSpaceDN w:val="0"/>
        <w:adjustRightInd w:val="0"/>
        <w:ind w:left="720" w:hanging="720"/>
        <w:rPr>
          <w:sz w:val="24"/>
        </w:rPr>
      </w:pPr>
    </w:p>
    <w:p w:rsidR="00AF6B81" w:rsidRPr="00DF55D9" w:rsidRDefault="00AF6B81" w:rsidP="00AF6B81">
      <w:pPr>
        <w:autoSpaceDE w:val="0"/>
        <w:autoSpaceDN w:val="0"/>
        <w:adjustRightInd w:val="0"/>
        <w:ind w:left="720" w:hanging="720"/>
      </w:pPr>
      <w:r w:rsidRPr="00DF55D9">
        <w:rPr>
          <w:sz w:val="24"/>
        </w:rPr>
        <w:t>Barbour, M.T., J. Gerritsen, B.D. Snyder, and J.B. Stribling. 1999. Rapid Bioassessment Protocols for Use in Streams and Wadeable Rivers: Periphyton, Benthic Macroinvertebrates and Fish, Second Edition. EPA 841-B-99-002. U.S. Environmental Protection Agency, Office of Water, Washington, D.C.</w:t>
      </w:r>
      <w:r w:rsidR="000B15BE" w:rsidRPr="00DF55D9">
        <w:rPr>
          <w:sz w:val="24"/>
        </w:rPr>
        <w:t xml:space="preserve"> </w:t>
      </w:r>
      <w:r w:rsidR="002D5531" w:rsidRPr="00DF55D9">
        <w:t xml:space="preserve"> </w:t>
      </w:r>
      <w:hyperlink r:id="rId14" w:history="1">
        <w:r w:rsidR="002D5531" w:rsidRPr="00DF55D9">
          <w:rPr>
            <w:rStyle w:val="Hyperlink"/>
            <w:sz w:val="24"/>
          </w:rPr>
          <w:t>http://water.epa.gov/scitech/monitoring/rsl/bioassessment/index.cfm</w:t>
        </w:r>
      </w:hyperlink>
    </w:p>
    <w:p w:rsidR="00DF55D9" w:rsidRPr="00DF55D9" w:rsidRDefault="00DF55D9" w:rsidP="00AF6B81">
      <w:pPr>
        <w:autoSpaceDE w:val="0"/>
        <w:autoSpaceDN w:val="0"/>
        <w:adjustRightInd w:val="0"/>
        <w:ind w:left="720" w:hanging="720"/>
      </w:pPr>
    </w:p>
    <w:p w:rsidR="00DF55D9" w:rsidRPr="00DF55D9" w:rsidRDefault="00DF55D9" w:rsidP="00DF55D9">
      <w:pPr>
        <w:ind w:left="720" w:hanging="720"/>
        <w:rPr>
          <w:sz w:val="24"/>
          <w:szCs w:val="24"/>
        </w:rPr>
      </w:pPr>
      <w:r w:rsidRPr="00DF55D9">
        <w:rPr>
          <w:sz w:val="24"/>
          <w:szCs w:val="24"/>
        </w:rPr>
        <w:t xml:space="preserve">Bode, R.W. 1988. Quality Assurance Workplan for Biological Stream Monitoring in New York State. New York State Department of Environmental conservation. Albany, NY. </w:t>
      </w:r>
      <w:hyperlink r:id="rId15" w:history="1">
        <w:r w:rsidRPr="00DF55D9">
          <w:rPr>
            <w:rStyle w:val="Hyperlink"/>
            <w:sz w:val="24"/>
            <w:szCs w:val="24"/>
          </w:rPr>
          <w:t>http://www.nysl.nysed.gov/scandoclinks/ocm43110991.htm</w:t>
        </w:r>
      </w:hyperlink>
    </w:p>
    <w:p w:rsidR="002D5531" w:rsidRPr="00DF55D9" w:rsidRDefault="002D5531" w:rsidP="00DF55D9">
      <w:pPr>
        <w:autoSpaceDE w:val="0"/>
        <w:autoSpaceDN w:val="0"/>
        <w:adjustRightInd w:val="0"/>
        <w:rPr>
          <w:sz w:val="24"/>
        </w:rPr>
      </w:pPr>
    </w:p>
    <w:p w:rsidR="003C48D7" w:rsidRPr="00DF55D9" w:rsidRDefault="003C48D7" w:rsidP="00AF6B81">
      <w:pPr>
        <w:autoSpaceDE w:val="0"/>
        <w:autoSpaceDN w:val="0"/>
        <w:adjustRightInd w:val="0"/>
        <w:ind w:left="720" w:hanging="720"/>
        <w:rPr>
          <w:sz w:val="24"/>
        </w:rPr>
      </w:pPr>
      <w:r w:rsidRPr="00DF55D9">
        <w:rPr>
          <w:sz w:val="24"/>
        </w:rPr>
        <w:t>Bouchard, R. W., Jr. 2004. Guide to Aquatic Invertebrates of the Upper Midwest. Regen</w:t>
      </w:r>
      <w:r w:rsidR="00DF0A58" w:rsidRPr="00DF55D9">
        <w:rPr>
          <w:sz w:val="24"/>
        </w:rPr>
        <w:t>t</w:t>
      </w:r>
      <w:r w:rsidRPr="00DF55D9">
        <w:rPr>
          <w:sz w:val="24"/>
        </w:rPr>
        <w:t>s of the Universi</w:t>
      </w:r>
      <w:r w:rsidR="00F727FD" w:rsidRPr="00DF55D9">
        <w:rPr>
          <w:sz w:val="24"/>
        </w:rPr>
        <w:t xml:space="preserve">ty of Minnesota, Minneapolis, Minnesota.  </w:t>
      </w:r>
      <w:hyperlink r:id="rId16" w:history="1">
        <w:r w:rsidR="00DF0A58" w:rsidRPr="00DF55D9">
          <w:rPr>
            <w:rStyle w:val="Hyperlink"/>
            <w:sz w:val="24"/>
          </w:rPr>
          <w:t>http://wrc.umn.edu/pubs/watersqq/guidetoaquaticinverts/index.htm</w:t>
        </w:r>
      </w:hyperlink>
    </w:p>
    <w:p w:rsidR="003C48D7" w:rsidRPr="00DF55D9" w:rsidRDefault="003C48D7" w:rsidP="00DF0A58">
      <w:pPr>
        <w:autoSpaceDE w:val="0"/>
        <w:autoSpaceDN w:val="0"/>
        <w:adjustRightInd w:val="0"/>
        <w:rPr>
          <w:sz w:val="24"/>
        </w:rPr>
      </w:pPr>
    </w:p>
    <w:p w:rsidR="00257172" w:rsidRPr="00DF55D9" w:rsidRDefault="003E7D36" w:rsidP="003E7D36">
      <w:pPr>
        <w:autoSpaceDE w:val="0"/>
        <w:autoSpaceDN w:val="0"/>
        <w:adjustRightInd w:val="0"/>
        <w:ind w:left="720" w:hanging="720"/>
        <w:rPr>
          <w:sz w:val="24"/>
          <w:szCs w:val="24"/>
        </w:rPr>
      </w:pPr>
      <w:r w:rsidRPr="00DF55D9">
        <w:rPr>
          <w:sz w:val="24"/>
          <w:szCs w:val="24"/>
        </w:rPr>
        <w:t xml:space="preserve">Courtemanch, D.L. and S.P. Davies. 1987. A coefficient of community loss to assess detrimental change in aquatic communities. Water Resources 21(2):217-222. </w:t>
      </w:r>
    </w:p>
    <w:p w:rsidR="002D5531" w:rsidRPr="00DF55D9" w:rsidRDefault="002D5531" w:rsidP="003E7D36">
      <w:pPr>
        <w:autoSpaceDE w:val="0"/>
        <w:autoSpaceDN w:val="0"/>
        <w:adjustRightInd w:val="0"/>
        <w:ind w:left="720" w:hanging="720"/>
        <w:rPr>
          <w:sz w:val="24"/>
          <w:szCs w:val="24"/>
        </w:rPr>
      </w:pPr>
    </w:p>
    <w:p w:rsidR="00EE0F48" w:rsidRPr="00DF55D9" w:rsidRDefault="00EE0F48" w:rsidP="00EE0F48">
      <w:pPr>
        <w:autoSpaceDE w:val="0"/>
        <w:autoSpaceDN w:val="0"/>
        <w:adjustRightInd w:val="0"/>
        <w:ind w:left="720" w:hanging="720"/>
        <w:rPr>
          <w:sz w:val="24"/>
          <w:szCs w:val="24"/>
        </w:rPr>
      </w:pPr>
      <w:r w:rsidRPr="00DF55D9">
        <w:rPr>
          <w:sz w:val="24"/>
          <w:szCs w:val="24"/>
        </w:rPr>
        <w:t xml:space="preserve">Hilsenhoff, W.L.  1987.  An improved biotic index of organic stream pollution.  Great Lakes </w:t>
      </w:r>
      <w:r w:rsidR="00E278D8" w:rsidRPr="00DF55D9">
        <w:rPr>
          <w:sz w:val="24"/>
          <w:szCs w:val="24"/>
        </w:rPr>
        <w:t>Entomologist</w:t>
      </w:r>
      <w:r w:rsidRPr="00DF55D9">
        <w:rPr>
          <w:sz w:val="24"/>
          <w:szCs w:val="24"/>
        </w:rPr>
        <w:t>.  20:31-39.</w:t>
      </w:r>
    </w:p>
    <w:p w:rsidR="00DF55D9" w:rsidRPr="00DF55D9" w:rsidRDefault="00DF55D9" w:rsidP="00EE0F48">
      <w:pPr>
        <w:autoSpaceDE w:val="0"/>
        <w:autoSpaceDN w:val="0"/>
        <w:adjustRightInd w:val="0"/>
        <w:ind w:left="720" w:hanging="720"/>
        <w:rPr>
          <w:sz w:val="24"/>
          <w:szCs w:val="24"/>
        </w:rPr>
      </w:pPr>
    </w:p>
    <w:p w:rsidR="003E7D36" w:rsidRPr="00C32086" w:rsidRDefault="00DF55D9" w:rsidP="00C32086">
      <w:pPr>
        <w:autoSpaceDE w:val="0"/>
        <w:autoSpaceDN w:val="0"/>
        <w:adjustRightInd w:val="0"/>
        <w:ind w:left="720" w:hanging="720"/>
        <w:rPr>
          <w:sz w:val="24"/>
          <w:szCs w:val="24"/>
        </w:rPr>
      </w:pPr>
      <w:r w:rsidRPr="00DF55D9">
        <w:rPr>
          <w:sz w:val="24"/>
          <w:szCs w:val="24"/>
        </w:rPr>
        <w:t>Hilsenhoff, W.L.  1988. Rapid Field Assessment of Organic Pollution with a Family-level Biotic Index.  Journal of American Benthological Society.  7(1):65-68</w:t>
      </w:r>
    </w:p>
    <w:p w:rsidR="002D5531" w:rsidRPr="00DF55D9" w:rsidRDefault="002D5531" w:rsidP="003E7D36">
      <w:pPr>
        <w:autoSpaceDE w:val="0"/>
        <w:autoSpaceDN w:val="0"/>
        <w:adjustRightInd w:val="0"/>
        <w:ind w:left="720" w:hanging="720"/>
        <w:rPr>
          <w:sz w:val="24"/>
        </w:rPr>
      </w:pPr>
    </w:p>
    <w:p w:rsidR="003E7D36" w:rsidRPr="00DF55D9" w:rsidRDefault="003E7D36" w:rsidP="003E7D36">
      <w:pPr>
        <w:autoSpaceDE w:val="0"/>
        <w:autoSpaceDN w:val="0"/>
        <w:adjustRightInd w:val="0"/>
        <w:ind w:left="720" w:hanging="720"/>
        <w:rPr>
          <w:sz w:val="24"/>
          <w:szCs w:val="24"/>
        </w:rPr>
      </w:pPr>
      <w:r w:rsidRPr="00DF55D9">
        <w:rPr>
          <w:sz w:val="24"/>
          <w:szCs w:val="24"/>
        </w:rPr>
        <w:t>Merritt, R.W. and K.W. Cummins. 1984. An Introduction to the Aquatic Insects of North America, 2</w:t>
      </w:r>
      <w:r w:rsidRPr="00DF55D9">
        <w:rPr>
          <w:sz w:val="24"/>
          <w:szCs w:val="24"/>
          <w:vertAlign w:val="superscript"/>
        </w:rPr>
        <w:t>nd</w:t>
      </w:r>
      <w:r w:rsidRPr="00DF55D9">
        <w:rPr>
          <w:sz w:val="24"/>
          <w:szCs w:val="24"/>
        </w:rPr>
        <w:t xml:space="preserve"> Ed., Kendall/Hunt Publishing Company. ISBN 0-8402-3180-0.</w:t>
      </w:r>
    </w:p>
    <w:p w:rsidR="003C48D7" w:rsidRPr="00DF55D9" w:rsidRDefault="003C48D7" w:rsidP="003E7D36">
      <w:pPr>
        <w:autoSpaceDE w:val="0"/>
        <w:autoSpaceDN w:val="0"/>
        <w:adjustRightInd w:val="0"/>
        <w:ind w:left="720" w:hanging="720"/>
        <w:rPr>
          <w:sz w:val="24"/>
          <w:szCs w:val="24"/>
        </w:rPr>
      </w:pPr>
    </w:p>
    <w:p w:rsidR="00EE0F48" w:rsidRPr="00DF55D9" w:rsidRDefault="00EE0F48" w:rsidP="00EE0F48">
      <w:pPr>
        <w:autoSpaceDE w:val="0"/>
        <w:autoSpaceDN w:val="0"/>
        <w:adjustRightInd w:val="0"/>
        <w:ind w:left="720" w:hanging="720"/>
        <w:rPr>
          <w:sz w:val="24"/>
          <w:szCs w:val="24"/>
        </w:rPr>
      </w:pPr>
      <w:bookmarkStart w:id="0" w:name="Shackleford_1988"/>
      <w:r w:rsidRPr="00DF55D9">
        <w:rPr>
          <w:sz w:val="24"/>
          <w:szCs w:val="24"/>
        </w:rPr>
        <w:t>Shackleford, B. 1988.</w:t>
      </w:r>
      <w:bookmarkEnd w:id="0"/>
      <w:r w:rsidRPr="00DF55D9">
        <w:rPr>
          <w:sz w:val="24"/>
          <w:szCs w:val="24"/>
        </w:rPr>
        <w:t xml:space="preserve"> Rapid Bioassessments of Lotic Macroinvertebrate Communities: Biocriteria Development. Arkansas Department of Pollution Control and Ecology, Little Rock, Arkansas.</w:t>
      </w:r>
    </w:p>
    <w:p w:rsidR="002D5531" w:rsidRPr="00DF55D9" w:rsidRDefault="002D5531" w:rsidP="00EE0F48">
      <w:pPr>
        <w:autoSpaceDE w:val="0"/>
        <w:autoSpaceDN w:val="0"/>
        <w:adjustRightInd w:val="0"/>
        <w:ind w:left="720" w:hanging="720"/>
        <w:rPr>
          <w:sz w:val="24"/>
          <w:szCs w:val="24"/>
        </w:rPr>
      </w:pPr>
    </w:p>
    <w:p w:rsidR="009A5F5D" w:rsidRPr="00DF55D9" w:rsidRDefault="009A5F5D" w:rsidP="003E7D36">
      <w:pPr>
        <w:autoSpaceDE w:val="0"/>
        <w:autoSpaceDN w:val="0"/>
        <w:adjustRightInd w:val="0"/>
        <w:ind w:left="720" w:hanging="720"/>
        <w:rPr>
          <w:sz w:val="24"/>
        </w:rPr>
      </w:pPr>
      <w:r w:rsidRPr="00DF55D9">
        <w:rPr>
          <w:sz w:val="24"/>
        </w:rPr>
        <w:t>U.S. EPA.  1989.  Rapid Bioassessment Protocols for Use in Streams and Rivers: Benthic Macroinvertebrates and Fish.  EPA 440/4-89/001.  U.S. Environmental Protection Agency; Office of Water; Washington, D.C.</w:t>
      </w:r>
    </w:p>
    <w:p w:rsidR="002D5531" w:rsidRPr="00DF55D9" w:rsidRDefault="002D5531" w:rsidP="003E7D36">
      <w:pPr>
        <w:autoSpaceDE w:val="0"/>
        <w:autoSpaceDN w:val="0"/>
        <w:adjustRightInd w:val="0"/>
        <w:ind w:left="720" w:hanging="720"/>
        <w:rPr>
          <w:sz w:val="24"/>
        </w:rPr>
      </w:pPr>
    </w:p>
    <w:p w:rsidR="00EE0F48" w:rsidRPr="00DF55D9" w:rsidRDefault="003E7D36" w:rsidP="003E7D36">
      <w:pPr>
        <w:autoSpaceDE w:val="0"/>
        <w:autoSpaceDN w:val="0"/>
        <w:adjustRightInd w:val="0"/>
        <w:ind w:left="720" w:hanging="720"/>
        <w:rPr>
          <w:sz w:val="24"/>
        </w:rPr>
      </w:pPr>
      <w:r w:rsidRPr="00DF55D9">
        <w:rPr>
          <w:sz w:val="24"/>
        </w:rPr>
        <w:t xml:space="preserve">U.S. EPA. 1990. </w:t>
      </w:r>
      <w:r w:rsidR="00257172" w:rsidRPr="00DF55D9">
        <w:rPr>
          <w:sz w:val="24"/>
          <w:szCs w:val="24"/>
        </w:rPr>
        <w:t xml:space="preserve">Macroinvertebrate Field and Laboratory Methods for Evaluating the Biological Integrity of Surface Waters, </w:t>
      </w:r>
      <w:bookmarkStart w:id="1" w:name="OLE_LINK1"/>
      <w:r w:rsidR="00257172" w:rsidRPr="00DF55D9">
        <w:rPr>
          <w:sz w:val="24"/>
          <w:szCs w:val="24"/>
        </w:rPr>
        <w:t>EPA/600/4-90/030</w:t>
      </w:r>
      <w:bookmarkEnd w:id="1"/>
      <w:r w:rsidR="00257172" w:rsidRPr="00DF55D9">
        <w:rPr>
          <w:sz w:val="24"/>
          <w:szCs w:val="24"/>
        </w:rPr>
        <w:t xml:space="preserve">. </w:t>
      </w:r>
      <w:r w:rsidR="009A5F5D" w:rsidRPr="00DF55D9">
        <w:rPr>
          <w:sz w:val="24"/>
        </w:rPr>
        <w:t>U.S. Environmental Protection Agency; Office of Research and Development; Cincinnati, OH.</w:t>
      </w:r>
      <w:r w:rsidR="00EE0F48" w:rsidRPr="00DF55D9">
        <w:rPr>
          <w:sz w:val="24"/>
        </w:rPr>
        <w:t xml:space="preserve">  </w:t>
      </w:r>
      <w:hyperlink r:id="rId17" w:history="1">
        <w:r w:rsidR="002D5531" w:rsidRPr="00DF55D9">
          <w:rPr>
            <w:rStyle w:val="Hyperlink"/>
            <w:sz w:val="24"/>
          </w:rPr>
          <w:t>http://www.epa.gov/bioiweb1/pdf/EPA-600-4-90-030MacroinvertebrateFieldandLaboratoryMethodsforEvalutingtheBiologicalIntegrityofSurfaceWaters.pdf</w:t>
        </w:r>
      </w:hyperlink>
    </w:p>
    <w:p w:rsidR="002D5531" w:rsidRDefault="002D5531" w:rsidP="003E7D36">
      <w:pPr>
        <w:autoSpaceDE w:val="0"/>
        <w:autoSpaceDN w:val="0"/>
        <w:adjustRightInd w:val="0"/>
        <w:ind w:left="720" w:hanging="720"/>
        <w:rPr>
          <w:sz w:val="24"/>
        </w:rPr>
      </w:pPr>
    </w:p>
    <w:p w:rsidR="00EE0F48" w:rsidRDefault="00EE0F48" w:rsidP="009A5F5D">
      <w:pPr>
        <w:autoSpaceDE w:val="0"/>
        <w:autoSpaceDN w:val="0"/>
        <w:adjustRightInd w:val="0"/>
        <w:rPr>
          <w:sz w:val="24"/>
          <w:szCs w:val="24"/>
        </w:rPr>
      </w:pPr>
    </w:p>
    <w:p w:rsidR="00AF6B81" w:rsidRDefault="00AF6B81" w:rsidP="009A5F5D">
      <w:pPr>
        <w:autoSpaceDE w:val="0"/>
        <w:autoSpaceDN w:val="0"/>
        <w:adjustRightInd w:val="0"/>
        <w:rPr>
          <w:sz w:val="24"/>
          <w:szCs w:val="24"/>
        </w:rPr>
      </w:pPr>
    </w:p>
    <w:p w:rsidR="00BC63A0" w:rsidRPr="00442938" w:rsidRDefault="003E7D36">
      <w:pPr>
        <w:rPr>
          <w:b/>
          <w:sz w:val="24"/>
          <w:szCs w:val="24"/>
        </w:rPr>
      </w:pPr>
      <w:r>
        <w:rPr>
          <w:sz w:val="24"/>
          <w:szCs w:val="24"/>
        </w:rPr>
        <w:br w:type="page"/>
      </w:r>
      <w:r w:rsidR="00BC63A0" w:rsidRPr="007725DB">
        <w:rPr>
          <w:b/>
          <w:sz w:val="24"/>
          <w:szCs w:val="24"/>
        </w:rPr>
        <w:t xml:space="preserve">Appendix A:  Macroinvertebrate </w:t>
      </w:r>
      <w:r w:rsidR="00D126A5">
        <w:rPr>
          <w:b/>
          <w:sz w:val="24"/>
          <w:szCs w:val="24"/>
        </w:rPr>
        <w:t>Laboratory Bench Sheet</w:t>
      </w:r>
      <w:r w:rsidR="00AF0BF5">
        <w:rPr>
          <w:b/>
          <w:sz w:val="24"/>
          <w:szCs w:val="24"/>
        </w:rPr>
        <w:t xml:space="preserve"> </w:t>
      </w:r>
    </w:p>
    <w:p w:rsidR="00C6700B" w:rsidRDefault="00663C3C">
      <w:r>
        <w:object w:dxaOrig="10133" w:dyaOrig="13435">
          <v:shape id="_x0000_i1026" type="#_x0000_t75" style="width:469.5pt;height:621.75pt" o:ole="">
            <v:imagedata r:id="rId18" o:title=""/>
          </v:shape>
          <o:OLEObject Type="Embed" ProgID="Excel.Sheet.8" ShapeID="_x0000_i1026" DrawAspect="Content" ObjectID="_1443522267" r:id="rId19"/>
        </w:object>
      </w:r>
    </w:p>
    <w:p w:rsidR="00D74677" w:rsidRDefault="00D74677" w:rsidP="00D74677">
      <w:pPr>
        <w:autoSpaceDE w:val="0"/>
        <w:autoSpaceDN w:val="0"/>
        <w:adjustRightInd w:val="0"/>
        <w:rPr>
          <w:b/>
          <w:sz w:val="24"/>
          <w:szCs w:val="24"/>
        </w:rPr>
      </w:pPr>
      <w:r w:rsidRPr="007725DB">
        <w:rPr>
          <w:b/>
          <w:sz w:val="24"/>
          <w:szCs w:val="24"/>
        </w:rPr>
        <w:t xml:space="preserve">Appendix B: </w:t>
      </w:r>
      <w:r w:rsidR="00BD4F2E" w:rsidRPr="007725DB">
        <w:rPr>
          <w:b/>
          <w:sz w:val="24"/>
          <w:szCs w:val="24"/>
        </w:rPr>
        <w:t xml:space="preserve"> Biological Scoring Criteria and Impairment Categories</w:t>
      </w:r>
    </w:p>
    <w:p w:rsidR="00640E71" w:rsidRDefault="00640E71" w:rsidP="00D74677">
      <w:pPr>
        <w:autoSpaceDE w:val="0"/>
        <w:autoSpaceDN w:val="0"/>
        <w:adjustRightInd w:val="0"/>
        <w:rPr>
          <w:b/>
          <w:sz w:val="24"/>
          <w:szCs w:val="24"/>
        </w:rPr>
      </w:pPr>
    </w:p>
    <w:p w:rsidR="00BD4F2E" w:rsidRDefault="00640E71" w:rsidP="00D74677">
      <w:pPr>
        <w:autoSpaceDE w:val="0"/>
        <w:autoSpaceDN w:val="0"/>
        <w:adjustRightInd w:val="0"/>
        <w:rPr>
          <w:sz w:val="24"/>
          <w:szCs w:val="24"/>
        </w:rPr>
      </w:pPr>
      <w:r>
        <w:t xml:space="preserve">RBP II – family level approach, </w:t>
      </w:r>
      <w:r w:rsidRPr="007725DB">
        <w:t>from EPA/440/4-89/001</w:t>
      </w:r>
    </w:p>
    <w:p w:rsidR="007725DB" w:rsidRDefault="00AF0BF5" w:rsidP="00D74677">
      <w:pPr>
        <w:autoSpaceDE w:val="0"/>
        <w:autoSpaceDN w:val="0"/>
        <w:adjustRightInd w:val="0"/>
        <w:rPr>
          <w:sz w:val="24"/>
          <w:szCs w:val="24"/>
        </w:rPr>
      </w:pPr>
      <w:r w:rsidRPr="00AF0BF5">
        <w:rPr>
          <w:noProof/>
          <w:sz w:val="24"/>
          <w:szCs w:val="24"/>
        </w:rPr>
        <w:drawing>
          <wp:inline distT="0" distB="0" distL="0" distR="0">
            <wp:extent cx="5055701" cy="7651793"/>
            <wp:effectExtent l="76200" t="38100" r="68749" b="25357"/>
            <wp:docPr id="1" name="Picture 38" descr="0026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026_001"/>
                    <pic:cNvPicPr>
                      <a:picLocks noChangeAspect="1" noChangeArrowheads="1"/>
                    </pic:cNvPicPr>
                  </pic:nvPicPr>
                  <pic:blipFill>
                    <a:blip r:embed="rId20" cstate="email"/>
                    <a:srcRect/>
                    <a:stretch>
                      <a:fillRect/>
                    </a:stretch>
                  </pic:blipFill>
                  <pic:spPr bwMode="auto">
                    <a:xfrm rot="60000">
                      <a:off x="0" y="0"/>
                      <a:ext cx="5055701" cy="7651793"/>
                    </a:xfrm>
                    <a:prstGeom prst="rect">
                      <a:avLst/>
                    </a:prstGeom>
                    <a:noFill/>
                    <a:ln w="9525">
                      <a:noFill/>
                      <a:miter lim="800000"/>
                      <a:headEnd/>
                      <a:tailEnd/>
                    </a:ln>
                  </pic:spPr>
                </pic:pic>
              </a:graphicData>
            </a:graphic>
          </wp:inline>
        </w:drawing>
      </w:r>
    </w:p>
    <w:p w:rsidR="007725DB" w:rsidRDefault="00640E71" w:rsidP="00D74677">
      <w:pPr>
        <w:autoSpaceDE w:val="0"/>
        <w:autoSpaceDN w:val="0"/>
        <w:adjustRightInd w:val="0"/>
        <w:rPr>
          <w:sz w:val="24"/>
          <w:szCs w:val="24"/>
        </w:rPr>
      </w:pPr>
      <w:r>
        <w:t xml:space="preserve">RBP III– </w:t>
      </w:r>
      <w:r w:rsidRPr="007725DB">
        <w:t xml:space="preserve">genus/species </w:t>
      </w:r>
      <w:r>
        <w:t xml:space="preserve">level approach, </w:t>
      </w:r>
      <w:r w:rsidRPr="007725DB">
        <w:t>from EPA/440/4-89/001</w:t>
      </w:r>
    </w:p>
    <w:p w:rsidR="00640E71" w:rsidRDefault="00640E71" w:rsidP="00D74677">
      <w:pPr>
        <w:autoSpaceDE w:val="0"/>
        <w:autoSpaceDN w:val="0"/>
        <w:adjustRightInd w:val="0"/>
        <w:rPr>
          <w:sz w:val="24"/>
          <w:szCs w:val="24"/>
        </w:rPr>
      </w:pPr>
    </w:p>
    <w:p w:rsidR="00D74677" w:rsidRPr="00AF0BF5" w:rsidRDefault="00AF0BF5" w:rsidP="00D74677">
      <w:pPr>
        <w:autoSpaceDE w:val="0"/>
        <w:autoSpaceDN w:val="0"/>
        <w:adjustRightInd w:val="0"/>
        <w:rPr>
          <w:sz w:val="24"/>
          <w:szCs w:val="24"/>
        </w:rPr>
      </w:pPr>
      <w:r w:rsidRPr="00AF0BF5">
        <w:rPr>
          <w:noProof/>
          <w:sz w:val="24"/>
          <w:szCs w:val="24"/>
        </w:rPr>
        <w:drawing>
          <wp:inline distT="0" distB="0" distL="0" distR="0">
            <wp:extent cx="5010150" cy="7902109"/>
            <wp:effectExtent l="19050" t="0" r="0" b="0"/>
            <wp:docPr id="2" name="Picture 3" descr="0027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7_001"/>
                    <pic:cNvPicPr>
                      <a:picLocks noChangeAspect="1" noChangeArrowheads="1"/>
                    </pic:cNvPicPr>
                  </pic:nvPicPr>
                  <pic:blipFill>
                    <a:blip r:embed="rId21" cstate="email"/>
                    <a:srcRect/>
                    <a:stretch>
                      <a:fillRect/>
                    </a:stretch>
                  </pic:blipFill>
                  <pic:spPr bwMode="auto">
                    <a:xfrm>
                      <a:off x="0" y="0"/>
                      <a:ext cx="5010150" cy="7902109"/>
                    </a:xfrm>
                    <a:prstGeom prst="rect">
                      <a:avLst/>
                    </a:prstGeom>
                    <a:noFill/>
                    <a:ln w="9525">
                      <a:noFill/>
                      <a:miter lim="800000"/>
                      <a:headEnd/>
                      <a:tailEnd/>
                    </a:ln>
                  </pic:spPr>
                </pic:pic>
              </a:graphicData>
            </a:graphic>
          </wp:inline>
        </w:drawing>
      </w:r>
      <w:r w:rsidR="00D74677">
        <w:rPr>
          <w:sz w:val="24"/>
          <w:szCs w:val="24"/>
        </w:rPr>
        <w:br w:type="page"/>
      </w:r>
      <w:r w:rsidR="00D74677" w:rsidRPr="007725DB">
        <w:rPr>
          <w:b/>
          <w:sz w:val="24"/>
          <w:szCs w:val="24"/>
        </w:rPr>
        <w:t>Appendix C</w:t>
      </w:r>
      <w:r w:rsidR="007725DB">
        <w:rPr>
          <w:b/>
          <w:sz w:val="24"/>
          <w:szCs w:val="24"/>
        </w:rPr>
        <w:t>:</w:t>
      </w:r>
      <w:r w:rsidR="00D74677" w:rsidRPr="007725DB">
        <w:rPr>
          <w:b/>
          <w:sz w:val="24"/>
          <w:szCs w:val="24"/>
        </w:rPr>
        <w:t xml:space="preserve">  Example of a completed </w:t>
      </w:r>
      <w:r w:rsidR="009A5F5D">
        <w:rPr>
          <w:b/>
          <w:sz w:val="24"/>
          <w:szCs w:val="24"/>
        </w:rPr>
        <w:t xml:space="preserve">LARE </w:t>
      </w:r>
      <w:r w:rsidR="00D74677" w:rsidRPr="007725DB">
        <w:rPr>
          <w:b/>
          <w:sz w:val="24"/>
          <w:szCs w:val="24"/>
        </w:rPr>
        <w:t xml:space="preserve">metric scoring report </w:t>
      </w:r>
    </w:p>
    <w:p w:rsidR="00583281" w:rsidRDefault="00583281" w:rsidP="00806149">
      <w:pPr>
        <w:autoSpaceDE w:val="0"/>
        <w:autoSpaceDN w:val="0"/>
        <w:adjustRightInd w:val="0"/>
      </w:pPr>
    </w:p>
    <w:tbl>
      <w:tblPr>
        <w:tblW w:w="9500" w:type="dxa"/>
        <w:tblInd w:w="93" w:type="dxa"/>
        <w:tblLook w:val="04A0"/>
      </w:tblPr>
      <w:tblGrid>
        <w:gridCol w:w="4240"/>
        <w:gridCol w:w="460"/>
        <w:gridCol w:w="960"/>
        <w:gridCol w:w="960"/>
        <w:gridCol w:w="960"/>
        <w:gridCol w:w="960"/>
        <w:gridCol w:w="960"/>
      </w:tblGrid>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800" w:type="dxa"/>
            <w:gridSpan w:val="5"/>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Sites</w:t>
            </w: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Metrics</w:t>
            </w:r>
          </w:p>
        </w:tc>
        <w:tc>
          <w:tcPr>
            <w:tcW w:w="46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1*</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3</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5</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Number of Taxa</w:t>
            </w:r>
          </w:p>
        </w:tc>
        <w:tc>
          <w:tcPr>
            <w:tcW w:w="460" w:type="dxa"/>
            <w:tcBorders>
              <w:top w:val="nil"/>
              <w:left w:val="nil"/>
              <w:bottom w:val="nil"/>
              <w:right w:val="nil"/>
            </w:tcBorders>
            <w:shd w:val="clear" w:color="auto" w:fill="auto"/>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20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11</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13</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12</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12</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EPT Index </w:t>
            </w:r>
          </w:p>
        </w:tc>
        <w:tc>
          <w:tcPr>
            <w:tcW w:w="460" w:type="dxa"/>
            <w:tcBorders>
              <w:top w:val="nil"/>
              <w:left w:val="nil"/>
              <w:bottom w:val="nil"/>
              <w:right w:val="nil"/>
            </w:tcBorders>
            <w:shd w:val="clear" w:color="auto" w:fill="auto"/>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5</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8</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8</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 Dominant Taxa</w:t>
            </w:r>
          </w:p>
        </w:tc>
        <w:tc>
          <w:tcPr>
            <w:tcW w:w="460" w:type="dxa"/>
            <w:tcBorders>
              <w:top w:val="nil"/>
              <w:left w:val="nil"/>
              <w:bottom w:val="nil"/>
              <w:right w:val="nil"/>
            </w:tcBorders>
            <w:shd w:val="clear" w:color="auto" w:fill="auto"/>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31</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35</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43</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28</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60</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Ratio of EPT to Chironomidae</w:t>
            </w:r>
          </w:p>
        </w:tc>
        <w:tc>
          <w:tcPr>
            <w:tcW w:w="460" w:type="dxa"/>
            <w:tcBorders>
              <w:top w:val="nil"/>
              <w:left w:val="nil"/>
              <w:bottom w:val="nil"/>
              <w:right w:val="nil"/>
            </w:tcBorders>
            <w:shd w:val="clear" w:color="auto" w:fill="auto"/>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18</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3.8</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8.2</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33</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11</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Modified HBI </w:t>
            </w:r>
          </w:p>
        </w:tc>
        <w:tc>
          <w:tcPr>
            <w:tcW w:w="460" w:type="dxa"/>
            <w:tcBorders>
              <w:top w:val="nil"/>
              <w:left w:val="nil"/>
              <w:bottom w:val="nil"/>
              <w:right w:val="nil"/>
            </w:tcBorders>
            <w:shd w:val="clear" w:color="auto" w:fill="auto"/>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4.3</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4.2</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5</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5.3</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5.5</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Ratio of Scrapers to Filter</w:t>
            </w:r>
            <w:r w:rsidR="00B74AA4">
              <w:rPr>
                <w:color w:val="000000"/>
                <w:sz w:val="24"/>
                <w:szCs w:val="24"/>
              </w:rPr>
              <w:t>ing Collectors</w:t>
            </w:r>
          </w:p>
        </w:tc>
        <w:tc>
          <w:tcPr>
            <w:tcW w:w="460" w:type="dxa"/>
            <w:tcBorders>
              <w:top w:val="nil"/>
              <w:left w:val="nil"/>
              <w:bottom w:val="nil"/>
              <w:right w:val="nil"/>
            </w:tcBorders>
            <w:shd w:val="clear" w:color="auto" w:fill="auto"/>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0.2</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0.2</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0.3</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Ratio of Shredders to Nonshredders</w:t>
            </w:r>
          </w:p>
        </w:tc>
        <w:tc>
          <w:tcPr>
            <w:tcW w:w="460" w:type="dxa"/>
            <w:tcBorders>
              <w:top w:val="nil"/>
              <w:left w:val="nil"/>
              <w:bottom w:val="nil"/>
              <w:right w:val="nil"/>
            </w:tcBorders>
            <w:shd w:val="clear" w:color="auto" w:fill="auto"/>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12</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14</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0</w:t>
            </w: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Community Loss Index </w:t>
            </w:r>
          </w:p>
        </w:tc>
        <w:tc>
          <w:tcPr>
            <w:tcW w:w="460" w:type="dxa"/>
            <w:tcBorders>
              <w:top w:val="nil"/>
              <w:left w:val="nil"/>
              <w:bottom w:val="single" w:sz="4" w:space="0" w:color="auto"/>
              <w:right w:val="nil"/>
            </w:tcBorders>
            <w:shd w:val="clear" w:color="auto" w:fill="auto"/>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1.1</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0.9</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0.9</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1.2</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800" w:type="dxa"/>
            <w:gridSpan w:val="5"/>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Scoring per Sites</w:t>
            </w: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46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1*</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3</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5</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Number of Taxa</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EPT Index </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 Dominant Taxa</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0</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Ratio of EPT to Chironomidae</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2</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4</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Modified HBI </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Ratio of Scrapers to Filter</w:t>
            </w:r>
            <w:r w:rsidR="00B74AA4">
              <w:rPr>
                <w:color w:val="000000"/>
                <w:sz w:val="24"/>
                <w:szCs w:val="24"/>
              </w:rPr>
              <w:t>ing Collectors</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c>
          <w:tcPr>
            <w:tcW w:w="960" w:type="dxa"/>
            <w:tcBorders>
              <w:top w:val="nil"/>
              <w:left w:val="nil"/>
              <w:bottom w:val="nil"/>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0</w:t>
            </w:r>
          </w:p>
        </w:tc>
      </w:tr>
      <w:tr w:rsidR="00583281" w:rsidRPr="00583281" w:rsidTr="00583281">
        <w:trPr>
          <w:trHeight w:val="315"/>
        </w:trPr>
        <w:tc>
          <w:tcPr>
            <w:tcW w:w="4240" w:type="dxa"/>
            <w:tcBorders>
              <w:top w:val="nil"/>
              <w:left w:val="nil"/>
              <w:bottom w:val="nil"/>
              <w:right w:val="nil"/>
            </w:tcBorders>
            <w:shd w:val="clear" w:color="auto" w:fill="auto"/>
            <w:noWrap/>
            <w:hideMark/>
          </w:tcPr>
          <w:p w:rsidR="00583281" w:rsidRPr="00583281" w:rsidRDefault="00583281" w:rsidP="00583281">
            <w:pPr>
              <w:rPr>
                <w:color w:val="000000"/>
                <w:sz w:val="24"/>
                <w:szCs w:val="24"/>
              </w:rPr>
            </w:pPr>
            <w:r w:rsidRPr="00583281">
              <w:rPr>
                <w:color w:val="000000"/>
                <w:sz w:val="24"/>
                <w:szCs w:val="24"/>
              </w:rPr>
              <w:t>Ratio of Shredders to Nonshredders</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nil"/>
              <w:right w:val="nil"/>
            </w:tcBorders>
            <w:shd w:val="clear" w:color="auto" w:fill="auto"/>
            <w:hideMark/>
          </w:tcPr>
          <w:p w:rsidR="00583281" w:rsidRPr="00583281" w:rsidRDefault="00583281" w:rsidP="00583281">
            <w:pPr>
              <w:jc w:val="center"/>
              <w:rPr>
                <w:color w:val="000000"/>
                <w:sz w:val="24"/>
                <w:szCs w:val="24"/>
              </w:rPr>
            </w:pPr>
            <w:r w:rsidRPr="00583281">
              <w:rPr>
                <w:color w:val="000000"/>
                <w:sz w:val="24"/>
                <w:szCs w:val="24"/>
              </w:rPr>
              <w:t>0</w:t>
            </w: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xml:space="preserve">Community Loss Index </w:t>
            </w:r>
          </w:p>
        </w:tc>
        <w:tc>
          <w:tcPr>
            <w:tcW w:w="46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6</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c>
          <w:tcPr>
            <w:tcW w:w="960" w:type="dxa"/>
            <w:tcBorders>
              <w:top w:val="nil"/>
              <w:left w:val="nil"/>
              <w:bottom w:val="single" w:sz="4" w:space="0" w:color="auto"/>
              <w:right w:val="nil"/>
            </w:tcBorders>
            <w:shd w:val="clear" w:color="auto" w:fill="auto"/>
            <w:vAlign w:val="bottom"/>
            <w:hideMark/>
          </w:tcPr>
          <w:p w:rsidR="00583281" w:rsidRPr="00583281" w:rsidRDefault="00583281" w:rsidP="00583281">
            <w:pPr>
              <w:jc w:val="center"/>
              <w:rPr>
                <w:color w:val="000000"/>
                <w:sz w:val="24"/>
                <w:szCs w:val="24"/>
              </w:rPr>
            </w:pPr>
            <w:r w:rsidRPr="00583281">
              <w:rPr>
                <w:color w:val="000000"/>
                <w:sz w:val="24"/>
                <w:szCs w:val="24"/>
              </w:rPr>
              <w:t>4</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Total</w:t>
            </w:r>
          </w:p>
        </w:tc>
        <w:tc>
          <w:tcPr>
            <w:tcW w:w="46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44</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26</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26</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32</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20</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of Reference</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100</w:t>
            </w: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59</w:t>
            </w: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59</w:t>
            </w: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73</w:t>
            </w: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45</w:t>
            </w:r>
          </w:p>
        </w:tc>
      </w:tr>
      <w:tr w:rsidR="00583281" w:rsidRPr="00583281" w:rsidTr="00583281">
        <w:trPr>
          <w:trHeight w:val="315"/>
        </w:trPr>
        <w:tc>
          <w:tcPr>
            <w:tcW w:w="4240" w:type="dxa"/>
            <w:tcBorders>
              <w:top w:val="nil"/>
              <w:left w:val="nil"/>
              <w:bottom w:val="single" w:sz="4" w:space="0" w:color="auto"/>
              <w:right w:val="nil"/>
            </w:tcBorders>
            <w:shd w:val="clear" w:color="auto" w:fill="auto"/>
            <w:noWrap/>
            <w:vAlign w:val="bottom"/>
            <w:hideMark/>
          </w:tcPr>
          <w:p w:rsidR="00583281" w:rsidRPr="00583281" w:rsidRDefault="00DE6439" w:rsidP="00583281">
            <w:pPr>
              <w:rPr>
                <w:color w:val="000000"/>
                <w:sz w:val="24"/>
                <w:szCs w:val="24"/>
              </w:rPr>
            </w:pPr>
            <w:r>
              <w:rPr>
                <w:color w:val="000000"/>
                <w:sz w:val="24"/>
                <w:szCs w:val="24"/>
              </w:rPr>
              <w:t>Biological Condition</w:t>
            </w:r>
            <w:r w:rsidR="00583281" w:rsidRPr="00583281">
              <w:rPr>
                <w:color w:val="000000"/>
                <w:sz w:val="24"/>
                <w:szCs w:val="24"/>
              </w:rPr>
              <w:t xml:space="preserve"> Category</w:t>
            </w:r>
            <w:r>
              <w:rPr>
                <w:color w:val="000000"/>
                <w:sz w:val="24"/>
                <w:szCs w:val="24"/>
              </w:rPr>
              <w:t xml:space="preserve"> (RBP III)</w:t>
            </w:r>
          </w:p>
        </w:tc>
        <w:tc>
          <w:tcPr>
            <w:tcW w:w="460" w:type="dxa"/>
            <w:tcBorders>
              <w:top w:val="nil"/>
              <w:left w:val="nil"/>
              <w:bottom w:val="single" w:sz="4" w:space="0" w:color="auto"/>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 </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N</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S</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S</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S</w:t>
            </w:r>
          </w:p>
        </w:tc>
        <w:tc>
          <w:tcPr>
            <w:tcW w:w="960" w:type="dxa"/>
            <w:tcBorders>
              <w:top w:val="nil"/>
              <w:left w:val="nil"/>
              <w:bottom w:val="single" w:sz="4" w:space="0" w:color="auto"/>
              <w:right w:val="nil"/>
            </w:tcBorders>
            <w:shd w:val="clear" w:color="auto" w:fill="auto"/>
            <w:noWrap/>
            <w:vAlign w:val="bottom"/>
            <w:hideMark/>
          </w:tcPr>
          <w:p w:rsidR="00583281" w:rsidRPr="00583281" w:rsidRDefault="00583281" w:rsidP="00583281">
            <w:pPr>
              <w:jc w:val="center"/>
              <w:rPr>
                <w:color w:val="000000"/>
                <w:sz w:val="24"/>
                <w:szCs w:val="24"/>
              </w:rPr>
            </w:pPr>
            <w:r w:rsidRPr="00583281">
              <w:rPr>
                <w:color w:val="000000"/>
                <w:sz w:val="24"/>
                <w:szCs w:val="24"/>
              </w:rPr>
              <w:t>M</w:t>
            </w: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r>
      <w:tr w:rsidR="00583281" w:rsidRPr="00583281" w:rsidTr="00583281">
        <w:trPr>
          <w:trHeight w:val="315"/>
        </w:trPr>
        <w:tc>
          <w:tcPr>
            <w:tcW w:w="424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r w:rsidRPr="00583281">
              <w:rPr>
                <w:color w:val="000000"/>
                <w:sz w:val="24"/>
                <w:szCs w:val="24"/>
              </w:rPr>
              <w:t>*Note: Site 1 was used as reference site</w:t>
            </w:r>
          </w:p>
        </w:tc>
        <w:tc>
          <w:tcPr>
            <w:tcW w:w="460" w:type="dxa"/>
            <w:tcBorders>
              <w:top w:val="nil"/>
              <w:left w:val="nil"/>
              <w:bottom w:val="nil"/>
              <w:right w:val="nil"/>
            </w:tcBorders>
            <w:shd w:val="clear" w:color="auto" w:fill="auto"/>
            <w:noWrap/>
            <w:vAlign w:val="bottom"/>
            <w:hideMark/>
          </w:tcPr>
          <w:p w:rsidR="00583281" w:rsidRPr="00583281" w:rsidRDefault="00583281" w:rsidP="00583281">
            <w:pP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c>
          <w:tcPr>
            <w:tcW w:w="960" w:type="dxa"/>
            <w:tcBorders>
              <w:top w:val="nil"/>
              <w:left w:val="nil"/>
              <w:bottom w:val="nil"/>
              <w:right w:val="nil"/>
            </w:tcBorders>
            <w:shd w:val="clear" w:color="auto" w:fill="auto"/>
            <w:noWrap/>
            <w:vAlign w:val="bottom"/>
            <w:hideMark/>
          </w:tcPr>
          <w:p w:rsidR="00583281" w:rsidRPr="00583281" w:rsidRDefault="00583281" w:rsidP="00583281">
            <w:pPr>
              <w:jc w:val="center"/>
              <w:rPr>
                <w:color w:val="000000"/>
                <w:sz w:val="24"/>
                <w:szCs w:val="24"/>
              </w:rPr>
            </w:pPr>
          </w:p>
        </w:tc>
      </w:tr>
    </w:tbl>
    <w:p w:rsidR="00C6700B" w:rsidRDefault="00F0580C" w:rsidP="00806149">
      <w:pPr>
        <w:autoSpaceDE w:val="0"/>
        <w:autoSpaceDN w:val="0"/>
        <w:adjustRightInd w:val="0"/>
      </w:pPr>
      <w:r>
        <w:rPr>
          <w:noProof/>
        </w:rPr>
        <w:pict>
          <v:shape id="_x0000_s1058" type="#_x0000_t202" style="position:absolute;margin-left:67.05pt;margin-top:117.2pt;width:71.7pt;height:23.8pt;z-index:251658752;mso-position-horizontal-relative:page;mso-position-vertical-relative:page" wrapcoords="0 0 21600 0 21600 21600 0 21600 0 0" filled="f" stroked="f">
            <v:textbox style="mso-next-textbox:#_x0000_s1058">
              <w:txbxContent>
                <w:p w:rsidR="00071E76" w:rsidRDefault="00071E76" w:rsidP="00D74677">
                  <w:pPr>
                    <w:autoSpaceDE w:val="0"/>
                    <w:autoSpaceDN w:val="0"/>
                    <w:adjustRightInd w:val="0"/>
                    <w:rPr>
                      <w:rFonts w:ascii="Courier Std" w:hAnsi="Courier Std"/>
                      <w:sz w:val="24"/>
                      <w:szCs w:val="24"/>
                    </w:rPr>
                  </w:pPr>
                </w:p>
                <w:tbl>
                  <w:tblPr>
                    <w:tblW w:w="0" w:type="auto"/>
                    <w:tblInd w:w="-72" w:type="dxa"/>
                    <w:tblBorders>
                      <w:top w:val="nil"/>
                      <w:left w:val="nil"/>
                      <w:bottom w:val="nil"/>
                      <w:right w:val="nil"/>
                    </w:tblBorders>
                    <w:tblLayout w:type="fixed"/>
                    <w:tblLook w:val="0000"/>
                  </w:tblPr>
                  <w:tblGrid>
                    <w:gridCol w:w="2307"/>
                    <w:gridCol w:w="843"/>
                    <w:gridCol w:w="19"/>
                    <w:gridCol w:w="938"/>
                    <w:gridCol w:w="647"/>
                    <w:gridCol w:w="145"/>
                    <w:gridCol w:w="73"/>
                    <w:gridCol w:w="70"/>
                    <w:gridCol w:w="504"/>
                    <w:gridCol w:w="218"/>
                    <w:gridCol w:w="502"/>
                    <w:gridCol w:w="290"/>
                    <w:gridCol w:w="358"/>
                    <w:gridCol w:w="556"/>
                  </w:tblGrid>
                  <w:tr w:rsidR="00071E76">
                    <w:trPr>
                      <w:trHeight w:val="317"/>
                    </w:trPr>
                    <w:tc>
                      <w:tcPr>
                        <w:tcW w:w="4107" w:type="dxa"/>
                        <w:gridSpan w:val="4"/>
                      </w:tcPr>
                      <w:p w:rsidR="00071E76" w:rsidRPr="00806149" w:rsidRDefault="00071E76">
                        <w:pPr>
                          <w:pStyle w:val="Default"/>
                          <w:rPr>
                            <w:rFonts w:ascii="Arial" w:hAnsi="Arial" w:cs="Arial"/>
                            <w:color w:val="auto"/>
                            <w:sz w:val="20"/>
                            <w:szCs w:val="20"/>
                          </w:rPr>
                        </w:pPr>
                      </w:p>
                    </w:tc>
                    <w:tc>
                      <w:tcPr>
                        <w:tcW w:w="1657" w:type="dxa"/>
                        <w:gridSpan w:val="6"/>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color w:val="auto"/>
                            <w:sz w:val="20"/>
                            <w:szCs w:val="20"/>
                          </w:rPr>
                        </w:pPr>
                      </w:p>
                    </w:tc>
                    <w:tc>
                      <w:tcPr>
                        <w:tcW w:w="914" w:type="dxa"/>
                        <w:gridSpan w:val="2"/>
                      </w:tcPr>
                      <w:p w:rsidR="00071E76" w:rsidRPr="00806149" w:rsidRDefault="00071E76">
                        <w:pPr>
                          <w:pStyle w:val="Default"/>
                          <w:jc w:val="center"/>
                          <w:rPr>
                            <w:rFonts w:ascii="Arial" w:hAnsi="Arial" w:cs="Arial"/>
                            <w:color w:val="auto"/>
                            <w:sz w:val="20"/>
                            <w:szCs w:val="20"/>
                          </w:rPr>
                        </w:pPr>
                      </w:p>
                    </w:tc>
                  </w:tr>
                  <w:tr w:rsidR="00071E76" w:rsidTr="00806149">
                    <w:trPr>
                      <w:trHeight w:val="435"/>
                    </w:trPr>
                    <w:tc>
                      <w:tcPr>
                        <w:tcW w:w="3150" w:type="dxa"/>
                        <w:gridSpan w:val="2"/>
                        <w:vAlign w:val="center"/>
                      </w:tcPr>
                      <w:p w:rsidR="00071E76" w:rsidRPr="00806149" w:rsidRDefault="00071E76">
                        <w:pPr>
                          <w:pStyle w:val="Default"/>
                          <w:rPr>
                            <w:rFonts w:ascii="Arial" w:hAnsi="Arial" w:cs="Arial"/>
                            <w:sz w:val="20"/>
                            <w:szCs w:val="20"/>
                          </w:rPr>
                        </w:pPr>
                      </w:p>
                    </w:tc>
                    <w:tc>
                      <w:tcPr>
                        <w:tcW w:w="957" w:type="dxa"/>
                        <w:gridSpan w:val="2"/>
                        <w:vAlign w:val="center"/>
                      </w:tcPr>
                      <w:p w:rsidR="00071E76" w:rsidRPr="00806149" w:rsidRDefault="00071E76" w:rsidP="00806149">
                        <w:pPr>
                          <w:pStyle w:val="Default"/>
                          <w:jc w:val="center"/>
                          <w:rPr>
                            <w:rFonts w:ascii="Arial" w:hAnsi="Arial" w:cs="Arial"/>
                            <w:sz w:val="20"/>
                            <w:szCs w:val="20"/>
                          </w:rPr>
                        </w:pPr>
                      </w:p>
                    </w:tc>
                    <w:tc>
                      <w:tcPr>
                        <w:tcW w:w="935" w:type="dxa"/>
                        <w:gridSpan w:val="4"/>
                        <w:vAlign w:val="center"/>
                      </w:tcPr>
                      <w:p w:rsidR="00071E76" w:rsidRPr="00806149" w:rsidRDefault="00071E76">
                        <w:pPr>
                          <w:pStyle w:val="Default"/>
                          <w:jc w:val="center"/>
                          <w:rPr>
                            <w:rFonts w:ascii="Arial" w:hAnsi="Arial" w:cs="Arial"/>
                            <w:sz w:val="20"/>
                            <w:szCs w:val="20"/>
                          </w:rPr>
                        </w:pPr>
                      </w:p>
                    </w:tc>
                    <w:tc>
                      <w:tcPr>
                        <w:tcW w:w="722" w:type="dxa"/>
                        <w:gridSpan w:val="2"/>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914" w:type="dxa"/>
                        <w:gridSpan w:val="2"/>
                        <w:vAlign w:val="center"/>
                      </w:tcPr>
                      <w:p w:rsidR="00071E76" w:rsidRPr="00806149" w:rsidRDefault="00071E76">
                        <w:pPr>
                          <w:pStyle w:val="Default"/>
                          <w:jc w:val="center"/>
                          <w:rPr>
                            <w:rFonts w:ascii="Arial" w:hAnsi="Arial" w:cs="Arial"/>
                            <w:sz w:val="20"/>
                            <w:szCs w:val="20"/>
                          </w:rPr>
                        </w:pPr>
                      </w:p>
                    </w:tc>
                  </w:tr>
                  <w:tr w:rsidR="00071E76">
                    <w:trPr>
                      <w:trHeight w:val="297"/>
                    </w:trPr>
                    <w:tc>
                      <w:tcPr>
                        <w:tcW w:w="3169" w:type="dxa"/>
                        <w:gridSpan w:val="3"/>
                      </w:tcPr>
                      <w:p w:rsidR="00071E76" w:rsidRPr="00806149" w:rsidRDefault="00071E76">
                        <w:pPr>
                          <w:pStyle w:val="Default"/>
                          <w:rPr>
                            <w:rFonts w:ascii="Arial" w:hAnsi="Arial" w:cs="Arial"/>
                            <w:color w:val="auto"/>
                            <w:sz w:val="20"/>
                            <w:szCs w:val="20"/>
                          </w:rPr>
                        </w:pPr>
                      </w:p>
                    </w:tc>
                    <w:tc>
                      <w:tcPr>
                        <w:tcW w:w="938" w:type="dxa"/>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865" w:type="dxa"/>
                        <w:gridSpan w:val="4"/>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914" w:type="dxa"/>
                        <w:gridSpan w:val="2"/>
                      </w:tcPr>
                      <w:p w:rsidR="00071E76" w:rsidRPr="00806149" w:rsidRDefault="00071E76">
                        <w:pPr>
                          <w:pStyle w:val="Default"/>
                          <w:rPr>
                            <w:rFonts w:ascii="Arial" w:hAnsi="Arial" w:cs="Arial"/>
                            <w:sz w:val="20"/>
                            <w:szCs w:val="20"/>
                          </w:rPr>
                        </w:pPr>
                      </w:p>
                    </w:tc>
                  </w:tr>
                  <w:tr w:rsidR="00071E76">
                    <w:trPr>
                      <w:trHeight w:val="347"/>
                    </w:trPr>
                    <w:tc>
                      <w:tcPr>
                        <w:tcW w:w="3169" w:type="dxa"/>
                        <w:gridSpan w:val="3"/>
                        <w:vAlign w:val="bottom"/>
                      </w:tcPr>
                      <w:p w:rsidR="00071E76" w:rsidRPr="00806149" w:rsidRDefault="00071E76">
                        <w:pPr>
                          <w:pStyle w:val="Default"/>
                          <w:rPr>
                            <w:rFonts w:ascii="Arial" w:hAnsi="Arial" w:cs="Arial"/>
                            <w:sz w:val="20"/>
                            <w:szCs w:val="20"/>
                          </w:rPr>
                        </w:pPr>
                      </w:p>
                    </w:tc>
                    <w:tc>
                      <w:tcPr>
                        <w:tcW w:w="938" w:type="dxa"/>
                        <w:vAlign w:val="bottom"/>
                      </w:tcPr>
                      <w:p w:rsidR="00071E76" w:rsidRPr="00806149" w:rsidRDefault="00071E76">
                        <w:pPr>
                          <w:pStyle w:val="Default"/>
                          <w:jc w:val="center"/>
                          <w:rPr>
                            <w:rFonts w:ascii="Arial" w:hAnsi="Arial" w:cs="Arial"/>
                            <w:sz w:val="20"/>
                            <w:szCs w:val="20"/>
                          </w:rPr>
                        </w:pPr>
                      </w:p>
                    </w:tc>
                    <w:tc>
                      <w:tcPr>
                        <w:tcW w:w="865" w:type="dxa"/>
                        <w:gridSpan w:val="3"/>
                        <w:vAlign w:val="bottom"/>
                      </w:tcPr>
                      <w:p w:rsidR="00071E76" w:rsidRPr="00806149" w:rsidRDefault="00071E76">
                        <w:pPr>
                          <w:pStyle w:val="Default"/>
                          <w:jc w:val="center"/>
                          <w:rPr>
                            <w:rFonts w:ascii="Arial" w:hAnsi="Arial" w:cs="Arial"/>
                            <w:sz w:val="20"/>
                            <w:szCs w:val="20"/>
                          </w:rPr>
                        </w:pPr>
                      </w:p>
                    </w:tc>
                    <w:tc>
                      <w:tcPr>
                        <w:tcW w:w="792" w:type="dxa"/>
                        <w:gridSpan w:val="3"/>
                        <w:vAlign w:val="bottom"/>
                      </w:tcPr>
                      <w:p w:rsidR="00071E76" w:rsidRPr="00806149" w:rsidRDefault="00071E76">
                        <w:pPr>
                          <w:pStyle w:val="Default"/>
                          <w:jc w:val="center"/>
                          <w:rPr>
                            <w:rFonts w:ascii="Arial" w:hAnsi="Arial" w:cs="Arial"/>
                            <w:sz w:val="20"/>
                            <w:szCs w:val="20"/>
                          </w:rPr>
                        </w:pPr>
                      </w:p>
                    </w:tc>
                    <w:tc>
                      <w:tcPr>
                        <w:tcW w:w="792" w:type="dxa"/>
                        <w:gridSpan w:val="2"/>
                        <w:vAlign w:val="bottom"/>
                      </w:tcPr>
                      <w:p w:rsidR="00071E76" w:rsidRPr="00806149" w:rsidRDefault="00071E76">
                        <w:pPr>
                          <w:pStyle w:val="Default"/>
                          <w:jc w:val="center"/>
                          <w:rPr>
                            <w:rFonts w:ascii="Arial" w:hAnsi="Arial" w:cs="Arial"/>
                            <w:sz w:val="20"/>
                            <w:szCs w:val="20"/>
                          </w:rPr>
                        </w:pPr>
                      </w:p>
                    </w:tc>
                    <w:tc>
                      <w:tcPr>
                        <w:tcW w:w="914" w:type="dxa"/>
                        <w:gridSpan w:val="2"/>
                        <w:vAlign w:val="bottom"/>
                      </w:tcPr>
                      <w:p w:rsidR="00071E76" w:rsidRPr="00806149" w:rsidRDefault="00071E76">
                        <w:pPr>
                          <w:pStyle w:val="Default"/>
                          <w:rPr>
                            <w:rFonts w:ascii="Arial" w:hAnsi="Arial" w:cs="Arial"/>
                            <w:sz w:val="20"/>
                            <w:szCs w:val="20"/>
                          </w:rPr>
                        </w:pPr>
                      </w:p>
                    </w:tc>
                  </w:tr>
                  <w:tr w:rsidR="00071E76">
                    <w:trPr>
                      <w:trHeight w:val="24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865" w:type="dxa"/>
                        <w:gridSpan w:val="4"/>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914" w:type="dxa"/>
                        <w:gridSpan w:val="2"/>
                        <w:vAlign w:val="center"/>
                      </w:tcPr>
                      <w:p w:rsidR="00071E76" w:rsidRPr="00806149" w:rsidRDefault="00071E76">
                        <w:pPr>
                          <w:pStyle w:val="Default"/>
                          <w:rPr>
                            <w:rFonts w:ascii="Arial" w:hAnsi="Arial" w:cs="Arial"/>
                            <w:sz w:val="20"/>
                            <w:szCs w:val="20"/>
                          </w:rPr>
                        </w:pPr>
                      </w:p>
                    </w:tc>
                  </w:tr>
                  <w:tr w:rsidR="00071E76">
                    <w:trPr>
                      <w:trHeight w:val="27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865" w:type="dxa"/>
                        <w:gridSpan w:val="4"/>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914" w:type="dxa"/>
                        <w:gridSpan w:val="2"/>
                        <w:vAlign w:val="center"/>
                      </w:tcPr>
                      <w:p w:rsidR="00071E76" w:rsidRPr="00806149" w:rsidRDefault="00071E76">
                        <w:pPr>
                          <w:pStyle w:val="Default"/>
                          <w:rPr>
                            <w:rFonts w:ascii="Arial" w:hAnsi="Arial" w:cs="Arial"/>
                            <w:sz w:val="20"/>
                            <w:szCs w:val="20"/>
                          </w:rPr>
                        </w:pPr>
                      </w:p>
                    </w:tc>
                  </w:tr>
                  <w:tr w:rsidR="00071E76">
                    <w:trPr>
                      <w:trHeight w:val="240"/>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865" w:type="dxa"/>
                        <w:gridSpan w:val="4"/>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914" w:type="dxa"/>
                        <w:gridSpan w:val="2"/>
                      </w:tcPr>
                      <w:p w:rsidR="00071E76" w:rsidRPr="00806149" w:rsidRDefault="00071E76">
                        <w:pPr>
                          <w:pStyle w:val="Default"/>
                          <w:rPr>
                            <w:rFonts w:ascii="Arial" w:hAnsi="Arial" w:cs="Arial"/>
                            <w:sz w:val="20"/>
                            <w:szCs w:val="20"/>
                          </w:rPr>
                        </w:pPr>
                      </w:p>
                    </w:tc>
                  </w:tr>
                  <w:tr w:rsidR="00071E76">
                    <w:trPr>
                      <w:trHeight w:val="210"/>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865" w:type="dxa"/>
                        <w:gridSpan w:val="3"/>
                      </w:tcPr>
                      <w:p w:rsidR="00071E76" w:rsidRPr="00806149" w:rsidRDefault="00071E76">
                        <w:pPr>
                          <w:pStyle w:val="Default"/>
                          <w:jc w:val="center"/>
                          <w:rPr>
                            <w:rFonts w:ascii="Arial" w:hAnsi="Arial" w:cs="Arial"/>
                            <w:sz w:val="20"/>
                            <w:szCs w:val="20"/>
                          </w:rPr>
                        </w:pPr>
                      </w:p>
                    </w:tc>
                    <w:tc>
                      <w:tcPr>
                        <w:tcW w:w="792" w:type="dxa"/>
                        <w:gridSpan w:val="3"/>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914" w:type="dxa"/>
                        <w:gridSpan w:val="2"/>
                      </w:tcPr>
                      <w:p w:rsidR="00071E76" w:rsidRPr="00806149" w:rsidRDefault="00071E76">
                        <w:pPr>
                          <w:pStyle w:val="Default"/>
                          <w:rPr>
                            <w:rFonts w:ascii="Arial" w:hAnsi="Arial" w:cs="Arial"/>
                            <w:sz w:val="20"/>
                            <w:szCs w:val="20"/>
                          </w:rPr>
                        </w:pPr>
                      </w:p>
                    </w:tc>
                  </w:tr>
                  <w:tr w:rsidR="00071E76">
                    <w:trPr>
                      <w:trHeight w:val="24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935" w:type="dxa"/>
                        <w:gridSpan w:val="4"/>
                        <w:vAlign w:val="center"/>
                      </w:tcPr>
                      <w:p w:rsidR="00071E76" w:rsidRPr="00806149" w:rsidRDefault="00071E76">
                        <w:pPr>
                          <w:pStyle w:val="Default"/>
                          <w:jc w:val="center"/>
                          <w:rPr>
                            <w:rFonts w:ascii="Arial" w:hAnsi="Arial" w:cs="Arial"/>
                            <w:sz w:val="20"/>
                            <w:szCs w:val="20"/>
                          </w:rPr>
                        </w:pPr>
                      </w:p>
                    </w:tc>
                    <w:tc>
                      <w:tcPr>
                        <w:tcW w:w="722" w:type="dxa"/>
                        <w:gridSpan w:val="2"/>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914" w:type="dxa"/>
                        <w:gridSpan w:val="2"/>
                        <w:vAlign w:val="center"/>
                      </w:tcPr>
                      <w:p w:rsidR="00071E76" w:rsidRPr="00806149" w:rsidRDefault="00071E76">
                        <w:pPr>
                          <w:pStyle w:val="Default"/>
                          <w:rPr>
                            <w:rFonts w:ascii="Arial" w:hAnsi="Arial" w:cs="Arial"/>
                            <w:sz w:val="20"/>
                            <w:szCs w:val="20"/>
                          </w:rPr>
                        </w:pPr>
                      </w:p>
                    </w:tc>
                  </w:tr>
                  <w:tr w:rsidR="00071E76">
                    <w:trPr>
                      <w:trHeight w:val="27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865" w:type="dxa"/>
                        <w:gridSpan w:val="4"/>
                        <w:vAlign w:val="center"/>
                      </w:tcPr>
                      <w:p w:rsidR="00071E76" w:rsidRPr="00806149" w:rsidRDefault="00071E76">
                        <w:pPr>
                          <w:pStyle w:val="Default"/>
                          <w:jc w:val="center"/>
                          <w:rPr>
                            <w:rFonts w:ascii="Arial" w:hAnsi="Arial" w:cs="Arial"/>
                            <w:sz w:val="20"/>
                            <w:szCs w:val="20"/>
                          </w:rPr>
                        </w:pPr>
                      </w:p>
                    </w:tc>
                    <w:tc>
                      <w:tcPr>
                        <w:tcW w:w="792" w:type="dxa"/>
                        <w:gridSpan w:val="2"/>
                        <w:vAlign w:val="center"/>
                      </w:tcPr>
                      <w:p w:rsidR="00071E76" w:rsidRPr="00806149" w:rsidRDefault="00071E76">
                        <w:pPr>
                          <w:pStyle w:val="Default"/>
                          <w:jc w:val="center"/>
                          <w:rPr>
                            <w:rFonts w:ascii="Arial" w:hAnsi="Arial" w:cs="Arial"/>
                            <w:sz w:val="20"/>
                            <w:szCs w:val="20"/>
                          </w:rPr>
                        </w:pPr>
                      </w:p>
                    </w:tc>
                    <w:tc>
                      <w:tcPr>
                        <w:tcW w:w="914" w:type="dxa"/>
                        <w:gridSpan w:val="2"/>
                        <w:vAlign w:val="center"/>
                      </w:tcPr>
                      <w:p w:rsidR="00071E76" w:rsidRPr="00806149" w:rsidRDefault="00071E76">
                        <w:pPr>
                          <w:pStyle w:val="Default"/>
                          <w:rPr>
                            <w:rFonts w:ascii="Arial" w:hAnsi="Arial" w:cs="Arial"/>
                            <w:sz w:val="20"/>
                            <w:szCs w:val="20"/>
                          </w:rPr>
                        </w:pPr>
                      </w:p>
                    </w:tc>
                  </w:tr>
                  <w:tr w:rsidR="00071E76">
                    <w:trPr>
                      <w:trHeight w:val="450"/>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865" w:type="dxa"/>
                        <w:gridSpan w:val="3"/>
                      </w:tcPr>
                      <w:p w:rsidR="00071E76" w:rsidRPr="00806149" w:rsidRDefault="00071E76">
                        <w:pPr>
                          <w:pStyle w:val="Default"/>
                          <w:jc w:val="center"/>
                          <w:rPr>
                            <w:rFonts w:ascii="Arial" w:hAnsi="Arial" w:cs="Arial"/>
                            <w:sz w:val="20"/>
                            <w:szCs w:val="20"/>
                          </w:rPr>
                        </w:pPr>
                      </w:p>
                    </w:tc>
                    <w:tc>
                      <w:tcPr>
                        <w:tcW w:w="792" w:type="dxa"/>
                        <w:gridSpan w:val="3"/>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sz w:val="20"/>
                            <w:szCs w:val="20"/>
                          </w:rPr>
                        </w:pPr>
                      </w:p>
                    </w:tc>
                    <w:tc>
                      <w:tcPr>
                        <w:tcW w:w="914" w:type="dxa"/>
                        <w:gridSpan w:val="2"/>
                      </w:tcPr>
                      <w:p w:rsidR="00071E76" w:rsidRPr="00806149" w:rsidRDefault="00071E76">
                        <w:pPr>
                          <w:pStyle w:val="Default"/>
                          <w:rPr>
                            <w:rFonts w:ascii="Arial" w:hAnsi="Arial" w:cs="Arial"/>
                            <w:sz w:val="20"/>
                            <w:szCs w:val="20"/>
                          </w:rPr>
                        </w:pPr>
                      </w:p>
                    </w:tc>
                  </w:tr>
                  <w:tr w:rsidR="00071E76">
                    <w:trPr>
                      <w:trHeight w:val="600"/>
                    </w:trPr>
                    <w:tc>
                      <w:tcPr>
                        <w:tcW w:w="3169" w:type="dxa"/>
                        <w:gridSpan w:val="3"/>
                      </w:tcPr>
                      <w:p w:rsidR="00071E76" w:rsidRPr="00806149" w:rsidRDefault="00071E76">
                        <w:pPr>
                          <w:pStyle w:val="Default"/>
                          <w:rPr>
                            <w:rFonts w:ascii="Arial" w:hAnsi="Arial" w:cs="Arial"/>
                            <w:color w:val="auto"/>
                            <w:sz w:val="20"/>
                            <w:szCs w:val="20"/>
                          </w:rPr>
                        </w:pPr>
                      </w:p>
                    </w:tc>
                    <w:tc>
                      <w:tcPr>
                        <w:tcW w:w="938" w:type="dxa"/>
                      </w:tcPr>
                      <w:p w:rsidR="00071E76" w:rsidRPr="00806149" w:rsidRDefault="00071E76">
                        <w:pPr>
                          <w:pStyle w:val="Default"/>
                          <w:jc w:val="center"/>
                          <w:rPr>
                            <w:rFonts w:ascii="Arial" w:hAnsi="Arial" w:cs="Arial"/>
                            <w:color w:val="auto"/>
                            <w:sz w:val="20"/>
                            <w:szCs w:val="20"/>
                          </w:rPr>
                        </w:pPr>
                      </w:p>
                    </w:tc>
                    <w:tc>
                      <w:tcPr>
                        <w:tcW w:w="1657" w:type="dxa"/>
                        <w:gridSpan w:val="6"/>
                        <w:vAlign w:val="center"/>
                      </w:tcPr>
                      <w:p w:rsidR="00071E76" w:rsidRPr="00806149" w:rsidRDefault="00071E76">
                        <w:pPr>
                          <w:pStyle w:val="Default"/>
                          <w:jc w:val="center"/>
                          <w:rPr>
                            <w:rFonts w:ascii="Arial" w:hAnsi="Arial" w:cs="Arial"/>
                            <w:sz w:val="20"/>
                            <w:szCs w:val="20"/>
                          </w:rPr>
                        </w:pPr>
                      </w:p>
                    </w:tc>
                    <w:tc>
                      <w:tcPr>
                        <w:tcW w:w="792" w:type="dxa"/>
                        <w:gridSpan w:val="2"/>
                      </w:tcPr>
                      <w:p w:rsidR="00071E76" w:rsidRPr="00806149" w:rsidRDefault="00071E76">
                        <w:pPr>
                          <w:pStyle w:val="Default"/>
                          <w:jc w:val="center"/>
                          <w:rPr>
                            <w:rFonts w:ascii="Arial" w:hAnsi="Arial" w:cs="Arial"/>
                            <w:color w:val="auto"/>
                            <w:sz w:val="20"/>
                            <w:szCs w:val="20"/>
                          </w:rPr>
                        </w:pPr>
                      </w:p>
                    </w:tc>
                    <w:tc>
                      <w:tcPr>
                        <w:tcW w:w="914" w:type="dxa"/>
                        <w:gridSpan w:val="2"/>
                      </w:tcPr>
                      <w:p w:rsidR="00071E76" w:rsidRPr="00806149" w:rsidRDefault="00071E76">
                        <w:pPr>
                          <w:pStyle w:val="Default"/>
                          <w:jc w:val="center"/>
                          <w:rPr>
                            <w:rFonts w:ascii="Arial" w:hAnsi="Arial" w:cs="Arial"/>
                            <w:color w:val="auto"/>
                            <w:sz w:val="20"/>
                            <w:szCs w:val="20"/>
                          </w:rPr>
                        </w:pPr>
                      </w:p>
                    </w:tc>
                  </w:tr>
                  <w:tr w:rsidR="00071E76">
                    <w:trPr>
                      <w:trHeight w:val="435"/>
                    </w:trPr>
                    <w:tc>
                      <w:tcPr>
                        <w:tcW w:w="3169" w:type="dxa"/>
                        <w:gridSpan w:val="3"/>
                      </w:tcPr>
                      <w:p w:rsidR="00071E76" w:rsidRPr="00806149" w:rsidRDefault="00071E76">
                        <w:pPr>
                          <w:pStyle w:val="Default"/>
                          <w:rPr>
                            <w:rFonts w:ascii="Arial" w:hAnsi="Arial" w:cs="Arial"/>
                            <w:color w:val="auto"/>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97"/>
                    </w:trPr>
                    <w:tc>
                      <w:tcPr>
                        <w:tcW w:w="3169" w:type="dxa"/>
                        <w:gridSpan w:val="3"/>
                      </w:tcPr>
                      <w:p w:rsidR="00071E76" w:rsidRPr="00806149" w:rsidRDefault="00071E76">
                        <w:pPr>
                          <w:pStyle w:val="Default"/>
                          <w:rPr>
                            <w:rFonts w:ascii="Arial" w:hAnsi="Arial" w:cs="Arial"/>
                            <w:color w:val="auto"/>
                            <w:sz w:val="20"/>
                            <w:szCs w:val="20"/>
                          </w:rPr>
                        </w:pPr>
                      </w:p>
                    </w:tc>
                    <w:tc>
                      <w:tcPr>
                        <w:tcW w:w="938" w:type="dxa"/>
                      </w:tcPr>
                      <w:p w:rsidR="00071E76" w:rsidRPr="00806149" w:rsidRDefault="00071E76">
                        <w:pPr>
                          <w:pStyle w:val="Default"/>
                          <w:jc w:val="center"/>
                          <w:rPr>
                            <w:rFonts w:ascii="Arial" w:hAnsi="Arial" w:cs="Arial"/>
                            <w:sz w:val="20"/>
                            <w:szCs w:val="20"/>
                          </w:rPr>
                        </w:pPr>
                      </w:p>
                    </w:tc>
                    <w:tc>
                      <w:tcPr>
                        <w:tcW w:w="647" w:type="dxa"/>
                      </w:tcPr>
                      <w:p w:rsidR="00071E76" w:rsidRPr="00806149" w:rsidRDefault="00071E76">
                        <w:pPr>
                          <w:pStyle w:val="Default"/>
                          <w:jc w:val="center"/>
                          <w:rPr>
                            <w:rFonts w:ascii="Arial" w:hAnsi="Arial" w:cs="Arial"/>
                            <w:sz w:val="20"/>
                            <w:szCs w:val="20"/>
                          </w:rPr>
                        </w:pPr>
                      </w:p>
                    </w:tc>
                    <w:tc>
                      <w:tcPr>
                        <w:tcW w:w="792" w:type="dxa"/>
                        <w:gridSpan w:val="4"/>
                      </w:tcPr>
                      <w:p w:rsidR="00071E76" w:rsidRPr="00806149" w:rsidRDefault="00071E76">
                        <w:pPr>
                          <w:pStyle w:val="Default"/>
                          <w:jc w:val="center"/>
                          <w:rPr>
                            <w:rFonts w:ascii="Arial" w:hAnsi="Arial" w:cs="Arial"/>
                            <w:sz w:val="20"/>
                            <w:szCs w:val="20"/>
                          </w:rPr>
                        </w:pPr>
                      </w:p>
                    </w:tc>
                    <w:tc>
                      <w:tcPr>
                        <w:tcW w:w="720" w:type="dxa"/>
                        <w:gridSpan w:val="2"/>
                      </w:tcPr>
                      <w:p w:rsidR="00071E76" w:rsidRPr="00806149" w:rsidRDefault="00071E76">
                        <w:pPr>
                          <w:pStyle w:val="Default"/>
                          <w:jc w:val="center"/>
                          <w:rPr>
                            <w:rFonts w:ascii="Arial" w:hAnsi="Arial" w:cs="Arial"/>
                            <w:sz w:val="20"/>
                            <w:szCs w:val="20"/>
                          </w:rPr>
                        </w:pPr>
                      </w:p>
                    </w:tc>
                    <w:tc>
                      <w:tcPr>
                        <w:tcW w:w="1204" w:type="dxa"/>
                        <w:gridSpan w:val="3"/>
                      </w:tcPr>
                      <w:p w:rsidR="00071E76" w:rsidRPr="00806149" w:rsidRDefault="00071E76">
                        <w:pPr>
                          <w:pStyle w:val="Default"/>
                          <w:rPr>
                            <w:rFonts w:ascii="Arial" w:hAnsi="Arial" w:cs="Arial"/>
                            <w:sz w:val="20"/>
                            <w:szCs w:val="20"/>
                          </w:rPr>
                        </w:pPr>
                      </w:p>
                    </w:tc>
                  </w:tr>
                  <w:tr w:rsidR="00071E76">
                    <w:trPr>
                      <w:trHeight w:val="347"/>
                    </w:trPr>
                    <w:tc>
                      <w:tcPr>
                        <w:tcW w:w="3169" w:type="dxa"/>
                        <w:gridSpan w:val="3"/>
                        <w:vAlign w:val="bottom"/>
                      </w:tcPr>
                      <w:p w:rsidR="00071E76" w:rsidRPr="00806149" w:rsidRDefault="00071E76">
                        <w:pPr>
                          <w:pStyle w:val="Default"/>
                          <w:rPr>
                            <w:rFonts w:ascii="Arial" w:hAnsi="Arial" w:cs="Arial"/>
                            <w:sz w:val="20"/>
                            <w:szCs w:val="20"/>
                          </w:rPr>
                        </w:pPr>
                      </w:p>
                    </w:tc>
                    <w:tc>
                      <w:tcPr>
                        <w:tcW w:w="938" w:type="dxa"/>
                        <w:vAlign w:val="bottom"/>
                      </w:tcPr>
                      <w:p w:rsidR="00071E76" w:rsidRPr="00806149" w:rsidRDefault="00071E76">
                        <w:pPr>
                          <w:pStyle w:val="Default"/>
                          <w:jc w:val="center"/>
                          <w:rPr>
                            <w:rFonts w:ascii="Arial" w:hAnsi="Arial" w:cs="Arial"/>
                            <w:sz w:val="20"/>
                            <w:szCs w:val="20"/>
                          </w:rPr>
                        </w:pPr>
                      </w:p>
                    </w:tc>
                    <w:tc>
                      <w:tcPr>
                        <w:tcW w:w="647" w:type="dxa"/>
                        <w:vAlign w:val="bottom"/>
                      </w:tcPr>
                      <w:p w:rsidR="00071E76" w:rsidRPr="00806149" w:rsidRDefault="00071E76">
                        <w:pPr>
                          <w:pStyle w:val="Default"/>
                          <w:jc w:val="center"/>
                          <w:rPr>
                            <w:rFonts w:ascii="Arial" w:hAnsi="Arial" w:cs="Arial"/>
                            <w:sz w:val="20"/>
                            <w:szCs w:val="20"/>
                          </w:rPr>
                        </w:pPr>
                      </w:p>
                    </w:tc>
                    <w:tc>
                      <w:tcPr>
                        <w:tcW w:w="792" w:type="dxa"/>
                        <w:gridSpan w:val="4"/>
                        <w:vAlign w:val="bottom"/>
                      </w:tcPr>
                      <w:p w:rsidR="00071E76" w:rsidRPr="00806149" w:rsidRDefault="00071E76">
                        <w:pPr>
                          <w:pStyle w:val="Default"/>
                          <w:jc w:val="center"/>
                          <w:rPr>
                            <w:rFonts w:ascii="Arial" w:hAnsi="Arial" w:cs="Arial"/>
                            <w:sz w:val="20"/>
                            <w:szCs w:val="20"/>
                          </w:rPr>
                        </w:pPr>
                      </w:p>
                    </w:tc>
                    <w:tc>
                      <w:tcPr>
                        <w:tcW w:w="720" w:type="dxa"/>
                        <w:gridSpan w:val="2"/>
                        <w:vAlign w:val="bottom"/>
                      </w:tcPr>
                      <w:p w:rsidR="00071E76" w:rsidRPr="00806149" w:rsidRDefault="00071E76">
                        <w:pPr>
                          <w:pStyle w:val="Default"/>
                          <w:jc w:val="center"/>
                          <w:rPr>
                            <w:rFonts w:ascii="Arial" w:hAnsi="Arial" w:cs="Arial"/>
                            <w:sz w:val="20"/>
                            <w:szCs w:val="20"/>
                          </w:rPr>
                        </w:pPr>
                      </w:p>
                    </w:tc>
                    <w:tc>
                      <w:tcPr>
                        <w:tcW w:w="1204" w:type="dxa"/>
                        <w:gridSpan w:val="3"/>
                        <w:vAlign w:val="bottom"/>
                      </w:tcPr>
                      <w:p w:rsidR="00071E76" w:rsidRPr="00806149" w:rsidRDefault="00071E76">
                        <w:pPr>
                          <w:pStyle w:val="Default"/>
                          <w:rPr>
                            <w:rFonts w:ascii="Arial" w:hAnsi="Arial" w:cs="Arial"/>
                            <w:sz w:val="20"/>
                            <w:szCs w:val="20"/>
                          </w:rPr>
                        </w:pPr>
                      </w:p>
                    </w:tc>
                  </w:tr>
                  <w:tr w:rsidR="00071E76">
                    <w:trPr>
                      <w:trHeight w:val="24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7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40"/>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647" w:type="dxa"/>
                      </w:tcPr>
                      <w:p w:rsidR="00071E76" w:rsidRPr="00806149" w:rsidRDefault="00071E76">
                        <w:pPr>
                          <w:pStyle w:val="Default"/>
                          <w:jc w:val="center"/>
                          <w:rPr>
                            <w:rFonts w:ascii="Arial" w:hAnsi="Arial" w:cs="Arial"/>
                            <w:sz w:val="20"/>
                            <w:szCs w:val="20"/>
                          </w:rPr>
                        </w:pPr>
                      </w:p>
                    </w:tc>
                    <w:tc>
                      <w:tcPr>
                        <w:tcW w:w="792" w:type="dxa"/>
                        <w:gridSpan w:val="4"/>
                      </w:tcPr>
                      <w:p w:rsidR="00071E76" w:rsidRPr="00806149" w:rsidRDefault="00071E76">
                        <w:pPr>
                          <w:pStyle w:val="Default"/>
                          <w:jc w:val="center"/>
                          <w:rPr>
                            <w:rFonts w:ascii="Arial" w:hAnsi="Arial" w:cs="Arial"/>
                            <w:sz w:val="20"/>
                            <w:szCs w:val="20"/>
                          </w:rPr>
                        </w:pPr>
                      </w:p>
                    </w:tc>
                    <w:tc>
                      <w:tcPr>
                        <w:tcW w:w="720" w:type="dxa"/>
                        <w:gridSpan w:val="2"/>
                      </w:tcPr>
                      <w:p w:rsidR="00071E76" w:rsidRPr="00806149" w:rsidRDefault="00071E76">
                        <w:pPr>
                          <w:pStyle w:val="Default"/>
                          <w:jc w:val="center"/>
                          <w:rPr>
                            <w:rFonts w:ascii="Arial" w:hAnsi="Arial" w:cs="Arial"/>
                            <w:sz w:val="20"/>
                            <w:szCs w:val="20"/>
                          </w:rPr>
                        </w:pPr>
                      </w:p>
                    </w:tc>
                    <w:tc>
                      <w:tcPr>
                        <w:tcW w:w="1204" w:type="dxa"/>
                        <w:gridSpan w:val="3"/>
                      </w:tcPr>
                      <w:p w:rsidR="00071E76" w:rsidRPr="00806149" w:rsidRDefault="00071E76">
                        <w:pPr>
                          <w:pStyle w:val="Default"/>
                          <w:rPr>
                            <w:rFonts w:ascii="Arial" w:hAnsi="Arial" w:cs="Arial"/>
                            <w:sz w:val="20"/>
                            <w:szCs w:val="20"/>
                          </w:rPr>
                        </w:pPr>
                      </w:p>
                    </w:tc>
                  </w:tr>
                  <w:tr w:rsidR="00071E76">
                    <w:trPr>
                      <w:trHeight w:val="210"/>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647" w:type="dxa"/>
                      </w:tcPr>
                      <w:p w:rsidR="00071E76" w:rsidRPr="00806149" w:rsidRDefault="00071E76">
                        <w:pPr>
                          <w:pStyle w:val="Default"/>
                          <w:jc w:val="center"/>
                          <w:rPr>
                            <w:rFonts w:ascii="Arial" w:hAnsi="Arial" w:cs="Arial"/>
                            <w:sz w:val="20"/>
                            <w:szCs w:val="20"/>
                          </w:rPr>
                        </w:pPr>
                      </w:p>
                    </w:tc>
                    <w:tc>
                      <w:tcPr>
                        <w:tcW w:w="792" w:type="dxa"/>
                        <w:gridSpan w:val="4"/>
                      </w:tcPr>
                      <w:p w:rsidR="00071E76" w:rsidRPr="00806149" w:rsidRDefault="00071E76">
                        <w:pPr>
                          <w:pStyle w:val="Default"/>
                          <w:jc w:val="center"/>
                          <w:rPr>
                            <w:rFonts w:ascii="Arial" w:hAnsi="Arial" w:cs="Arial"/>
                            <w:sz w:val="20"/>
                            <w:szCs w:val="20"/>
                          </w:rPr>
                        </w:pPr>
                      </w:p>
                    </w:tc>
                    <w:tc>
                      <w:tcPr>
                        <w:tcW w:w="720" w:type="dxa"/>
                        <w:gridSpan w:val="2"/>
                      </w:tcPr>
                      <w:p w:rsidR="00071E76" w:rsidRPr="00806149" w:rsidRDefault="00071E76">
                        <w:pPr>
                          <w:pStyle w:val="Default"/>
                          <w:jc w:val="center"/>
                          <w:rPr>
                            <w:rFonts w:ascii="Arial" w:hAnsi="Arial" w:cs="Arial"/>
                            <w:sz w:val="20"/>
                            <w:szCs w:val="20"/>
                          </w:rPr>
                        </w:pPr>
                      </w:p>
                    </w:tc>
                    <w:tc>
                      <w:tcPr>
                        <w:tcW w:w="1204" w:type="dxa"/>
                        <w:gridSpan w:val="3"/>
                      </w:tcPr>
                      <w:p w:rsidR="00071E76" w:rsidRPr="00806149" w:rsidRDefault="00071E76">
                        <w:pPr>
                          <w:pStyle w:val="Default"/>
                          <w:rPr>
                            <w:rFonts w:ascii="Arial" w:hAnsi="Arial" w:cs="Arial"/>
                            <w:sz w:val="20"/>
                            <w:szCs w:val="20"/>
                          </w:rPr>
                        </w:pPr>
                      </w:p>
                    </w:tc>
                  </w:tr>
                  <w:tr w:rsidR="00071E76">
                    <w:trPr>
                      <w:trHeight w:val="24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7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85"/>
                    </w:trPr>
                    <w:tc>
                      <w:tcPr>
                        <w:tcW w:w="3169" w:type="dxa"/>
                        <w:gridSpan w:val="3"/>
                      </w:tcPr>
                      <w:p w:rsidR="00071E76" w:rsidRPr="00806149" w:rsidRDefault="00071E76">
                        <w:pPr>
                          <w:pStyle w:val="Default"/>
                          <w:rPr>
                            <w:rFonts w:ascii="Arial" w:hAnsi="Arial" w:cs="Arial"/>
                            <w:sz w:val="20"/>
                            <w:szCs w:val="20"/>
                          </w:rPr>
                        </w:pPr>
                      </w:p>
                    </w:tc>
                    <w:tc>
                      <w:tcPr>
                        <w:tcW w:w="938" w:type="dxa"/>
                      </w:tcPr>
                      <w:p w:rsidR="00071E76" w:rsidRPr="00806149" w:rsidRDefault="00071E76">
                        <w:pPr>
                          <w:pStyle w:val="Default"/>
                          <w:jc w:val="center"/>
                          <w:rPr>
                            <w:rFonts w:ascii="Arial" w:hAnsi="Arial" w:cs="Arial"/>
                            <w:sz w:val="20"/>
                            <w:szCs w:val="20"/>
                          </w:rPr>
                        </w:pPr>
                      </w:p>
                    </w:tc>
                    <w:tc>
                      <w:tcPr>
                        <w:tcW w:w="647" w:type="dxa"/>
                      </w:tcPr>
                      <w:p w:rsidR="00071E76" w:rsidRPr="00806149" w:rsidRDefault="00071E76">
                        <w:pPr>
                          <w:pStyle w:val="Default"/>
                          <w:jc w:val="center"/>
                          <w:rPr>
                            <w:rFonts w:ascii="Arial" w:hAnsi="Arial" w:cs="Arial"/>
                            <w:sz w:val="20"/>
                            <w:szCs w:val="20"/>
                          </w:rPr>
                        </w:pPr>
                      </w:p>
                    </w:tc>
                    <w:tc>
                      <w:tcPr>
                        <w:tcW w:w="792" w:type="dxa"/>
                        <w:gridSpan w:val="4"/>
                      </w:tcPr>
                      <w:p w:rsidR="00071E76" w:rsidRPr="00806149" w:rsidRDefault="00071E76">
                        <w:pPr>
                          <w:pStyle w:val="Default"/>
                          <w:jc w:val="center"/>
                          <w:rPr>
                            <w:rFonts w:ascii="Arial" w:hAnsi="Arial" w:cs="Arial"/>
                            <w:sz w:val="20"/>
                            <w:szCs w:val="20"/>
                          </w:rPr>
                        </w:pPr>
                      </w:p>
                    </w:tc>
                    <w:tc>
                      <w:tcPr>
                        <w:tcW w:w="720" w:type="dxa"/>
                        <w:gridSpan w:val="2"/>
                      </w:tcPr>
                      <w:p w:rsidR="00071E76" w:rsidRPr="00806149" w:rsidRDefault="00071E76">
                        <w:pPr>
                          <w:pStyle w:val="Default"/>
                          <w:jc w:val="center"/>
                          <w:rPr>
                            <w:rFonts w:ascii="Arial" w:hAnsi="Arial" w:cs="Arial"/>
                            <w:sz w:val="20"/>
                            <w:szCs w:val="20"/>
                          </w:rPr>
                        </w:pPr>
                      </w:p>
                    </w:tc>
                    <w:tc>
                      <w:tcPr>
                        <w:tcW w:w="1204" w:type="dxa"/>
                        <w:gridSpan w:val="3"/>
                      </w:tcPr>
                      <w:p w:rsidR="00071E76" w:rsidRPr="00806149" w:rsidRDefault="00071E76">
                        <w:pPr>
                          <w:pStyle w:val="Default"/>
                          <w:rPr>
                            <w:rFonts w:ascii="Arial" w:hAnsi="Arial" w:cs="Arial"/>
                            <w:sz w:val="20"/>
                            <w:szCs w:val="20"/>
                          </w:rPr>
                        </w:pPr>
                      </w:p>
                    </w:tc>
                  </w:tr>
                  <w:tr w:rsidR="00071E76">
                    <w:trPr>
                      <w:trHeight w:val="297"/>
                    </w:trPr>
                    <w:tc>
                      <w:tcPr>
                        <w:tcW w:w="3169" w:type="dxa"/>
                        <w:gridSpan w:val="3"/>
                      </w:tcPr>
                      <w:p w:rsidR="00071E76" w:rsidRPr="00806149" w:rsidRDefault="00071E76">
                        <w:pPr>
                          <w:pStyle w:val="Default"/>
                          <w:rPr>
                            <w:rFonts w:ascii="Arial" w:hAnsi="Arial" w:cs="Arial"/>
                            <w:color w:val="auto"/>
                            <w:sz w:val="20"/>
                            <w:szCs w:val="20"/>
                          </w:rPr>
                        </w:pPr>
                      </w:p>
                    </w:tc>
                    <w:tc>
                      <w:tcPr>
                        <w:tcW w:w="938" w:type="dxa"/>
                      </w:tcPr>
                      <w:p w:rsidR="00071E76" w:rsidRPr="00806149" w:rsidRDefault="00071E76">
                        <w:pPr>
                          <w:pStyle w:val="Default"/>
                          <w:jc w:val="center"/>
                          <w:rPr>
                            <w:rFonts w:ascii="Arial" w:hAnsi="Arial" w:cs="Arial"/>
                            <w:sz w:val="20"/>
                            <w:szCs w:val="20"/>
                          </w:rPr>
                        </w:pPr>
                      </w:p>
                    </w:tc>
                    <w:tc>
                      <w:tcPr>
                        <w:tcW w:w="647" w:type="dxa"/>
                      </w:tcPr>
                      <w:p w:rsidR="00071E76" w:rsidRPr="00806149" w:rsidRDefault="00071E76">
                        <w:pPr>
                          <w:pStyle w:val="Default"/>
                          <w:jc w:val="center"/>
                          <w:rPr>
                            <w:rFonts w:ascii="Arial" w:hAnsi="Arial" w:cs="Arial"/>
                            <w:sz w:val="20"/>
                            <w:szCs w:val="20"/>
                          </w:rPr>
                        </w:pPr>
                      </w:p>
                    </w:tc>
                    <w:tc>
                      <w:tcPr>
                        <w:tcW w:w="792" w:type="dxa"/>
                        <w:gridSpan w:val="4"/>
                      </w:tcPr>
                      <w:p w:rsidR="00071E76" w:rsidRPr="00806149" w:rsidRDefault="00071E76">
                        <w:pPr>
                          <w:pStyle w:val="Default"/>
                          <w:jc w:val="center"/>
                          <w:rPr>
                            <w:rFonts w:ascii="Arial" w:hAnsi="Arial" w:cs="Arial"/>
                            <w:sz w:val="20"/>
                            <w:szCs w:val="20"/>
                          </w:rPr>
                        </w:pPr>
                      </w:p>
                    </w:tc>
                    <w:tc>
                      <w:tcPr>
                        <w:tcW w:w="720" w:type="dxa"/>
                        <w:gridSpan w:val="2"/>
                      </w:tcPr>
                      <w:p w:rsidR="00071E76" w:rsidRPr="00806149" w:rsidRDefault="00071E76">
                        <w:pPr>
                          <w:pStyle w:val="Default"/>
                          <w:jc w:val="center"/>
                          <w:rPr>
                            <w:rFonts w:ascii="Arial" w:hAnsi="Arial" w:cs="Arial"/>
                            <w:sz w:val="20"/>
                            <w:szCs w:val="20"/>
                          </w:rPr>
                        </w:pPr>
                      </w:p>
                    </w:tc>
                    <w:tc>
                      <w:tcPr>
                        <w:tcW w:w="1204" w:type="dxa"/>
                        <w:gridSpan w:val="3"/>
                      </w:tcPr>
                      <w:p w:rsidR="00071E76" w:rsidRPr="00806149" w:rsidRDefault="00071E76">
                        <w:pPr>
                          <w:pStyle w:val="Default"/>
                          <w:rPr>
                            <w:rFonts w:ascii="Arial" w:hAnsi="Arial" w:cs="Arial"/>
                            <w:sz w:val="20"/>
                            <w:szCs w:val="20"/>
                          </w:rPr>
                        </w:pPr>
                      </w:p>
                    </w:tc>
                  </w:tr>
                  <w:tr w:rsidR="00071E76">
                    <w:trPr>
                      <w:trHeight w:val="467"/>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48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510"/>
                    </w:trPr>
                    <w:tc>
                      <w:tcPr>
                        <w:tcW w:w="3169" w:type="dxa"/>
                        <w:gridSpan w:val="3"/>
                        <w:vAlign w:val="center"/>
                      </w:tcPr>
                      <w:p w:rsidR="00071E76" w:rsidRPr="00806149" w:rsidRDefault="00071E76">
                        <w:pPr>
                          <w:pStyle w:val="Default"/>
                          <w:rPr>
                            <w:rFonts w:ascii="Arial" w:hAnsi="Arial" w:cs="Arial"/>
                            <w:sz w:val="20"/>
                            <w:szCs w:val="20"/>
                          </w:rPr>
                        </w:pPr>
                      </w:p>
                    </w:tc>
                    <w:tc>
                      <w:tcPr>
                        <w:tcW w:w="938" w:type="dxa"/>
                        <w:vAlign w:val="center"/>
                      </w:tcPr>
                      <w:p w:rsidR="00071E76" w:rsidRPr="00806149" w:rsidRDefault="00071E76">
                        <w:pPr>
                          <w:pStyle w:val="Default"/>
                          <w:jc w:val="center"/>
                          <w:rPr>
                            <w:rFonts w:ascii="Arial" w:hAnsi="Arial" w:cs="Arial"/>
                            <w:sz w:val="20"/>
                            <w:szCs w:val="20"/>
                          </w:rPr>
                        </w:pPr>
                      </w:p>
                    </w:tc>
                    <w:tc>
                      <w:tcPr>
                        <w:tcW w:w="647" w:type="dxa"/>
                        <w:vAlign w:val="center"/>
                      </w:tcPr>
                      <w:p w:rsidR="00071E76" w:rsidRPr="00806149" w:rsidRDefault="00071E76">
                        <w:pPr>
                          <w:pStyle w:val="Default"/>
                          <w:jc w:val="center"/>
                          <w:rPr>
                            <w:rFonts w:ascii="Arial" w:hAnsi="Arial" w:cs="Arial"/>
                            <w:sz w:val="20"/>
                            <w:szCs w:val="20"/>
                          </w:rPr>
                        </w:pPr>
                      </w:p>
                    </w:tc>
                    <w:tc>
                      <w:tcPr>
                        <w:tcW w:w="792" w:type="dxa"/>
                        <w:gridSpan w:val="4"/>
                        <w:vAlign w:val="center"/>
                      </w:tcPr>
                      <w:p w:rsidR="00071E76" w:rsidRPr="00806149" w:rsidRDefault="00071E76">
                        <w:pPr>
                          <w:pStyle w:val="Default"/>
                          <w:jc w:val="center"/>
                          <w:rPr>
                            <w:rFonts w:ascii="Arial" w:hAnsi="Arial" w:cs="Arial"/>
                            <w:sz w:val="20"/>
                            <w:szCs w:val="20"/>
                          </w:rPr>
                        </w:pPr>
                      </w:p>
                    </w:tc>
                    <w:tc>
                      <w:tcPr>
                        <w:tcW w:w="720" w:type="dxa"/>
                        <w:gridSpan w:val="2"/>
                        <w:vAlign w:val="center"/>
                      </w:tcPr>
                      <w:p w:rsidR="00071E76" w:rsidRPr="00806149" w:rsidRDefault="00071E76">
                        <w:pPr>
                          <w:pStyle w:val="Default"/>
                          <w:jc w:val="center"/>
                          <w:rPr>
                            <w:rFonts w:ascii="Arial" w:hAnsi="Arial" w:cs="Arial"/>
                            <w:sz w:val="20"/>
                            <w:szCs w:val="20"/>
                          </w:rPr>
                        </w:pPr>
                      </w:p>
                    </w:tc>
                    <w:tc>
                      <w:tcPr>
                        <w:tcW w:w="1204" w:type="dxa"/>
                        <w:gridSpan w:val="3"/>
                        <w:vAlign w:val="center"/>
                      </w:tcPr>
                      <w:p w:rsidR="00071E76" w:rsidRPr="00806149" w:rsidRDefault="00071E76">
                        <w:pPr>
                          <w:pStyle w:val="Default"/>
                          <w:rPr>
                            <w:rFonts w:ascii="Arial" w:hAnsi="Arial" w:cs="Arial"/>
                            <w:sz w:val="20"/>
                            <w:szCs w:val="20"/>
                          </w:rPr>
                        </w:pPr>
                      </w:p>
                    </w:tc>
                  </w:tr>
                  <w:tr w:rsidR="00071E76">
                    <w:trPr>
                      <w:trHeight w:val="282"/>
                    </w:trPr>
                    <w:tc>
                      <w:tcPr>
                        <w:tcW w:w="2307" w:type="dxa"/>
                        <w:vAlign w:val="bottom"/>
                      </w:tcPr>
                      <w:p w:rsidR="00071E76" w:rsidRPr="00806149" w:rsidRDefault="00071E76">
                        <w:pPr>
                          <w:pStyle w:val="Default"/>
                          <w:rPr>
                            <w:rFonts w:ascii="Arial" w:hAnsi="Arial" w:cs="Arial"/>
                            <w:sz w:val="20"/>
                            <w:szCs w:val="20"/>
                          </w:rPr>
                        </w:pPr>
                      </w:p>
                    </w:tc>
                    <w:tc>
                      <w:tcPr>
                        <w:tcW w:w="2447" w:type="dxa"/>
                        <w:gridSpan w:val="4"/>
                        <w:vAlign w:val="bottom"/>
                      </w:tcPr>
                      <w:p w:rsidR="00071E76" w:rsidRPr="00806149" w:rsidRDefault="00071E76">
                        <w:pPr>
                          <w:pStyle w:val="Default"/>
                          <w:jc w:val="center"/>
                          <w:rPr>
                            <w:rFonts w:ascii="Arial" w:hAnsi="Arial" w:cs="Arial"/>
                            <w:sz w:val="20"/>
                            <w:szCs w:val="20"/>
                          </w:rPr>
                        </w:pPr>
                      </w:p>
                    </w:tc>
                    <w:tc>
                      <w:tcPr>
                        <w:tcW w:w="2160" w:type="dxa"/>
                        <w:gridSpan w:val="8"/>
                        <w:vAlign w:val="bottom"/>
                      </w:tcPr>
                      <w:p w:rsidR="00071E76" w:rsidRPr="00806149" w:rsidRDefault="00071E76">
                        <w:pPr>
                          <w:pStyle w:val="Default"/>
                          <w:jc w:val="center"/>
                          <w:rPr>
                            <w:rFonts w:ascii="Arial" w:hAnsi="Arial" w:cs="Arial"/>
                            <w:sz w:val="20"/>
                            <w:szCs w:val="20"/>
                          </w:rPr>
                        </w:pPr>
                      </w:p>
                    </w:tc>
                    <w:tc>
                      <w:tcPr>
                        <w:tcW w:w="556" w:type="dxa"/>
                        <w:vAlign w:val="bottom"/>
                      </w:tcPr>
                      <w:p w:rsidR="00071E76" w:rsidRPr="00806149" w:rsidRDefault="00071E76">
                        <w:pPr>
                          <w:pStyle w:val="Default"/>
                          <w:jc w:val="center"/>
                          <w:rPr>
                            <w:rFonts w:ascii="Arial" w:hAnsi="Arial" w:cs="Arial"/>
                            <w:sz w:val="20"/>
                            <w:szCs w:val="20"/>
                          </w:rPr>
                        </w:pPr>
                      </w:p>
                    </w:tc>
                  </w:tr>
                  <w:tr w:rsidR="00071E76">
                    <w:trPr>
                      <w:trHeight w:val="282"/>
                    </w:trPr>
                    <w:tc>
                      <w:tcPr>
                        <w:tcW w:w="2307" w:type="dxa"/>
                        <w:vAlign w:val="bottom"/>
                      </w:tcPr>
                      <w:p w:rsidR="00071E76" w:rsidRPr="00806149" w:rsidRDefault="00071E76">
                        <w:pPr>
                          <w:pStyle w:val="Default"/>
                          <w:rPr>
                            <w:rFonts w:ascii="Arial" w:hAnsi="Arial" w:cs="Arial"/>
                            <w:sz w:val="20"/>
                            <w:szCs w:val="20"/>
                          </w:rPr>
                        </w:pPr>
                      </w:p>
                    </w:tc>
                    <w:tc>
                      <w:tcPr>
                        <w:tcW w:w="2447" w:type="dxa"/>
                        <w:gridSpan w:val="4"/>
                        <w:vAlign w:val="bottom"/>
                      </w:tcPr>
                      <w:p w:rsidR="00071E76" w:rsidRPr="00806149" w:rsidRDefault="00071E76">
                        <w:pPr>
                          <w:pStyle w:val="Default"/>
                          <w:jc w:val="center"/>
                          <w:rPr>
                            <w:rFonts w:ascii="Arial" w:hAnsi="Arial" w:cs="Arial"/>
                            <w:sz w:val="20"/>
                            <w:szCs w:val="20"/>
                          </w:rPr>
                        </w:pPr>
                      </w:p>
                    </w:tc>
                    <w:tc>
                      <w:tcPr>
                        <w:tcW w:w="2160" w:type="dxa"/>
                        <w:gridSpan w:val="8"/>
                        <w:vAlign w:val="bottom"/>
                      </w:tcPr>
                      <w:p w:rsidR="00071E76" w:rsidRPr="00806149" w:rsidRDefault="00071E76">
                        <w:pPr>
                          <w:pStyle w:val="Default"/>
                          <w:jc w:val="center"/>
                          <w:rPr>
                            <w:rFonts w:ascii="Arial" w:hAnsi="Arial" w:cs="Arial"/>
                            <w:sz w:val="20"/>
                            <w:szCs w:val="20"/>
                          </w:rPr>
                        </w:pPr>
                      </w:p>
                    </w:tc>
                    <w:tc>
                      <w:tcPr>
                        <w:tcW w:w="556" w:type="dxa"/>
                        <w:vAlign w:val="bottom"/>
                      </w:tcPr>
                      <w:p w:rsidR="00071E76" w:rsidRPr="00806149" w:rsidRDefault="00071E76">
                        <w:pPr>
                          <w:pStyle w:val="Default"/>
                          <w:jc w:val="center"/>
                          <w:rPr>
                            <w:rFonts w:ascii="Arial" w:hAnsi="Arial" w:cs="Arial"/>
                            <w:sz w:val="20"/>
                            <w:szCs w:val="20"/>
                          </w:rPr>
                        </w:pPr>
                      </w:p>
                    </w:tc>
                  </w:tr>
                  <w:tr w:rsidR="00071E76" w:rsidTr="001A001A">
                    <w:trPr>
                      <w:trHeight w:val="282"/>
                    </w:trPr>
                    <w:tc>
                      <w:tcPr>
                        <w:tcW w:w="6914" w:type="dxa"/>
                        <w:gridSpan w:val="13"/>
                        <w:vAlign w:val="bottom"/>
                      </w:tcPr>
                      <w:p w:rsidR="00071E76" w:rsidRPr="00806149" w:rsidRDefault="00071E76" w:rsidP="009E2869">
                        <w:pPr>
                          <w:pStyle w:val="Default"/>
                          <w:rPr>
                            <w:rFonts w:ascii="Arial" w:hAnsi="Arial" w:cs="Arial"/>
                            <w:sz w:val="20"/>
                            <w:szCs w:val="20"/>
                          </w:rPr>
                        </w:pPr>
                      </w:p>
                    </w:tc>
                    <w:tc>
                      <w:tcPr>
                        <w:tcW w:w="556" w:type="dxa"/>
                        <w:vAlign w:val="bottom"/>
                      </w:tcPr>
                      <w:p w:rsidR="00071E76" w:rsidRPr="00806149" w:rsidRDefault="00071E76">
                        <w:pPr>
                          <w:pStyle w:val="Default"/>
                          <w:jc w:val="center"/>
                          <w:rPr>
                            <w:rFonts w:ascii="Arial" w:hAnsi="Arial" w:cs="Arial"/>
                            <w:sz w:val="20"/>
                            <w:szCs w:val="20"/>
                          </w:rPr>
                        </w:pPr>
                      </w:p>
                    </w:tc>
                  </w:tr>
                </w:tbl>
                <w:p w:rsidR="00071E76" w:rsidRDefault="00071E76"/>
              </w:txbxContent>
            </v:textbox>
            <w10:wrap type="through" anchorx="page" anchory="page"/>
          </v:shape>
        </w:pict>
      </w:r>
    </w:p>
    <w:sectPr w:rsidR="00C6700B" w:rsidSect="007E4A3D">
      <w:footerReference w:type="default" r:id="rId2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D5" w:rsidRDefault="009839D5" w:rsidP="00DD06DE">
      <w:r>
        <w:separator/>
      </w:r>
    </w:p>
  </w:endnote>
  <w:endnote w:type="continuationSeparator" w:id="0">
    <w:p w:rsidR="009839D5" w:rsidRDefault="009839D5" w:rsidP="00DD0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5360"/>
      <w:docPartObj>
        <w:docPartGallery w:val="Page Numbers (Bottom of Page)"/>
        <w:docPartUnique/>
      </w:docPartObj>
    </w:sdtPr>
    <w:sdtContent>
      <w:p w:rsidR="00EF056C" w:rsidRDefault="00F0580C">
        <w:pPr>
          <w:pStyle w:val="Footer"/>
          <w:jc w:val="center"/>
        </w:pPr>
        <w:fldSimple w:instr=" PAGE   \* MERGEFORMAT ">
          <w:r w:rsidR="00A64FF5">
            <w:rPr>
              <w:noProof/>
            </w:rPr>
            <w:t>2</w:t>
          </w:r>
        </w:fldSimple>
      </w:p>
    </w:sdtContent>
  </w:sdt>
  <w:p w:rsidR="00EF056C" w:rsidRDefault="00EF056C">
    <w:pPr>
      <w:pStyle w:val="Footer"/>
    </w:pPr>
    <w:r>
      <w:t xml:space="preserve">Rev. </w:t>
    </w:r>
    <w:r w:rsidR="0051033A">
      <w:t>October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D5" w:rsidRDefault="009839D5" w:rsidP="00DD06DE">
      <w:r>
        <w:separator/>
      </w:r>
    </w:p>
  </w:footnote>
  <w:footnote w:type="continuationSeparator" w:id="0">
    <w:p w:rsidR="009839D5" w:rsidRDefault="009839D5" w:rsidP="00DD0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4A1"/>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2F17668"/>
    <w:multiLevelType w:val="hybridMultilevel"/>
    <w:tmpl w:val="182A7F6E"/>
    <w:lvl w:ilvl="0" w:tplc="923A2A50">
      <w:start w:val="1"/>
      <w:numFmt w:val="decimal"/>
      <w:lvlText w:val="%1)"/>
      <w:lvlJc w:val="left"/>
      <w:pPr>
        <w:tabs>
          <w:tab w:val="num" w:pos="900"/>
        </w:tabs>
        <w:ind w:left="900" w:hanging="360"/>
      </w:pPr>
      <w:rPr>
        <w:rFonts w:hint="default"/>
      </w:rPr>
    </w:lvl>
    <w:lvl w:ilvl="1" w:tplc="1CD0BFB4">
      <w:start w:val="1"/>
      <w:numFmt w:val="lowerLetter"/>
      <w:lvlText w:val="%2)"/>
      <w:lvlJc w:val="left"/>
      <w:pPr>
        <w:tabs>
          <w:tab w:val="num" w:pos="1620"/>
        </w:tabs>
        <w:ind w:left="1620" w:hanging="360"/>
      </w:pPr>
      <w:rPr>
        <w:rFonts w:hint="default"/>
      </w:rPr>
    </w:lvl>
    <w:lvl w:ilvl="2" w:tplc="13C27C54">
      <w:start w:val="1"/>
      <w:numFmt w:val="upperLetter"/>
      <w:lvlText w:val="%3."/>
      <w:lvlJc w:val="left"/>
      <w:pPr>
        <w:tabs>
          <w:tab w:val="num" w:pos="2625"/>
        </w:tabs>
        <w:ind w:left="2625" w:hanging="465"/>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EE64AA9"/>
    <w:multiLevelType w:val="multilevel"/>
    <w:tmpl w:val="ED9C2F1A"/>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1296"/>
        </w:tabs>
        <w:ind w:left="1296" w:hanging="72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3024"/>
        </w:tabs>
        <w:ind w:left="3024" w:hanging="72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536"/>
        </w:tabs>
        <w:ind w:left="4536" w:hanging="1080"/>
      </w:pPr>
      <w:rPr>
        <w:rFonts w:hint="default"/>
      </w:rPr>
    </w:lvl>
    <w:lvl w:ilvl="7">
      <w:start w:val="1"/>
      <w:numFmt w:val="decimal"/>
      <w:lvlText w:val="%1.%2.%3.%4.%5.%6.%7.%8"/>
      <w:lvlJc w:val="left"/>
      <w:pPr>
        <w:tabs>
          <w:tab w:val="num" w:pos="5472"/>
        </w:tabs>
        <w:ind w:left="5472" w:hanging="1440"/>
      </w:pPr>
      <w:rPr>
        <w:rFonts w:hint="default"/>
      </w:rPr>
    </w:lvl>
    <w:lvl w:ilvl="8">
      <w:start w:val="1"/>
      <w:numFmt w:val="decimal"/>
      <w:lvlText w:val="%1.%2.%3.%4.%5.%6.%7.%8.%9"/>
      <w:lvlJc w:val="left"/>
      <w:pPr>
        <w:tabs>
          <w:tab w:val="num" w:pos="6048"/>
        </w:tabs>
        <w:ind w:left="6048" w:hanging="1440"/>
      </w:pPr>
      <w:rPr>
        <w:rFonts w:hint="default"/>
      </w:rPr>
    </w:lvl>
  </w:abstractNum>
  <w:abstractNum w:abstractNumId="3">
    <w:nsid w:val="2D0E2296"/>
    <w:multiLevelType w:val="hybridMultilevel"/>
    <w:tmpl w:val="123856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1EB4DCE"/>
    <w:multiLevelType w:val="singleLevel"/>
    <w:tmpl w:val="0409000F"/>
    <w:lvl w:ilvl="0">
      <w:start w:val="1"/>
      <w:numFmt w:val="decimal"/>
      <w:lvlText w:val="%1."/>
      <w:lvlJc w:val="left"/>
      <w:pPr>
        <w:tabs>
          <w:tab w:val="num" w:pos="360"/>
        </w:tabs>
        <w:ind w:left="360" w:hanging="360"/>
      </w:pPr>
    </w:lvl>
  </w:abstractNum>
  <w:abstractNum w:abstractNumId="5">
    <w:nsid w:val="31EF5BC4"/>
    <w:multiLevelType w:val="singleLevel"/>
    <w:tmpl w:val="4C72450E"/>
    <w:lvl w:ilvl="0">
      <w:start w:val="1"/>
      <w:numFmt w:val="lowerLetter"/>
      <w:lvlText w:val="(%1)"/>
      <w:lvlJc w:val="left"/>
      <w:pPr>
        <w:tabs>
          <w:tab w:val="num" w:pos="720"/>
        </w:tabs>
        <w:ind w:left="720" w:hanging="360"/>
      </w:pPr>
      <w:rPr>
        <w:rFonts w:hint="default"/>
      </w:rPr>
    </w:lvl>
  </w:abstractNum>
  <w:abstractNum w:abstractNumId="6">
    <w:nsid w:val="36767FE6"/>
    <w:multiLevelType w:val="hybridMultilevel"/>
    <w:tmpl w:val="205E3FA6"/>
    <w:lvl w:ilvl="0" w:tplc="D6DC6C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40D7B"/>
    <w:multiLevelType w:val="hybridMultilevel"/>
    <w:tmpl w:val="B5C60682"/>
    <w:lvl w:ilvl="0" w:tplc="61906E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D93AFB"/>
    <w:multiLevelType w:val="singleLevel"/>
    <w:tmpl w:val="04090011"/>
    <w:lvl w:ilvl="0">
      <w:start w:val="2"/>
      <w:numFmt w:val="decimal"/>
      <w:lvlText w:val="%1)"/>
      <w:lvlJc w:val="left"/>
      <w:pPr>
        <w:tabs>
          <w:tab w:val="num" w:pos="360"/>
        </w:tabs>
        <w:ind w:left="360" w:hanging="360"/>
      </w:pPr>
      <w:rPr>
        <w:rFonts w:hint="default"/>
      </w:rPr>
    </w:lvl>
  </w:abstractNum>
  <w:abstractNum w:abstractNumId="9">
    <w:nsid w:val="6F6A76CE"/>
    <w:multiLevelType w:val="singleLevel"/>
    <w:tmpl w:val="0598E82E"/>
    <w:lvl w:ilvl="0">
      <w:start w:val="1"/>
      <w:numFmt w:val="lowerLetter"/>
      <w:lvlText w:val="(%1)"/>
      <w:lvlJc w:val="left"/>
      <w:pPr>
        <w:tabs>
          <w:tab w:val="num" w:pos="750"/>
        </w:tabs>
        <w:ind w:left="750" w:hanging="390"/>
      </w:pPr>
      <w:rPr>
        <w:rFonts w:hint="default"/>
      </w:rPr>
    </w:lvl>
  </w:abstractNum>
  <w:abstractNum w:abstractNumId="10">
    <w:nsid w:val="763928F1"/>
    <w:multiLevelType w:val="hybridMultilevel"/>
    <w:tmpl w:val="BD781B1A"/>
    <w:lvl w:ilvl="0" w:tplc="61906E7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CC5F78"/>
    <w:multiLevelType w:val="hybridMultilevel"/>
    <w:tmpl w:val="79702FB4"/>
    <w:lvl w:ilvl="0" w:tplc="95C40B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7"/>
  </w:num>
  <w:num w:numId="5">
    <w:abstractNumId w:val="10"/>
  </w:num>
  <w:num w:numId="6">
    <w:abstractNumId w:val="3"/>
  </w:num>
  <w:num w:numId="7">
    <w:abstractNumId w:val="8"/>
  </w:num>
  <w:num w:numId="8">
    <w:abstractNumId w:val="5"/>
  </w:num>
  <w:num w:numId="9">
    <w:abstractNumId w:val="9"/>
  </w:num>
  <w:num w:numId="10">
    <w:abstractNumId w:val="11"/>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7735"/>
    <w:rsid w:val="00004AEB"/>
    <w:rsid w:val="00034B27"/>
    <w:rsid w:val="00042D1F"/>
    <w:rsid w:val="000458BD"/>
    <w:rsid w:val="00071E76"/>
    <w:rsid w:val="0008113A"/>
    <w:rsid w:val="00090A76"/>
    <w:rsid w:val="000B15BE"/>
    <w:rsid w:val="000B64B6"/>
    <w:rsid w:val="000C1EE5"/>
    <w:rsid w:val="000C4E9C"/>
    <w:rsid w:val="000D029B"/>
    <w:rsid w:val="000E29E7"/>
    <w:rsid w:val="000F3CFA"/>
    <w:rsid w:val="001029A7"/>
    <w:rsid w:val="001067FB"/>
    <w:rsid w:val="0012717C"/>
    <w:rsid w:val="00127436"/>
    <w:rsid w:val="001666F5"/>
    <w:rsid w:val="001A001A"/>
    <w:rsid w:val="001B48B0"/>
    <w:rsid w:val="001B4ADB"/>
    <w:rsid w:val="001C3DDE"/>
    <w:rsid w:val="00207A2D"/>
    <w:rsid w:val="002343FC"/>
    <w:rsid w:val="00235A02"/>
    <w:rsid w:val="00257172"/>
    <w:rsid w:val="002741E5"/>
    <w:rsid w:val="00287A4D"/>
    <w:rsid w:val="002A7036"/>
    <w:rsid w:val="002B792A"/>
    <w:rsid w:val="002C264D"/>
    <w:rsid w:val="002D5531"/>
    <w:rsid w:val="00311207"/>
    <w:rsid w:val="00313F75"/>
    <w:rsid w:val="00327131"/>
    <w:rsid w:val="00333613"/>
    <w:rsid w:val="00335096"/>
    <w:rsid w:val="003433A2"/>
    <w:rsid w:val="0034376E"/>
    <w:rsid w:val="00344E58"/>
    <w:rsid w:val="00387FB7"/>
    <w:rsid w:val="00390AB7"/>
    <w:rsid w:val="003971C9"/>
    <w:rsid w:val="003A3B16"/>
    <w:rsid w:val="003B2169"/>
    <w:rsid w:val="003B3571"/>
    <w:rsid w:val="003C48D7"/>
    <w:rsid w:val="003E7D36"/>
    <w:rsid w:val="0041108B"/>
    <w:rsid w:val="00411B09"/>
    <w:rsid w:val="00437065"/>
    <w:rsid w:val="00442938"/>
    <w:rsid w:val="0044690D"/>
    <w:rsid w:val="00446D5E"/>
    <w:rsid w:val="004523B5"/>
    <w:rsid w:val="00457749"/>
    <w:rsid w:val="00463693"/>
    <w:rsid w:val="00470DA6"/>
    <w:rsid w:val="004729F8"/>
    <w:rsid w:val="004748CD"/>
    <w:rsid w:val="004A7ACC"/>
    <w:rsid w:val="004D2D1F"/>
    <w:rsid w:val="004D47BE"/>
    <w:rsid w:val="004F2846"/>
    <w:rsid w:val="004F327C"/>
    <w:rsid w:val="0051033A"/>
    <w:rsid w:val="00565D6B"/>
    <w:rsid w:val="00574F21"/>
    <w:rsid w:val="00583281"/>
    <w:rsid w:val="005B4B40"/>
    <w:rsid w:val="005E7F22"/>
    <w:rsid w:val="00600994"/>
    <w:rsid w:val="006031C6"/>
    <w:rsid w:val="00604B7A"/>
    <w:rsid w:val="00607A47"/>
    <w:rsid w:val="006151FE"/>
    <w:rsid w:val="00634FD8"/>
    <w:rsid w:val="00640E71"/>
    <w:rsid w:val="006433A8"/>
    <w:rsid w:val="00654EAF"/>
    <w:rsid w:val="00663C3C"/>
    <w:rsid w:val="006862C5"/>
    <w:rsid w:val="00687F99"/>
    <w:rsid w:val="006A3086"/>
    <w:rsid w:val="006A680F"/>
    <w:rsid w:val="006B23D2"/>
    <w:rsid w:val="006B36B2"/>
    <w:rsid w:val="006C52E7"/>
    <w:rsid w:val="006E1146"/>
    <w:rsid w:val="006F0D77"/>
    <w:rsid w:val="007015B6"/>
    <w:rsid w:val="0070354F"/>
    <w:rsid w:val="00721BAC"/>
    <w:rsid w:val="00760411"/>
    <w:rsid w:val="00766FF4"/>
    <w:rsid w:val="007725DB"/>
    <w:rsid w:val="007B465C"/>
    <w:rsid w:val="007C6188"/>
    <w:rsid w:val="007D11E0"/>
    <w:rsid w:val="007E4A3D"/>
    <w:rsid w:val="007F3196"/>
    <w:rsid w:val="007F6656"/>
    <w:rsid w:val="00806149"/>
    <w:rsid w:val="00820BEB"/>
    <w:rsid w:val="008259F8"/>
    <w:rsid w:val="00835B6C"/>
    <w:rsid w:val="00850D8A"/>
    <w:rsid w:val="00853434"/>
    <w:rsid w:val="008868EE"/>
    <w:rsid w:val="008A17FA"/>
    <w:rsid w:val="008B2819"/>
    <w:rsid w:val="008D5B8C"/>
    <w:rsid w:val="008E1EC2"/>
    <w:rsid w:val="008E46AC"/>
    <w:rsid w:val="0092010C"/>
    <w:rsid w:val="00922326"/>
    <w:rsid w:val="00946539"/>
    <w:rsid w:val="00953CF9"/>
    <w:rsid w:val="0097603D"/>
    <w:rsid w:val="00976FF6"/>
    <w:rsid w:val="009839D5"/>
    <w:rsid w:val="00985662"/>
    <w:rsid w:val="009A5F5D"/>
    <w:rsid w:val="009A733C"/>
    <w:rsid w:val="009B0928"/>
    <w:rsid w:val="009C046B"/>
    <w:rsid w:val="009C353F"/>
    <w:rsid w:val="009D43A8"/>
    <w:rsid w:val="009E12CE"/>
    <w:rsid w:val="009E2869"/>
    <w:rsid w:val="009E6218"/>
    <w:rsid w:val="00A06E4D"/>
    <w:rsid w:val="00A125E0"/>
    <w:rsid w:val="00A3067F"/>
    <w:rsid w:val="00A47734"/>
    <w:rsid w:val="00A64FF5"/>
    <w:rsid w:val="00A93F11"/>
    <w:rsid w:val="00AA27E8"/>
    <w:rsid w:val="00AC5FFA"/>
    <w:rsid w:val="00AD41D2"/>
    <w:rsid w:val="00AF0BF5"/>
    <w:rsid w:val="00AF6B81"/>
    <w:rsid w:val="00B10626"/>
    <w:rsid w:val="00B20CC5"/>
    <w:rsid w:val="00B3123C"/>
    <w:rsid w:val="00B408B5"/>
    <w:rsid w:val="00B41211"/>
    <w:rsid w:val="00B53F47"/>
    <w:rsid w:val="00B74AA4"/>
    <w:rsid w:val="00BB78D5"/>
    <w:rsid w:val="00BC63A0"/>
    <w:rsid w:val="00BD4F2E"/>
    <w:rsid w:val="00C203AF"/>
    <w:rsid w:val="00C32086"/>
    <w:rsid w:val="00C40B8E"/>
    <w:rsid w:val="00C42A10"/>
    <w:rsid w:val="00C46F5F"/>
    <w:rsid w:val="00C6700B"/>
    <w:rsid w:val="00CA11FF"/>
    <w:rsid w:val="00CA1ED6"/>
    <w:rsid w:val="00CA2752"/>
    <w:rsid w:val="00CB1DEA"/>
    <w:rsid w:val="00CC161E"/>
    <w:rsid w:val="00CE08EB"/>
    <w:rsid w:val="00CE167A"/>
    <w:rsid w:val="00CF282C"/>
    <w:rsid w:val="00CF3550"/>
    <w:rsid w:val="00CF7031"/>
    <w:rsid w:val="00D126A5"/>
    <w:rsid w:val="00D30736"/>
    <w:rsid w:val="00D37473"/>
    <w:rsid w:val="00D37B6D"/>
    <w:rsid w:val="00D41EFA"/>
    <w:rsid w:val="00D426A9"/>
    <w:rsid w:val="00D67735"/>
    <w:rsid w:val="00D73714"/>
    <w:rsid w:val="00D74677"/>
    <w:rsid w:val="00DA4DFA"/>
    <w:rsid w:val="00DA6A96"/>
    <w:rsid w:val="00DB417B"/>
    <w:rsid w:val="00DD06DE"/>
    <w:rsid w:val="00DD206F"/>
    <w:rsid w:val="00DE4172"/>
    <w:rsid w:val="00DE6439"/>
    <w:rsid w:val="00DE7A28"/>
    <w:rsid w:val="00DF0A58"/>
    <w:rsid w:val="00DF55D9"/>
    <w:rsid w:val="00E278D8"/>
    <w:rsid w:val="00E31A41"/>
    <w:rsid w:val="00E52403"/>
    <w:rsid w:val="00E57FB2"/>
    <w:rsid w:val="00E603FD"/>
    <w:rsid w:val="00E6765B"/>
    <w:rsid w:val="00E709AE"/>
    <w:rsid w:val="00E848A6"/>
    <w:rsid w:val="00E95887"/>
    <w:rsid w:val="00EA2938"/>
    <w:rsid w:val="00EA4A0F"/>
    <w:rsid w:val="00EC24ED"/>
    <w:rsid w:val="00EC3C38"/>
    <w:rsid w:val="00EC5621"/>
    <w:rsid w:val="00EE0F48"/>
    <w:rsid w:val="00EF056C"/>
    <w:rsid w:val="00F024CA"/>
    <w:rsid w:val="00F0580C"/>
    <w:rsid w:val="00F41656"/>
    <w:rsid w:val="00F61590"/>
    <w:rsid w:val="00F727FD"/>
    <w:rsid w:val="00F835E7"/>
    <w:rsid w:val="00FA2D87"/>
    <w:rsid w:val="00FC4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B8E"/>
  </w:style>
  <w:style w:type="paragraph" w:styleId="Heading1">
    <w:name w:val="heading 1"/>
    <w:basedOn w:val="Normal"/>
    <w:next w:val="Normal"/>
    <w:qFormat/>
    <w:rsid w:val="00C40B8E"/>
    <w:pPr>
      <w:keepNext/>
      <w:outlineLvl w:val="0"/>
    </w:pPr>
    <w:rPr>
      <w:caps/>
      <w:u w:val="single"/>
    </w:rPr>
  </w:style>
  <w:style w:type="paragraph" w:styleId="Heading2">
    <w:name w:val="heading 2"/>
    <w:basedOn w:val="Normal"/>
    <w:next w:val="Normal"/>
    <w:qFormat/>
    <w:rsid w:val="00C40B8E"/>
    <w:pPr>
      <w:keepNext/>
      <w:spacing w:line="480" w:lineRule="auto"/>
      <w:outlineLvl w:val="1"/>
    </w:pPr>
    <w:rPr>
      <w:b/>
      <w:u w:val="single"/>
    </w:rPr>
  </w:style>
  <w:style w:type="paragraph" w:styleId="Heading3">
    <w:name w:val="heading 3"/>
    <w:basedOn w:val="Normal"/>
    <w:next w:val="Normal"/>
    <w:qFormat/>
    <w:rsid w:val="00C40B8E"/>
    <w:pPr>
      <w:keepNext/>
      <w:widowControl w:val="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0B8E"/>
    <w:rPr>
      <w:color w:val="0000FF"/>
      <w:u w:val="single"/>
    </w:rPr>
  </w:style>
  <w:style w:type="paragraph" w:styleId="BodyText2">
    <w:name w:val="Body Text 2"/>
    <w:basedOn w:val="Normal"/>
    <w:rsid w:val="00C40B8E"/>
    <w:pPr>
      <w:widowControl w:val="0"/>
      <w:ind w:firstLine="720"/>
    </w:pPr>
    <w:rPr>
      <w:sz w:val="24"/>
    </w:rPr>
  </w:style>
  <w:style w:type="paragraph" w:customStyle="1" w:styleId="Default">
    <w:name w:val="Default"/>
    <w:rsid w:val="00463693"/>
    <w:pPr>
      <w:autoSpaceDE w:val="0"/>
      <w:autoSpaceDN w:val="0"/>
      <w:adjustRightInd w:val="0"/>
    </w:pPr>
    <w:rPr>
      <w:rFonts w:ascii="Courier Std" w:hAnsi="Courier Std" w:cs="Courier Std"/>
      <w:color w:val="000000"/>
      <w:sz w:val="24"/>
      <w:szCs w:val="24"/>
    </w:rPr>
  </w:style>
  <w:style w:type="paragraph" w:styleId="BodyTextIndent">
    <w:name w:val="Body Text Indent"/>
    <w:basedOn w:val="Normal"/>
    <w:link w:val="BodyTextIndentChar"/>
    <w:rsid w:val="00F835E7"/>
    <w:pPr>
      <w:spacing w:after="120"/>
      <w:ind w:left="360"/>
    </w:pPr>
  </w:style>
  <w:style w:type="character" w:styleId="CommentReference">
    <w:name w:val="annotation reference"/>
    <w:basedOn w:val="DefaultParagraphFont"/>
    <w:rsid w:val="00A3067F"/>
    <w:rPr>
      <w:sz w:val="16"/>
      <w:szCs w:val="16"/>
    </w:rPr>
  </w:style>
  <w:style w:type="paragraph" w:styleId="CommentText">
    <w:name w:val="annotation text"/>
    <w:basedOn w:val="Normal"/>
    <w:link w:val="CommentTextChar"/>
    <w:rsid w:val="00A3067F"/>
  </w:style>
  <w:style w:type="character" w:customStyle="1" w:styleId="CommentTextChar">
    <w:name w:val="Comment Text Char"/>
    <w:basedOn w:val="DefaultParagraphFont"/>
    <w:link w:val="CommentText"/>
    <w:rsid w:val="00A3067F"/>
  </w:style>
  <w:style w:type="paragraph" w:styleId="CommentSubject">
    <w:name w:val="annotation subject"/>
    <w:basedOn w:val="CommentText"/>
    <w:next w:val="CommentText"/>
    <w:link w:val="CommentSubjectChar"/>
    <w:rsid w:val="00A3067F"/>
    <w:rPr>
      <w:b/>
      <w:bCs/>
    </w:rPr>
  </w:style>
  <w:style w:type="character" w:customStyle="1" w:styleId="CommentSubjectChar">
    <w:name w:val="Comment Subject Char"/>
    <w:basedOn w:val="CommentTextChar"/>
    <w:link w:val="CommentSubject"/>
    <w:rsid w:val="00A3067F"/>
    <w:rPr>
      <w:b/>
      <w:bCs/>
    </w:rPr>
  </w:style>
  <w:style w:type="paragraph" w:styleId="BalloonText">
    <w:name w:val="Balloon Text"/>
    <w:basedOn w:val="Normal"/>
    <w:link w:val="BalloonTextChar"/>
    <w:rsid w:val="00A3067F"/>
    <w:rPr>
      <w:rFonts w:ascii="Tahoma" w:hAnsi="Tahoma" w:cs="Tahoma"/>
      <w:sz w:val="16"/>
      <w:szCs w:val="16"/>
    </w:rPr>
  </w:style>
  <w:style w:type="character" w:customStyle="1" w:styleId="BalloonTextChar">
    <w:name w:val="Balloon Text Char"/>
    <w:basedOn w:val="DefaultParagraphFont"/>
    <w:link w:val="BalloonText"/>
    <w:rsid w:val="00A3067F"/>
    <w:rPr>
      <w:rFonts w:ascii="Tahoma" w:hAnsi="Tahoma" w:cs="Tahoma"/>
      <w:sz w:val="16"/>
      <w:szCs w:val="16"/>
    </w:rPr>
  </w:style>
  <w:style w:type="character" w:styleId="FollowedHyperlink">
    <w:name w:val="FollowedHyperlink"/>
    <w:basedOn w:val="DefaultParagraphFont"/>
    <w:rsid w:val="000B15BE"/>
    <w:rPr>
      <w:color w:val="800080"/>
      <w:u w:val="single"/>
    </w:rPr>
  </w:style>
  <w:style w:type="paragraph" w:styleId="NormalWeb">
    <w:name w:val="Normal (Web)"/>
    <w:basedOn w:val="Normal"/>
    <w:uiPriority w:val="99"/>
    <w:unhideWhenUsed/>
    <w:rsid w:val="00EE0F48"/>
    <w:pPr>
      <w:spacing w:before="100" w:beforeAutospacing="1" w:after="100" w:afterAutospacing="1"/>
    </w:pPr>
    <w:rPr>
      <w:sz w:val="24"/>
      <w:szCs w:val="24"/>
    </w:rPr>
  </w:style>
  <w:style w:type="character" w:styleId="Emphasis">
    <w:name w:val="Emphasis"/>
    <w:basedOn w:val="DefaultParagraphFont"/>
    <w:uiPriority w:val="20"/>
    <w:qFormat/>
    <w:rsid w:val="00EE0F48"/>
    <w:rPr>
      <w:b w:val="0"/>
      <w:bCs w:val="0"/>
      <w:i w:val="0"/>
      <w:iCs w:val="0"/>
    </w:rPr>
  </w:style>
  <w:style w:type="character" w:customStyle="1" w:styleId="BodyTextIndentChar">
    <w:name w:val="Body Text Indent Char"/>
    <w:basedOn w:val="DefaultParagraphFont"/>
    <w:link w:val="BodyTextIndent"/>
    <w:rsid w:val="00390AB7"/>
  </w:style>
  <w:style w:type="paragraph" w:styleId="Header">
    <w:name w:val="header"/>
    <w:basedOn w:val="Normal"/>
    <w:link w:val="HeaderChar"/>
    <w:rsid w:val="00DD06DE"/>
    <w:pPr>
      <w:tabs>
        <w:tab w:val="center" w:pos="4680"/>
        <w:tab w:val="right" w:pos="9360"/>
      </w:tabs>
    </w:pPr>
  </w:style>
  <w:style w:type="character" w:customStyle="1" w:styleId="HeaderChar">
    <w:name w:val="Header Char"/>
    <w:basedOn w:val="DefaultParagraphFont"/>
    <w:link w:val="Header"/>
    <w:rsid w:val="00DD06DE"/>
  </w:style>
  <w:style w:type="paragraph" w:styleId="Footer">
    <w:name w:val="footer"/>
    <w:basedOn w:val="Normal"/>
    <w:link w:val="FooterChar"/>
    <w:uiPriority w:val="99"/>
    <w:rsid w:val="00DD06DE"/>
    <w:pPr>
      <w:tabs>
        <w:tab w:val="center" w:pos="4680"/>
        <w:tab w:val="right" w:pos="9360"/>
      </w:tabs>
    </w:pPr>
  </w:style>
  <w:style w:type="character" w:customStyle="1" w:styleId="FooterChar">
    <w:name w:val="Footer Char"/>
    <w:basedOn w:val="DefaultParagraphFont"/>
    <w:link w:val="Footer"/>
    <w:uiPriority w:val="99"/>
    <w:rsid w:val="00DD06DE"/>
  </w:style>
</w:styles>
</file>

<file path=word/webSettings.xml><?xml version="1.0" encoding="utf-8"?>
<w:webSettings xmlns:r="http://schemas.openxmlformats.org/officeDocument/2006/relationships" xmlns:w="http://schemas.openxmlformats.org/wordprocessingml/2006/main">
  <w:divs>
    <w:div w:id="213927400">
      <w:bodyDiv w:val="1"/>
      <w:marLeft w:val="0"/>
      <w:marRight w:val="0"/>
      <w:marTop w:val="0"/>
      <w:marBottom w:val="0"/>
      <w:divBdr>
        <w:top w:val="none" w:sz="0" w:space="0" w:color="auto"/>
        <w:left w:val="none" w:sz="0" w:space="0" w:color="auto"/>
        <w:bottom w:val="none" w:sz="0" w:space="0" w:color="auto"/>
        <w:right w:val="none" w:sz="0" w:space="0" w:color="auto"/>
      </w:divBdr>
    </w:div>
    <w:div w:id="1219129237">
      <w:bodyDiv w:val="1"/>
      <w:marLeft w:val="0"/>
      <w:marRight w:val="0"/>
      <w:marTop w:val="0"/>
      <w:marBottom w:val="0"/>
      <w:divBdr>
        <w:top w:val="none" w:sz="0" w:space="0" w:color="auto"/>
        <w:left w:val="none" w:sz="0" w:space="0" w:color="auto"/>
        <w:bottom w:val="none" w:sz="0" w:space="0" w:color="auto"/>
        <w:right w:val="none" w:sz="0" w:space="0" w:color="auto"/>
      </w:divBdr>
    </w:div>
    <w:div w:id="1331789555">
      <w:bodyDiv w:val="1"/>
      <w:marLeft w:val="0"/>
      <w:marRight w:val="0"/>
      <w:marTop w:val="0"/>
      <w:marBottom w:val="0"/>
      <w:divBdr>
        <w:top w:val="none" w:sz="0" w:space="0" w:color="auto"/>
        <w:left w:val="none" w:sz="0" w:space="0" w:color="auto"/>
        <w:bottom w:val="none" w:sz="0" w:space="0" w:color="auto"/>
        <w:right w:val="none" w:sz="0" w:space="0" w:color="auto"/>
      </w:divBdr>
    </w:div>
    <w:div w:id="1475105132">
      <w:bodyDiv w:val="1"/>
      <w:marLeft w:val="0"/>
      <w:marRight w:val="0"/>
      <w:marTop w:val="0"/>
      <w:marBottom w:val="0"/>
      <w:divBdr>
        <w:top w:val="none" w:sz="0" w:space="0" w:color="auto"/>
        <w:left w:val="none" w:sz="0" w:space="0" w:color="auto"/>
        <w:bottom w:val="none" w:sz="0" w:space="0" w:color="auto"/>
        <w:right w:val="none" w:sz="0" w:space="0" w:color="auto"/>
      </w:divBdr>
    </w:div>
    <w:div w:id="1744984263">
      <w:bodyDiv w:val="1"/>
      <w:marLeft w:val="0"/>
      <w:marRight w:val="0"/>
      <w:marTop w:val="0"/>
      <w:marBottom w:val="0"/>
      <w:divBdr>
        <w:top w:val="none" w:sz="0" w:space="0" w:color="auto"/>
        <w:left w:val="none" w:sz="0" w:space="0" w:color="auto"/>
        <w:bottom w:val="none" w:sz="0" w:space="0" w:color="auto"/>
        <w:right w:val="none" w:sz="0" w:space="0" w:color="auto"/>
      </w:divBdr>
      <w:divsChild>
        <w:div w:id="1142967230">
          <w:marLeft w:val="0"/>
          <w:marRight w:val="0"/>
          <w:marTop w:val="0"/>
          <w:marBottom w:val="0"/>
          <w:divBdr>
            <w:top w:val="single" w:sz="48" w:space="0" w:color="435258"/>
            <w:left w:val="single" w:sz="48" w:space="0" w:color="435258"/>
            <w:bottom w:val="single" w:sz="48" w:space="0" w:color="435258"/>
            <w:right w:val="single" w:sz="48" w:space="0" w:color="435258"/>
          </w:divBdr>
          <w:divsChild>
            <w:div w:id="1776170373">
              <w:marLeft w:val="0"/>
              <w:marRight w:val="0"/>
              <w:marTop w:val="0"/>
              <w:marBottom w:val="0"/>
              <w:divBdr>
                <w:top w:val="none" w:sz="0" w:space="0" w:color="auto"/>
                <w:left w:val="none" w:sz="0" w:space="0" w:color="auto"/>
                <w:bottom w:val="none" w:sz="0" w:space="0" w:color="auto"/>
                <w:right w:val="none" w:sz="0" w:space="0" w:color="auto"/>
              </w:divBdr>
              <w:divsChild>
                <w:div w:id="324011922">
                  <w:marLeft w:val="150"/>
                  <w:marRight w:val="150"/>
                  <w:marTop w:val="0"/>
                  <w:marBottom w:val="0"/>
                  <w:divBdr>
                    <w:top w:val="none" w:sz="0" w:space="0" w:color="auto"/>
                    <w:left w:val="none" w:sz="0" w:space="0" w:color="auto"/>
                    <w:bottom w:val="none" w:sz="0" w:space="0" w:color="auto"/>
                    <w:right w:val="none" w:sz="0" w:space="0" w:color="auto"/>
                  </w:divBdr>
                  <w:divsChild>
                    <w:div w:id="2092308515">
                      <w:marLeft w:val="0"/>
                      <w:marRight w:val="0"/>
                      <w:marTop w:val="0"/>
                      <w:marBottom w:val="0"/>
                      <w:divBdr>
                        <w:top w:val="none" w:sz="0" w:space="0" w:color="auto"/>
                        <w:left w:val="none" w:sz="0" w:space="0" w:color="auto"/>
                        <w:bottom w:val="none" w:sz="0" w:space="0" w:color="auto"/>
                        <w:right w:val="none" w:sz="0" w:space="0" w:color="auto"/>
                      </w:divBdr>
                      <w:divsChild>
                        <w:div w:id="1021515157">
                          <w:marLeft w:val="0"/>
                          <w:marRight w:val="0"/>
                          <w:marTop w:val="0"/>
                          <w:marBottom w:val="0"/>
                          <w:divBdr>
                            <w:top w:val="none" w:sz="0" w:space="0" w:color="auto"/>
                            <w:left w:val="none" w:sz="0" w:space="0" w:color="auto"/>
                            <w:bottom w:val="none" w:sz="0" w:space="0" w:color="auto"/>
                            <w:right w:val="none" w:sz="0" w:space="0" w:color="auto"/>
                          </w:divBdr>
                          <w:divsChild>
                            <w:div w:id="2144733873">
                              <w:marLeft w:val="0"/>
                              <w:marRight w:val="0"/>
                              <w:marTop w:val="0"/>
                              <w:marBottom w:val="0"/>
                              <w:divBdr>
                                <w:top w:val="none" w:sz="0" w:space="0" w:color="auto"/>
                                <w:left w:val="none" w:sz="0" w:space="0" w:color="auto"/>
                                <w:bottom w:val="none" w:sz="0" w:space="0" w:color="auto"/>
                                <w:right w:val="none" w:sz="0" w:space="0" w:color="auto"/>
                              </w:divBdr>
                              <w:divsChild>
                                <w:div w:id="344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003243">
      <w:bodyDiv w:val="1"/>
      <w:marLeft w:val="0"/>
      <w:marRight w:val="0"/>
      <w:marTop w:val="0"/>
      <w:marBottom w:val="0"/>
      <w:divBdr>
        <w:top w:val="none" w:sz="0" w:space="0" w:color="auto"/>
        <w:left w:val="none" w:sz="0" w:space="0" w:color="auto"/>
        <w:bottom w:val="none" w:sz="0" w:space="0" w:color="auto"/>
        <w:right w:val="none" w:sz="0" w:space="0" w:color="auto"/>
      </w:divBdr>
    </w:div>
    <w:div w:id="194592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dgell@dnr.in.gov"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epa.gov/bioiweb1/pdf/EPA-600-4-90-030MacroinvertebrateFieldandLaboratoryMethodsforEvalutingtheBiologicalIntegrityofSurfaceWaters.pdf" TargetMode="External"/><Relationship Id="rId2" Type="http://schemas.openxmlformats.org/officeDocument/2006/relationships/numbering" Target="numbering.xml"/><Relationship Id="rId16" Type="http://schemas.openxmlformats.org/officeDocument/2006/relationships/hyperlink" Target="http://wrc.umn.edu/pubs/watersqq/guidetoaquaticinverts/index.ht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ysl.nysed.gov/scandoclinks/ocm43110991.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ater.epa.gov/scitech/monitoring/rsl/bioassessment/index.cf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6913-3AA2-4F1F-A758-C1EB2E78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5</vt:lpstr>
    </vt:vector>
  </TitlesOfParts>
  <Company>IDEM</Company>
  <LinksUpToDate>false</LinksUpToDate>
  <CharactersWithSpaces>24169</CharactersWithSpaces>
  <SharedDoc>false</SharedDoc>
  <HLinks>
    <vt:vector size="30" baseType="variant">
      <vt:variant>
        <vt:i4>2162813</vt:i4>
      </vt:variant>
      <vt:variant>
        <vt:i4>12</vt:i4>
      </vt:variant>
      <vt:variant>
        <vt:i4>0</vt:i4>
      </vt:variant>
      <vt:variant>
        <vt:i4>5</vt:i4>
      </vt:variant>
      <vt:variant>
        <vt:lpwstr>http://www.epa.gov/bioiweb1/pdf/EPA-600-4-90-030MacroinvertebrateFieldandLaboratoryMethodsforEvalutingtheBiologicalIntegrityofSurfaceWaters.pdf</vt:lpwstr>
      </vt:variant>
      <vt:variant>
        <vt:lpwstr/>
      </vt:variant>
      <vt:variant>
        <vt:i4>1835027</vt:i4>
      </vt:variant>
      <vt:variant>
        <vt:i4>9</vt:i4>
      </vt:variant>
      <vt:variant>
        <vt:i4>0</vt:i4>
      </vt:variant>
      <vt:variant>
        <vt:i4>5</vt:i4>
      </vt:variant>
      <vt:variant>
        <vt:lpwstr>http://wrc.umn.edu/pubs/watersqq/guidetoaquaticinverts/index.htm</vt:lpwstr>
      </vt:variant>
      <vt:variant>
        <vt:lpwstr/>
      </vt:variant>
      <vt:variant>
        <vt:i4>7602208</vt:i4>
      </vt:variant>
      <vt:variant>
        <vt:i4>6</vt:i4>
      </vt:variant>
      <vt:variant>
        <vt:i4>0</vt:i4>
      </vt:variant>
      <vt:variant>
        <vt:i4>5</vt:i4>
      </vt:variant>
      <vt:variant>
        <vt:lpwstr>http://www.nysl.nysed.gov/scandoclinks/ocm43110991.htm</vt:lpwstr>
      </vt:variant>
      <vt:variant>
        <vt:lpwstr/>
      </vt:variant>
      <vt:variant>
        <vt:i4>2556016</vt:i4>
      </vt:variant>
      <vt:variant>
        <vt:i4>3</vt:i4>
      </vt:variant>
      <vt:variant>
        <vt:i4>0</vt:i4>
      </vt:variant>
      <vt:variant>
        <vt:i4>5</vt:i4>
      </vt:variant>
      <vt:variant>
        <vt:lpwstr>http://water.epa.gov/scitech/monitoring/rsl/bioassessment/index.cfm</vt:lpwstr>
      </vt:variant>
      <vt:variant>
        <vt:lpwstr/>
      </vt:variant>
      <vt:variant>
        <vt:i4>4390957</vt:i4>
      </vt:variant>
      <vt:variant>
        <vt:i4>0</vt:i4>
      </vt:variant>
      <vt:variant>
        <vt:i4>0</vt:i4>
      </vt:variant>
      <vt:variant>
        <vt:i4>5</vt:i4>
      </vt:variant>
      <vt:variant>
        <vt:lpwstr>mailto:redgell@dnr.in.gov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Stacey Lynn Sobat</dc:creator>
  <cp:keywords/>
  <dc:description/>
  <cp:lastModifiedBy>gbiberdorf</cp:lastModifiedBy>
  <cp:revision>2</cp:revision>
  <cp:lastPrinted>2011-02-03T12:27:00Z</cp:lastPrinted>
  <dcterms:created xsi:type="dcterms:W3CDTF">2013-10-17T17:38:00Z</dcterms:created>
  <dcterms:modified xsi:type="dcterms:W3CDTF">2013-10-17T17:38:00Z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