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54A67" w14:textId="7793FFEF" w:rsidR="00B62FC1" w:rsidRPr="0014753A" w:rsidRDefault="0014753A">
      <w:pPr>
        <w:rPr>
          <w:rFonts w:ascii="Arial Black" w:hAnsi="Arial Black"/>
          <w:b/>
          <w:bCs/>
          <w:sz w:val="24"/>
          <w:szCs w:val="24"/>
        </w:rPr>
      </w:pPr>
      <w:r w:rsidRPr="0014753A">
        <w:rPr>
          <w:rFonts w:ascii="Arial Black" w:hAnsi="Arial Black"/>
          <w:b/>
          <w:bCs/>
          <w:sz w:val="24"/>
          <w:szCs w:val="24"/>
        </w:rPr>
        <w:fldChar w:fldCharType="begin"/>
      </w:r>
      <w:r w:rsidRPr="0014753A">
        <w:rPr>
          <w:rFonts w:ascii="Arial Black" w:hAnsi="Arial Black"/>
          <w:b/>
          <w:bCs/>
          <w:sz w:val="24"/>
          <w:szCs w:val="24"/>
        </w:rPr>
        <w:instrText xml:space="preserve"> HYPERLINK "</w:instrText>
      </w:r>
      <w:r w:rsidRPr="0014753A">
        <w:rPr>
          <w:rFonts w:ascii="Arial Black" w:hAnsi="Arial Black"/>
          <w:b/>
          <w:bCs/>
          <w:sz w:val="24"/>
          <w:szCs w:val="24"/>
        </w:rPr>
        <w:instrText>https://www.in.gov/dor/files/reference/sib20.pdf</w:instrText>
      </w:r>
      <w:r w:rsidRPr="0014753A">
        <w:rPr>
          <w:rFonts w:ascii="Arial Black" w:hAnsi="Arial Black"/>
          <w:b/>
          <w:bCs/>
          <w:sz w:val="24"/>
          <w:szCs w:val="24"/>
        </w:rPr>
        <w:instrText xml:space="preserve">" </w:instrText>
      </w:r>
      <w:r w:rsidRPr="0014753A">
        <w:rPr>
          <w:rFonts w:ascii="Arial Black" w:hAnsi="Arial Black"/>
          <w:b/>
          <w:bCs/>
          <w:sz w:val="24"/>
          <w:szCs w:val="24"/>
        </w:rPr>
        <w:fldChar w:fldCharType="separate"/>
      </w:r>
      <w:r w:rsidRPr="0014753A">
        <w:rPr>
          <w:rStyle w:val="Hyperlink"/>
          <w:rFonts w:ascii="Arial Black" w:hAnsi="Arial Black"/>
          <w:b/>
          <w:bCs/>
          <w:sz w:val="24"/>
          <w:szCs w:val="24"/>
        </w:rPr>
        <w:t>https://www.in.gov/dor/files/reference/sib20.pdf</w:t>
      </w:r>
      <w:r w:rsidRPr="0014753A">
        <w:rPr>
          <w:rFonts w:ascii="Arial Black" w:hAnsi="Arial Black"/>
          <w:b/>
          <w:bCs/>
          <w:sz w:val="24"/>
          <w:szCs w:val="24"/>
        </w:rPr>
        <w:fldChar w:fldCharType="end"/>
      </w:r>
    </w:p>
    <w:p w14:paraId="03CE6319" w14:textId="072622C1" w:rsidR="0014753A" w:rsidRPr="0014753A" w:rsidRDefault="0014753A">
      <w:pPr>
        <w:rPr>
          <w:rFonts w:ascii="Arial Black" w:hAnsi="Arial Black"/>
          <w:b/>
          <w:bCs/>
          <w:color w:val="0070C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753A">
        <w:rPr>
          <w:rFonts w:ascii="Arial Black" w:hAnsi="Arial Black"/>
          <w:b/>
          <w:bCs/>
          <w:sz w:val="24"/>
          <w:szCs w:val="24"/>
          <w:highlight w:val="yellow"/>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Click on above link to see Bulletin # 20 and page #6 of Indiana Department Revenue Information Bulletin #20 of Garage Sales</w:t>
      </w:r>
    </w:p>
    <w:p w14:paraId="0A371CFC" w14:textId="77777777" w:rsidR="0014753A" w:rsidRPr="0014753A" w:rsidRDefault="0014753A">
      <w:pPr>
        <w:rPr>
          <w:rFonts w:ascii="Arial Black" w:hAnsi="Arial Black"/>
          <w:b/>
          <w:bCs/>
          <w:color w:val="0070C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88D771" w14:textId="5391FE50" w:rsidR="00F63C36" w:rsidRPr="00F63C36" w:rsidRDefault="0014753A" w:rsidP="00F63C36">
      <w:pPr>
        <w:jc w:val="center"/>
        <w:rPr>
          <w:rFonts w:ascii="Arial Black" w:hAnsi="Arial Black" w:cs="Arial"/>
          <w:sz w:val="24"/>
          <w:szCs w:val="24"/>
        </w:rPr>
      </w:pPr>
      <w:r w:rsidRPr="00F63C36">
        <w:rPr>
          <w:rFonts w:ascii="Arial Black" w:hAnsi="Arial Black" w:cs="Arial"/>
          <w:sz w:val="24"/>
          <w:szCs w:val="24"/>
        </w:rPr>
        <w:t>S</w:t>
      </w:r>
      <w:r w:rsidR="00F63C36" w:rsidRPr="00F63C36">
        <w:rPr>
          <w:rFonts w:ascii="Arial Black" w:hAnsi="Arial Black" w:cs="Arial"/>
          <w:sz w:val="24"/>
          <w:szCs w:val="24"/>
        </w:rPr>
        <w:t>TATE OF INDIANA DEPARTMENT OF REVENUE</w:t>
      </w:r>
    </w:p>
    <w:p w14:paraId="435F7C0F" w14:textId="22D62705" w:rsidR="0014753A" w:rsidRPr="00F63C36" w:rsidRDefault="0014753A" w:rsidP="00F63C36">
      <w:pPr>
        <w:jc w:val="center"/>
        <w:rPr>
          <w:rFonts w:ascii="Arial Black" w:hAnsi="Arial Black" w:cs="Arial"/>
          <w:sz w:val="24"/>
          <w:szCs w:val="24"/>
        </w:rPr>
      </w:pPr>
      <w:r w:rsidRPr="00F63C36">
        <w:rPr>
          <w:rFonts w:ascii="Arial Black" w:hAnsi="Arial Black" w:cs="Arial"/>
          <w:sz w:val="24"/>
          <w:szCs w:val="24"/>
        </w:rPr>
        <w:t>INFORMATION BULLETIN #20</w:t>
      </w:r>
    </w:p>
    <w:p w14:paraId="157AFD4F" w14:textId="77777777" w:rsidR="0014753A" w:rsidRPr="00F63C36" w:rsidRDefault="0014753A" w:rsidP="00F63C36">
      <w:pPr>
        <w:rPr>
          <w:rFonts w:ascii="Arial Black" w:hAnsi="Arial Black" w:cs="Arial"/>
          <w:sz w:val="24"/>
          <w:szCs w:val="24"/>
          <w:u w:val="single"/>
        </w:rPr>
      </w:pPr>
      <w:r w:rsidRPr="00F63C36">
        <w:rPr>
          <w:rFonts w:ascii="Arial Black" w:hAnsi="Arial Black" w:cs="Arial"/>
          <w:sz w:val="24"/>
          <w:szCs w:val="24"/>
          <w:u w:val="single"/>
        </w:rPr>
        <w:t>SALES TAX</w:t>
      </w:r>
    </w:p>
    <w:p w14:paraId="056BB02B" w14:textId="77777777" w:rsidR="0014753A" w:rsidRPr="0014753A" w:rsidRDefault="0014753A">
      <w:pPr>
        <w:rPr>
          <w:rFonts w:ascii="Arial" w:hAnsi="Arial" w:cs="Arial"/>
          <w:sz w:val="24"/>
          <w:szCs w:val="24"/>
        </w:rPr>
      </w:pPr>
      <w:r w:rsidRPr="0014753A">
        <w:rPr>
          <w:rFonts w:ascii="Arial" w:hAnsi="Arial" w:cs="Arial"/>
          <w:sz w:val="24"/>
          <w:szCs w:val="24"/>
        </w:rPr>
        <w:t xml:space="preserve"> OCTOBER 2015 Effective Date: October 1, 2015</w:t>
      </w:r>
    </w:p>
    <w:p w14:paraId="5CB23E39" w14:textId="77777777" w:rsidR="0014753A" w:rsidRPr="0014753A" w:rsidRDefault="0014753A">
      <w:pPr>
        <w:rPr>
          <w:rFonts w:ascii="Arial" w:hAnsi="Arial" w:cs="Arial"/>
          <w:sz w:val="24"/>
          <w:szCs w:val="24"/>
        </w:rPr>
      </w:pPr>
      <w:r w:rsidRPr="0014753A">
        <w:rPr>
          <w:rFonts w:ascii="Arial" w:hAnsi="Arial" w:cs="Arial"/>
          <w:sz w:val="24"/>
          <w:szCs w:val="24"/>
        </w:rPr>
        <w:t xml:space="preserve"> (Replaces Information Bulletin #20 dated October 2009) SUBJECT: Auctions/Casual Sales/Consignment Sales REFERENCES: IC 6-2.5-2-3; IC 6-2.5-4-12, IC 6-2.5-6-17, 45 IAC 2.2-4-33, 45 IAC 2.2-4- 34, and 45 IAC 2.2-4-35</w:t>
      </w:r>
    </w:p>
    <w:p w14:paraId="185EF362" w14:textId="2D2A4F16" w:rsidR="0014753A" w:rsidRDefault="0014753A">
      <w:pPr>
        <w:rPr>
          <w:rFonts w:ascii="Arial" w:hAnsi="Arial" w:cs="Arial"/>
          <w:sz w:val="24"/>
          <w:szCs w:val="24"/>
        </w:rPr>
      </w:pPr>
      <w:r w:rsidRPr="0014753A">
        <w:rPr>
          <w:rFonts w:ascii="Arial" w:hAnsi="Arial" w:cs="Arial"/>
          <w:sz w:val="24"/>
          <w:szCs w:val="24"/>
        </w:rPr>
        <w:t xml:space="preserve"> DISCLAIMER: Informational bulletins are intended to provide nontechnical assistance to the general public. Every attempt is made to provide information that is consistent with the appropriate statutes, rules, and court decisions. Any information that is not consistent with the law, regulations, or court decisions is not binding on either the department or the taxpayer. Therefore, the information provided herein should serve only as a foundation for further investigation and study of the current law and procedures related to the subject matter covered herein.</w:t>
      </w:r>
    </w:p>
    <w:p w14:paraId="2FF39B15" w14:textId="2F913C30" w:rsidR="0014753A" w:rsidRDefault="0014753A">
      <w:pPr>
        <w:rPr>
          <w:rFonts w:ascii="Arial" w:hAnsi="Arial" w:cs="Arial"/>
          <w:sz w:val="24"/>
          <w:szCs w:val="24"/>
        </w:rPr>
      </w:pPr>
    </w:p>
    <w:p w14:paraId="3E08EDB5" w14:textId="77777777" w:rsidR="0014753A" w:rsidRPr="0014753A" w:rsidRDefault="0014753A">
      <w:pPr>
        <w:rPr>
          <w:rFonts w:ascii="Arial" w:hAnsi="Arial" w:cs="Arial"/>
          <w:b/>
          <w:bCs/>
          <w:sz w:val="24"/>
          <w:szCs w:val="24"/>
          <w:u w:val="single"/>
        </w:rPr>
      </w:pPr>
      <w:r w:rsidRPr="0014753A">
        <w:rPr>
          <w:rFonts w:ascii="Arial" w:hAnsi="Arial" w:cs="Arial"/>
          <w:b/>
          <w:bCs/>
          <w:sz w:val="24"/>
          <w:szCs w:val="24"/>
          <w:u w:val="single"/>
        </w:rPr>
        <w:t xml:space="preserve">IV. GARAGE SALES, RUMMAGE SALES, or SIMILAR TYPE SALES (nonauction sales) </w:t>
      </w:r>
    </w:p>
    <w:p w14:paraId="71BEC2D2" w14:textId="4D93E6C5" w:rsidR="0014753A" w:rsidRPr="0014753A" w:rsidRDefault="0014753A">
      <w:pPr>
        <w:rPr>
          <w:rFonts w:ascii="Arial" w:hAnsi="Arial" w:cs="Arial"/>
          <w:sz w:val="24"/>
          <w:szCs w:val="24"/>
        </w:rPr>
      </w:pPr>
      <w:r w:rsidRPr="0014753A">
        <w:rPr>
          <w:rFonts w:ascii="Arial" w:hAnsi="Arial" w:cs="Arial"/>
          <w:sz w:val="24"/>
          <w:szCs w:val="24"/>
        </w:rPr>
        <w:t xml:space="preserve">A garage sale, rummage sale, or similar sale that meets all the following conditions is a casual sale and therefore the items sold are not subject to sales tax, or use tax: 1. The sale must be at the residence of the owner of the tangible personal property; 2. The sale must be conducted by the owner or the immediate family of the owner of the property being sold; 3. The tangible personal property must not have been acquired by the owner for the purpose of resale; 4. All sales or use tax due on the original acquisition of the property must have been paid by the owner; and 5. The sales must be held on an infrequent basis. In the event that certain tangible personal property being sold at a particular sale meets the above conditions but other property fails to meet such conditions, the seller becomes a retail merchant and sales tax must be collected on the sale of all property failing to meet the conditions. Form BT-1 must be completed to register for sales tax. This form is available on the Department’s website (www.in.gov/dor). Example: An </w:t>
      </w:r>
      <w:proofErr w:type="gramStart"/>
      <w:r w:rsidRPr="0014753A">
        <w:rPr>
          <w:rFonts w:ascii="Arial" w:hAnsi="Arial" w:cs="Arial"/>
          <w:sz w:val="24"/>
          <w:szCs w:val="24"/>
        </w:rPr>
        <w:t>individual attends numerous garage sales</w:t>
      </w:r>
      <w:proofErr w:type="gramEnd"/>
      <w:r w:rsidRPr="0014753A">
        <w:rPr>
          <w:rFonts w:ascii="Arial" w:hAnsi="Arial" w:cs="Arial"/>
          <w:sz w:val="24"/>
          <w:szCs w:val="24"/>
        </w:rPr>
        <w:t xml:space="preserve"> throughout the year and purchases items to be resold in the individual’s own garage sales, which are held monthly. This person has violated conditions of the “casual sale” exemption rules 3, 4, and 5 shown above and thus must register as a retail merchant and collect sales tax when he/she conducts his/her own garage sales. Information Bulletin Number 20 Page # 7 If a taxable sale is conducted by the owner of the property, the owner must register as a retail merchant and must collect and remit the sales tax. The sale of consigned tangible personal property is a retail sale, and the consignee must register as a retail merchant and must collect and remit sales tax based on the gross retail income of the consignment sale.</w:t>
      </w:r>
    </w:p>
    <w:sectPr w:rsidR="0014753A" w:rsidRPr="0014753A" w:rsidSect="00F63C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3A"/>
    <w:rsid w:val="0014753A"/>
    <w:rsid w:val="00B62FC1"/>
    <w:rsid w:val="00F6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A46D"/>
  <w15:chartTrackingRefBased/>
  <w15:docId w15:val="{935124C0-3876-4B30-8BFF-9214F597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53A"/>
    <w:rPr>
      <w:color w:val="0563C1" w:themeColor="hyperlink"/>
      <w:u w:val="single"/>
    </w:rPr>
  </w:style>
  <w:style w:type="character" w:styleId="UnresolvedMention">
    <w:name w:val="Unresolved Mention"/>
    <w:basedOn w:val="DefaultParagraphFont"/>
    <w:uiPriority w:val="99"/>
    <w:semiHidden/>
    <w:unhideWhenUsed/>
    <w:rsid w:val="0014753A"/>
    <w:rPr>
      <w:color w:val="605E5C"/>
      <w:shd w:val="clear" w:color="auto" w:fill="E1DFDD"/>
    </w:rPr>
  </w:style>
  <w:style w:type="paragraph" w:styleId="Title">
    <w:name w:val="Title"/>
    <w:basedOn w:val="Normal"/>
    <w:next w:val="Normal"/>
    <w:link w:val="TitleChar"/>
    <w:uiPriority w:val="10"/>
    <w:qFormat/>
    <w:rsid w:val="00147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5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Fischer</dc:creator>
  <cp:keywords/>
  <dc:description/>
  <cp:lastModifiedBy>Laura Fischer</cp:lastModifiedBy>
  <cp:revision>1</cp:revision>
  <dcterms:created xsi:type="dcterms:W3CDTF">2020-09-14T14:41:00Z</dcterms:created>
  <dcterms:modified xsi:type="dcterms:W3CDTF">2020-09-14T14:53:00Z</dcterms:modified>
</cp:coreProperties>
</file>