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72" w:tblpY="-993"/>
        <w:tblW w:w="10080" w:type="dxa"/>
        <w:tblLook w:val="04A0" w:firstRow="1" w:lastRow="0" w:firstColumn="1" w:lastColumn="0" w:noHBand="0" w:noVBand="1"/>
      </w:tblPr>
      <w:tblGrid>
        <w:gridCol w:w="3262"/>
        <w:gridCol w:w="3214"/>
        <w:gridCol w:w="3604"/>
      </w:tblGrid>
      <w:tr w:rsidR="00952993" w14:paraId="751A38A9" w14:textId="77777777" w:rsidTr="00652635">
        <w:tc>
          <w:tcPr>
            <w:tcW w:w="10080" w:type="dxa"/>
            <w:gridSpan w:val="3"/>
            <w:tcBorders>
              <w:top w:val="nil"/>
              <w:left w:val="nil"/>
              <w:right w:val="nil"/>
            </w:tcBorders>
          </w:tcPr>
          <w:p w14:paraId="7B5D0AE5" w14:textId="77777777" w:rsidR="00952993" w:rsidRDefault="00952993" w:rsidP="00652635">
            <w:pPr>
              <w:pStyle w:val="Header"/>
              <w:spacing w:line="276" w:lineRule="auto"/>
              <w:jc w:val="center"/>
              <w:rPr>
                <w:rFonts w:ascii="Franklin Gothic Book" w:hAnsi="Franklin Gothic Book" w:cstheme="minorHAnsi"/>
                <w:b/>
                <w:sz w:val="28"/>
                <w:szCs w:val="28"/>
              </w:rPr>
            </w:pPr>
            <w:bookmarkStart w:id="0" w:name="_GoBack"/>
            <w:bookmarkEnd w:id="0"/>
            <w:r>
              <w:rPr>
                <w:noProof/>
              </w:rPr>
              <w:drawing>
                <wp:anchor distT="0" distB="0" distL="114300" distR="114300" simplePos="0" relativeHeight="251659264" behindDoc="1" locked="0" layoutInCell="1" allowOverlap="1" wp14:anchorId="4D56356A" wp14:editId="7F4C09DC">
                  <wp:simplePos x="0" y="0"/>
                  <wp:positionH relativeFrom="column">
                    <wp:posOffset>-41275</wp:posOffset>
                  </wp:positionH>
                  <wp:positionV relativeFrom="paragraph">
                    <wp:posOffset>130175</wp:posOffset>
                  </wp:positionV>
                  <wp:extent cx="333375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r Surveys.PNG"/>
                          <pic:cNvPicPr/>
                        </pic:nvPicPr>
                        <pic:blipFill>
                          <a:blip r:embed="rId5">
                            <a:extLst>
                              <a:ext uri="{28A0092B-C50C-407E-A947-70E740481C1C}">
                                <a14:useLocalDpi xmlns:a14="http://schemas.microsoft.com/office/drawing/2010/main" val="0"/>
                              </a:ext>
                            </a:extLst>
                          </a:blip>
                          <a:stretch>
                            <a:fillRect/>
                          </a:stretch>
                        </pic:blipFill>
                        <pic:spPr>
                          <a:xfrm>
                            <a:off x="0" y="0"/>
                            <a:ext cx="3333750" cy="685800"/>
                          </a:xfrm>
                          <a:prstGeom prst="rect">
                            <a:avLst/>
                          </a:prstGeom>
                        </pic:spPr>
                      </pic:pic>
                    </a:graphicData>
                  </a:graphic>
                  <wp14:sizeRelH relativeFrom="page">
                    <wp14:pctWidth>0</wp14:pctWidth>
                  </wp14:sizeRelH>
                  <wp14:sizeRelV relativeFrom="page">
                    <wp14:pctHeight>0</wp14:pctHeight>
                  </wp14:sizeRelV>
                </wp:anchor>
              </w:drawing>
            </w:r>
          </w:p>
          <w:p w14:paraId="3B77F8F0" w14:textId="77777777" w:rsidR="00952993" w:rsidRDefault="00952993" w:rsidP="00652635">
            <w:pPr>
              <w:pStyle w:val="Header"/>
              <w:spacing w:line="276" w:lineRule="auto"/>
              <w:jc w:val="center"/>
              <w:rPr>
                <w:rFonts w:ascii="Franklin Gothic Book" w:hAnsi="Franklin Gothic Book" w:cstheme="minorHAnsi"/>
                <w:b/>
                <w:sz w:val="28"/>
                <w:szCs w:val="28"/>
              </w:rPr>
            </w:pPr>
          </w:p>
          <w:p w14:paraId="0495F1DF" w14:textId="77777777" w:rsidR="00952993" w:rsidRDefault="00952993" w:rsidP="00652635">
            <w:pPr>
              <w:pStyle w:val="Header"/>
              <w:spacing w:line="276" w:lineRule="auto"/>
              <w:jc w:val="center"/>
              <w:rPr>
                <w:rFonts w:ascii="Franklin Gothic Book" w:hAnsi="Franklin Gothic Book" w:cstheme="minorHAnsi"/>
                <w:b/>
                <w:sz w:val="28"/>
                <w:szCs w:val="28"/>
              </w:rPr>
            </w:pPr>
          </w:p>
          <w:p w14:paraId="076CB3F5" w14:textId="77777777" w:rsidR="00952993" w:rsidRDefault="00952993" w:rsidP="00652635">
            <w:pPr>
              <w:pStyle w:val="Header"/>
              <w:spacing w:line="276" w:lineRule="auto"/>
              <w:jc w:val="center"/>
              <w:rPr>
                <w:rFonts w:ascii="Franklin Gothic Book" w:hAnsi="Franklin Gothic Book" w:cstheme="minorHAnsi"/>
                <w:b/>
                <w:sz w:val="28"/>
                <w:szCs w:val="28"/>
              </w:rPr>
            </w:pPr>
          </w:p>
          <w:p w14:paraId="70407D77" w14:textId="77777777" w:rsidR="00952993" w:rsidRDefault="00952993" w:rsidP="00652635">
            <w:pPr>
              <w:pStyle w:val="Header"/>
              <w:spacing w:line="276" w:lineRule="auto"/>
              <w:jc w:val="center"/>
              <w:rPr>
                <w:rFonts w:ascii="Franklin Gothic Book" w:hAnsi="Franklin Gothic Book" w:cstheme="minorHAnsi"/>
                <w:b/>
                <w:sz w:val="28"/>
                <w:szCs w:val="28"/>
              </w:rPr>
            </w:pPr>
            <w:r>
              <w:rPr>
                <w:rFonts w:ascii="Franklin Gothic Book" w:hAnsi="Franklin Gothic Book" w:cstheme="minorHAnsi"/>
                <w:b/>
                <w:sz w:val="28"/>
                <w:szCs w:val="28"/>
              </w:rPr>
              <w:t>AGENDA</w:t>
            </w:r>
          </w:p>
        </w:tc>
      </w:tr>
      <w:tr w:rsidR="00952993" w14:paraId="288FBFCF" w14:textId="77777777" w:rsidTr="00652635">
        <w:tc>
          <w:tcPr>
            <w:tcW w:w="10080" w:type="dxa"/>
            <w:gridSpan w:val="3"/>
          </w:tcPr>
          <w:p w14:paraId="09FCA41C" w14:textId="36218DDE" w:rsidR="00952993" w:rsidRDefault="00952993" w:rsidP="00652635">
            <w:pPr>
              <w:pStyle w:val="Header"/>
              <w:spacing w:line="276" w:lineRule="auto"/>
              <w:rPr>
                <w:rFonts w:ascii="Franklin Gothic Book" w:hAnsi="Franklin Gothic Book" w:cstheme="minorHAnsi"/>
                <w:b/>
              </w:rPr>
            </w:pPr>
            <w:r>
              <w:rPr>
                <w:rFonts w:ascii="Franklin Gothic Book" w:hAnsi="Franklin Gothic Book" w:cstheme="minorHAnsi"/>
                <w:b/>
              </w:rPr>
              <w:t>CHIP</w:t>
            </w:r>
          </w:p>
          <w:p w14:paraId="404C4F8C" w14:textId="3BB300ED" w:rsidR="00952993" w:rsidRPr="00F52D66" w:rsidRDefault="00952993" w:rsidP="00652635">
            <w:pPr>
              <w:pStyle w:val="Header"/>
              <w:spacing w:line="276" w:lineRule="auto"/>
              <w:rPr>
                <w:rFonts w:ascii="Franklin Gothic Book" w:hAnsi="Franklin Gothic Book" w:cstheme="minorHAnsi"/>
                <w:b/>
              </w:rPr>
            </w:pPr>
            <w:r>
              <w:rPr>
                <w:rFonts w:ascii="Franklin Gothic Book" w:hAnsi="Franklin Gothic Book" w:cstheme="minorHAnsi"/>
                <w:b/>
              </w:rPr>
              <w:t>Behavioral Health/Mental Health and Substance Used Disorder Committee</w:t>
            </w:r>
          </w:p>
          <w:p w14:paraId="3C306B43" w14:textId="77777777" w:rsidR="00952993" w:rsidRPr="00F52D66" w:rsidRDefault="00952993" w:rsidP="00652635">
            <w:pPr>
              <w:pStyle w:val="Header"/>
              <w:spacing w:line="276" w:lineRule="auto"/>
              <w:rPr>
                <w:rFonts w:ascii="Franklin Gothic Book" w:hAnsi="Franklin Gothic Book" w:cstheme="minorHAnsi"/>
                <w:b/>
              </w:rPr>
            </w:pPr>
          </w:p>
        </w:tc>
      </w:tr>
      <w:tr w:rsidR="00952993" w14:paraId="51814CD7" w14:textId="77777777" w:rsidTr="00652635">
        <w:tc>
          <w:tcPr>
            <w:tcW w:w="3262" w:type="dxa"/>
          </w:tcPr>
          <w:p w14:paraId="2DBE3334" w14:textId="77777777" w:rsidR="00952993" w:rsidRDefault="00952993" w:rsidP="00652635">
            <w:pPr>
              <w:pStyle w:val="Header"/>
              <w:spacing w:line="276" w:lineRule="auto"/>
              <w:rPr>
                <w:rFonts w:ascii="Franklin Gothic Book" w:hAnsi="Franklin Gothic Book" w:cstheme="minorHAnsi"/>
                <w:b/>
              </w:rPr>
            </w:pPr>
            <w:r w:rsidRPr="00F52D66">
              <w:rPr>
                <w:rFonts w:ascii="Franklin Gothic Book" w:hAnsi="Franklin Gothic Book" w:cstheme="minorHAnsi"/>
                <w:b/>
              </w:rPr>
              <w:t>Date:</w:t>
            </w:r>
          </w:p>
          <w:p w14:paraId="74BF24E9" w14:textId="175FE8F6" w:rsidR="00952993" w:rsidRPr="00F52D66" w:rsidRDefault="00291AD4" w:rsidP="00652635">
            <w:pPr>
              <w:pStyle w:val="Header"/>
              <w:spacing w:line="276" w:lineRule="auto"/>
              <w:rPr>
                <w:rFonts w:ascii="Franklin Gothic Book" w:hAnsi="Franklin Gothic Book" w:cstheme="minorHAnsi"/>
                <w:b/>
              </w:rPr>
            </w:pPr>
            <w:r>
              <w:rPr>
                <w:rFonts w:ascii="Franklin Gothic Book" w:hAnsi="Franklin Gothic Book" w:cstheme="minorHAnsi"/>
                <w:b/>
              </w:rPr>
              <w:t>September 28</w:t>
            </w:r>
            <w:r w:rsidR="00952993">
              <w:rPr>
                <w:rFonts w:ascii="Franklin Gothic Book" w:hAnsi="Franklin Gothic Book" w:cstheme="minorHAnsi"/>
                <w:b/>
              </w:rPr>
              <w:t>, 2022</w:t>
            </w:r>
          </w:p>
        </w:tc>
        <w:tc>
          <w:tcPr>
            <w:tcW w:w="3214" w:type="dxa"/>
          </w:tcPr>
          <w:p w14:paraId="63F7E25F" w14:textId="77777777" w:rsidR="00952993" w:rsidRPr="00F52D66" w:rsidRDefault="00952993" w:rsidP="00652635">
            <w:pPr>
              <w:pStyle w:val="Header"/>
              <w:spacing w:line="276" w:lineRule="auto"/>
              <w:rPr>
                <w:rFonts w:ascii="Franklin Gothic Book" w:hAnsi="Franklin Gothic Book" w:cstheme="minorHAnsi"/>
                <w:b/>
              </w:rPr>
            </w:pPr>
            <w:r w:rsidRPr="00F52D66">
              <w:rPr>
                <w:rFonts w:ascii="Franklin Gothic Book" w:hAnsi="Franklin Gothic Book" w:cstheme="minorHAnsi"/>
                <w:b/>
              </w:rPr>
              <w:t xml:space="preserve">Time: </w:t>
            </w:r>
          </w:p>
          <w:p w14:paraId="37B44DB9" w14:textId="13D86C71" w:rsidR="00952993" w:rsidRPr="00F52D66" w:rsidRDefault="00952993" w:rsidP="00652635">
            <w:pPr>
              <w:pStyle w:val="Header"/>
              <w:spacing w:line="276" w:lineRule="auto"/>
              <w:rPr>
                <w:rFonts w:ascii="Franklin Gothic Book" w:hAnsi="Franklin Gothic Book" w:cstheme="minorHAnsi"/>
                <w:b/>
              </w:rPr>
            </w:pPr>
            <w:r>
              <w:rPr>
                <w:rFonts w:ascii="Franklin Gothic Book" w:hAnsi="Franklin Gothic Book" w:cstheme="minorHAnsi"/>
                <w:b/>
              </w:rPr>
              <w:t>12:00-1:00</w:t>
            </w:r>
          </w:p>
        </w:tc>
        <w:tc>
          <w:tcPr>
            <w:tcW w:w="3604" w:type="dxa"/>
          </w:tcPr>
          <w:p w14:paraId="4AF91AAD" w14:textId="1DC17EC3" w:rsidR="00952993" w:rsidRPr="00F52D66" w:rsidRDefault="00952993" w:rsidP="00652635">
            <w:pPr>
              <w:pStyle w:val="Header"/>
              <w:spacing w:line="276" w:lineRule="auto"/>
              <w:rPr>
                <w:rFonts w:ascii="Franklin Gothic Book" w:hAnsi="Franklin Gothic Book" w:cstheme="minorHAnsi"/>
                <w:b/>
              </w:rPr>
            </w:pPr>
            <w:r w:rsidRPr="00F52D66">
              <w:rPr>
                <w:rFonts w:ascii="Franklin Gothic Book" w:hAnsi="Franklin Gothic Book" w:cstheme="minorHAnsi"/>
                <w:b/>
              </w:rPr>
              <w:t>Location:</w:t>
            </w:r>
            <w:r>
              <w:rPr>
                <w:rFonts w:ascii="Franklin Gothic Book" w:hAnsi="Franklin Gothic Book" w:cstheme="minorHAnsi"/>
                <w:b/>
              </w:rPr>
              <w:t xml:space="preserve"> 333 E Miller Dr. Bloomington and Virtual</w:t>
            </w:r>
          </w:p>
        </w:tc>
      </w:tr>
    </w:tbl>
    <w:p w14:paraId="686DC6D2" w14:textId="77777777" w:rsidR="00952993" w:rsidRDefault="00952993" w:rsidP="00952993">
      <w:pPr>
        <w:ind w:left="360"/>
        <w:rPr>
          <w:rFonts w:ascii="Arial" w:hAnsi="Arial" w:cs="Arial"/>
          <w:bCs/>
        </w:rPr>
      </w:pPr>
    </w:p>
    <w:tbl>
      <w:tblPr>
        <w:tblStyle w:val="TableGrid"/>
        <w:tblW w:w="9661" w:type="dxa"/>
        <w:tblLook w:val="04A0" w:firstRow="1" w:lastRow="0" w:firstColumn="1" w:lastColumn="0" w:noHBand="0" w:noVBand="1"/>
      </w:tblPr>
      <w:tblGrid>
        <w:gridCol w:w="2448"/>
        <w:gridCol w:w="5850"/>
        <w:gridCol w:w="1363"/>
      </w:tblGrid>
      <w:tr w:rsidR="00952993" w14:paraId="5E87F562" w14:textId="77777777" w:rsidTr="00652635">
        <w:trPr>
          <w:cantSplit/>
          <w:trHeight w:val="737"/>
          <w:tblHeader/>
        </w:trPr>
        <w:tc>
          <w:tcPr>
            <w:tcW w:w="2448" w:type="dxa"/>
            <w:shd w:val="clear" w:color="auto" w:fill="FBE4D5" w:themeFill="accent2" w:themeFillTint="33"/>
            <w:vAlign w:val="bottom"/>
          </w:tcPr>
          <w:p w14:paraId="567143A6" w14:textId="77777777" w:rsidR="00952993" w:rsidRPr="00B13D83" w:rsidRDefault="00952993" w:rsidP="00652635">
            <w:pPr>
              <w:jc w:val="center"/>
              <w:rPr>
                <w:b/>
              </w:rPr>
            </w:pPr>
          </w:p>
          <w:p w14:paraId="523D1D95" w14:textId="77777777" w:rsidR="00952993" w:rsidRPr="00B13D83" w:rsidRDefault="00952993" w:rsidP="00652635">
            <w:pPr>
              <w:jc w:val="center"/>
              <w:rPr>
                <w:b/>
              </w:rPr>
            </w:pPr>
          </w:p>
          <w:p w14:paraId="0DA4B4A6" w14:textId="77777777" w:rsidR="00952993" w:rsidRPr="00B13D83" w:rsidRDefault="00952993" w:rsidP="00652635">
            <w:pPr>
              <w:jc w:val="center"/>
              <w:rPr>
                <w:b/>
              </w:rPr>
            </w:pPr>
          </w:p>
          <w:p w14:paraId="02B2FDC7" w14:textId="77777777" w:rsidR="00952993" w:rsidRPr="00B13D83" w:rsidRDefault="00952993" w:rsidP="00652635">
            <w:pPr>
              <w:jc w:val="center"/>
              <w:rPr>
                <w:b/>
              </w:rPr>
            </w:pPr>
            <w:r w:rsidRPr="00B13D83">
              <w:rPr>
                <w:b/>
              </w:rPr>
              <w:t>Time</w:t>
            </w:r>
          </w:p>
        </w:tc>
        <w:tc>
          <w:tcPr>
            <w:tcW w:w="5850" w:type="dxa"/>
            <w:shd w:val="clear" w:color="auto" w:fill="FBE4D5" w:themeFill="accent2" w:themeFillTint="33"/>
            <w:vAlign w:val="bottom"/>
          </w:tcPr>
          <w:p w14:paraId="27BE7AFC" w14:textId="77777777" w:rsidR="00952993" w:rsidRPr="00B13D83" w:rsidRDefault="00952993" w:rsidP="00652635">
            <w:pPr>
              <w:jc w:val="center"/>
              <w:rPr>
                <w:b/>
              </w:rPr>
            </w:pPr>
          </w:p>
          <w:p w14:paraId="5180D829" w14:textId="77777777" w:rsidR="00952993" w:rsidRPr="00B13D83" w:rsidRDefault="00952993" w:rsidP="00652635">
            <w:pPr>
              <w:jc w:val="center"/>
              <w:rPr>
                <w:b/>
              </w:rPr>
            </w:pPr>
          </w:p>
          <w:p w14:paraId="56F179BB" w14:textId="77777777" w:rsidR="00952993" w:rsidRPr="00B13D83" w:rsidRDefault="00952993" w:rsidP="00652635">
            <w:pPr>
              <w:jc w:val="center"/>
              <w:rPr>
                <w:b/>
              </w:rPr>
            </w:pPr>
            <w:r w:rsidRPr="00B13D83">
              <w:rPr>
                <w:b/>
              </w:rPr>
              <w:t>Topic</w:t>
            </w:r>
          </w:p>
        </w:tc>
        <w:tc>
          <w:tcPr>
            <w:tcW w:w="1363" w:type="dxa"/>
            <w:shd w:val="clear" w:color="auto" w:fill="FBE4D5" w:themeFill="accent2" w:themeFillTint="33"/>
            <w:vAlign w:val="bottom"/>
          </w:tcPr>
          <w:p w14:paraId="08D7D6CD" w14:textId="77777777" w:rsidR="00952993" w:rsidRPr="00B13D83" w:rsidRDefault="00952993" w:rsidP="00652635">
            <w:pPr>
              <w:rPr>
                <w:b/>
              </w:rPr>
            </w:pPr>
          </w:p>
          <w:p w14:paraId="5B581E1C" w14:textId="77777777" w:rsidR="00952993" w:rsidRPr="00B13D83" w:rsidRDefault="00952993" w:rsidP="00652635">
            <w:pPr>
              <w:rPr>
                <w:b/>
              </w:rPr>
            </w:pPr>
            <w:r w:rsidRPr="00B13D83">
              <w:rPr>
                <w:b/>
              </w:rPr>
              <w:t>Presenter</w:t>
            </w:r>
          </w:p>
        </w:tc>
      </w:tr>
      <w:tr w:rsidR="00952993" w14:paraId="0C374B62" w14:textId="77777777" w:rsidTr="00652635">
        <w:trPr>
          <w:trHeight w:val="368"/>
        </w:trPr>
        <w:tc>
          <w:tcPr>
            <w:tcW w:w="2448" w:type="dxa"/>
          </w:tcPr>
          <w:p w14:paraId="20DD88F2" w14:textId="3DC07726" w:rsidR="00952993" w:rsidRDefault="00952993" w:rsidP="00652635">
            <w:r>
              <w:t>12:00</w:t>
            </w:r>
          </w:p>
          <w:p w14:paraId="6DDB654F" w14:textId="77777777" w:rsidR="00952993" w:rsidRDefault="00952993" w:rsidP="00652635"/>
        </w:tc>
        <w:tc>
          <w:tcPr>
            <w:tcW w:w="5850" w:type="dxa"/>
          </w:tcPr>
          <w:p w14:paraId="14CA66C9" w14:textId="4BEF7819" w:rsidR="00952993" w:rsidRDefault="00952993" w:rsidP="00652635">
            <w:r>
              <w:t>Introductions</w:t>
            </w:r>
            <w:r w:rsidR="00291AD4">
              <w:t xml:space="preserve"> – review expectations </w:t>
            </w:r>
          </w:p>
          <w:p w14:paraId="33D5F3D4" w14:textId="77777777" w:rsidR="00952993" w:rsidRDefault="00952993" w:rsidP="00652635"/>
        </w:tc>
        <w:tc>
          <w:tcPr>
            <w:tcW w:w="1363" w:type="dxa"/>
          </w:tcPr>
          <w:p w14:paraId="31F7D872" w14:textId="347CA80B" w:rsidR="00952993" w:rsidRDefault="00952993" w:rsidP="00652635"/>
        </w:tc>
      </w:tr>
      <w:tr w:rsidR="00952993" w14:paraId="77BEB422" w14:textId="77777777" w:rsidTr="00652635">
        <w:trPr>
          <w:trHeight w:val="368"/>
        </w:trPr>
        <w:tc>
          <w:tcPr>
            <w:tcW w:w="2448" w:type="dxa"/>
          </w:tcPr>
          <w:p w14:paraId="4053AA65" w14:textId="159EE20E" w:rsidR="00952993" w:rsidRDefault="007161E2" w:rsidP="00652635">
            <w:r>
              <w:t>12</w:t>
            </w:r>
            <w:r w:rsidR="00952993">
              <w:t>:</w:t>
            </w:r>
            <w:r>
              <w:t>05</w:t>
            </w:r>
            <w:r w:rsidR="00952993">
              <w:t xml:space="preserve"> – </w:t>
            </w:r>
            <w:r>
              <w:t>1</w:t>
            </w:r>
            <w:r w:rsidR="00952993">
              <w:t>2:</w:t>
            </w:r>
            <w:r>
              <w:t>1</w:t>
            </w:r>
            <w:r w:rsidR="00952993">
              <w:t>0</w:t>
            </w:r>
          </w:p>
        </w:tc>
        <w:tc>
          <w:tcPr>
            <w:tcW w:w="5850" w:type="dxa"/>
          </w:tcPr>
          <w:p w14:paraId="048509CA" w14:textId="77777777" w:rsidR="00952993" w:rsidRDefault="00331555" w:rsidP="00291AD4">
            <w:r>
              <w:t xml:space="preserve">Review </w:t>
            </w:r>
            <w:r w:rsidR="007161E2">
              <w:t xml:space="preserve"> </w:t>
            </w:r>
            <w:r w:rsidR="00660938">
              <w:t xml:space="preserve">information collected from first meeting </w:t>
            </w:r>
            <w:r w:rsidR="00AF0462">
              <w:t xml:space="preserve">– see notes below </w:t>
            </w:r>
          </w:p>
          <w:p w14:paraId="6301CC7F" w14:textId="0A629F46" w:rsidR="00AF0462" w:rsidRDefault="00AF0462" w:rsidP="00291AD4"/>
        </w:tc>
        <w:tc>
          <w:tcPr>
            <w:tcW w:w="1363" w:type="dxa"/>
          </w:tcPr>
          <w:p w14:paraId="570F0EFC" w14:textId="5FCC41AA" w:rsidR="00952993" w:rsidRDefault="00952993" w:rsidP="00652635"/>
        </w:tc>
      </w:tr>
      <w:tr w:rsidR="00952993" w14:paraId="34717E76" w14:textId="77777777" w:rsidTr="00652635">
        <w:trPr>
          <w:trHeight w:val="368"/>
        </w:trPr>
        <w:tc>
          <w:tcPr>
            <w:tcW w:w="2448" w:type="dxa"/>
          </w:tcPr>
          <w:p w14:paraId="6A116D57" w14:textId="64126FF6" w:rsidR="00952993" w:rsidRDefault="007161E2" w:rsidP="00652635">
            <w:r>
              <w:t>12:10-12:</w:t>
            </w:r>
            <w:r w:rsidR="00B828D1">
              <w:t>3</w:t>
            </w:r>
            <w:r>
              <w:t>0</w:t>
            </w:r>
          </w:p>
        </w:tc>
        <w:tc>
          <w:tcPr>
            <w:tcW w:w="5850" w:type="dxa"/>
          </w:tcPr>
          <w:p w14:paraId="69EC0353" w14:textId="77777777" w:rsidR="00606AC5" w:rsidRDefault="00E05968" w:rsidP="007161E2">
            <w:r>
              <w:t>Categorize</w:t>
            </w:r>
          </w:p>
          <w:tbl>
            <w:tblPr>
              <w:tblStyle w:val="TableGrid"/>
              <w:tblW w:w="0" w:type="auto"/>
              <w:tblLook w:val="04A0" w:firstRow="1" w:lastRow="0" w:firstColumn="1" w:lastColumn="0" w:noHBand="0" w:noVBand="1"/>
            </w:tblPr>
            <w:tblGrid>
              <w:gridCol w:w="1924"/>
              <w:gridCol w:w="1850"/>
              <w:gridCol w:w="1850"/>
            </w:tblGrid>
            <w:tr w:rsidR="00E05968" w14:paraId="02222DDC" w14:textId="77777777" w:rsidTr="008C314D">
              <w:tc>
                <w:tcPr>
                  <w:tcW w:w="2396" w:type="dxa"/>
                  <w:shd w:val="clear" w:color="auto" w:fill="E7E6E6" w:themeFill="background2"/>
                </w:tcPr>
                <w:p w14:paraId="1E4864C7" w14:textId="77777777" w:rsidR="00E05968" w:rsidRDefault="00E05968" w:rsidP="00E05968">
                  <w:pPr>
                    <w:pStyle w:val="ListParagraph"/>
                    <w:ind w:left="0"/>
                    <w:rPr>
                      <w:rFonts w:asciiTheme="majorHAnsi" w:hAnsiTheme="majorHAnsi" w:cstheme="majorHAnsi"/>
                      <w:sz w:val="28"/>
                      <w:szCs w:val="28"/>
                    </w:rPr>
                  </w:pPr>
                </w:p>
              </w:tc>
              <w:tc>
                <w:tcPr>
                  <w:tcW w:w="2397" w:type="dxa"/>
                  <w:shd w:val="clear" w:color="auto" w:fill="E7E6E6" w:themeFill="background2"/>
                </w:tcPr>
                <w:p w14:paraId="5A4EEB60" w14:textId="77777777"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 xml:space="preserve"> CONTROL</w:t>
                  </w:r>
                </w:p>
              </w:tc>
              <w:tc>
                <w:tcPr>
                  <w:tcW w:w="2397" w:type="dxa"/>
                  <w:shd w:val="clear" w:color="auto" w:fill="E7E6E6" w:themeFill="background2"/>
                </w:tcPr>
                <w:p w14:paraId="20A8ADD9" w14:textId="77777777"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NO CONTROL</w:t>
                  </w:r>
                </w:p>
              </w:tc>
            </w:tr>
            <w:tr w:rsidR="00E05968" w14:paraId="1B36F8D2" w14:textId="77777777" w:rsidTr="008C314D">
              <w:tc>
                <w:tcPr>
                  <w:tcW w:w="2396" w:type="dxa"/>
                  <w:shd w:val="clear" w:color="auto" w:fill="E7E6E6" w:themeFill="background2"/>
                </w:tcPr>
                <w:p w14:paraId="74460418" w14:textId="77777777"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Knowledge</w:t>
                  </w:r>
                </w:p>
              </w:tc>
              <w:tc>
                <w:tcPr>
                  <w:tcW w:w="2397" w:type="dxa"/>
                </w:tcPr>
                <w:p w14:paraId="3D180F3F" w14:textId="77777777"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 xml:space="preserve">            Do </w:t>
                  </w:r>
                  <w:proofErr w:type="spellStart"/>
                  <w:r>
                    <w:rPr>
                      <w:rFonts w:asciiTheme="majorHAnsi" w:hAnsiTheme="majorHAnsi" w:cstheme="majorHAnsi"/>
                      <w:sz w:val="28"/>
                      <w:szCs w:val="28"/>
                    </w:rPr>
                    <w:t>iT</w:t>
                  </w:r>
                  <w:proofErr w:type="spellEnd"/>
                </w:p>
                <w:p w14:paraId="5F0DBE79" w14:textId="77777777" w:rsidR="00E05968" w:rsidRDefault="00E05968" w:rsidP="00E05968">
                  <w:pPr>
                    <w:pStyle w:val="ListParagraph"/>
                    <w:ind w:left="0"/>
                    <w:rPr>
                      <w:rFonts w:asciiTheme="majorHAnsi" w:hAnsiTheme="majorHAnsi" w:cstheme="majorHAnsi"/>
                      <w:sz w:val="28"/>
                      <w:szCs w:val="28"/>
                    </w:rPr>
                  </w:pPr>
                </w:p>
              </w:tc>
              <w:tc>
                <w:tcPr>
                  <w:tcW w:w="2397" w:type="dxa"/>
                </w:tcPr>
                <w:p w14:paraId="2D5118F3" w14:textId="77777777"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 xml:space="preserve">           Influence</w:t>
                  </w:r>
                </w:p>
              </w:tc>
            </w:tr>
            <w:tr w:rsidR="00E05968" w14:paraId="7939E4F7" w14:textId="77777777" w:rsidTr="008C314D">
              <w:tc>
                <w:tcPr>
                  <w:tcW w:w="2396" w:type="dxa"/>
                  <w:shd w:val="clear" w:color="auto" w:fill="E7E6E6" w:themeFill="background2"/>
                </w:tcPr>
                <w:p w14:paraId="26F46243" w14:textId="77777777"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No Knowledge</w:t>
                  </w:r>
                </w:p>
              </w:tc>
              <w:tc>
                <w:tcPr>
                  <w:tcW w:w="2397" w:type="dxa"/>
                </w:tcPr>
                <w:p w14:paraId="086A733E" w14:textId="32033DFF"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 xml:space="preserve">  Get Help</w:t>
                  </w:r>
                </w:p>
                <w:p w14:paraId="76D3CF43" w14:textId="77777777" w:rsidR="00E05968" w:rsidRDefault="00E05968" w:rsidP="00E05968">
                  <w:pPr>
                    <w:pStyle w:val="ListParagraph"/>
                    <w:ind w:left="0"/>
                    <w:rPr>
                      <w:rFonts w:asciiTheme="majorHAnsi" w:hAnsiTheme="majorHAnsi" w:cstheme="majorHAnsi"/>
                      <w:sz w:val="28"/>
                      <w:szCs w:val="28"/>
                    </w:rPr>
                  </w:pPr>
                </w:p>
              </w:tc>
              <w:tc>
                <w:tcPr>
                  <w:tcW w:w="2397" w:type="dxa"/>
                </w:tcPr>
                <w:p w14:paraId="36C330F5" w14:textId="60720655" w:rsidR="00E05968" w:rsidRDefault="00E05968" w:rsidP="00E05968">
                  <w:pPr>
                    <w:pStyle w:val="ListParagraph"/>
                    <w:ind w:left="0"/>
                    <w:rPr>
                      <w:rFonts w:asciiTheme="majorHAnsi" w:hAnsiTheme="majorHAnsi" w:cstheme="majorHAnsi"/>
                      <w:sz w:val="28"/>
                      <w:szCs w:val="28"/>
                    </w:rPr>
                  </w:pPr>
                  <w:r>
                    <w:rPr>
                      <w:rFonts w:asciiTheme="majorHAnsi" w:hAnsiTheme="majorHAnsi" w:cstheme="majorHAnsi"/>
                      <w:sz w:val="28"/>
                      <w:szCs w:val="28"/>
                    </w:rPr>
                    <w:t>Stay Away</w:t>
                  </w:r>
                </w:p>
              </w:tc>
            </w:tr>
          </w:tbl>
          <w:p w14:paraId="455A0136" w14:textId="1F5A6546" w:rsidR="00E05968" w:rsidRDefault="00E05968" w:rsidP="007161E2"/>
        </w:tc>
        <w:tc>
          <w:tcPr>
            <w:tcW w:w="1363" w:type="dxa"/>
          </w:tcPr>
          <w:p w14:paraId="28ED58B9" w14:textId="2C41ED29" w:rsidR="00952993" w:rsidRDefault="00952993" w:rsidP="00652635"/>
        </w:tc>
      </w:tr>
      <w:tr w:rsidR="00952993" w14:paraId="595D42EA" w14:textId="77777777" w:rsidTr="00652635">
        <w:trPr>
          <w:trHeight w:val="368"/>
        </w:trPr>
        <w:tc>
          <w:tcPr>
            <w:tcW w:w="2448" w:type="dxa"/>
          </w:tcPr>
          <w:p w14:paraId="010D32C3" w14:textId="62C0649F" w:rsidR="00952993" w:rsidRDefault="00B828D1" w:rsidP="00652635">
            <w:r>
              <w:t>12</w:t>
            </w:r>
            <w:r w:rsidR="00952993">
              <w:t>:</w:t>
            </w:r>
            <w:r w:rsidR="005B3E03">
              <w:t>3</w:t>
            </w:r>
            <w:r>
              <w:t>0</w:t>
            </w:r>
            <w:r w:rsidR="00952993">
              <w:t>-</w:t>
            </w:r>
            <w:r>
              <w:t>12</w:t>
            </w:r>
            <w:r w:rsidR="00952993">
              <w:t>:</w:t>
            </w:r>
            <w:r w:rsidR="005B3E03">
              <w:t>40</w:t>
            </w:r>
          </w:p>
        </w:tc>
        <w:tc>
          <w:tcPr>
            <w:tcW w:w="5850" w:type="dxa"/>
          </w:tcPr>
          <w:p w14:paraId="726117A9" w14:textId="1F3F084F" w:rsidR="00952993" w:rsidRDefault="00447CFE" w:rsidP="00652635">
            <w:r>
              <w:t xml:space="preserve">Vote on what we will work on that we have some form of control. </w:t>
            </w:r>
          </w:p>
          <w:p w14:paraId="11D5B0C6" w14:textId="77777777" w:rsidR="00952993" w:rsidRDefault="00952993" w:rsidP="005B3E03"/>
        </w:tc>
        <w:tc>
          <w:tcPr>
            <w:tcW w:w="1363" w:type="dxa"/>
          </w:tcPr>
          <w:p w14:paraId="4DEB5D0B" w14:textId="204ADD07" w:rsidR="00952993" w:rsidRDefault="00952993" w:rsidP="00652635"/>
        </w:tc>
      </w:tr>
      <w:tr w:rsidR="00952993" w14:paraId="27E86943" w14:textId="77777777" w:rsidTr="00652635">
        <w:trPr>
          <w:trHeight w:val="368"/>
        </w:trPr>
        <w:tc>
          <w:tcPr>
            <w:tcW w:w="2448" w:type="dxa"/>
          </w:tcPr>
          <w:p w14:paraId="69DCF5A1" w14:textId="76E7B713" w:rsidR="00952993" w:rsidRDefault="00B828D1" w:rsidP="00652635">
            <w:r>
              <w:t>12</w:t>
            </w:r>
            <w:r w:rsidR="00952993">
              <w:t>:</w:t>
            </w:r>
            <w:r w:rsidR="005B3E03">
              <w:t>4</w:t>
            </w:r>
            <w:r w:rsidR="00952993">
              <w:t>0-</w:t>
            </w:r>
            <w:r>
              <w:t>12</w:t>
            </w:r>
            <w:r w:rsidR="00952993">
              <w:t>:</w:t>
            </w:r>
            <w:r w:rsidR="005B3E03">
              <w:t>50</w:t>
            </w:r>
          </w:p>
        </w:tc>
        <w:tc>
          <w:tcPr>
            <w:tcW w:w="5850" w:type="dxa"/>
          </w:tcPr>
          <w:p w14:paraId="5CC80D89" w14:textId="6FB0150C" w:rsidR="00952993" w:rsidRDefault="002A217A" w:rsidP="00652635">
            <w:r>
              <w:t xml:space="preserve">Discuss sub-committees/joining other groups and next steps </w:t>
            </w:r>
          </w:p>
        </w:tc>
        <w:tc>
          <w:tcPr>
            <w:tcW w:w="1363" w:type="dxa"/>
          </w:tcPr>
          <w:p w14:paraId="01BC17C4" w14:textId="77777777" w:rsidR="00952993" w:rsidRDefault="00952993" w:rsidP="00652635"/>
        </w:tc>
      </w:tr>
      <w:tr w:rsidR="005B3E03" w14:paraId="7C9CF852" w14:textId="77777777" w:rsidTr="00652635">
        <w:trPr>
          <w:trHeight w:val="368"/>
        </w:trPr>
        <w:tc>
          <w:tcPr>
            <w:tcW w:w="2448" w:type="dxa"/>
          </w:tcPr>
          <w:p w14:paraId="7D70EEC4" w14:textId="41BC39CE" w:rsidR="005B3E03" w:rsidRDefault="005B3E03" w:rsidP="00652635">
            <w:r>
              <w:t>12:50-1</w:t>
            </w:r>
          </w:p>
        </w:tc>
        <w:tc>
          <w:tcPr>
            <w:tcW w:w="5850" w:type="dxa"/>
          </w:tcPr>
          <w:p w14:paraId="7084CB23" w14:textId="5E44C396" w:rsidR="005B3E03" w:rsidRDefault="005B3E03" w:rsidP="00652635">
            <w:r>
              <w:t xml:space="preserve">Wrap Up – Next meeting.  </w:t>
            </w:r>
          </w:p>
        </w:tc>
        <w:tc>
          <w:tcPr>
            <w:tcW w:w="1363" w:type="dxa"/>
          </w:tcPr>
          <w:p w14:paraId="3171FA52" w14:textId="77777777" w:rsidR="005B3E03" w:rsidRDefault="005B3E03" w:rsidP="00652635"/>
        </w:tc>
      </w:tr>
    </w:tbl>
    <w:p w14:paraId="1A1AE585" w14:textId="77777777" w:rsidR="00952993" w:rsidRDefault="00952993" w:rsidP="00952993">
      <w:pPr>
        <w:contextualSpacing/>
        <w:rPr>
          <w:sz w:val="28"/>
          <w:szCs w:val="28"/>
        </w:rPr>
      </w:pPr>
      <w:r>
        <w:rPr>
          <w:sz w:val="28"/>
          <w:szCs w:val="28"/>
        </w:rPr>
        <w:t xml:space="preserve"> </w:t>
      </w:r>
    </w:p>
    <w:p w14:paraId="64053147" w14:textId="7AFE210B" w:rsidR="005B6558" w:rsidRDefault="005B6558" w:rsidP="00952993"/>
    <w:p w14:paraId="6732786A" w14:textId="77777777" w:rsidR="00F9411F" w:rsidRDefault="00F9411F" w:rsidP="00F9411F">
      <w:pPr>
        <w:rPr>
          <w:b/>
          <w:bCs/>
        </w:rPr>
      </w:pPr>
      <w:r>
        <w:rPr>
          <w:b/>
          <w:bCs/>
        </w:rPr>
        <w:t>SUD/MH/CHIP Meeting 1 Summary:</w:t>
      </w:r>
    </w:p>
    <w:p w14:paraId="16425913" w14:textId="77777777" w:rsidR="00F9411F" w:rsidRDefault="00F9411F" w:rsidP="00F9411F">
      <w:r>
        <w:t xml:space="preserve">This is a summary of the main points discussed in our first meeting. </w:t>
      </w:r>
    </w:p>
    <w:p w14:paraId="0A5FDADD" w14:textId="77777777" w:rsidR="00F9411F" w:rsidRDefault="00F9411F" w:rsidP="00F9411F"/>
    <w:p w14:paraId="1A5C032A" w14:textId="77777777" w:rsidR="00F9411F" w:rsidRPr="00907767" w:rsidRDefault="00F9411F" w:rsidP="00F9411F">
      <w:pPr>
        <w:rPr>
          <w:b/>
          <w:bCs/>
        </w:rPr>
      </w:pPr>
      <w:r w:rsidRPr="00907767">
        <w:rPr>
          <w:b/>
          <w:bCs/>
        </w:rPr>
        <w:t>Problem:</w:t>
      </w:r>
    </w:p>
    <w:p w14:paraId="56F2228C" w14:textId="77777777" w:rsidR="00F9411F" w:rsidRDefault="00F9411F" w:rsidP="00F9411F">
      <w:r w:rsidRPr="00907767">
        <w:rPr>
          <w:u w:val="single"/>
        </w:rPr>
        <w:t xml:space="preserve">Resources: </w:t>
      </w:r>
      <w:r>
        <w:t xml:space="preserve">We have a lack of cost-effective resources such as transportation, </w:t>
      </w:r>
      <w:proofErr w:type="gramStart"/>
      <w:r>
        <w:t>child care</w:t>
      </w:r>
      <w:proofErr w:type="gramEnd"/>
      <w:r>
        <w:t xml:space="preserve">, and rehabilitation services. </w:t>
      </w:r>
    </w:p>
    <w:p w14:paraId="222428DB" w14:textId="77777777" w:rsidR="00F9411F" w:rsidRDefault="00F9411F" w:rsidP="00F9411F">
      <w:r>
        <w:rPr>
          <w:u w:val="single"/>
        </w:rPr>
        <w:t>Stigma:</w:t>
      </w:r>
      <w:r>
        <w:t xml:space="preserve"> stigma from providers, families, and the </w:t>
      </w:r>
      <w:proofErr w:type="gramStart"/>
      <w:r>
        <w:t>general public</w:t>
      </w:r>
      <w:proofErr w:type="gramEnd"/>
      <w:r>
        <w:t xml:space="preserve">. </w:t>
      </w:r>
    </w:p>
    <w:p w14:paraId="604024C9" w14:textId="77777777" w:rsidR="00F9411F" w:rsidRDefault="00F9411F" w:rsidP="00F9411F"/>
    <w:p w14:paraId="17D01AF3" w14:textId="77777777" w:rsidR="00F9411F" w:rsidRDefault="00F9411F" w:rsidP="00F9411F">
      <w:pPr>
        <w:rPr>
          <w:b/>
          <w:bCs/>
        </w:rPr>
      </w:pPr>
      <w:r>
        <w:rPr>
          <w:b/>
          <w:bCs/>
        </w:rPr>
        <w:t>Initial State:</w:t>
      </w:r>
    </w:p>
    <w:p w14:paraId="25A68D48" w14:textId="77777777" w:rsidR="00F9411F" w:rsidRDefault="00F9411F" w:rsidP="00F9411F">
      <w:r w:rsidRPr="00907767">
        <w:rPr>
          <w:u w:val="single"/>
        </w:rPr>
        <w:t>Barriers:</w:t>
      </w:r>
      <w:r>
        <w:t xml:space="preserve"> Barriers to care are a main concern in our initial state. Stigma, too few providers, difficulty enrolling in Medicaid and HIP, limited funding for services, and complications navigating the available resources all build barriers to care. </w:t>
      </w:r>
    </w:p>
    <w:p w14:paraId="0186D50F" w14:textId="77777777" w:rsidR="00F9411F" w:rsidRDefault="00F9411F" w:rsidP="00F9411F">
      <w:r w:rsidRPr="00907767">
        <w:rPr>
          <w:u w:val="single"/>
        </w:rPr>
        <w:lastRenderedPageBreak/>
        <w:t>Structural barriers:</w:t>
      </w:r>
      <w:r>
        <w:t xml:space="preserve"> Access to treatment, especially long-term care and detox services, are limited unless patients are suicidal or homicidal. </w:t>
      </w:r>
    </w:p>
    <w:p w14:paraId="2CA84205" w14:textId="77777777" w:rsidR="00F9411F" w:rsidRDefault="00F9411F" w:rsidP="00F9411F">
      <w:r>
        <w:rPr>
          <w:u w:val="single"/>
        </w:rPr>
        <w:t>Duplicating resources:</w:t>
      </w:r>
      <w:r>
        <w:t xml:space="preserve"> Rather than collaborating, different organizations are duplicating resources. </w:t>
      </w:r>
    </w:p>
    <w:p w14:paraId="4DF97BAE" w14:textId="77777777" w:rsidR="00F9411F" w:rsidRPr="00BB2E4B" w:rsidRDefault="00F9411F" w:rsidP="00F9411F">
      <w:r>
        <w:rPr>
          <w:u w:val="single"/>
        </w:rPr>
        <w:t>Isolation:</w:t>
      </w:r>
      <w:r>
        <w:t xml:space="preserve"> Substance use has shifted over the years, and many people with SUD isolate. SUD/MH populations</w:t>
      </w:r>
      <w:r w:rsidRPr="00454A3E">
        <w:t xml:space="preserve"> </w:t>
      </w:r>
      <w:r>
        <w:t xml:space="preserve">often lack a sense of community, and therefore basic needs for survival are not being met. </w:t>
      </w:r>
    </w:p>
    <w:p w14:paraId="770A9A96" w14:textId="77777777" w:rsidR="00F9411F" w:rsidRDefault="00F9411F" w:rsidP="00F9411F">
      <w:r>
        <w:rPr>
          <w:u w:val="single"/>
        </w:rPr>
        <w:t>Housing:</w:t>
      </w:r>
      <w:r>
        <w:t xml:space="preserve"> lack of affordable housing.</w:t>
      </w:r>
    </w:p>
    <w:p w14:paraId="6CD962E0" w14:textId="77777777" w:rsidR="00F9411F" w:rsidRDefault="00F9411F" w:rsidP="00F9411F">
      <w:r>
        <w:rPr>
          <w:u w:val="single"/>
        </w:rPr>
        <w:t>Incarceration:</w:t>
      </w:r>
      <w:r>
        <w:t xml:space="preserve"> high numbers of people incarcerated for SUD/MH.</w:t>
      </w:r>
    </w:p>
    <w:p w14:paraId="6AB32B46" w14:textId="77777777" w:rsidR="00F9411F" w:rsidRDefault="00F9411F" w:rsidP="00F9411F"/>
    <w:p w14:paraId="76901F07" w14:textId="77777777" w:rsidR="00F9411F" w:rsidRDefault="00F9411F" w:rsidP="00F9411F">
      <w:pPr>
        <w:rPr>
          <w:b/>
          <w:bCs/>
        </w:rPr>
      </w:pPr>
      <w:r>
        <w:rPr>
          <w:b/>
          <w:bCs/>
        </w:rPr>
        <w:t>Ideal State:</w:t>
      </w:r>
    </w:p>
    <w:p w14:paraId="12034063" w14:textId="77777777" w:rsidR="00F9411F" w:rsidRDefault="00F9411F" w:rsidP="00F9411F">
      <w:r>
        <w:rPr>
          <w:u w:val="single"/>
        </w:rPr>
        <w:t>Resources:</w:t>
      </w:r>
      <w:r>
        <w:t xml:space="preserve"> Resources are a main factor in building an ideal state. Providing basic needs to all, including meeting people where they are and providing safe spaces, are necessary to build a community of trust. Services will have increased capacity and collaboration. </w:t>
      </w:r>
    </w:p>
    <w:p w14:paraId="21C9DEB9" w14:textId="77777777" w:rsidR="00F9411F" w:rsidRDefault="00F9411F" w:rsidP="00F9411F">
      <w:r>
        <w:rPr>
          <w:u w:val="single"/>
        </w:rPr>
        <w:t>Education:</w:t>
      </w:r>
      <w:r>
        <w:t xml:space="preserve"> The community is aware of available resources with a tool to access information about each organization. Collaboration between SUD/MH services allows patients to find a best fit for their needs and location. </w:t>
      </w:r>
    </w:p>
    <w:p w14:paraId="587220FE" w14:textId="77777777" w:rsidR="00F9411F" w:rsidRDefault="00F9411F" w:rsidP="00F9411F">
      <w:r>
        <w:rPr>
          <w:u w:val="single"/>
        </w:rPr>
        <w:t>Health Access:</w:t>
      </w:r>
      <w:r>
        <w:t xml:space="preserve"> SUD/MH </w:t>
      </w:r>
      <w:proofErr w:type="gramStart"/>
      <w:r>
        <w:t>is known</w:t>
      </w:r>
      <w:proofErr w:type="gramEnd"/>
      <w:r>
        <w:t xml:space="preserve"> as a true health concern and sufficient numbers of SUD/MH providers are available across southern Indiana. </w:t>
      </w:r>
    </w:p>
    <w:p w14:paraId="2D689C8C" w14:textId="77777777" w:rsidR="00F9411F" w:rsidRDefault="00F9411F" w:rsidP="00F9411F">
      <w:r>
        <w:rPr>
          <w:u w:val="single"/>
        </w:rPr>
        <w:t>Stigma:</w:t>
      </w:r>
      <w:r>
        <w:t xml:space="preserve"> Reduced stigma and isolation of people who live with SUD/MH through education and services. </w:t>
      </w:r>
    </w:p>
    <w:p w14:paraId="214A6C65" w14:textId="77777777" w:rsidR="00F9411F" w:rsidRDefault="00F9411F" w:rsidP="00F9411F">
      <w:r>
        <w:rPr>
          <w:u w:val="single"/>
        </w:rPr>
        <w:t>Housing:</w:t>
      </w:r>
      <w:r>
        <w:t xml:space="preserve"> Affordable housing is available for people living with SUD/MH. </w:t>
      </w:r>
    </w:p>
    <w:p w14:paraId="3F2D27BF" w14:textId="77777777" w:rsidR="00F9411F" w:rsidRDefault="00F9411F" w:rsidP="00F9411F"/>
    <w:p w14:paraId="425AA80C" w14:textId="77777777" w:rsidR="00F9411F" w:rsidRDefault="00F9411F" w:rsidP="00F9411F">
      <w:pPr>
        <w:rPr>
          <w:b/>
          <w:bCs/>
        </w:rPr>
      </w:pPr>
      <w:r>
        <w:rPr>
          <w:b/>
          <w:bCs/>
        </w:rPr>
        <w:t>Goals:</w:t>
      </w:r>
    </w:p>
    <w:p w14:paraId="2AEDB026" w14:textId="77777777" w:rsidR="00F9411F" w:rsidRDefault="00F9411F" w:rsidP="00F9411F">
      <w:r>
        <w:rPr>
          <w:u w:val="single"/>
        </w:rPr>
        <w:t>Collaboration:</w:t>
      </w:r>
      <w:r>
        <w:t xml:space="preserve"> Different organizations can be contacted to understand their stakes and programs in SUD/MH services: IU school of medicine and nursing, IU faculty and students, School of Public Health, Monroe County Health Department, Community Corrections Advisory Board, Justice Reinvestment Advisory Council (JRAC) in Monroe County, </w:t>
      </w:r>
      <w:r w:rsidRPr="00E745E1">
        <w:rPr>
          <w:highlight w:val="yellow"/>
        </w:rPr>
        <w:t>Community Justice Keepers</w:t>
      </w:r>
      <w:r>
        <w:t xml:space="preserve">, Kim Deckard, people with lived experiences, community champions, residents at the park, etc. </w:t>
      </w:r>
    </w:p>
    <w:p w14:paraId="7B8B68D5" w14:textId="77777777" w:rsidR="00F9411F" w:rsidRDefault="00F9411F" w:rsidP="00F9411F">
      <w:r>
        <w:rPr>
          <w:u w:val="single"/>
        </w:rPr>
        <w:t>Barriers:</w:t>
      </w:r>
      <w:r>
        <w:t xml:space="preserve"> identify barriers to care, prioritize reviewing and overcoming structural barriers.</w:t>
      </w:r>
    </w:p>
    <w:p w14:paraId="2E41BB13" w14:textId="77777777" w:rsidR="00F9411F" w:rsidRPr="004627A8" w:rsidRDefault="00F9411F" w:rsidP="00F9411F">
      <w:r>
        <w:rPr>
          <w:u w:val="single"/>
        </w:rPr>
        <w:t>Education:</w:t>
      </w:r>
      <w:r>
        <w:t xml:space="preserve"> provide education to people with lived experiences, family members, friends, community, first responders, and health care workers through various platforms.</w:t>
      </w:r>
    </w:p>
    <w:p w14:paraId="2AB29FF2" w14:textId="77777777" w:rsidR="00F9411F" w:rsidRPr="00307809" w:rsidRDefault="00F9411F" w:rsidP="00F9411F">
      <w:r>
        <w:rPr>
          <w:u w:val="single"/>
        </w:rPr>
        <w:t>Providers:</w:t>
      </w:r>
      <w:r>
        <w:t xml:space="preserve"> recruitment of behavioral health providers and incentivizing increased insurance options.</w:t>
      </w:r>
    </w:p>
    <w:p w14:paraId="21AECACD" w14:textId="77777777" w:rsidR="00F9411F" w:rsidRPr="001F03DF" w:rsidRDefault="00F9411F" w:rsidP="00F9411F">
      <w:r>
        <w:rPr>
          <w:u w:val="single"/>
        </w:rPr>
        <w:t>Resources:</w:t>
      </w:r>
      <w:r>
        <w:t xml:space="preserve"> centralized resource system – research available resources. This partners with the collaboration category – reaching out to these organizations/people in addition to researching their information online to create partnerships.</w:t>
      </w:r>
    </w:p>
    <w:p w14:paraId="49A6E3AD" w14:textId="77777777" w:rsidR="00F9411F" w:rsidRPr="001F03DF" w:rsidRDefault="00F9411F" w:rsidP="00F9411F">
      <w:r>
        <w:rPr>
          <w:u w:val="single"/>
        </w:rPr>
        <w:t>Parks:</w:t>
      </w:r>
      <w:r>
        <w:t xml:space="preserve"> how can we help Parks and Rec?</w:t>
      </w:r>
    </w:p>
    <w:p w14:paraId="22794F72" w14:textId="77777777" w:rsidR="00F9411F" w:rsidRPr="00307809" w:rsidRDefault="00F9411F" w:rsidP="00F9411F">
      <w:r>
        <w:rPr>
          <w:u w:val="single"/>
        </w:rPr>
        <w:t>Treatment:</w:t>
      </w:r>
      <w:r>
        <w:t xml:space="preserve"> supportive options for relapse, strategies, medication-assisted treatment (MAT), abstinence not preferred.</w:t>
      </w:r>
    </w:p>
    <w:p w14:paraId="22E99BF6" w14:textId="77777777" w:rsidR="00F9411F" w:rsidRPr="00307809" w:rsidRDefault="00F9411F" w:rsidP="00F9411F">
      <w:r>
        <w:rPr>
          <w:u w:val="single"/>
        </w:rPr>
        <w:t>Our meetings:</w:t>
      </w:r>
      <w:r>
        <w:t xml:space="preserve"> sub-committees and goals for each meeting to take action and make progress. </w:t>
      </w:r>
    </w:p>
    <w:p w14:paraId="02468A40" w14:textId="77777777" w:rsidR="00F9411F" w:rsidRPr="00952993" w:rsidRDefault="00F9411F" w:rsidP="00952993"/>
    <w:sectPr w:rsidR="00F9411F" w:rsidRPr="009529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276E1"/>
    <w:multiLevelType w:val="hybridMultilevel"/>
    <w:tmpl w:val="EAB0EA30"/>
    <w:lvl w:ilvl="0" w:tplc="24F08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93"/>
    <w:rsid w:val="00291AD4"/>
    <w:rsid w:val="002A217A"/>
    <w:rsid w:val="00331555"/>
    <w:rsid w:val="00447CFE"/>
    <w:rsid w:val="005B3E03"/>
    <w:rsid w:val="005B6558"/>
    <w:rsid w:val="005B7447"/>
    <w:rsid w:val="00606AC5"/>
    <w:rsid w:val="00660938"/>
    <w:rsid w:val="007161E2"/>
    <w:rsid w:val="00952993"/>
    <w:rsid w:val="00AF0462"/>
    <w:rsid w:val="00B828D1"/>
    <w:rsid w:val="00C94B0C"/>
    <w:rsid w:val="00E05968"/>
    <w:rsid w:val="00F9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FB8F"/>
  <w15:chartTrackingRefBased/>
  <w15:docId w15:val="{BF1A09DB-8F37-468D-93D7-A5941A77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9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52993"/>
    <w:pPr>
      <w:tabs>
        <w:tab w:val="center" w:pos="4320"/>
        <w:tab w:val="right" w:pos="8640"/>
      </w:tabs>
    </w:pPr>
  </w:style>
  <w:style w:type="character" w:customStyle="1" w:styleId="HeaderChar">
    <w:name w:val="Header Char"/>
    <w:basedOn w:val="DefaultParagraphFont"/>
    <w:link w:val="Header"/>
    <w:rsid w:val="00952993"/>
    <w:rPr>
      <w:rFonts w:ascii="Times New Roman" w:eastAsia="Times New Roman" w:hAnsi="Times New Roman" w:cs="Times New Roman"/>
      <w:sz w:val="24"/>
      <w:szCs w:val="24"/>
    </w:rPr>
  </w:style>
  <w:style w:type="table" w:styleId="TableGrid">
    <w:name w:val="Table Grid"/>
    <w:basedOn w:val="TableNormal"/>
    <w:uiPriority w:val="39"/>
    <w:rsid w:val="009529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993"/>
    <w:pPr>
      <w:ind w:left="720"/>
      <w:contextualSpacing/>
    </w:pPr>
  </w:style>
  <w:style w:type="paragraph" w:styleId="NormalWeb">
    <w:name w:val="Normal (Web)"/>
    <w:basedOn w:val="Normal"/>
    <w:uiPriority w:val="99"/>
    <w:unhideWhenUsed/>
    <w:rsid w:val="0095299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 Amy J</dc:creator>
  <cp:keywords/>
  <dc:description/>
  <cp:lastModifiedBy>Melanie Vehslage</cp:lastModifiedBy>
  <cp:revision>2</cp:revision>
  <dcterms:created xsi:type="dcterms:W3CDTF">2022-09-12T19:20:00Z</dcterms:created>
  <dcterms:modified xsi:type="dcterms:W3CDTF">2022-09-12T19:20:00Z</dcterms:modified>
</cp:coreProperties>
</file>